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880"/>
        <w:gridCol w:w="2929"/>
        <w:gridCol w:w="1928"/>
      </w:tblGrid>
      <w:tr w:rsidR="00CA767E">
        <w:tc>
          <w:tcPr>
            <w:tcW w:w="5809" w:type="dxa"/>
            <w:gridSpan w:val="2"/>
          </w:tcPr>
          <w:p w:rsidR="00CA767E" w:rsidRDefault="00CA767E" w:rsidP="000678E0">
            <w:pPr>
              <w:pStyle w:val="Etikett"/>
            </w:pPr>
            <w:r w:rsidRPr="006718F7">
              <w:t>Namn på dokument</w:t>
            </w:r>
          </w:p>
          <w:p w:rsidR="00CA767E" w:rsidRPr="00B80CC5" w:rsidRDefault="00B80CC5" w:rsidP="000678E0">
            <w:pPr>
              <w:pStyle w:val="Etikett"/>
              <w:rPr>
                <w:b/>
                <w:sz w:val="22"/>
                <w:szCs w:val="22"/>
              </w:rPr>
            </w:pPr>
            <w:r w:rsidRPr="00B80CC5">
              <w:rPr>
                <w:b/>
                <w:sz w:val="22"/>
                <w:szCs w:val="22"/>
              </w:rPr>
              <w:t xml:space="preserve">Mb de </w:t>
            </w:r>
            <w:proofErr w:type="spellStart"/>
            <w:r w:rsidRPr="00B80CC5">
              <w:rPr>
                <w:b/>
                <w:sz w:val="22"/>
                <w:szCs w:val="22"/>
              </w:rPr>
              <w:t>Quervain</w:t>
            </w:r>
            <w:proofErr w:type="spellEnd"/>
          </w:p>
        </w:tc>
        <w:tc>
          <w:tcPr>
            <w:tcW w:w="1928" w:type="dxa"/>
          </w:tcPr>
          <w:p w:rsidR="00CA767E" w:rsidRDefault="00CA767E" w:rsidP="00CA767E">
            <w:pPr>
              <w:pStyle w:val="Sidhuvud"/>
              <w:rPr>
                <w:szCs w:val="22"/>
              </w:rPr>
            </w:pPr>
            <w:r w:rsidRPr="00CA767E">
              <w:rPr>
                <w:sz w:val="16"/>
                <w:szCs w:val="16"/>
              </w:rPr>
              <w:t>Dnr DS</w:t>
            </w:r>
            <w:r w:rsidRPr="00A97B9D">
              <w:rPr>
                <w:szCs w:val="22"/>
              </w:rPr>
              <w:t xml:space="preserve"> </w:t>
            </w:r>
            <w:r w:rsidR="006A753E" w:rsidRPr="00CA767E">
              <w:rPr>
                <w:sz w:val="16"/>
                <w:szCs w:val="16"/>
                <w:highlight w:val="lightGray"/>
              </w:rPr>
              <w:fldChar w:fldCharType="begin"/>
            </w:r>
            <w:r w:rsidRPr="00CA767E">
              <w:rPr>
                <w:sz w:val="16"/>
                <w:szCs w:val="16"/>
                <w:highlight w:val="lightGray"/>
              </w:rPr>
              <w:instrText xml:space="preserve"> MACROBUTTON NoMacro &lt;Ange Dnr&gt; </w:instrText>
            </w:r>
            <w:r w:rsidR="006A753E" w:rsidRPr="00CA767E">
              <w:rPr>
                <w:sz w:val="16"/>
                <w:szCs w:val="16"/>
                <w:highlight w:val="lightGray"/>
              </w:rPr>
              <w:fldChar w:fldCharType="end"/>
            </w:r>
          </w:p>
          <w:p w:rsidR="00CA767E" w:rsidRPr="00415AB4" w:rsidRDefault="00CA767E" w:rsidP="000678E0">
            <w:pPr>
              <w:rPr>
                <w:sz w:val="20"/>
                <w:szCs w:val="20"/>
              </w:rPr>
            </w:pPr>
          </w:p>
        </w:tc>
      </w:tr>
      <w:tr w:rsidR="007402D9">
        <w:tc>
          <w:tcPr>
            <w:tcW w:w="5809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E824B4" w:rsidP="00234DF5">
            <w:pPr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Paramedicinska  sektionen</w:t>
            </w:r>
            <w:proofErr w:type="gramEnd"/>
            <w:r>
              <w:rPr>
                <w:b/>
                <w:sz w:val="20"/>
                <w:szCs w:val="20"/>
              </w:rPr>
              <w:t>, Danderyds Sjukhus AB</w:t>
            </w:r>
          </w:p>
        </w:tc>
        <w:tc>
          <w:tcPr>
            <w:tcW w:w="1928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B80CC5">
              <w:rPr>
                <w:i/>
                <w:sz w:val="18"/>
                <w:szCs w:val="18"/>
              </w:rPr>
              <w:t>2005</w:t>
            </w:r>
          </w:p>
        </w:tc>
      </w:tr>
      <w:tr w:rsidR="006C0123">
        <w:tc>
          <w:tcPr>
            <w:tcW w:w="2880" w:type="dxa"/>
          </w:tcPr>
          <w:p w:rsidR="006C0123" w:rsidRPr="006718F7" w:rsidRDefault="0041789A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BE6D94">
              <w:rPr>
                <w:rStyle w:val="EtikettChar"/>
              </w:rPr>
              <w:t xml:space="preserve"> 2014-04-11</w:t>
            </w:r>
            <w:r w:rsidR="005816A8">
              <w:rPr>
                <w:rStyle w:val="EtikettChar"/>
              </w:rPr>
              <w:tab/>
            </w:r>
          </w:p>
        </w:tc>
        <w:tc>
          <w:tcPr>
            <w:tcW w:w="4857" w:type="dxa"/>
            <w:gridSpan w:val="2"/>
          </w:tcPr>
          <w:p w:rsidR="006C0123" w:rsidRPr="00CA5281" w:rsidRDefault="006C0123" w:rsidP="006718F7">
            <w:pPr>
              <w:rPr>
                <w:sz w:val="16"/>
                <w:szCs w:val="16"/>
              </w:rPr>
            </w:pPr>
            <w:r w:rsidRPr="00CA5281">
              <w:rPr>
                <w:rStyle w:val="EtikettChar"/>
              </w:rPr>
              <w:t>Fastställt av</w:t>
            </w:r>
            <w:r w:rsidR="00E824B4" w:rsidRPr="00CA5281">
              <w:rPr>
                <w:rStyle w:val="EtikettChar"/>
              </w:rPr>
              <w:t xml:space="preserve"> </w:t>
            </w:r>
            <w:r w:rsidR="00E824B4" w:rsidRPr="00CA5281">
              <w:rPr>
                <w:rStyle w:val="EtikettChar"/>
                <w:b/>
              </w:rPr>
              <w:t>Arbetsterapi</w:t>
            </w:r>
            <w:r w:rsidR="00CA5281" w:rsidRPr="00CA5281">
              <w:rPr>
                <w:rStyle w:val="EtikettChar"/>
                <w:b/>
              </w:rPr>
              <w:t>n</w:t>
            </w:r>
          </w:p>
        </w:tc>
      </w:tr>
      <w:tr w:rsidR="006C0123">
        <w:tc>
          <w:tcPr>
            <w:tcW w:w="2880" w:type="dxa"/>
          </w:tcPr>
          <w:p w:rsidR="006C0123" w:rsidRPr="006718F7" w:rsidRDefault="005B3339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104D19">
              <w:rPr>
                <w:sz w:val="16"/>
                <w:szCs w:val="16"/>
              </w:rPr>
              <w:t xml:space="preserve"> 2016-05-01</w:t>
            </w:r>
            <w:r w:rsidR="005816A8">
              <w:rPr>
                <w:sz w:val="16"/>
                <w:szCs w:val="16"/>
              </w:rPr>
              <w:tab/>
            </w:r>
          </w:p>
        </w:tc>
        <w:tc>
          <w:tcPr>
            <w:tcW w:w="4857" w:type="dxa"/>
            <w:gridSpan w:val="2"/>
          </w:tcPr>
          <w:p w:rsidR="006C0123" w:rsidRPr="006718F7" w:rsidRDefault="006C0123" w:rsidP="00234DF5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CA5281" w:rsidRPr="003005CA">
              <w:rPr>
                <w:sz w:val="16"/>
                <w:szCs w:val="16"/>
              </w:rPr>
              <w:t xml:space="preserve"> </w:t>
            </w:r>
            <w:proofErr w:type="spellStart"/>
            <w:r w:rsidR="00104D19">
              <w:rPr>
                <w:sz w:val="16"/>
                <w:szCs w:val="16"/>
              </w:rPr>
              <w:t>Feri</w:t>
            </w:r>
            <w:proofErr w:type="spellEnd"/>
            <w:r w:rsidR="00104D19">
              <w:rPr>
                <w:sz w:val="16"/>
                <w:szCs w:val="16"/>
              </w:rPr>
              <w:t xml:space="preserve"> </w:t>
            </w:r>
            <w:proofErr w:type="spellStart"/>
            <w:r w:rsidR="00104D19">
              <w:rPr>
                <w:sz w:val="16"/>
                <w:szCs w:val="16"/>
              </w:rPr>
              <w:t>Goudarzi</w:t>
            </w:r>
            <w:proofErr w:type="spellEnd"/>
            <w:r w:rsidR="00104D19">
              <w:rPr>
                <w:sz w:val="16"/>
                <w:szCs w:val="16"/>
              </w:rPr>
              <w:t>, Sofia Svärding</w:t>
            </w:r>
          </w:p>
        </w:tc>
      </w:tr>
    </w:tbl>
    <w:p w:rsidR="0041789A" w:rsidRDefault="0041789A" w:rsidP="00D530D0"/>
    <w:p w:rsidR="00B80CC5" w:rsidRPr="00322C77" w:rsidRDefault="00B80CC5" w:rsidP="00D530D0">
      <w:pPr>
        <w:rPr>
          <w:b/>
          <w:sz w:val="24"/>
        </w:rPr>
      </w:pPr>
      <w:r w:rsidRPr="00B80CC5">
        <w:rPr>
          <w:b/>
          <w:sz w:val="24"/>
        </w:rPr>
        <w:t xml:space="preserve">Riktlinje för Mb de </w:t>
      </w:r>
      <w:proofErr w:type="spellStart"/>
      <w:r w:rsidRPr="00B80CC5">
        <w:rPr>
          <w:b/>
          <w:sz w:val="24"/>
        </w:rPr>
        <w:t>Quervain</w:t>
      </w:r>
      <w:proofErr w:type="spellEnd"/>
    </w:p>
    <w:p w:rsidR="00F83EC1" w:rsidRPr="00B80CC5" w:rsidRDefault="00B80CC5" w:rsidP="00F83EC1">
      <w:pPr>
        <w:rPr>
          <w:i/>
          <w:sz w:val="20"/>
          <w:szCs w:val="20"/>
        </w:rPr>
      </w:pPr>
      <w:r w:rsidRPr="00B80CC5">
        <w:rPr>
          <w:i/>
          <w:sz w:val="20"/>
          <w:szCs w:val="20"/>
        </w:rPr>
        <w:t xml:space="preserve">Nyckelord: Mb de </w:t>
      </w:r>
      <w:proofErr w:type="spellStart"/>
      <w:r w:rsidRPr="00B80CC5">
        <w:rPr>
          <w:i/>
          <w:sz w:val="20"/>
          <w:szCs w:val="20"/>
        </w:rPr>
        <w:t>Quervain</w:t>
      </w:r>
      <w:proofErr w:type="spellEnd"/>
    </w:p>
    <w:tbl>
      <w:tblPr>
        <w:tblStyle w:val="Tabellrutnt"/>
        <w:tblW w:w="0" w:type="auto"/>
        <w:tblLook w:val="01E0"/>
      </w:tblPr>
      <w:tblGrid>
        <w:gridCol w:w="9880"/>
      </w:tblGrid>
      <w:tr w:rsidR="00F83EC1">
        <w:tc>
          <w:tcPr>
            <w:tcW w:w="9880" w:type="dxa"/>
          </w:tcPr>
          <w:p w:rsidR="00F83EC1" w:rsidRDefault="00F83EC1" w:rsidP="00F83EC1">
            <w:pPr>
              <w:rPr>
                <w:b/>
              </w:rPr>
            </w:pPr>
          </w:p>
          <w:p w:rsidR="00F83EC1" w:rsidRDefault="00F83EC1" w:rsidP="00F83EC1">
            <w:pPr>
              <w:rPr>
                <w:b/>
              </w:rPr>
            </w:pPr>
          </w:p>
          <w:p w:rsidR="005D4FD5" w:rsidRPr="00B80CC5" w:rsidRDefault="00F83EC1" w:rsidP="005D4FD5">
            <w:pPr>
              <w:rPr>
                <w:b/>
              </w:rPr>
            </w:pPr>
            <w:r w:rsidRPr="00B80CC5">
              <w:rPr>
                <w:b/>
              </w:rPr>
              <w:t>BAKGRUND:</w:t>
            </w:r>
          </w:p>
          <w:p w:rsidR="00B80CC5" w:rsidRDefault="00B80CC5" w:rsidP="00B80CC5">
            <w:r>
              <w:t xml:space="preserve">Mb de </w:t>
            </w:r>
            <w:proofErr w:type="spellStart"/>
            <w:r>
              <w:t>Quervain</w:t>
            </w:r>
            <w:proofErr w:type="spellEnd"/>
            <w:r>
              <w:t xml:space="preserve"> är en </w:t>
            </w:r>
            <w:proofErr w:type="spellStart"/>
            <w:r>
              <w:t>tendovaginit</w:t>
            </w:r>
            <w:proofErr w:type="spellEnd"/>
            <w:r>
              <w:t xml:space="preserve"> som engagerar 1: a dorsala </w:t>
            </w:r>
            <w:proofErr w:type="spellStart"/>
            <w:r>
              <w:t>senfacket</w:t>
            </w:r>
            <w:proofErr w:type="spellEnd"/>
            <w:r>
              <w:t xml:space="preserve">. En lokal inflammation med smärta över 1: a </w:t>
            </w:r>
            <w:proofErr w:type="spellStart"/>
            <w:r>
              <w:t>senfacket</w:t>
            </w:r>
            <w:proofErr w:type="spellEnd"/>
            <w:r>
              <w:t xml:space="preserve"> kan uppträda utan säker orsak men ibland uppstår </w:t>
            </w:r>
            <w:proofErr w:type="spellStart"/>
            <w:r>
              <w:t>sjukkdomen</w:t>
            </w:r>
            <w:proofErr w:type="spellEnd"/>
            <w:r>
              <w:t xml:space="preserve"> efter en tids ovana </w:t>
            </w:r>
            <w:proofErr w:type="gramStart"/>
            <w:r>
              <w:t xml:space="preserve">handledsrörelser ( </w:t>
            </w:r>
            <w:proofErr w:type="spellStart"/>
            <w:r>
              <w:t>exv</w:t>
            </w:r>
            <w:proofErr w:type="spellEnd"/>
            <w:proofErr w:type="gramEnd"/>
            <w:r>
              <w:t xml:space="preserve"> vid spädbarnsskötsel och målning).  Patienten besväras av intensiv värk över 1: a dorsala </w:t>
            </w:r>
            <w:proofErr w:type="spellStart"/>
            <w:r>
              <w:t>senfacket</w:t>
            </w:r>
            <w:proofErr w:type="spellEnd"/>
            <w:r>
              <w:t>. Smärtan tilltar vid handl</w:t>
            </w:r>
            <w:r w:rsidR="00DA4B61">
              <w:t xml:space="preserve">edsrörelser, </w:t>
            </w:r>
            <w:proofErr w:type="spellStart"/>
            <w:r w:rsidR="00DA4B61">
              <w:t>ffa</w:t>
            </w:r>
            <w:proofErr w:type="spellEnd"/>
            <w:r w:rsidR="00DA4B61">
              <w:t xml:space="preserve"> </w:t>
            </w:r>
            <w:proofErr w:type="spellStart"/>
            <w:r w:rsidR="00DA4B61">
              <w:t>ulnardeviation</w:t>
            </w:r>
            <w:proofErr w:type="spellEnd"/>
            <w:r>
              <w:t xml:space="preserve"> (</w:t>
            </w:r>
            <w:r w:rsidR="00DA4B61">
              <w:t>1</w:t>
            </w:r>
            <w:r>
              <w:t>)</w:t>
            </w:r>
            <w:r w:rsidR="00DA4B61">
              <w:t>.</w:t>
            </w:r>
          </w:p>
          <w:p w:rsidR="00F83EC1" w:rsidRDefault="00F83EC1" w:rsidP="00F83EC1">
            <w:pPr>
              <w:rPr>
                <w:b/>
              </w:rPr>
            </w:pPr>
          </w:p>
          <w:p w:rsidR="00F83EC1" w:rsidRDefault="00F83EC1" w:rsidP="00F83EC1">
            <w:pPr>
              <w:rPr>
                <w:b/>
              </w:rPr>
            </w:pPr>
          </w:p>
          <w:p w:rsidR="00F83EC1" w:rsidRDefault="00F83EC1" w:rsidP="00F83EC1">
            <w:pPr>
              <w:rPr>
                <w:b/>
              </w:rPr>
            </w:pPr>
            <w:r>
              <w:rPr>
                <w:b/>
              </w:rPr>
              <w:t>MÅLSÄTTNING:</w:t>
            </w:r>
          </w:p>
          <w:p w:rsidR="00F83EC1" w:rsidRDefault="00B80CC5" w:rsidP="00F83EC1">
            <w:pPr>
              <w:rPr>
                <w:b/>
              </w:rPr>
            </w:pPr>
            <w:r>
              <w:t>A</w:t>
            </w:r>
            <w:r w:rsidRPr="0056136A">
              <w:t>tt patienten skall återfå optimal handfunktion, i syfte att återgå till vardagliga aktiviteter, efter trauma, operation, degenerativa förändringar eller annan handåkomma.</w:t>
            </w:r>
          </w:p>
          <w:p w:rsidR="00F83EC1" w:rsidRDefault="00F83EC1" w:rsidP="00F83EC1">
            <w:pPr>
              <w:rPr>
                <w:b/>
              </w:rPr>
            </w:pPr>
          </w:p>
          <w:p w:rsidR="00F83EC1" w:rsidRDefault="00F83EC1" w:rsidP="00F83EC1">
            <w:pPr>
              <w:rPr>
                <w:b/>
              </w:rPr>
            </w:pPr>
            <w:r>
              <w:rPr>
                <w:b/>
              </w:rPr>
              <w:t>RESTRIKTION:</w:t>
            </w:r>
          </w:p>
          <w:p w:rsidR="00F83EC1" w:rsidRDefault="00F83EC1" w:rsidP="00F83EC1">
            <w:pPr>
              <w:rPr>
                <w:b/>
              </w:rPr>
            </w:pPr>
          </w:p>
          <w:p w:rsidR="00F83EC1" w:rsidRDefault="00F83EC1" w:rsidP="00F83EC1">
            <w:pPr>
              <w:rPr>
                <w:b/>
              </w:rPr>
            </w:pPr>
          </w:p>
          <w:p w:rsidR="00F83EC1" w:rsidRDefault="00F83EC1" w:rsidP="00F83EC1"/>
        </w:tc>
      </w:tr>
    </w:tbl>
    <w:p w:rsidR="00F83EC1" w:rsidRDefault="00F83EC1" w:rsidP="00F83EC1"/>
    <w:tbl>
      <w:tblPr>
        <w:tblStyle w:val="Tabellrutnt"/>
        <w:tblW w:w="0" w:type="auto"/>
        <w:tblLook w:val="01E0"/>
      </w:tblPr>
      <w:tblGrid>
        <w:gridCol w:w="9880"/>
      </w:tblGrid>
      <w:tr w:rsidR="00F83EC1">
        <w:tc>
          <w:tcPr>
            <w:tcW w:w="9880" w:type="dxa"/>
          </w:tcPr>
          <w:p w:rsidR="00F83EC1" w:rsidRDefault="00F83EC1" w:rsidP="00F83EC1"/>
          <w:p w:rsidR="00F83EC1" w:rsidRDefault="00F83EC1" w:rsidP="00F83EC1">
            <w:pPr>
              <w:rPr>
                <w:b/>
              </w:rPr>
            </w:pPr>
            <w:r>
              <w:rPr>
                <w:b/>
              </w:rPr>
              <w:t>BEDÖMNING</w:t>
            </w:r>
          </w:p>
          <w:p w:rsidR="00B80CC5" w:rsidRDefault="00B80CC5" w:rsidP="00F83EC1">
            <w:pPr>
              <w:rPr>
                <w:b/>
              </w:rPr>
            </w:pPr>
          </w:p>
          <w:p w:rsidR="00B80CC5" w:rsidRPr="00B80CC5" w:rsidRDefault="00B80CC5" w:rsidP="00F83EC1">
            <w:pPr>
              <w:rPr>
                <w:b/>
                <w:u w:val="single"/>
              </w:rPr>
            </w:pPr>
            <w:r w:rsidRPr="00B80CC5">
              <w:rPr>
                <w:b/>
                <w:u w:val="single"/>
              </w:rPr>
              <w:t xml:space="preserve">Bedömningsinstrument </w:t>
            </w:r>
          </w:p>
          <w:p w:rsidR="00B80CC5" w:rsidRDefault="007B66F4" w:rsidP="00DA4B61">
            <w:r>
              <w:rPr>
                <w:b/>
              </w:rPr>
              <w:t>Aktivitetsförmåga</w:t>
            </w:r>
            <w:r w:rsidR="00B80CC5">
              <w:t xml:space="preserve"> </w:t>
            </w:r>
          </w:p>
          <w:p w:rsidR="007B66F4" w:rsidRDefault="00B80CC5" w:rsidP="00DA4B61">
            <w:r>
              <w:t xml:space="preserve">   Aktivitetsförmåga kan </w:t>
            </w:r>
            <w:proofErr w:type="spellStart"/>
            <w:r>
              <w:t>bl</w:t>
            </w:r>
            <w:proofErr w:type="spellEnd"/>
            <w:r>
              <w:t xml:space="preserve"> a bedömas genom DASH, </w:t>
            </w:r>
            <w:proofErr w:type="spellStart"/>
            <w:r>
              <w:t>Disabilities</w:t>
            </w:r>
            <w:proofErr w:type="spellEnd"/>
            <w:r>
              <w:t xml:space="preserve"> of the arm, </w:t>
            </w:r>
            <w:proofErr w:type="spellStart"/>
            <w:r>
              <w:t>shoulder</w:t>
            </w:r>
            <w:proofErr w:type="spellEnd"/>
            <w:r>
              <w:t xml:space="preserve"> </w:t>
            </w:r>
            <w:r w:rsidRPr="00B80CC5">
              <w:t>a</w:t>
            </w:r>
            <w:r w:rsidR="00DA4B61">
              <w:t xml:space="preserve">nd hand </w:t>
            </w:r>
            <w:proofErr w:type="spellStart"/>
            <w:r w:rsidR="00DA4B61">
              <w:t>outcome-</w:t>
            </w:r>
            <w:proofErr w:type="spellEnd"/>
            <w:r w:rsidR="00DA4B61">
              <w:t xml:space="preserve"> instrument </w:t>
            </w:r>
            <w:r w:rsidRPr="00B80CC5">
              <w:t>(</w:t>
            </w:r>
            <w:r w:rsidR="00DA4B61">
              <w:t>2</w:t>
            </w:r>
            <w:r w:rsidRPr="007E690D">
              <w:t>)</w:t>
            </w:r>
            <w:r>
              <w:t xml:space="preserve">. Vidare kan ADL- instrument </w:t>
            </w:r>
            <w:proofErr w:type="spellStart"/>
            <w:proofErr w:type="gramStart"/>
            <w:r>
              <w:t>tex</w:t>
            </w:r>
            <w:proofErr w:type="spellEnd"/>
            <w:proofErr w:type="gramEnd"/>
            <w:r>
              <w:t xml:space="preserve"> ADL taxonomin användas.</w:t>
            </w:r>
          </w:p>
          <w:p w:rsidR="00B80CC5" w:rsidRPr="00B80CC5" w:rsidRDefault="00B80CC5" w:rsidP="00DA4B61"/>
          <w:p w:rsidR="007B66F4" w:rsidRDefault="007B66F4" w:rsidP="00EC7EDB">
            <w:pPr>
              <w:rPr>
                <w:b/>
              </w:rPr>
            </w:pPr>
            <w:r>
              <w:rPr>
                <w:b/>
              </w:rPr>
              <w:t>Funktionsförmåga</w:t>
            </w:r>
          </w:p>
          <w:p w:rsidR="00B80CC5" w:rsidRDefault="00B80CC5" w:rsidP="00851164">
            <w:pPr>
              <w:numPr>
                <w:ilvl w:val="0"/>
                <w:numId w:val="10"/>
              </w:numPr>
            </w:pPr>
            <w:r>
              <w:t>Ödem</w:t>
            </w:r>
            <w:r>
              <w:tab/>
            </w:r>
            <w:r>
              <w:tab/>
            </w:r>
          </w:p>
          <w:p w:rsidR="00B80CC5" w:rsidRDefault="00B80CC5" w:rsidP="00851164">
            <w:pPr>
              <w:numPr>
                <w:ilvl w:val="0"/>
                <w:numId w:val="11"/>
              </w:numPr>
            </w:pPr>
            <w:r>
              <w:t>Känsel</w:t>
            </w:r>
          </w:p>
          <w:p w:rsidR="00B80CC5" w:rsidRDefault="00B80CC5" w:rsidP="00DA4B61">
            <w:r>
              <w:t xml:space="preserve">   Bedöms med </w:t>
            </w:r>
            <w:proofErr w:type="spellStart"/>
            <w:r w:rsidR="00DA4B61">
              <w:t>Semmes-</w:t>
            </w:r>
            <w:proofErr w:type="spellEnd"/>
            <w:r w:rsidR="00DA4B61">
              <w:t xml:space="preserve"> </w:t>
            </w:r>
            <w:proofErr w:type="spellStart"/>
            <w:r w:rsidR="00DA4B61">
              <w:t>Weinstein</w:t>
            </w:r>
            <w:proofErr w:type="spellEnd"/>
            <w:r w:rsidR="00DA4B61">
              <w:t xml:space="preserve"> </w:t>
            </w:r>
            <w:proofErr w:type="spellStart"/>
            <w:r w:rsidR="00DA4B61">
              <w:t>monofilament</w:t>
            </w:r>
            <w:proofErr w:type="spellEnd"/>
            <w:r w:rsidR="00DA4B61">
              <w:t xml:space="preserve"> </w:t>
            </w:r>
            <w:r>
              <w:t>(</w:t>
            </w:r>
            <w:r w:rsidR="00DA4B61">
              <w:t>3</w:t>
            </w:r>
            <w:r>
              <w:t>)</w:t>
            </w:r>
            <w:r w:rsidR="00DA4B61">
              <w:t>.</w:t>
            </w:r>
            <w:r>
              <w:tab/>
            </w:r>
          </w:p>
          <w:p w:rsidR="00B80CC5" w:rsidRDefault="00B80CC5" w:rsidP="00851164">
            <w:pPr>
              <w:numPr>
                <w:ilvl w:val="0"/>
                <w:numId w:val="12"/>
              </w:numPr>
            </w:pPr>
            <w:r>
              <w:t>ROM Hand/underarm</w:t>
            </w:r>
            <w:r w:rsidR="00CF0991">
              <w:t xml:space="preserve"> </w:t>
            </w:r>
            <w:r>
              <w:t xml:space="preserve">mäts med </w:t>
            </w:r>
            <w:proofErr w:type="spellStart"/>
            <w:r>
              <w:t>goniometer</w:t>
            </w:r>
            <w:proofErr w:type="spellEnd"/>
            <w:r>
              <w:t xml:space="preserve"> enligt mätmetoder i Clinical </w:t>
            </w:r>
            <w:proofErr w:type="spellStart"/>
            <w:r>
              <w:t>Assessment</w:t>
            </w:r>
            <w:proofErr w:type="spellEnd"/>
            <w:r w:rsidR="00CF0991">
              <w:t xml:space="preserve"> </w:t>
            </w:r>
            <w:proofErr w:type="spellStart"/>
            <w:r w:rsidR="00DA4B61">
              <w:t>Recomendations</w:t>
            </w:r>
            <w:proofErr w:type="spellEnd"/>
            <w:r w:rsidR="00DA4B61">
              <w:t xml:space="preserve"> </w:t>
            </w:r>
            <w:r>
              <w:t>(</w:t>
            </w:r>
            <w:r w:rsidR="00DA4B61">
              <w:t>3</w:t>
            </w:r>
            <w:r>
              <w:t>)</w:t>
            </w:r>
            <w:r>
              <w:tab/>
            </w:r>
            <w:r>
              <w:tab/>
            </w:r>
          </w:p>
          <w:p w:rsidR="00B80CC5" w:rsidRPr="00F14AF3" w:rsidRDefault="00CF0991" w:rsidP="00851164">
            <w:pPr>
              <w:numPr>
                <w:ilvl w:val="0"/>
                <w:numId w:val="13"/>
              </w:numPr>
            </w:pPr>
            <w:r>
              <w:t>Handstyrka</w:t>
            </w:r>
            <w:r w:rsidR="00DA4B61">
              <w:t xml:space="preserve"> mäts med </w:t>
            </w:r>
            <w:proofErr w:type="spellStart"/>
            <w:r w:rsidR="00DA4B61">
              <w:t>grippit</w:t>
            </w:r>
            <w:proofErr w:type="spellEnd"/>
            <w:r w:rsidR="00DA4B61">
              <w:t xml:space="preserve"> </w:t>
            </w:r>
            <w:r w:rsidR="00B80CC5">
              <w:t>(</w:t>
            </w:r>
            <w:r w:rsidR="00DA4B61">
              <w:t>4</w:t>
            </w:r>
            <w:r w:rsidR="00B80CC5">
              <w:t>)</w:t>
            </w:r>
            <w:r w:rsidR="00DA4B61">
              <w:t>.</w:t>
            </w:r>
          </w:p>
          <w:p w:rsidR="00B80CC5" w:rsidRPr="007E690D" w:rsidRDefault="00CF0991" w:rsidP="00851164">
            <w:pPr>
              <w:numPr>
                <w:ilvl w:val="0"/>
                <w:numId w:val="14"/>
              </w:numPr>
            </w:pPr>
            <w:r>
              <w:t>Smärta</w:t>
            </w:r>
            <w:r w:rsidR="00B80CC5">
              <w:t xml:space="preserve"> mäts med en VAS skala, visuel</w:t>
            </w:r>
            <w:r w:rsidR="00DA4B61">
              <w:t>l analog skala</w:t>
            </w:r>
            <w:r>
              <w:t xml:space="preserve"> (</w:t>
            </w:r>
            <w:r w:rsidR="00DA4B61">
              <w:t>3</w:t>
            </w:r>
            <w:r>
              <w:t>)</w:t>
            </w:r>
            <w:r w:rsidR="00DA4B61">
              <w:t>.</w:t>
            </w:r>
          </w:p>
          <w:p w:rsidR="00F83EC1" w:rsidRDefault="00F83EC1" w:rsidP="00F83EC1"/>
          <w:p w:rsidR="00F83EC1" w:rsidRDefault="00F83EC1" w:rsidP="00F83EC1"/>
        </w:tc>
      </w:tr>
    </w:tbl>
    <w:p w:rsidR="00F83EC1" w:rsidRDefault="00F83EC1" w:rsidP="00F83EC1"/>
    <w:tbl>
      <w:tblPr>
        <w:tblStyle w:val="Tabellrutnt"/>
        <w:tblW w:w="0" w:type="auto"/>
        <w:tblLook w:val="01E0"/>
      </w:tblPr>
      <w:tblGrid>
        <w:gridCol w:w="9880"/>
      </w:tblGrid>
      <w:tr w:rsidR="00F83EC1">
        <w:tc>
          <w:tcPr>
            <w:tcW w:w="9880" w:type="dxa"/>
          </w:tcPr>
          <w:p w:rsidR="005D4FD5" w:rsidRDefault="00F83EC1" w:rsidP="00730F55">
            <w:pPr>
              <w:rPr>
                <w:b/>
              </w:rPr>
            </w:pPr>
            <w:r>
              <w:br/>
            </w:r>
            <w:r w:rsidRPr="00DA4B61">
              <w:rPr>
                <w:b/>
              </w:rPr>
              <w:t>INTERVENTIONER</w:t>
            </w:r>
          </w:p>
          <w:p w:rsidR="00503ACB" w:rsidRPr="00DA4B61" w:rsidRDefault="00503ACB" w:rsidP="00730F55">
            <w:pPr>
              <w:rPr>
                <w:b/>
              </w:rPr>
            </w:pPr>
          </w:p>
          <w:p w:rsidR="005D4FD5" w:rsidRDefault="00730F55" w:rsidP="00730F55">
            <w:pPr>
              <w:rPr>
                <w:b/>
                <w:u w:val="single"/>
              </w:rPr>
            </w:pPr>
            <w:proofErr w:type="spellStart"/>
            <w:r w:rsidRPr="00730F55">
              <w:rPr>
                <w:b/>
                <w:u w:val="single"/>
              </w:rPr>
              <w:t>Preoperativ</w:t>
            </w:r>
            <w:proofErr w:type="spellEnd"/>
            <w:r w:rsidRPr="00730F55">
              <w:rPr>
                <w:b/>
                <w:u w:val="single"/>
              </w:rPr>
              <w:t xml:space="preserve"> </w:t>
            </w:r>
          </w:p>
          <w:p w:rsidR="00503ACB" w:rsidRPr="00730F55" w:rsidRDefault="00503ACB" w:rsidP="00730F55">
            <w:pPr>
              <w:rPr>
                <w:b/>
                <w:u w:val="single"/>
              </w:rPr>
            </w:pPr>
          </w:p>
          <w:p w:rsidR="00CF0991" w:rsidRPr="00215788" w:rsidRDefault="00CF0991" w:rsidP="00730F55">
            <w:pPr>
              <w:rPr>
                <w:b/>
              </w:rPr>
            </w:pPr>
            <w:proofErr w:type="spellStart"/>
            <w:r w:rsidRPr="00215788">
              <w:rPr>
                <w:b/>
              </w:rPr>
              <w:t>Ortosbehandling</w:t>
            </w:r>
            <w:proofErr w:type="spellEnd"/>
            <w:r w:rsidRPr="00215788">
              <w:rPr>
                <w:b/>
              </w:rPr>
              <w:t>:</w:t>
            </w:r>
          </w:p>
          <w:p w:rsidR="00CF0991" w:rsidRDefault="00CF0991" w:rsidP="00730F55">
            <w:r>
              <w:t xml:space="preserve">Patienten erhåller en statisk semicirkulär </w:t>
            </w:r>
            <w:proofErr w:type="spellStart"/>
            <w:r>
              <w:t>ortos</w:t>
            </w:r>
            <w:proofErr w:type="spellEnd"/>
            <w:r>
              <w:t xml:space="preserve"> som fixerar CMC I, MCP I och handleden i ett funktionellt lä</w:t>
            </w:r>
            <w:r w:rsidR="00503ACB">
              <w:t xml:space="preserve">ge. </w:t>
            </w:r>
            <w:proofErr w:type="spellStart"/>
            <w:r>
              <w:t>Ortosen</w:t>
            </w:r>
            <w:proofErr w:type="spellEnd"/>
            <w:r>
              <w:t xml:space="preserve"> används dygnet om i 3 veckor el</w:t>
            </w:r>
            <w:r w:rsidR="00EC7EDB">
              <w:t>ler</w:t>
            </w:r>
            <w:r>
              <w:t xml:space="preserve"> tills besvären har avtagit.</w:t>
            </w:r>
          </w:p>
          <w:p w:rsidR="00CF0991" w:rsidRDefault="00CF0991" w:rsidP="00730F55">
            <w:proofErr w:type="spellStart"/>
            <w:r>
              <w:t>Ortosen</w:t>
            </w:r>
            <w:proofErr w:type="spellEnd"/>
            <w:r>
              <w:t xml:space="preserve"> skall dagligen tas av för uttag av </w:t>
            </w:r>
            <w:r w:rsidRPr="00EC7EDB">
              <w:rPr>
                <w:b/>
                <w:i/>
              </w:rPr>
              <w:t>smärtfri</w:t>
            </w:r>
            <w:r w:rsidR="005E68C7">
              <w:t xml:space="preserve"> rörlighet i tumme och </w:t>
            </w:r>
            <w:r>
              <w:t>handled (dock</w:t>
            </w:r>
            <w:r w:rsidR="00DA4B61">
              <w:t xml:space="preserve"> </w:t>
            </w:r>
            <w:proofErr w:type="gramStart"/>
            <w:r w:rsidR="00DA4B61">
              <w:t>ej</w:t>
            </w:r>
            <w:proofErr w:type="gramEnd"/>
            <w:r w:rsidR="00DA4B61">
              <w:t xml:space="preserve"> träning) samt hygienskötsel </w:t>
            </w:r>
            <w:r>
              <w:t>(</w:t>
            </w:r>
            <w:r w:rsidR="00DA4B61">
              <w:t>5</w:t>
            </w:r>
            <w:r>
              <w:t>)</w:t>
            </w:r>
            <w:r w:rsidR="00DA4B61">
              <w:t>.</w:t>
            </w:r>
          </w:p>
          <w:p w:rsidR="00CF0991" w:rsidRDefault="00CF0991" w:rsidP="00730F55"/>
          <w:p w:rsidR="00CF0991" w:rsidRDefault="00CF0991" w:rsidP="00730F55">
            <w:pPr>
              <w:rPr>
                <w:b/>
              </w:rPr>
            </w:pPr>
            <w:r>
              <w:rPr>
                <w:b/>
              </w:rPr>
              <w:lastRenderedPageBreak/>
              <w:t>Ergonomiska råd</w:t>
            </w:r>
          </w:p>
          <w:p w:rsidR="00CF0991" w:rsidRDefault="00CF0991" w:rsidP="00730F55">
            <w:r>
              <w:t>Informera patienten om ergonomi kring smärta och handledsrörelser</w:t>
            </w:r>
            <w:r w:rsidR="00EC7EDB">
              <w:t xml:space="preserve">. </w:t>
            </w:r>
            <w:r>
              <w:t xml:space="preserve">Om orsaken till Mb de </w:t>
            </w:r>
            <w:proofErr w:type="spellStart"/>
            <w:r>
              <w:t>Quervain</w:t>
            </w:r>
            <w:proofErr w:type="spellEnd"/>
            <w:r>
              <w:t xml:space="preserve"> är arbetsrelaterade bör en analys av arbetsmetoder ske och patienten göras uppmärksam på vilka rörelser som utlöser besvären. Efter </w:t>
            </w:r>
            <w:r w:rsidR="00DA4B61">
              <w:t>detta diskuteras</w:t>
            </w:r>
            <w:r>
              <w:t xml:space="preserve"> förändring av arbetsmetoder b</w:t>
            </w:r>
            <w:r w:rsidR="00DA4B61">
              <w:t xml:space="preserve">åde </w:t>
            </w:r>
            <w:proofErr w:type="gramStart"/>
            <w:r w:rsidR="00DA4B61">
              <w:t>i</w:t>
            </w:r>
            <w:proofErr w:type="gramEnd"/>
            <w:r w:rsidR="00DA4B61">
              <w:t xml:space="preserve"> hemmet, arbete och fritid </w:t>
            </w:r>
            <w:r>
              <w:t>(</w:t>
            </w:r>
            <w:r w:rsidR="00DA4B61">
              <w:t>5</w:t>
            </w:r>
            <w:r>
              <w:t>)</w:t>
            </w:r>
            <w:r w:rsidR="00DA4B61">
              <w:t>.</w:t>
            </w:r>
          </w:p>
          <w:p w:rsidR="00CF0991" w:rsidRDefault="00CF0991" w:rsidP="00730F55"/>
          <w:p w:rsidR="00CF0991" w:rsidRPr="002B0AE7" w:rsidRDefault="00CF0991" w:rsidP="00730F55">
            <w:pPr>
              <w:rPr>
                <w:b/>
              </w:rPr>
            </w:pPr>
            <w:r>
              <w:rPr>
                <w:b/>
              </w:rPr>
              <w:t>Tekniska hjälpmedel</w:t>
            </w:r>
          </w:p>
          <w:p w:rsidR="00CF0991" w:rsidRDefault="00CF0991" w:rsidP="00730F55">
            <w:r>
              <w:t xml:space="preserve">Patienten bör rekommenderas hjälpmedel och verktyg som är skonsamma för handen. Verktyg ex v saxar där arbetet </w:t>
            </w:r>
            <w:proofErr w:type="spellStart"/>
            <w:r>
              <w:t>ffa</w:t>
            </w:r>
            <w:proofErr w:type="spellEnd"/>
            <w:r>
              <w:t xml:space="preserve"> sker m</w:t>
            </w:r>
            <w:r w:rsidR="00DA4B61">
              <w:t xml:space="preserve">ed hjälp av tummen bör bytas ut </w:t>
            </w:r>
            <w:r>
              <w:t>(</w:t>
            </w:r>
            <w:r w:rsidR="00DA4B61">
              <w:t>5</w:t>
            </w:r>
            <w:r>
              <w:t>)</w:t>
            </w:r>
            <w:r w:rsidR="00DA4B61">
              <w:t>.</w:t>
            </w:r>
          </w:p>
          <w:p w:rsidR="00CF0991" w:rsidRDefault="00CF0991" w:rsidP="00730F55"/>
          <w:p w:rsidR="00453E73" w:rsidRDefault="00453E73" w:rsidP="00730F55">
            <w:pPr>
              <w:rPr>
                <w:b/>
                <w:u w:val="single"/>
              </w:rPr>
            </w:pPr>
            <w:r w:rsidRPr="00453E73">
              <w:rPr>
                <w:b/>
                <w:u w:val="single"/>
              </w:rPr>
              <w:t xml:space="preserve">Postoperativ </w:t>
            </w:r>
          </w:p>
          <w:p w:rsidR="00851164" w:rsidRPr="00453E73" w:rsidRDefault="00851164" w:rsidP="00730F55">
            <w:pPr>
              <w:rPr>
                <w:b/>
                <w:u w:val="single"/>
              </w:rPr>
            </w:pPr>
          </w:p>
          <w:p w:rsidR="00CF0991" w:rsidRDefault="00CF0991" w:rsidP="00730F55">
            <w:pPr>
              <w:rPr>
                <w:b/>
              </w:rPr>
            </w:pPr>
            <w:r w:rsidRPr="00360DA2">
              <w:rPr>
                <w:b/>
              </w:rPr>
              <w:t>Ärrbehandling</w:t>
            </w:r>
            <w:r>
              <w:rPr>
                <w:b/>
              </w:rPr>
              <w:t>/desensibilisering</w:t>
            </w:r>
          </w:p>
          <w:p w:rsidR="00CF0991" w:rsidRDefault="00CF0991" w:rsidP="00730F55">
            <w:r>
              <w:t>Ärrb</w:t>
            </w:r>
            <w:r w:rsidR="001303CD">
              <w:t xml:space="preserve">ehandling sker </w:t>
            </w:r>
            <w:proofErr w:type="spellStart"/>
            <w:r w:rsidR="001303CD">
              <w:t>bl</w:t>
            </w:r>
            <w:proofErr w:type="spellEnd"/>
            <w:r w:rsidR="001303CD">
              <w:t xml:space="preserve"> a med </w:t>
            </w:r>
            <w:proofErr w:type="spellStart"/>
            <w:r w:rsidR="001303CD">
              <w:t>Mepiform</w:t>
            </w:r>
            <w:proofErr w:type="spellEnd"/>
            <w:r>
              <w:t xml:space="preserve"> som placeras på ärren. Vid </w:t>
            </w:r>
            <w:proofErr w:type="spellStart"/>
            <w:r>
              <w:t>keloida</w:t>
            </w:r>
            <w:proofErr w:type="spellEnd"/>
            <w:r>
              <w:t xml:space="preserve"> ärr behövs ibland</w:t>
            </w:r>
            <w:r w:rsidR="00EC7EDB">
              <w:t xml:space="preserve"> ett yttre tryck </w:t>
            </w:r>
            <w:r w:rsidRPr="00FB6E56">
              <w:t>(</w:t>
            </w:r>
            <w:r w:rsidR="00DA4B61">
              <w:t>6</w:t>
            </w:r>
            <w:r w:rsidRPr="00FB6E56">
              <w:t>)</w:t>
            </w:r>
            <w:r w:rsidR="00DA4B61">
              <w:t>.</w:t>
            </w:r>
            <w:r w:rsidRPr="00FB6E56">
              <w:t xml:space="preserve"> </w:t>
            </w:r>
            <w:r>
              <w:t>Om patienten är överkänslig i operationsärret skall härdning av ”</w:t>
            </w:r>
            <w:proofErr w:type="spellStart"/>
            <w:r>
              <w:t>drabbade”området</w:t>
            </w:r>
            <w:proofErr w:type="spellEnd"/>
            <w:r>
              <w:t xml:space="preserve"> ske. Härdningen bör ske minst 4 ggr/dag ca 10 min eller t</w:t>
            </w:r>
            <w:r w:rsidR="00DA4B61">
              <w:t>ill viss domningskänsla uppstår</w:t>
            </w:r>
            <w:r>
              <w:t xml:space="preserve"> (</w:t>
            </w:r>
            <w:r w:rsidR="00DA4B61">
              <w:t>5</w:t>
            </w:r>
            <w:r>
              <w:t>)</w:t>
            </w:r>
            <w:r w:rsidR="00DA4B61">
              <w:t>.</w:t>
            </w:r>
          </w:p>
          <w:p w:rsidR="00F83EC1" w:rsidRDefault="00F83EC1" w:rsidP="00730F55">
            <w:pPr>
              <w:rPr>
                <w:b/>
              </w:rPr>
            </w:pPr>
          </w:p>
          <w:p w:rsidR="00851164" w:rsidRDefault="00851164" w:rsidP="00730F55">
            <w:r w:rsidRPr="00EC7EDB">
              <w:t>Rörelseträning i syfte att öka rör</w:t>
            </w:r>
            <w:r w:rsidR="00EC7EDB">
              <w:t xml:space="preserve">lighet och motverka </w:t>
            </w:r>
            <w:proofErr w:type="spellStart"/>
            <w:r w:rsidR="00EC7EDB">
              <w:t>adherenser</w:t>
            </w:r>
            <w:proofErr w:type="spellEnd"/>
            <w:r w:rsidR="00EC7EDB">
              <w:t>.</w:t>
            </w:r>
          </w:p>
          <w:p w:rsidR="00EC7EDB" w:rsidRPr="00EC7EDB" w:rsidRDefault="00EC7EDB" w:rsidP="00730F55"/>
          <w:p w:rsidR="00851164" w:rsidRDefault="00851164" w:rsidP="00730F55">
            <w:proofErr w:type="spellStart"/>
            <w:r w:rsidRPr="00EC7EDB">
              <w:t>Ortos</w:t>
            </w:r>
            <w:proofErr w:type="spellEnd"/>
            <w:r w:rsidRPr="00EC7EDB">
              <w:t xml:space="preserve"> vid behov kan användas i avlastande och smärtlindrande syfte.</w:t>
            </w:r>
          </w:p>
          <w:p w:rsidR="00EC7EDB" w:rsidRDefault="00EC7EDB" w:rsidP="00730F55"/>
          <w:p w:rsidR="00EC7EDB" w:rsidRPr="00EC7EDB" w:rsidRDefault="00EC7EDB" w:rsidP="00730F55">
            <w:r>
              <w:t>Belastning enlig läkarens rekommendation.</w:t>
            </w:r>
          </w:p>
          <w:p w:rsidR="00F83EC1" w:rsidRDefault="00F83EC1" w:rsidP="00730F55"/>
        </w:tc>
      </w:tr>
    </w:tbl>
    <w:p w:rsidR="00F83EC1" w:rsidRDefault="00F83EC1" w:rsidP="00F83EC1"/>
    <w:tbl>
      <w:tblPr>
        <w:tblStyle w:val="Tabellrutnt"/>
        <w:tblW w:w="0" w:type="auto"/>
        <w:tblLook w:val="01E0"/>
      </w:tblPr>
      <w:tblGrid>
        <w:gridCol w:w="9880"/>
      </w:tblGrid>
      <w:tr w:rsidR="00F83EC1">
        <w:tc>
          <w:tcPr>
            <w:tcW w:w="9880" w:type="dxa"/>
          </w:tcPr>
          <w:p w:rsidR="00F83EC1" w:rsidRDefault="00F83EC1" w:rsidP="00F83EC1"/>
          <w:p w:rsidR="00F83EC1" w:rsidRDefault="00F83EC1" w:rsidP="00F83EC1">
            <w:pPr>
              <w:rPr>
                <w:b/>
              </w:rPr>
            </w:pPr>
            <w:r>
              <w:rPr>
                <w:b/>
              </w:rPr>
              <w:t>RESULTAT &amp; UTVÄRDERING</w:t>
            </w:r>
          </w:p>
          <w:p w:rsidR="00CF0991" w:rsidRPr="00771193" w:rsidRDefault="00CF0991" w:rsidP="00CF0991">
            <w:r>
              <w:t>Sker kontinuerlig under behandlingsperioden samt v</w:t>
            </w:r>
            <w:r w:rsidR="001303CD">
              <w:t xml:space="preserve">id sista behandlingstillfället. </w:t>
            </w:r>
            <w:r>
              <w:t>Utvärderingen sker enligt ovanstående bedömningsmetoder.</w:t>
            </w:r>
          </w:p>
          <w:p w:rsidR="00CA5281" w:rsidRDefault="00CA5281" w:rsidP="00F83EC1">
            <w:pPr>
              <w:rPr>
                <w:b/>
              </w:rPr>
            </w:pPr>
          </w:p>
          <w:p w:rsidR="00F83EC1" w:rsidRDefault="00F83EC1" w:rsidP="00A031B4"/>
        </w:tc>
      </w:tr>
    </w:tbl>
    <w:p w:rsidR="00F83EC1" w:rsidRDefault="00F83EC1" w:rsidP="00F83EC1"/>
    <w:tbl>
      <w:tblPr>
        <w:tblStyle w:val="Tabellrutnt"/>
        <w:tblW w:w="0" w:type="auto"/>
        <w:tblLook w:val="01E0"/>
      </w:tblPr>
      <w:tblGrid>
        <w:gridCol w:w="9880"/>
      </w:tblGrid>
      <w:tr w:rsidR="0082367C" w:rsidRPr="00BE6D94">
        <w:tc>
          <w:tcPr>
            <w:tcW w:w="9880" w:type="dxa"/>
          </w:tcPr>
          <w:p w:rsidR="0082367C" w:rsidRDefault="0082367C" w:rsidP="00F83EC1"/>
          <w:p w:rsidR="0082367C" w:rsidRDefault="0082367C" w:rsidP="00F83EC1">
            <w:pPr>
              <w:rPr>
                <w:b/>
              </w:rPr>
            </w:pPr>
            <w:r>
              <w:rPr>
                <w:b/>
              </w:rPr>
              <w:t>REFERENSER</w:t>
            </w:r>
          </w:p>
          <w:p w:rsidR="00DA4B61" w:rsidRPr="00DA4B61" w:rsidRDefault="00DA4B61" w:rsidP="004860B2">
            <w:pPr>
              <w:numPr>
                <w:ilvl w:val="0"/>
                <w:numId w:val="9"/>
              </w:numPr>
            </w:pPr>
            <w:r w:rsidRPr="00DA4B61">
              <w:t>Lundborg G, Handkirurgi, 1999</w:t>
            </w:r>
          </w:p>
          <w:p w:rsidR="00CF0991" w:rsidRPr="00DA4B61" w:rsidRDefault="00CF0991" w:rsidP="004860B2">
            <w:pPr>
              <w:numPr>
                <w:ilvl w:val="0"/>
                <w:numId w:val="9"/>
              </w:numPr>
              <w:rPr>
                <w:lang w:val="en-GB"/>
              </w:rPr>
            </w:pPr>
            <w:proofErr w:type="spellStart"/>
            <w:r w:rsidRPr="00DA4B61">
              <w:rPr>
                <w:lang w:val="en-GB"/>
              </w:rPr>
              <w:t>Atroshi</w:t>
            </w:r>
            <w:proofErr w:type="spellEnd"/>
            <w:r w:rsidRPr="00DA4B61">
              <w:rPr>
                <w:lang w:val="en-GB"/>
              </w:rPr>
              <w:t xml:space="preserve">, </w:t>
            </w:r>
            <w:smartTag w:uri="urn:schemas-microsoft-com:office:smarttags" w:element="place">
              <w:r w:rsidRPr="00DA4B61">
                <w:rPr>
                  <w:lang w:val="en-GB"/>
                </w:rPr>
                <w:t>I.</w:t>
              </w:r>
            </w:smartTag>
            <w:r w:rsidRPr="00DA4B61">
              <w:rPr>
                <w:lang w:val="en-GB"/>
              </w:rPr>
              <w:t xml:space="preserve">, </w:t>
            </w:r>
            <w:proofErr w:type="spellStart"/>
            <w:r w:rsidRPr="00DA4B61">
              <w:rPr>
                <w:lang w:val="en-GB"/>
              </w:rPr>
              <w:t>Gummesson</w:t>
            </w:r>
            <w:proofErr w:type="spellEnd"/>
            <w:r w:rsidRPr="00DA4B61">
              <w:rPr>
                <w:lang w:val="en-GB"/>
              </w:rPr>
              <w:t xml:space="preserve">, C., </w:t>
            </w:r>
            <w:proofErr w:type="spellStart"/>
            <w:proofErr w:type="gramStart"/>
            <w:r w:rsidRPr="00DA4B61">
              <w:rPr>
                <w:lang w:val="en-GB"/>
              </w:rPr>
              <w:t>Andersson</w:t>
            </w:r>
            <w:proofErr w:type="spellEnd"/>
            <w:r w:rsidRPr="00DA4B61">
              <w:rPr>
                <w:lang w:val="en-GB"/>
              </w:rPr>
              <w:t>.,</w:t>
            </w:r>
            <w:proofErr w:type="gramEnd"/>
            <w:r w:rsidRPr="00DA4B61">
              <w:rPr>
                <w:lang w:val="en-GB"/>
              </w:rPr>
              <w:t xml:space="preserve"> Da</w:t>
            </w:r>
            <w:r w:rsidRPr="004860B2">
              <w:rPr>
                <w:rStyle w:val="Rubrik3Char"/>
                <w:b w:val="0"/>
                <w:lang w:val="en-GB"/>
              </w:rPr>
              <w:t>h</w:t>
            </w:r>
            <w:r w:rsidRPr="00DA4B61">
              <w:rPr>
                <w:lang w:val="en-GB"/>
              </w:rPr>
              <w:t>lgren, E., &amp; Johansson, A (2000)</w:t>
            </w:r>
            <w:r w:rsidR="00DA4B61" w:rsidRPr="00DA4B61">
              <w:rPr>
                <w:lang w:val="en-GB"/>
              </w:rPr>
              <w:t xml:space="preserve">. </w:t>
            </w:r>
            <w:r>
              <w:rPr>
                <w:lang w:val="en-GB"/>
              </w:rPr>
              <w:t>The disability of the arm, shoulder and hand (DASH) outcome questionnaire.</w:t>
            </w:r>
            <w:r w:rsidR="00DA4B61">
              <w:rPr>
                <w:lang w:val="en-GB"/>
              </w:rPr>
              <w:t xml:space="preserve"> </w:t>
            </w:r>
            <w:r>
              <w:rPr>
                <w:lang w:val="en-GB"/>
              </w:rPr>
              <w:t>Reliability and validity if the Swedish version evaluated in 176 patients.</w:t>
            </w:r>
            <w:r w:rsidR="00DA4B61">
              <w:rPr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Acta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Orthopaedica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Scandinavica</w:t>
            </w:r>
            <w:proofErr w:type="spellEnd"/>
            <w:r>
              <w:rPr>
                <w:i/>
                <w:lang w:val="en-GB"/>
              </w:rPr>
              <w:t xml:space="preserve"> 71, (6), </w:t>
            </w:r>
            <w:r>
              <w:rPr>
                <w:lang w:val="en-GB"/>
              </w:rPr>
              <w:t>613-618.</w:t>
            </w:r>
          </w:p>
          <w:p w:rsidR="00CF0991" w:rsidRDefault="00CF0991" w:rsidP="004860B2">
            <w:pPr>
              <w:numPr>
                <w:ilvl w:val="0"/>
                <w:numId w:val="9"/>
              </w:numPr>
              <w:rPr>
                <w:lang w:val="en-GB"/>
              </w:rPr>
            </w:pPr>
            <w:r w:rsidRPr="009E1475">
              <w:rPr>
                <w:lang w:val="en-GB"/>
              </w:rPr>
              <w:t>Casanova, J.S (Eds.).</w:t>
            </w:r>
            <w:r>
              <w:rPr>
                <w:lang w:val="en-GB"/>
              </w:rPr>
              <w:t xml:space="preserve"> (1992). </w:t>
            </w:r>
            <w:r w:rsidRPr="009E1475">
              <w:rPr>
                <w:i/>
                <w:lang w:val="en-GB"/>
              </w:rPr>
              <w:t>Clinical assessment Recommendations</w:t>
            </w:r>
            <w:r w:rsidR="00DA4B61">
              <w:rPr>
                <w:lang w:val="en-GB"/>
              </w:rPr>
              <w:t xml:space="preserve"> (2 </w:t>
            </w:r>
            <w:proofErr w:type="spellStart"/>
            <w:r w:rsidR="00DA4B61">
              <w:rPr>
                <w:lang w:val="en-GB"/>
              </w:rPr>
              <w:t>nd</w:t>
            </w:r>
            <w:proofErr w:type="spellEnd"/>
            <w:r w:rsidR="00DA4B61">
              <w:rPr>
                <w:lang w:val="en-GB"/>
              </w:rPr>
              <w:t xml:space="preserve"> </w:t>
            </w:r>
            <w:proofErr w:type="gramStart"/>
            <w:r w:rsidR="00DA4B61">
              <w:rPr>
                <w:lang w:val="en-GB"/>
              </w:rPr>
              <w:t>ed</w:t>
            </w:r>
            <w:proofErr w:type="gramEnd"/>
            <w:r w:rsidR="00DA4B61">
              <w:rPr>
                <w:lang w:val="en-GB"/>
              </w:rPr>
              <w:t xml:space="preserve">.).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lang w:val="en-GB"/>
                  </w:rPr>
                  <w:t>Chicago</w:t>
                </w:r>
              </w:smartTag>
            </w:smartTag>
            <w:r>
              <w:rPr>
                <w:lang w:val="en-GB"/>
              </w:rPr>
              <w:t>: American Society of Hand Therapists.</w:t>
            </w:r>
          </w:p>
          <w:p w:rsidR="00CF0991" w:rsidRPr="00DA4B61" w:rsidRDefault="00CF0991" w:rsidP="004860B2">
            <w:pPr>
              <w:numPr>
                <w:ilvl w:val="0"/>
                <w:numId w:val="9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Nordenskiöld</w:t>
            </w:r>
            <w:proofErr w:type="spellEnd"/>
            <w:r>
              <w:rPr>
                <w:lang w:val="en-GB"/>
              </w:rPr>
              <w:t xml:space="preserve"> UM, </w:t>
            </w:r>
            <w:proofErr w:type="spellStart"/>
            <w:r>
              <w:rPr>
                <w:lang w:val="en-GB"/>
              </w:rPr>
              <w:t>Grimby</w:t>
            </w:r>
            <w:proofErr w:type="spellEnd"/>
            <w:r>
              <w:rPr>
                <w:lang w:val="en-GB"/>
              </w:rPr>
              <w:t xml:space="preserve"> G. </w:t>
            </w:r>
            <w:r w:rsidRPr="00B933AC">
              <w:rPr>
                <w:i/>
                <w:lang w:val="en-GB"/>
              </w:rPr>
              <w:t xml:space="preserve">Grip force in patients with rheumatoid arthritis and fibromyalgia and in healthy subjects: a study with the </w:t>
            </w:r>
            <w:proofErr w:type="spellStart"/>
            <w:r w:rsidRPr="00B933AC">
              <w:rPr>
                <w:i/>
                <w:lang w:val="en-GB"/>
              </w:rPr>
              <w:t>Grippit</w:t>
            </w:r>
            <w:proofErr w:type="spellEnd"/>
            <w:r w:rsidRPr="00B933AC">
              <w:rPr>
                <w:i/>
                <w:lang w:val="en-GB"/>
              </w:rPr>
              <w:t xml:space="preserve"> instrument</w:t>
            </w:r>
            <w:r>
              <w:rPr>
                <w:lang w:val="en-GB"/>
              </w:rPr>
              <w:t xml:space="preserve">. </w:t>
            </w:r>
            <w:proofErr w:type="spellStart"/>
            <w:r w:rsidRPr="009E20BC">
              <w:t>Scand</w:t>
            </w:r>
            <w:proofErr w:type="spellEnd"/>
            <w:r w:rsidRPr="009E20BC">
              <w:t xml:space="preserve"> J </w:t>
            </w:r>
            <w:proofErr w:type="spellStart"/>
            <w:r w:rsidRPr="009E20BC">
              <w:t>Rheumatol</w:t>
            </w:r>
            <w:proofErr w:type="spellEnd"/>
            <w:r w:rsidRPr="009E20BC">
              <w:t xml:space="preserve"> 1993;22:14-19</w:t>
            </w:r>
            <w:r w:rsidR="00DA4B61">
              <w:t>.</w:t>
            </w:r>
          </w:p>
          <w:p w:rsidR="00CF0991" w:rsidRPr="004860B2" w:rsidRDefault="00CF0991" w:rsidP="004860B2">
            <w:pPr>
              <w:numPr>
                <w:ilvl w:val="0"/>
                <w:numId w:val="9"/>
              </w:numPr>
              <w:rPr>
                <w:i/>
                <w:lang w:val="en-GB"/>
              </w:rPr>
            </w:pPr>
            <w:proofErr w:type="spellStart"/>
            <w:r w:rsidRPr="00BE6D94">
              <w:t>Runnquist</w:t>
            </w:r>
            <w:proofErr w:type="spellEnd"/>
            <w:r w:rsidRPr="00BE6D94">
              <w:t xml:space="preserve"> k., Cederlund, R., &amp; </w:t>
            </w:r>
            <w:proofErr w:type="spellStart"/>
            <w:r w:rsidRPr="00BE6D94">
              <w:t>Sollerman</w:t>
            </w:r>
            <w:proofErr w:type="spellEnd"/>
            <w:r w:rsidRPr="00BE6D94">
              <w:t xml:space="preserve"> C. (1992) </w:t>
            </w:r>
            <w:r w:rsidRPr="00BE6D94">
              <w:rPr>
                <w:i/>
              </w:rPr>
              <w:t>Handens rehabilitering, volym 2</w:t>
            </w:r>
            <w:r w:rsidR="004860B2" w:rsidRPr="00BE6D94">
              <w:rPr>
                <w:i/>
              </w:rPr>
              <w:t xml:space="preserve">. </w:t>
            </w:r>
            <w:smartTag w:uri="urn:schemas-microsoft-com:office:smarttags" w:element="City">
              <w:smartTag w:uri="urn:schemas-microsoft-com:office:smarttags" w:element="place">
                <w:r w:rsidRPr="004860B2">
                  <w:rPr>
                    <w:lang w:val="en-GB"/>
                  </w:rPr>
                  <w:t>Lund</w:t>
                </w:r>
              </w:smartTag>
            </w:smartTag>
            <w:r w:rsidRPr="004860B2">
              <w:rPr>
                <w:lang w:val="en-GB"/>
              </w:rPr>
              <w:t xml:space="preserve">: </w:t>
            </w:r>
            <w:proofErr w:type="spellStart"/>
            <w:r w:rsidRPr="004860B2">
              <w:rPr>
                <w:lang w:val="en-GB"/>
              </w:rPr>
              <w:t>Studentlitteratur</w:t>
            </w:r>
            <w:proofErr w:type="spellEnd"/>
          </w:p>
          <w:p w:rsidR="00CF0991" w:rsidRPr="009E1475" w:rsidRDefault="00CF0991" w:rsidP="004860B2">
            <w:pPr>
              <w:numPr>
                <w:ilvl w:val="0"/>
                <w:numId w:val="9"/>
              </w:numPr>
              <w:rPr>
                <w:lang w:val="en-GB"/>
              </w:rPr>
            </w:pPr>
            <w:r w:rsidRPr="009E1475">
              <w:rPr>
                <w:lang w:val="en-GB"/>
              </w:rPr>
              <w:t>Rehabilitation of the hand: surgery and therapy</w:t>
            </w:r>
            <w:r>
              <w:rPr>
                <w:lang w:val="en-GB"/>
              </w:rPr>
              <w:t>, 1995</w:t>
            </w:r>
            <w:r w:rsidR="00DA4B61">
              <w:rPr>
                <w:lang w:val="en-GB"/>
              </w:rPr>
              <w:t>.</w:t>
            </w:r>
          </w:p>
          <w:p w:rsidR="00CF0991" w:rsidRDefault="00CF0991" w:rsidP="00CF0991">
            <w:pPr>
              <w:jc w:val="both"/>
              <w:rPr>
                <w:lang w:val="en-GB"/>
              </w:rPr>
            </w:pPr>
          </w:p>
          <w:p w:rsidR="0082367C" w:rsidRPr="00CA5281" w:rsidRDefault="0082367C" w:rsidP="00F83EC1">
            <w:pPr>
              <w:rPr>
                <w:lang w:val="en-GB"/>
              </w:rPr>
            </w:pPr>
          </w:p>
        </w:tc>
      </w:tr>
    </w:tbl>
    <w:p w:rsidR="0082367C" w:rsidRPr="00CA5281" w:rsidRDefault="0082367C" w:rsidP="00F83EC1">
      <w:pPr>
        <w:rPr>
          <w:lang w:val="en-GB"/>
        </w:rPr>
      </w:pPr>
    </w:p>
    <w:sectPr w:rsidR="0082367C" w:rsidRPr="00CA5281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565" w:rsidRDefault="00FB3565" w:rsidP="006110E2">
      <w:r>
        <w:separator/>
      </w:r>
    </w:p>
  </w:endnote>
  <w:endnote w:type="continuationSeparator" w:id="0">
    <w:p w:rsidR="00FB3565" w:rsidRDefault="00FB3565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565" w:rsidRDefault="00FB3565" w:rsidP="006110E2">
      <w:r>
        <w:separator/>
      </w:r>
    </w:p>
  </w:footnote>
  <w:footnote w:type="continuationSeparator" w:id="0">
    <w:p w:rsidR="00FB3565" w:rsidRDefault="00FB3565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6A753E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103C31">
      <w:rPr>
        <w:noProof/>
        <w:sz w:val="16"/>
        <w:szCs w:val="16"/>
      </w:rPr>
      <w:t>Mall riktlinje.doc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E6D94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BE6D94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E16089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134"/>
    <w:multiLevelType w:val="hybridMultilevel"/>
    <w:tmpl w:val="87A08AD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275"/>
    <w:multiLevelType w:val="hybridMultilevel"/>
    <w:tmpl w:val="AD4A6E34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E36CE"/>
    <w:multiLevelType w:val="hybridMultilevel"/>
    <w:tmpl w:val="C0C622B0"/>
    <w:lvl w:ilvl="0" w:tplc="68B45AF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C0163"/>
    <w:multiLevelType w:val="hybridMultilevel"/>
    <w:tmpl w:val="FF749164"/>
    <w:lvl w:ilvl="0" w:tplc="EE8ABFE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3742FD"/>
    <w:multiLevelType w:val="hybridMultilevel"/>
    <w:tmpl w:val="D21E45F4"/>
    <w:lvl w:ilvl="0" w:tplc="1CCAFBA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E666C6"/>
    <w:multiLevelType w:val="hybridMultilevel"/>
    <w:tmpl w:val="E994515A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46E107B"/>
    <w:multiLevelType w:val="hybridMultilevel"/>
    <w:tmpl w:val="E47631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9B39B9"/>
    <w:multiLevelType w:val="hybridMultilevel"/>
    <w:tmpl w:val="D3C016F2"/>
    <w:lvl w:ilvl="0" w:tplc="5B44D08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3353581"/>
    <w:multiLevelType w:val="hybridMultilevel"/>
    <w:tmpl w:val="A9162B2E"/>
    <w:lvl w:ilvl="0" w:tplc="5816999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BC771A"/>
    <w:multiLevelType w:val="hybridMultilevel"/>
    <w:tmpl w:val="024432F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6D2DBF"/>
    <w:multiLevelType w:val="hybridMultilevel"/>
    <w:tmpl w:val="6438513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12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B5728E"/>
    <w:rsid w:val="00057522"/>
    <w:rsid w:val="000678E0"/>
    <w:rsid w:val="00103C31"/>
    <w:rsid w:val="00104D19"/>
    <w:rsid w:val="001303CD"/>
    <w:rsid w:val="00195111"/>
    <w:rsid w:val="0023075D"/>
    <w:rsid w:val="00234DF5"/>
    <w:rsid w:val="002F110A"/>
    <w:rsid w:val="00312AFE"/>
    <w:rsid w:val="00322C77"/>
    <w:rsid w:val="00371B17"/>
    <w:rsid w:val="003D6625"/>
    <w:rsid w:val="00415AB4"/>
    <w:rsid w:val="0041789A"/>
    <w:rsid w:val="00444D6F"/>
    <w:rsid w:val="00453E73"/>
    <w:rsid w:val="004763DB"/>
    <w:rsid w:val="004860B2"/>
    <w:rsid w:val="00503ACB"/>
    <w:rsid w:val="0052524C"/>
    <w:rsid w:val="005816A8"/>
    <w:rsid w:val="005962B5"/>
    <w:rsid w:val="005B3339"/>
    <w:rsid w:val="005C2B39"/>
    <w:rsid w:val="005D4FD5"/>
    <w:rsid w:val="005E68C7"/>
    <w:rsid w:val="006110E2"/>
    <w:rsid w:val="006718F7"/>
    <w:rsid w:val="00691FBE"/>
    <w:rsid w:val="006A6641"/>
    <w:rsid w:val="006A753E"/>
    <w:rsid w:val="006C0123"/>
    <w:rsid w:val="006C520E"/>
    <w:rsid w:val="007075F8"/>
    <w:rsid w:val="00730056"/>
    <w:rsid w:val="00730F55"/>
    <w:rsid w:val="007402D9"/>
    <w:rsid w:val="007B5E6F"/>
    <w:rsid w:val="007B66F4"/>
    <w:rsid w:val="00814AA6"/>
    <w:rsid w:val="0082367C"/>
    <w:rsid w:val="008476BB"/>
    <w:rsid w:val="00851164"/>
    <w:rsid w:val="00876367"/>
    <w:rsid w:val="008E5CF5"/>
    <w:rsid w:val="00944B25"/>
    <w:rsid w:val="009F01F4"/>
    <w:rsid w:val="00A031B4"/>
    <w:rsid w:val="00A0638C"/>
    <w:rsid w:val="00A93A11"/>
    <w:rsid w:val="00AD3DB6"/>
    <w:rsid w:val="00AD5B0C"/>
    <w:rsid w:val="00B5728E"/>
    <w:rsid w:val="00B80CC5"/>
    <w:rsid w:val="00BE3075"/>
    <w:rsid w:val="00BE6D94"/>
    <w:rsid w:val="00BF5978"/>
    <w:rsid w:val="00C332B9"/>
    <w:rsid w:val="00C56BED"/>
    <w:rsid w:val="00CA5281"/>
    <w:rsid w:val="00CA767E"/>
    <w:rsid w:val="00CD5628"/>
    <w:rsid w:val="00CE5912"/>
    <w:rsid w:val="00CF0991"/>
    <w:rsid w:val="00D133C0"/>
    <w:rsid w:val="00D530D0"/>
    <w:rsid w:val="00DA4A36"/>
    <w:rsid w:val="00DA4B61"/>
    <w:rsid w:val="00DF73E9"/>
    <w:rsid w:val="00E16089"/>
    <w:rsid w:val="00E40E93"/>
    <w:rsid w:val="00E74C48"/>
    <w:rsid w:val="00E824B4"/>
    <w:rsid w:val="00E84CE4"/>
    <w:rsid w:val="00E86892"/>
    <w:rsid w:val="00EA3668"/>
    <w:rsid w:val="00EC50A4"/>
    <w:rsid w:val="00EC7EDB"/>
    <w:rsid w:val="00EE2E41"/>
    <w:rsid w:val="00F837B5"/>
    <w:rsid w:val="00F83EC1"/>
    <w:rsid w:val="00FB3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5D4FD5"/>
    <w:pPr>
      <w:keepNext/>
      <w:tabs>
        <w:tab w:val="left" w:pos="357"/>
        <w:tab w:val="left" w:pos="720"/>
        <w:tab w:val="left" w:pos="1077"/>
      </w:tabs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Rubrik4">
    <w:name w:val="heading 4"/>
    <w:basedOn w:val="Normal"/>
    <w:next w:val="Normal"/>
    <w:qFormat/>
    <w:rsid w:val="005D4FD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character" w:customStyle="1" w:styleId="Rubrik3Char">
    <w:name w:val="Rubrik 3 Char"/>
    <w:basedOn w:val="Standardstycketeckensnitt"/>
    <w:link w:val="Rubrik3"/>
    <w:rsid w:val="00CF0991"/>
    <w:rPr>
      <w:rFonts w:ascii="Arial" w:hAnsi="Arial" w:cs="Arial"/>
      <w:b/>
      <w:bCs/>
      <w:sz w:val="24"/>
      <w:szCs w:val="26"/>
      <w:lang w:val="sv-SE" w:eastAsia="sv-S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5</TotalTime>
  <Pages>2</Pages>
  <Words>604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medsasg</dc:creator>
  <cp:keywords/>
  <dc:description/>
  <cp:lastModifiedBy>gerfhgi</cp:lastModifiedBy>
  <cp:revision>3</cp:revision>
  <cp:lastPrinted>2013-01-15T05:49:00Z</cp:lastPrinted>
  <dcterms:created xsi:type="dcterms:W3CDTF">2014-04-11T13:53:00Z</dcterms:created>
  <dcterms:modified xsi:type="dcterms:W3CDTF">2014-04-11T13:56:00Z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