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1F007" w14:textId="77777777" w:rsidR="00B161A0" w:rsidRPr="00B161A0" w:rsidRDefault="00B161A0" w:rsidP="00B161A0">
      <w:pPr>
        <w:spacing w:before="100" w:beforeAutospacing="1" w:after="100" w:afterAutospacing="1" w:line="240" w:lineRule="auto"/>
        <w:outlineLvl w:val="1"/>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Voglio programmare un rilevatore di regime finanziario: misura se il mercato è sano, fragile, sotto stress oppure in fase di stabilizzazione dopo una discesa.</w:t>
      </w:r>
    </w:p>
    <w:p w14:paraId="3C0EC9BE" w14:textId="7614DDB7" w:rsidR="00B161A0" w:rsidRDefault="00B161A0" w:rsidP="00B161A0">
      <w:pPr>
        <w:spacing w:before="100" w:beforeAutospacing="1" w:after="100" w:afterAutospacing="1" w:line="240" w:lineRule="auto"/>
        <w:outlineLvl w:val="1"/>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Progettiamo e programmiamo un software Python che restituisca una "semaforo" per avere sempre sottocchio la borsa secondo quando segue.</w:t>
      </w:r>
      <w:r w:rsidR="00B40325">
        <w:rPr>
          <w:rFonts w:ascii="Times New Roman" w:eastAsia="Times New Roman" w:hAnsi="Times New Roman" w:cs="Times New Roman"/>
          <w:kern w:val="0"/>
          <w:lang w:eastAsia="it-IT"/>
          <w14:ligatures w14:val="none"/>
        </w:rPr>
        <w:t xml:space="preserve"> Ho un account </w:t>
      </w:r>
      <w:proofErr w:type="spellStart"/>
      <w:r w:rsidR="00B40325">
        <w:rPr>
          <w:rFonts w:ascii="Times New Roman" w:eastAsia="Times New Roman" w:hAnsi="Times New Roman" w:cs="Times New Roman"/>
          <w:kern w:val="0"/>
          <w:lang w:eastAsia="it-IT"/>
          <w14:ligatures w14:val="none"/>
        </w:rPr>
        <w:t>TradingView</w:t>
      </w:r>
      <w:proofErr w:type="spellEnd"/>
      <w:r w:rsidR="00B40325">
        <w:rPr>
          <w:rFonts w:ascii="Times New Roman" w:eastAsia="Times New Roman" w:hAnsi="Times New Roman" w:cs="Times New Roman"/>
          <w:kern w:val="0"/>
          <w:lang w:eastAsia="it-IT"/>
          <w14:ligatures w14:val="none"/>
        </w:rPr>
        <w:t xml:space="preserve"> che possiamo utilizzare ma se pensi ci siano strumenti migliori per avere delle automazioni più semplice da programmare suggeriscimelo.</w:t>
      </w:r>
    </w:p>
    <w:p w14:paraId="2DBC290D" w14:textId="5FFE5BA6" w:rsidR="00B161A0" w:rsidRPr="00B161A0" w:rsidRDefault="00B161A0" w:rsidP="00B161A0">
      <w:pPr>
        <w:spacing w:before="100" w:beforeAutospacing="1" w:after="100" w:afterAutospacing="1" w:line="240" w:lineRule="auto"/>
        <w:outlineLvl w:val="1"/>
        <w:rPr>
          <w:rFonts w:ascii="Times New Roman" w:eastAsia="Times New Roman" w:hAnsi="Times New Roman" w:cs="Times New Roman"/>
          <w:b/>
          <w:bCs/>
          <w:kern w:val="0"/>
          <w:sz w:val="36"/>
          <w:szCs w:val="36"/>
          <w:lang w:eastAsia="it-IT"/>
          <w14:ligatures w14:val="none"/>
        </w:rPr>
      </w:pPr>
      <w:r w:rsidRPr="00B161A0">
        <w:rPr>
          <w:rFonts w:ascii="Times New Roman" w:eastAsia="Times New Roman" w:hAnsi="Times New Roman" w:cs="Times New Roman"/>
          <w:b/>
          <w:bCs/>
          <w:kern w:val="0"/>
          <w:sz w:val="36"/>
          <w:szCs w:val="36"/>
          <w:lang w:eastAsia="it-IT"/>
          <w14:ligatures w14:val="none"/>
        </w:rPr>
        <w:t>1. I mercati da monitorare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3119"/>
        <w:gridCol w:w="3402"/>
      </w:tblGrid>
      <w:tr w:rsidR="00B161A0" w:rsidRPr="00B161A0" w14:paraId="6296A266" w14:textId="77777777" w:rsidTr="00B161A0">
        <w:trPr>
          <w:tblHeader/>
          <w:tblCellSpacing w:w="15" w:type="dxa"/>
        </w:trPr>
        <w:tc>
          <w:tcPr>
            <w:tcW w:w="2932" w:type="dxa"/>
            <w:vAlign w:val="center"/>
            <w:hideMark/>
          </w:tcPr>
          <w:p w14:paraId="267FB130" w14:textId="77777777" w:rsidR="00B161A0" w:rsidRPr="00B161A0" w:rsidRDefault="00B161A0" w:rsidP="00B161A0">
            <w:pPr>
              <w:spacing w:after="0" w:line="240" w:lineRule="auto"/>
              <w:rPr>
                <w:rFonts w:ascii="Times New Roman" w:eastAsia="Times New Roman" w:hAnsi="Times New Roman" w:cs="Times New Roman"/>
                <w:b/>
                <w:bCs/>
                <w:kern w:val="0"/>
                <w:lang w:eastAsia="it-IT"/>
                <w14:ligatures w14:val="none"/>
              </w:rPr>
            </w:pPr>
            <w:r w:rsidRPr="00B161A0">
              <w:rPr>
                <w:rFonts w:ascii="Times New Roman" w:eastAsia="Times New Roman" w:hAnsi="Times New Roman" w:cs="Times New Roman"/>
                <w:b/>
                <w:bCs/>
                <w:kern w:val="0"/>
                <w:lang w:eastAsia="it-IT"/>
                <w14:ligatures w14:val="none"/>
              </w:rPr>
              <w:t>Blocco</w:t>
            </w:r>
          </w:p>
        </w:tc>
        <w:tc>
          <w:tcPr>
            <w:tcW w:w="3089" w:type="dxa"/>
            <w:vAlign w:val="center"/>
            <w:hideMark/>
          </w:tcPr>
          <w:p w14:paraId="0BBD53A2" w14:textId="77777777" w:rsidR="00B161A0" w:rsidRPr="00B161A0" w:rsidRDefault="00B161A0" w:rsidP="00B161A0">
            <w:pPr>
              <w:spacing w:after="0" w:line="240" w:lineRule="auto"/>
              <w:rPr>
                <w:rFonts w:ascii="Times New Roman" w:eastAsia="Times New Roman" w:hAnsi="Times New Roman" w:cs="Times New Roman"/>
                <w:b/>
                <w:bCs/>
                <w:kern w:val="0"/>
                <w:lang w:eastAsia="it-IT"/>
                <w14:ligatures w14:val="none"/>
              </w:rPr>
            </w:pPr>
            <w:r w:rsidRPr="00B161A0">
              <w:rPr>
                <w:rFonts w:ascii="Times New Roman" w:eastAsia="Times New Roman" w:hAnsi="Times New Roman" w:cs="Times New Roman"/>
                <w:b/>
                <w:bCs/>
                <w:kern w:val="0"/>
                <w:lang w:eastAsia="it-IT"/>
                <w14:ligatures w14:val="none"/>
              </w:rPr>
              <w:t>Strumento di riferimento</w:t>
            </w:r>
          </w:p>
        </w:tc>
        <w:tc>
          <w:tcPr>
            <w:tcW w:w="3357" w:type="dxa"/>
            <w:vAlign w:val="center"/>
            <w:hideMark/>
          </w:tcPr>
          <w:p w14:paraId="793E357B" w14:textId="77777777" w:rsidR="00B161A0" w:rsidRPr="00B161A0" w:rsidRDefault="00B161A0" w:rsidP="00B161A0">
            <w:pPr>
              <w:spacing w:after="0" w:line="240" w:lineRule="auto"/>
              <w:rPr>
                <w:rFonts w:ascii="Times New Roman" w:eastAsia="Times New Roman" w:hAnsi="Times New Roman" w:cs="Times New Roman"/>
                <w:b/>
                <w:bCs/>
                <w:kern w:val="0"/>
                <w:lang w:eastAsia="it-IT"/>
                <w14:ligatures w14:val="none"/>
              </w:rPr>
            </w:pPr>
            <w:r w:rsidRPr="00B161A0">
              <w:rPr>
                <w:rFonts w:ascii="Times New Roman" w:eastAsia="Times New Roman" w:hAnsi="Times New Roman" w:cs="Times New Roman"/>
                <w:b/>
                <w:bCs/>
                <w:kern w:val="0"/>
                <w:lang w:eastAsia="it-IT"/>
                <w14:ligatures w14:val="none"/>
              </w:rPr>
              <w:t>Proxy pratico</w:t>
            </w:r>
          </w:p>
        </w:tc>
      </w:tr>
      <w:tr w:rsidR="00B161A0" w:rsidRPr="00B161A0" w14:paraId="4E331DCE" w14:textId="77777777" w:rsidTr="00B161A0">
        <w:trPr>
          <w:tblCellSpacing w:w="15" w:type="dxa"/>
        </w:trPr>
        <w:tc>
          <w:tcPr>
            <w:tcW w:w="2932" w:type="dxa"/>
            <w:vAlign w:val="center"/>
            <w:hideMark/>
          </w:tcPr>
          <w:p w14:paraId="47E1007D"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Azionario globale</w:t>
            </w:r>
          </w:p>
        </w:tc>
        <w:tc>
          <w:tcPr>
            <w:tcW w:w="3089" w:type="dxa"/>
            <w:vAlign w:val="center"/>
            <w:hideMark/>
          </w:tcPr>
          <w:p w14:paraId="1DDCA8A8"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MSCI ACWI</w:t>
            </w:r>
          </w:p>
        </w:tc>
        <w:tc>
          <w:tcPr>
            <w:tcW w:w="3357" w:type="dxa"/>
            <w:vAlign w:val="center"/>
            <w:hideMark/>
          </w:tcPr>
          <w:p w14:paraId="353F086D"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ACWI oppure VT</w:t>
            </w:r>
          </w:p>
        </w:tc>
      </w:tr>
      <w:tr w:rsidR="00B161A0" w:rsidRPr="00B161A0" w14:paraId="5FE00380" w14:textId="77777777" w:rsidTr="00B161A0">
        <w:trPr>
          <w:tblCellSpacing w:w="15" w:type="dxa"/>
        </w:trPr>
        <w:tc>
          <w:tcPr>
            <w:tcW w:w="2932" w:type="dxa"/>
            <w:vAlign w:val="center"/>
            <w:hideMark/>
          </w:tcPr>
          <w:p w14:paraId="1A0B4A5F"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Mercati sviluppati</w:t>
            </w:r>
          </w:p>
        </w:tc>
        <w:tc>
          <w:tcPr>
            <w:tcW w:w="3089" w:type="dxa"/>
            <w:vAlign w:val="center"/>
            <w:hideMark/>
          </w:tcPr>
          <w:p w14:paraId="3E30CC85"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MSCI World</w:t>
            </w:r>
          </w:p>
        </w:tc>
        <w:tc>
          <w:tcPr>
            <w:tcW w:w="3357" w:type="dxa"/>
            <w:vAlign w:val="center"/>
            <w:hideMark/>
          </w:tcPr>
          <w:p w14:paraId="7122D205"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URTH, IWDA o SWDA</w:t>
            </w:r>
          </w:p>
        </w:tc>
      </w:tr>
      <w:tr w:rsidR="00B161A0" w:rsidRPr="00B161A0" w14:paraId="04BB4EAE" w14:textId="77777777" w:rsidTr="00B161A0">
        <w:trPr>
          <w:tblCellSpacing w:w="15" w:type="dxa"/>
        </w:trPr>
        <w:tc>
          <w:tcPr>
            <w:tcW w:w="2932" w:type="dxa"/>
            <w:vAlign w:val="center"/>
            <w:hideMark/>
          </w:tcPr>
          <w:p w14:paraId="2FF31EBE"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USA large </w:t>
            </w:r>
            <w:proofErr w:type="spellStart"/>
            <w:r w:rsidRPr="00B161A0">
              <w:rPr>
                <w:rFonts w:ascii="Times New Roman" w:eastAsia="Times New Roman" w:hAnsi="Times New Roman" w:cs="Times New Roman"/>
                <w:kern w:val="0"/>
                <w:lang w:eastAsia="it-IT"/>
                <w14:ligatures w14:val="none"/>
              </w:rPr>
              <w:t>cap</w:t>
            </w:r>
            <w:proofErr w:type="spellEnd"/>
          </w:p>
        </w:tc>
        <w:tc>
          <w:tcPr>
            <w:tcW w:w="3089" w:type="dxa"/>
            <w:vAlign w:val="center"/>
            <w:hideMark/>
          </w:tcPr>
          <w:p w14:paraId="1CEF1F50"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S&amp;P 500</w:t>
            </w:r>
          </w:p>
        </w:tc>
        <w:tc>
          <w:tcPr>
            <w:tcW w:w="3357" w:type="dxa"/>
            <w:vAlign w:val="center"/>
            <w:hideMark/>
          </w:tcPr>
          <w:p w14:paraId="1C91140F"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SPY</w:t>
            </w:r>
          </w:p>
        </w:tc>
      </w:tr>
      <w:tr w:rsidR="00B161A0" w:rsidRPr="00B161A0" w14:paraId="1190313C" w14:textId="77777777" w:rsidTr="00B161A0">
        <w:trPr>
          <w:tblCellSpacing w:w="15" w:type="dxa"/>
        </w:trPr>
        <w:tc>
          <w:tcPr>
            <w:tcW w:w="2932" w:type="dxa"/>
            <w:vAlign w:val="center"/>
            <w:hideMark/>
          </w:tcPr>
          <w:p w14:paraId="20C62AC7"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Tecnologia e </w:t>
            </w:r>
            <w:proofErr w:type="spellStart"/>
            <w:r w:rsidRPr="00B161A0">
              <w:rPr>
                <w:rFonts w:ascii="Times New Roman" w:eastAsia="Times New Roman" w:hAnsi="Times New Roman" w:cs="Times New Roman"/>
                <w:kern w:val="0"/>
                <w:lang w:eastAsia="it-IT"/>
                <w14:ligatures w14:val="none"/>
              </w:rPr>
              <w:t>growth</w:t>
            </w:r>
            <w:proofErr w:type="spellEnd"/>
          </w:p>
        </w:tc>
        <w:tc>
          <w:tcPr>
            <w:tcW w:w="3089" w:type="dxa"/>
            <w:vAlign w:val="center"/>
            <w:hideMark/>
          </w:tcPr>
          <w:p w14:paraId="6D63C54B"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Nasdaq 100</w:t>
            </w:r>
          </w:p>
        </w:tc>
        <w:tc>
          <w:tcPr>
            <w:tcW w:w="3357" w:type="dxa"/>
            <w:vAlign w:val="center"/>
            <w:hideMark/>
          </w:tcPr>
          <w:p w14:paraId="2794C682"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QQQ</w:t>
            </w:r>
          </w:p>
        </w:tc>
      </w:tr>
      <w:tr w:rsidR="00B161A0" w:rsidRPr="00B161A0" w14:paraId="5B2EACE7" w14:textId="77777777" w:rsidTr="00B161A0">
        <w:trPr>
          <w:tblCellSpacing w:w="15" w:type="dxa"/>
        </w:trPr>
        <w:tc>
          <w:tcPr>
            <w:tcW w:w="2932" w:type="dxa"/>
            <w:vAlign w:val="center"/>
            <w:hideMark/>
          </w:tcPr>
          <w:p w14:paraId="63BD93A0"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Small </w:t>
            </w:r>
            <w:proofErr w:type="spellStart"/>
            <w:r w:rsidRPr="00B161A0">
              <w:rPr>
                <w:rFonts w:ascii="Times New Roman" w:eastAsia="Times New Roman" w:hAnsi="Times New Roman" w:cs="Times New Roman"/>
                <w:kern w:val="0"/>
                <w:lang w:eastAsia="it-IT"/>
                <w14:ligatures w14:val="none"/>
              </w:rPr>
              <w:t>cap</w:t>
            </w:r>
            <w:proofErr w:type="spellEnd"/>
            <w:r w:rsidRPr="00B161A0">
              <w:rPr>
                <w:rFonts w:ascii="Times New Roman" w:eastAsia="Times New Roman" w:hAnsi="Times New Roman" w:cs="Times New Roman"/>
                <w:kern w:val="0"/>
                <w:lang w:eastAsia="it-IT"/>
                <w14:ligatures w14:val="none"/>
              </w:rPr>
              <w:t xml:space="preserve"> USA</w:t>
            </w:r>
          </w:p>
        </w:tc>
        <w:tc>
          <w:tcPr>
            <w:tcW w:w="3089" w:type="dxa"/>
            <w:vAlign w:val="center"/>
            <w:hideMark/>
          </w:tcPr>
          <w:p w14:paraId="7AD5503E"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Russell 2000</w:t>
            </w:r>
          </w:p>
        </w:tc>
        <w:tc>
          <w:tcPr>
            <w:tcW w:w="3357" w:type="dxa"/>
            <w:vAlign w:val="center"/>
            <w:hideMark/>
          </w:tcPr>
          <w:p w14:paraId="647442AC"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IWM</w:t>
            </w:r>
          </w:p>
        </w:tc>
      </w:tr>
      <w:tr w:rsidR="00B161A0" w:rsidRPr="00B161A0" w14:paraId="792854F8" w14:textId="77777777" w:rsidTr="00B161A0">
        <w:trPr>
          <w:tblCellSpacing w:w="15" w:type="dxa"/>
        </w:trPr>
        <w:tc>
          <w:tcPr>
            <w:tcW w:w="2932" w:type="dxa"/>
            <w:vAlign w:val="center"/>
            <w:hideMark/>
          </w:tcPr>
          <w:p w14:paraId="28AC13C1"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S&amp;P 500 </w:t>
            </w:r>
            <w:proofErr w:type="spellStart"/>
            <w:r w:rsidRPr="00B161A0">
              <w:rPr>
                <w:rFonts w:ascii="Times New Roman" w:eastAsia="Times New Roman" w:hAnsi="Times New Roman" w:cs="Times New Roman"/>
                <w:kern w:val="0"/>
                <w:lang w:eastAsia="it-IT"/>
                <w14:ligatures w14:val="none"/>
              </w:rPr>
              <w:t>equiponderato</w:t>
            </w:r>
            <w:proofErr w:type="spellEnd"/>
          </w:p>
        </w:tc>
        <w:tc>
          <w:tcPr>
            <w:tcW w:w="3089" w:type="dxa"/>
            <w:vAlign w:val="center"/>
            <w:hideMark/>
          </w:tcPr>
          <w:p w14:paraId="6C7E93ED"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S&amp;P 500 </w:t>
            </w:r>
            <w:proofErr w:type="spellStart"/>
            <w:r w:rsidRPr="00B161A0">
              <w:rPr>
                <w:rFonts w:ascii="Times New Roman" w:eastAsia="Times New Roman" w:hAnsi="Times New Roman" w:cs="Times New Roman"/>
                <w:kern w:val="0"/>
                <w:lang w:eastAsia="it-IT"/>
                <w14:ligatures w14:val="none"/>
              </w:rPr>
              <w:t>Equal</w:t>
            </w:r>
            <w:proofErr w:type="spellEnd"/>
            <w:r w:rsidRPr="00B161A0">
              <w:rPr>
                <w:rFonts w:ascii="Times New Roman" w:eastAsia="Times New Roman" w:hAnsi="Times New Roman" w:cs="Times New Roman"/>
                <w:kern w:val="0"/>
                <w:lang w:eastAsia="it-IT"/>
                <w14:ligatures w14:val="none"/>
              </w:rPr>
              <w:t xml:space="preserve"> Weight</w:t>
            </w:r>
          </w:p>
        </w:tc>
        <w:tc>
          <w:tcPr>
            <w:tcW w:w="3357" w:type="dxa"/>
            <w:vAlign w:val="center"/>
            <w:hideMark/>
          </w:tcPr>
          <w:p w14:paraId="4EFDC982"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RSP</w:t>
            </w:r>
          </w:p>
        </w:tc>
      </w:tr>
      <w:tr w:rsidR="00B161A0" w:rsidRPr="00B161A0" w14:paraId="42F64C6B" w14:textId="77777777" w:rsidTr="00B161A0">
        <w:trPr>
          <w:tblCellSpacing w:w="15" w:type="dxa"/>
        </w:trPr>
        <w:tc>
          <w:tcPr>
            <w:tcW w:w="2932" w:type="dxa"/>
            <w:vAlign w:val="center"/>
            <w:hideMark/>
          </w:tcPr>
          <w:p w14:paraId="1B5098A5"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Oro</w:t>
            </w:r>
          </w:p>
        </w:tc>
        <w:tc>
          <w:tcPr>
            <w:tcW w:w="3089" w:type="dxa"/>
            <w:vAlign w:val="center"/>
            <w:hideMark/>
          </w:tcPr>
          <w:p w14:paraId="7DFCB0CE"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prezzo spot</w:t>
            </w:r>
          </w:p>
        </w:tc>
        <w:tc>
          <w:tcPr>
            <w:tcW w:w="3357" w:type="dxa"/>
            <w:vAlign w:val="center"/>
            <w:hideMark/>
          </w:tcPr>
          <w:p w14:paraId="6217B7E2"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XAUUSD oppure GLD</w:t>
            </w:r>
          </w:p>
        </w:tc>
      </w:tr>
      <w:tr w:rsidR="00B161A0" w:rsidRPr="00B161A0" w14:paraId="1613C5C9" w14:textId="77777777" w:rsidTr="00B161A0">
        <w:trPr>
          <w:tblCellSpacing w:w="15" w:type="dxa"/>
        </w:trPr>
        <w:tc>
          <w:tcPr>
            <w:tcW w:w="2932" w:type="dxa"/>
            <w:vAlign w:val="center"/>
            <w:hideMark/>
          </w:tcPr>
          <w:p w14:paraId="7DDE6D40"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Bitcoin</w:t>
            </w:r>
          </w:p>
        </w:tc>
        <w:tc>
          <w:tcPr>
            <w:tcW w:w="3089" w:type="dxa"/>
            <w:vAlign w:val="center"/>
            <w:hideMark/>
          </w:tcPr>
          <w:p w14:paraId="59121BEC"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BTC/USD</w:t>
            </w:r>
          </w:p>
        </w:tc>
        <w:tc>
          <w:tcPr>
            <w:tcW w:w="3357" w:type="dxa"/>
            <w:vAlign w:val="center"/>
            <w:hideMark/>
          </w:tcPr>
          <w:p w14:paraId="26C60753"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BTCUSD</w:t>
            </w:r>
          </w:p>
        </w:tc>
      </w:tr>
      <w:tr w:rsidR="00B161A0" w:rsidRPr="00B161A0" w14:paraId="4E6C9C29" w14:textId="77777777" w:rsidTr="00B161A0">
        <w:trPr>
          <w:tblCellSpacing w:w="15" w:type="dxa"/>
        </w:trPr>
        <w:tc>
          <w:tcPr>
            <w:tcW w:w="2932" w:type="dxa"/>
            <w:vAlign w:val="center"/>
            <w:hideMark/>
          </w:tcPr>
          <w:p w14:paraId="0F976034"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Credito rischioso</w:t>
            </w:r>
          </w:p>
        </w:tc>
        <w:tc>
          <w:tcPr>
            <w:tcW w:w="3089" w:type="dxa"/>
            <w:vAlign w:val="center"/>
            <w:hideMark/>
          </w:tcPr>
          <w:p w14:paraId="3D525680"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High Yield USA</w:t>
            </w:r>
          </w:p>
        </w:tc>
        <w:tc>
          <w:tcPr>
            <w:tcW w:w="3357" w:type="dxa"/>
            <w:vAlign w:val="center"/>
            <w:hideMark/>
          </w:tcPr>
          <w:p w14:paraId="1ACD3B67"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HYG</w:t>
            </w:r>
          </w:p>
        </w:tc>
      </w:tr>
      <w:tr w:rsidR="00B161A0" w:rsidRPr="00B161A0" w14:paraId="08DDCF36" w14:textId="77777777" w:rsidTr="00B161A0">
        <w:trPr>
          <w:tblCellSpacing w:w="15" w:type="dxa"/>
        </w:trPr>
        <w:tc>
          <w:tcPr>
            <w:tcW w:w="2932" w:type="dxa"/>
            <w:vAlign w:val="center"/>
            <w:hideMark/>
          </w:tcPr>
          <w:p w14:paraId="37AF9E25"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Titoli di Stato USA</w:t>
            </w:r>
          </w:p>
        </w:tc>
        <w:tc>
          <w:tcPr>
            <w:tcW w:w="3089" w:type="dxa"/>
            <w:vAlign w:val="center"/>
            <w:hideMark/>
          </w:tcPr>
          <w:p w14:paraId="6752D5B2"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Treasury 7–10 anni</w:t>
            </w:r>
          </w:p>
        </w:tc>
        <w:tc>
          <w:tcPr>
            <w:tcW w:w="3357" w:type="dxa"/>
            <w:vAlign w:val="center"/>
            <w:hideMark/>
          </w:tcPr>
          <w:p w14:paraId="6FDCE8D9"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IEF</w:t>
            </w:r>
          </w:p>
        </w:tc>
      </w:tr>
    </w:tbl>
    <w:p w14:paraId="40630031"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Il </w:t>
      </w:r>
      <w:r w:rsidRPr="00B161A0">
        <w:rPr>
          <w:rFonts w:ascii="Times New Roman" w:eastAsia="Times New Roman" w:hAnsi="Times New Roman" w:cs="Times New Roman"/>
          <w:b/>
          <w:bCs/>
          <w:kern w:val="0"/>
          <w:lang w:eastAsia="it-IT"/>
          <w14:ligatures w14:val="none"/>
        </w:rPr>
        <w:t>MSCI World non è veramente “tutto il mondo”</w:t>
      </w:r>
      <w:r w:rsidRPr="00B161A0">
        <w:rPr>
          <w:rFonts w:ascii="Times New Roman" w:eastAsia="Times New Roman" w:hAnsi="Times New Roman" w:cs="Times New Roman"/>
          <w:kern w:val="0"/>
          <w:lang w:eastAsia="it-IT"/>
          <w14:ligatures w14:val="none"/>
        </w:rPr>
        <w:t xml:space="preserve">, perché comprende soltanto i mercati sviluppati. Per un termometro globale preferirei quindi MSCI ACWI, che include mercati sviluppati ed emergenti; MSCI dichiara che l’ACWI copre circa l’85% dell’universo azionario globale investibile. </w:t>
      </w:r>
    </w:p>
    <w:p w14:paraId="310B2CC5"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RSP e IWM non servono tanto come investimenti, quanto per capire se il rialzo è ampio oppure sostenuto soltanto dalle maggiori società.</w:t>
      </w:r>
    </w:p>
    <w:p w14:paraId="14C15AA9" w14:textId="77777777" w:rsidR="00B161A0" w:rsidRPr="00B161A0" w:rsidRDefault="00B161A0" w:rsidP="00B161A0">
      <w:pPr>
        <w:spacing w:before="100" w:beforeAutospacing="1" w:after="100" w:afterAutospacing="1" w:line="240" w:lineRule="auto"/>
        <w:outlineLvl w:val="1"/>
        <w:rPr>
          <w:rFonts w:ascii="Times New Roman" w:eastAsia="Times New Roman" w:hAnsi="Times New Roman" w:cs="Times New Roman"/>
          <w:b/>
          <w:bCs/>
          <w:kern w:val="0"/>
          <w:sz w:val="36"/>
          <w:szCs w:val="36"/>
          <w:lang w:eastAsia="it-IT"/>
          <w14:ligatures w14:val="none"/>
        </w:rPr>
      </w:pPr>
      <w:r w:rsidRPr="00B161A0">
        <w:rPr>
          <w:rFonts w:ascii="Times New Roman" w:eastAsia="Times New Roman" w:hAnsi="Times New Roman" w:cs="Times New Roman"/>
          <w:b/>
          <w:bCs/>
          <w:kern w:val="0"/>
          <w:sz w:val="36"/>
          <w:szCs w:val="36"/>
          <w:lang w:eastAsia="it-IT"/>
          <w14:ligatures w14:val="none"/>
        </w:rPr>
        <w:t>2. Indicatori tecnici e di mercato</w:t>
      </w:r>
    </w:p>
    <w:p w14:paraId="58BFB7BF" w14:textId="77777777" w:rsidR="00B161A0" w:rsidRPr="00B161A0" w:rsidRDefault="00B161A0" w:rsidP="00B161A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161A0">
        <w:rPr>
          <w:rFonts w:ascii="Times New Roman" w:eastAsia="Times New Roman" w:hAnsi="Times New Roman" w:cs="Times New Roman"/>
          <w:b/>
          <w:bCs/>
          <w:kern w:val="0"/>
          <w:sz w:val="27"/>
          <w:szCs w:val="27"/>
          <w:lang w:eastAsia="it-IT"/>
          <w14:ligatures w14:val="none"/>
        </w:rPr>
        <w:t>A. Trend principale</w:t>
      </w:r>
    </w:p>
    <w:p w14:paraId="4DF8F69F"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Per ACWI, SPY, QQQ, IWM, GLD e BTC:</w:t>
      </w:r>
    </w:p>
    <w:p w14:paraId="631A229A" w14:textId="77777777" w:rsidR="00B161A0" w:rsidRPr="00B161A0" w:rsidRDefault="00B161A0" w:rsidP="00B161A0">
      <w:pPr>
        <w:numPr>
          <w:ilvl w:val="0"/>
          <w:numId w:val="2"/>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Prezzo rispetto alla media mobile a 200 giorni</w:t>
      </w:r>
      <w:r w:rsidRPr="00B161A0">
        <w:rPr>
          <w:rFonts w:ascii="Times New Roman" w:eastAsia="Times New Roman" w:hAnsi="Times New Roman" w:cs="Times New Roman"/>
          <w:kern w:val="0"/>
          <w:lang w:eastAsia="it-IT"/>
          <w14:ligatures w14:val="none"/>
        </w:rPr>
        <w:t xml:space="preserve"> </w:t>
      </w:r>
    </w:p>
    <w:p w14:paraId="7CAE5CE9" w14:textId="77777777" w:rsidR="00B161A0" w:rsidRPr="00B161A0" w:rsidRDefault="00B161A0" w:rsidP="00B161A0">
      <w:pPr>
        <w:numPr>
          <w:ilvl w:val="0"/>
          <w:numId w:val="2"/>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Pendenza della media mobile a 200 giorni</w:t>
      </w:r>
      <w:r w:rsidRPr="00B161A0">
        <w:rPr>
          <w:rFonts w:ascii="Times New Roman" w:eastAsia="Times New Roman" w:hAnsi="Times New Roman" w:cs="Times New Roman"/>
          <w:kern w:val="0"/>
          <w:lang w:eastAsia="it-IT"/>
          <w14:ligatures w14:val="none"/>
        </w:rPr>
        <w:t xml:space="preserve"> </w:t>
      </w:r>
    </w:p>
    <w:p w14:paraId="482F5739" w14:textId="77777777" w:rsidR="00B161A0" w:rsidRPr="00B161A0" w:rsidRDefault="00B161A0" w:rsidP="00B161A0">
      <w:pPr>
        <w:numPr>
          <w:ilvl w:val="0"/>
          <w:numId w:val="2"/>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Momentum a 12 mesi</w:t>
      </w:r>
      <w:r w:rsidRPr="00B161A0">
        <w:rPr>
          <w:rFonts w:ascii="Times New Roman" w:eastAsia="Times New Roman" w:hAnsi="Times New Roman" w:cs="Times New Roman"/>
          <w:kern w:val="0"/>
          <w:lang w:eastAsia="it-IT"/>
          <w14:ligatures w14:val="none"/>
        </w:rPr>
        <w:t xml:space="preserve"> </w:t>
      </w:r>
    </w:p>
    <w:p w14:paraId="5B31F3DB" w14:textId="77777777" w:rsidR="00B161A0" w:rsidRPr="00B161A0" w:rsidRDefault="00B161A0" w:rsidP="00B161A0">
      <w:pPr>
        <w:numPr>
          <w:ilvl w:val="0"/>
          <w:numId w:val="2"/>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Distanza dal massimo delle ultime 52 settimane</w:t>
      </w:r>
      <w:r w:rsidRPr="00B161A0">
        <w:rPr>
          <w:rFonts w:ascii="Times New Roman" w:eastAsia="Times New Roman" w:hAnsi="Times New Roman" w:cs="Times New Roman"/>
          <w:kern w:val="0"/>
          <w:lang w:eastAsia="it-IT"/>
          <w14:ligatures w14:val="none"/>
        </w:rPr>
        <w:t xml:space="preserve"> </w:t>
      </w:r>
    </w:p>
    <w:p w14:paraId="266503B5" w14:textId="77777777" w:rsidR="00B161A0" w:rsidRPr="00B161A0" w:rsidRDefault="00B161A0" w:rsidP="00B161A0">
      <w:pPr>
        <w:numPr>
          <w:ilvl w:val="0"/>
          <w:numId w:val="2"/>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Volatilità realizzata a 20 e 60 giorni</w:t>
      </w:r>
      <w:r w:rsidRPr="00B161A0">
        <w:rPr>
          <w:rFonts w:ascii="Times New Roman" w:eastAsia="Times New Roman" w:hAnsi="Times New Roman" w:cs="Times New Roman"/>
          <w:kern w:val="0"/>
          <w:lang w:eastAsia="it-IT"/>
          <w14:ligatures w14:val="none"/>
        </w:rPr>
        <w:t xml:space="preserve"> </w:t>
      </w:r>
    </w:p>
    <w:p w14:paraId="0C4C06DB"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La combinazione importante non è semplicemente “sopra o sotto la media”:</w:t>
      </w:r>
    </w:p>
    <w:p w14:paraId="5BAFB9B4" w14:textId="77777777" w:rsidR="00B161A0" w:rsidRPr="00B161A0" w:rsidRDefault="00B161A0" w:rsidP="00B161A0">
      <w:pPr>
        <w:numPr>
          <w:ilvl w:val="0"/>
          <w:numId w:val="3"/>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prezzo sopra la media e media crescente: </w:t>
      </w:r>
      <w:proofErr w:type="gramStart"/>
      <w:r w:rsidRPr="00B161A0">
        <w:rPr>
          <w:rFonts w:ascii="Times New Roman" w:eastAsia="Times New Roman" w:hAnsi="Times New Roman" w:cs="Times New Roman"/>
          <w:kern w:val="0"/>
          <w:lang w:eastAsia="it-IT"/>
          <w14:ligatures w14:val="none"/>
        </w:rPr>
        <w:t>trend sano</w:t>
      </w:r>
      <w:proofErr w:type="gramEnd"/>
      <w:r w:rsidRPr="00B161A0">
        <w:rPr>
          <w:rFonts w:ascii="Times New Roman" w:eastAsia="Times New Roman" w:hAnsi="Times New Roman" w:cs="Times New Roman"/>
          <w:kern w:val="0"/>
          <w:lang w:eastAsia="it-IT"/>
          <w14:ligatures w14:val="none"/>
        </w:rPr>
        <w:t xml:space="preserve">; </w:t>
      </w:r>
    </w:p>
    <w:p w14:paraId="7F74066E" w14:textId="77777777" w:rsidR="00B161A0" w:rsidRPr="00B161A0" w:rsidRDefault="00B161A0" w:rsidP="00B161A0">
      <w:pPr>
        <w:numPr>
          <w:ilvl w:val="0"/>
          <w:numId w:val="3"/>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prezzo sotto la media ma media ancora crescente: deterioramento iniziale; </w:t>
      </w:r>
    </w:p>
    <w:p w14:paraId="21279436" w14:textId="77777777" w:rsidR="00B161A0" w:rsidRPr="00B161A0" w:rsidRDefault="00B161A0" w:rsidP="00B161A0">
      <w:pPr>
        <w:numPr>
          <w:ilvl w:val="0"/>
          <w:numId w:val="3"/>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prezzo sotto la media e media decrescente: </w:t>
      </w:r>
      <w:proofErr w:type="gramStart"/>
      <w:r w:rsidRPr="00B161A0">
        <w:rPr>
          <w:rFonts w:ascii="Times New Roman" w:eastAsia="Times New Roman" w:hAnsi="Times New Roman" w:cs="Times New Roman"/>
          <w:kern w:val="0"/>
          <w:lang w:eastAsia="it-IT"/>
          <w14:ligatures w14:val="none"/>
        </w:rPr>
        <w:t>trend</w:t>
      </w:r>
      <w:proofErr w:type="gramEnd"/>
      <w:r w:rsidRPr="00B161A0">
        <w:rPr>
          <w:rFonts w:ascii="Times New Roman" w:eastAsia="Times New Roman" w:hAnsi="Times New Roman" w:cs="Times New Roman"/>
          <w:kern w:val="0"/>
          <w:lang w:eastAsia="it-IT"/>
          <w14:ligatures w14:val="none"/>
        </w:rPr>
        <w:t xml:space="preserve"> ribassista consolidato; </w:t>
      </w:r>
    </w:p>
    <w:p w14:paraId="066DA4FA" w14:textId="77777777" w:rsidR="00B161A0" w:rsidRPr="00B161A0" w:rsidRDefault="00B161A0" w:rsidP="00B161A0">
      <w:pPr>
        <w:numPr>
          <w:ilvl w:val="0"/>
          <w:numId w:val="3"/>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lastRenderedPageBreak/>
        <w:t xml:space="preserve">prezzo che recupera la media dopo un forte </w:t>
      </w:r>
      <w:proofErr w:type="spellStart"/>
      <w:r w:rsidRPr="00B161A0">
        <w:rPr>
          <w:rFonts w:ascii="Times New Roman" w:eastAsia="Times New Roman" w:hAnsi="Times New Roman" w:cs="Times New Roman"/>
          <w:kern w:val="0"/>
          <w:lang w:eastAsia="it-IT"/>
          <w14:ligatures w14:val="none"/>
        </w:rPr>
        <w:t>drawdown</w:t>
      </w:r>
      <w:proofErr w:type="spellEnd"/>
      <w:r w:rsidRPr="00B161A0">
        <w:rPr>
          <w:rFonts w:ascii="Times New Roman" w:eastAsia="Times New Roman" w:hAnsi="Times New Roman" w:cs="Times New Roman"/>
          <w:kern w:val="0"/>
          <w:lang w:eastAsia="it-IT"/>
          <w14:ligatures w14:val="none"/>
        </w:rPr>
        <w:t xml:space="preserve">: possibile stabilizzazione. </w:t>
      </w:r>
    </w:p>
    <w:p w14:paraId="375EB7A1"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Il </w:t>
      </w:r>
      <w:proofErr w:type="spellStart"/>
      <w:r w:rsidRPr="00B161A0">
        <w:rPr>
          <w:rFonts w:ascii="Times New Roman" w:eastAsia="Times New Roman" w:hAnsi="Times New Roman" w:cs="Times New Roman"/>
          <w:kern w:val="0"/>
          <w:lang w:eastAsia="it-IT"/>
          <w14:ligatures w14:val="none"/>
        </w:rPr>
        <w:t>momentum</w:t>
      </w:r>
      <w:proofErr w:type="spellEnd"/>
      <w:r w:rsidRPr="00B161A0">
        <w:rPr>
          <w:rFonts w:ascii="Times New Roman" w:eastAsia="Times New Roman" w:hAnsi="Times New Roman" w:cs="Times New Roman"/>
          <w:kern w:val="0"/>
          <w:lang w:eastAsia="it-IT"/>
          <w14:ligatures w14:val="none"/>
        </w:rPr>
        <w:t xml:space="preserve"> di medio-lungo periodo ha basi empiriche più solide rispetto all’uso isolato di oscillatori molto veloci: la ricerca ha documentato persistenza dei rendimenti su orizzonti da uno a dodici mesi in diverse classi di attività. </w:t>
      </w:r>
    </w:p>
    <w:p w14:paraId="47B766CB" w14:textId="77777777" w:rsidR="00B161A0" w:rsidRPr="00B161A0" w:rsidRDefault="00B161A0" w:rsidP="00B161A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161A0">
        <w:rPr>
          <w:rFonts w:ascii="Times New Roman" w:eastAsia="Times New Roman" w:hAnsi="Times New Roman" w:cs="Times New Roman"/>
          <w:b/>
          <w:bCs/>
          <w:kern w:val="0"/>
          <w:sz w:val="27"/>
          <w:szCs w:val="27"/>
          <w:lang w:eastAsia="it-IT"/>
          <w14:ligatures w14:val="none"/>
        </w:rPr>
        <w:t>B. Ampiezza e qualità del rialzo</w:t>
      </w:r>
    </w:p>
    <w:p w14:paraId="61EF4246"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Questa è una delle sezioni più importanti:</w:t>
      </w:r>
    </w:p>
    <w:p w14:paraId="32CE710A" w14:textId="77777777" w:rsidR="00B161A0" w:rsidRPr="00B161A0" w:rsidRDefault="00B161A0" w:rsidP="00B161A0">
      <w:pPr>
        <w:numPr>
          <w:ilvl w:val="0"/>
          <w:numId w:val="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percentuale dei titoli S&amp;P 500 sopra la propria media a 200 giorni</w:t>
      </w:r>
      <w:r w:rsidRPr="00B161A0">
        <w:rPr>
          <w:rFonts w:ascii="Times New Roman" w:eastAsia="Times New Roman" w:hAnsi="Times New Roman" w:cs="Times New Roman"/>
          <w:kern w:val="0"/>
          <w:lang w:eastAsia="it-IT"/>
          <w14:ligatures w14:val="none"/>
        </w:rPr>
        <w:t xml:space="preserve">; </w:t>
      </w:r>
    </w:p>
    <w:p w14:paraId="34D35EE8" w14:textId="77777777" w:rsidR="00B161A0" w:rsidRPr="00B161A0" w:rsidRDefault="00B161A0" w:rsidP="00B161A0">
      <w:pPr>
        <w:numPr>
          <w:ilvl w:val="0"/>
          <w:numId w:val="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percentuale sopra la media a 50 giorni</w:t>
      </w:r>
      <w:r w:rsidRPr="00B161A0">
        <w:rPr>
          <w:rFonts w:ascii="Times New Roman" w:eastAsia="Times New Roman" w:hAnsi="Times New Roman" w:cs="Times New Roman"/>
          <w:kern w:val="0"/>
          <w:lang w:eastAsia="it-IT"/>
          <w14:ligatures w14:val="none"/>
        </w:rPr>
        <w:t xml:space="preserve">; </w:t>
      </w:r>
    </w:p>
    <w:p w14:paraId="2BECAEB1" w14:textId="77777777" w:rsidR="00B161A0" w:rsidRPr="00B161A0" w:rsidRDefault="00B161A0" w:rsidP="00B161A0">
      <w:pPr>
        <w:numPr>
          <w:ilvl w:val="0"/>
          <w:numId w:val="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Advance–</w:t>
      </w:r>
      <w:proofErr w:type="spellStart"/>
      <w:r w:rsidRPr="00B161A0">
        <w:rPr>
          <w:rFonts w:ascii="Times New Roman" w:eastAsia="Times New Roman" w:hAnsi="Times New Roman" w:cs="Times New Roman"/>
          <w:b/>
          <w:bCs/>
          <w:kern w:val="0"/>
          <w:lang w:eastAsia="it-IT"/>
          <w14:ligatures w14:val="none"/>
        </w:rPr>
        <w:t>Decline</w:t>
      </w:r>
      <w:proofErr w:type="spellEnd"/>
      <w:r w:rsidRPr="00B161A0">
        <w:rPr>
          <w:rFonts w:ascii="Times New Roman" w:eastAsia="Times New Roman" w:hAnsi="Times New Roman" w:cs="Times New Roman"/>
          <w:b/>
          <w:bCs/>
          <w:kern w:val="0"/>
          <w:lang w:eastAsia="it-IT"/>
          <w14:ligatures w14:val="none"/>
        </w:rPr>
        <w:t xml:space="preserve"> Line NYSE</w:t>
      </w:r>
      <w:r w:rsidRPr="00B161A0">
        <w:rPr>
          <w:rFonts w:ascii="Times New Roman" w:eastAsia="Times New Roman" w:hAnsi="Times New Roman" w:cs="Times New Roman"/>
          <w:kern w:val="0"/>
          <w:lang w:eastAsia="it-IT"/>
          <w14:ligatures w14:val="none"/>
        </w:rPr>
        <w:t xml:space="preserve">; </w:t>
      </w:r>
    </w:p>
    <w:p w14:paraId="31F68FEC" w14:textId="77777777" w:rsidR="00B161A0" w:rsidRPr="00B161A0" w:rsidRDefault="00B161A0" w:rsidP="00B161A0">
      <w:pPr>
        <w:numPr>
          <w:ilvl w:val="0"/>
          <w:numId w:val="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rapporto RSP/SPY</w:t>
      </w:r>
      <w:r w:rsidRPr="00B161A0">
        <w:rPr>
          <w:rFonts w:ascii="Times New Roman" w:eastAsia="Times New Roman" w:hAnsi="Times New Roman" w:cs="Times New Roman"/>
          <w:kern w:val="0"/>
          <w:lang w:eastAsia="it-IT"/>
          <w14:ligatures w14:val="none"/>
        </w:rPr>
        <w:t xml:space="preserve">; </w:t>
      </w:r>
    </w:p>
    <w:p w14:paraId="5AFC1F7C" w14:textId="77777777" w:rsidR="00B161A0" w:rsidRPr="00B161A0" w:rsidRDefault="00B161A0" w:rsidP="00B161A0">
      <w:pPr>
        <w:numPr>
          <w:ilvl w:val="0"/>
          <w:numId w:val="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rapporto IWM/SPY</w:t>
      </w:r>
      <w:r w:rsidRPr="00B161A0">
        <w:rPr>
          <w:rFonts w:ascii="Times New Roman" w:eastAsia="Times New Roman" w:hAnsi="Times New Roman" w:cs="Times New Roman"/>
          <w:kern w:val="0"/>
          <w:lang w:eastAsia="it-IT"/>
          <w14:ligatures w14:val="none"/>
        </w:rPr>
        <w:t xml:space="preserve">; </w:t>
      </w:r>
    </w:p>
    <w:p w14:paraId="1550AE38" w14:textId="77777777" w:rsidR="00B161A0" w:rsidRPr="00B161A0" w:rsidRDefault="00B161A0" w:rsidP="00B161A0">
      <w:pPr>
        <w:numPr>
          <w:ilvl w:val="0"/>
          <w:numId w:val="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eventualmente </w:t>
      </w:r>
      <w:r w:rsidRPr="00B161A0">
        <w:rPr>
          <w:rFonts w:ascii="Times New Roman" w:eastAsia="Times New Roman" w:hAnsi="Times New Roman" w:cs="Times New Roman"/>
          <w:b/>
          <w:bCs/>
          <w:kern w:val="0"/>
          <w:lang w:eastAsia="it-IT"/>
          <w14:ligatures w14:val="none"/>
        </w:rPr>
        <w:t xml:space="preserve">Nasdaq 100 </w:t>
      </w:r>
      <w:proofErr w:type="spellStart"/>
      <w:r w:rsidRPr="00B161A0">
        <w:rPr>
          <w:rFonts w:ascii="Times New Roman" w:eastAsia="Times New Roman" w:hAnsi="Times New Roman" w:cs="Times New Roman"/>
          <w:b/>
          <w:bCs/>
          <w:kern w:val="0"/>
          <w:lang w:eastAsia="it-IT"/>
          <w14:ligatures w14:val="none"/>
        </w:rPr>
        <w:t>Equal</w:t>
      </w:r>
      <w:proofErr w:type="spellEnd"/>
      <w:r w:rsidRPr="00B161A0">
        <w:rPr>
          <w:rFonts w:ascii="Times New Roman" w:eastAsia="Times New Roman" w:hAnsi="Times New Roman" w:cs="Times New Roman"/>
          <w:b/>
          <w:bCs/>
          <w:kern w:val="0"/>
          <w:lang w:eastAsia="it-IT"/>
          <w14:ligatures w14:val="none"/>
        </w:rPr>
        <w:t xml:space="preserve"> Weight/QQQ</w:t>
      </w:r>
      <w:r w:rsidRPr="00B161A0">
        <w:rPr>
          <w:rFonts w:ascii="Times New Roman" w:eastAsia="Times New Roman" w:hAnsi="Times New Roman" w:cs="Times New Roman"/>
          <w:kern w:val="0"/>
          <w:lang w:eastAsia="it-IT"/>
          <w14:ligatures w14:val="none"/>
        </w:rPr>
        <w:t xml:space="preserve">. </w:t>
      </w:r>
    </w:p>
    <w:p w14:paraId="53384979"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Interpretazione:</w:t>
      </w:r>
    </w:p>
    <w:p w14:paraId="31678A77" w14:textId="77777777" w:rsidR="00B161A0" w:rsidRPr="00B161A0" w:rsidRDefault="00B161A0" w:rsidP="00B161A0">
      <w:pPr>
        <w:numPr>
          <w:ilvl w:val="0"/>
          <w:numId w:val="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SPY sale e RSP/SPY sale: rialzo ampio e sano; </w:t>
      </w:r>
    </w:p>
    <w:p w14:paraId="6C37B319" w14:textId="77777777" w:rsidR="00B161A0" w:rsidRPr="00B161A0" w:rsidRDefault="00B161A0" w:rsidP="00B161A0">
      <w:pPr>
        <w:numPr>
          <w:ilvl w:val="0"/>
          <w:numId w:val="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SPY sale ma RSP/SPY scende: crescente concentrazione nelle mega-</w:t>
      </w:r>
      <w:proofErr w:type="spellStart"/>
      <w:r w:rsidRPr="00B161A0">
        <w:rPr>
          <w:rFonts w:ascii="Times New Roman" w:eastAsia="Times New Roman" w:hAnsi="Times New Roman" w:cs="Times New Roman"/>
          <w:kern w:val="0"/>
          <w:lang w:eastAsia="it-IT"/>
          <w14:ligatures w14:val="none"/>
        </w:rPr>
        <w:t>cap</w:t>
      </w:r>
      <w:proofErr w:type="spellEnd"/>
      <w:r w:rsidRPr="00B161A0">
        <w:rPr>
          <w:rFonts w:ascii="Times New Roman" w:eastAsia="Times New Roman" w:hAnsi="Times New Roman" w:cs="Times New Roman"/>
          <w:kern w:val="0"/>
          <w:lang w:eastAsia="it-IT"/>
          <w14:ligatures w14:val="none"/>
        </w:rPr>
        <w:t xml:space="preserve">; </w:t>
      </w:r>
    </w:p>
    <w:p w14:paraId="2FDEA4F1" w14:textId="77777777" w:rsidR="00B161A0" w:rsidRPr="00B161A0" w:rsidRDefault="00B161A0" w:rsidP="00B161A0">
      <w:pPr>
        <w:numPr>
          <w:ilvl w:val="0"/>
          <w:numId w:val="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IWM/SPY sale: maggiore fiducia nella crescita interna e nelle società più rischiose; </w:t>
      </w:r>
    </w:p>
    <w:p w14:paraId="0B6A89E5" w14:textId="77777777" w:rsidR="00B161A0" w:rsidRPr="00B161A0" w:rsidRDefault="00B161A0" w:rsidP="00B161A0">
      <w:pPr>
        <w:numPr>
          <w:ilvl w:val="0"/>
          <w:numId w:val="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SPY sale ma </w:t>
      </w:r>
      <w:proofErr w:type="spellStart"/>
      <w:r w:rsidRPr="00B161A0">
        <w:rPr>
          <w:rFonts w:ascii="Times New Roman" w:eastAsia="Times New Roman" w:hAnsi="Times New Roman" w:cs="Times New Roman"/>
          <w:kern w:val="0"/>
          <w:lang w:eastAsia="it-IT"/>
          <w14:ligatures w14:val="none"/>
        </w:rPr>
        <w:t>breadth</w:t>
      </w:r>
      <w:proofErr w:type="spellEnd"/>
      <w:r w:rsidRPr="00B161A0">
        <w:rPr>
          <w:rFonts w:ascii="Times New Roman" w:eastAsia="Times New Roman" w:hAnsi="Times New Roman" w:cs="Times New Roman"/>
          <w:kern w:val="0"/>
          <w:lang w:eastAsia="it-IT"/>
          <w14:ligatures w14:val="none"/>
        </w:rPr>
        <w:t xml:space="preserve"> e small </w:t>
      </w:r>
      <w:proofErr w:type="spellStart"/>
      <w:r w:rsidRPr="00B161A0">
        <w:rPr>
          <w:rFonts w:ascii="Times New Roman" w:eastAsia="Times New Roman" w:hAnsi="Times New Roman" w:cs="Times New Roman"/>
          <w:kern w:val="0"/>
          <w:lang w:eastAsia="it-IT"/>
          <w14:ligatures w14:val="none"/>
        </w:rPr>
        <w:t>cap</w:t>
      </w:r>
      <w:proofErr w:type="spellEnd"/>
      <w:r w:rsidRPr="00B161A0">
        <w:rPr>
          <w:rFonts w:ascii="Times New Roman" w:eastAsia="Times New Roman" w:hAnsi="Times New Roman" w:cs="Times New Roman"/>
          <w:kern w:val="0"/>
          <w:lang w:eastAsia="it-IT"/>
          <w14:ligatures w14:val="none"/>
        </w:rPr>
        <w:t xml:space="preserve"> peggiorano: mercato apparentemente forte ma più fragile. </w:t>
      </w:r>
    </w:p>
    <w:p w14:paraId="1138CF97"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La dashboard deve evitare di contare RSP/SPY, IWM/SPY e </w:t>
      </w:r>
      <w:proofErr w:type="spellStart"/>
      <w:r w:rsidRPr="00B161A0">
        <w:rPr>
          <w:rFonts w:ascii="Times New Roman" w:eastAsia="Times New Roman" w:hAnsi="Times New Roman" w:cs="Times New Roman"/>
          <w:kern w:val="0"/>
          <w:lang w:eastAsia="it-IT"/>
          <w14:ligatures w14:val="none"/>
        </w:rPr>
        <w:t>breadth</w:t>
      </w:r>
      <w:proofErr w:type="spellEnd"/>
      <w:r w:rsidRPr="00B161A0">
        <w:rPr>
          <w:rFonts w:ascii="Times New Roman" w:eastAsia="Times New Roman" w:hAnsi="Times New Roman" w:cs="Times New Roman"/>
          <w:kern w:val="0"/>
          <w:lang w:eastAsia="it-IT"/>
          <w14:ligatures w14:val="none"/>
        </w:rPr>
        <w:t xml:space="preserve"> come tre segnali completamente indipendenti: descrivono in parte lo stesso fenomeno.</w:t>
      </w:r>
    </w:p>
    <w:p w14:paraId="4B808C93" w14:textId="77777777" w:rsidR="00B161A0" w:rsidRPr="00B161A0" w:rsidRDefault="00B161A0" w:rsidP="00B161A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161A0">
        <w:rPr>
          <w:rFonts w:ascii="Times New Roman" w:eastAsia="Times New Roman" w:hAnsi="Times New Roman" w:cs="Times New Roman"/>
          <w:b/>
          <w:bCs/>
          <w:kern w:val="0"/>
          <w:sz w:val="27"/>
          <w:szCs w:val="27"/>
          <w:lang w:eastAsia="it-IT"/>
          <w14:ligatures w14:val="none"/>
        </w:rPr>
        <w:t>C. Volatilità e paura</w:t>
      </w:r>
    </w:p>
    <w:p w14:paraId="1D9DD080"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Indicatori:</w:t>
      </w:r>
    </w:p>
    <w:p w14:paraId="4A5483F5" w14:textId="77777777" w:rsidR="00B161A0" w:rsidRPr="00B161A0" w:rsidRDefault="00B161A0" w:rsidP="00B161A0">
      <w:pPr>
        <w:numPr>
          <w:ilvl w:val="0"/>
          <w:numId w:val="6"/>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VIX</w:t>
      </w:r>
      <w:r w:rsidRPr="00B161A0">
        <w:rPr>
          <w:rFonts w:ascii="Times New Roman" w:eastAsia="Times New Roman" w:hAnsi="Times New Roman" w:cs="Times New Roman"/>
          <w:kern w:val="0"/>
          <w:lang w:eastAsia="it-IT"/>
          <w14:ligatures w14:val="none"/>
        </w:rPr>
        <w:t xml:space="preserve">; </w:t>
      </w:r>
    </w:p>
    <w:p w14:paraId="27573675" w14:textId="77777777" w:rsidR="00B161A0" w:rsidRPr="00B161A0" w:rsidRDefault="00B161A0" w:rsidP="00B161A0">
      <w:pPr>
        <w:numPr>
          <w:ilvl w:val="0"/>
          <w:numId w:val="6"/>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percentile del VIX rispetto agli ultimi cinque anni; </w:t>
      </w:r>
    </w:p>
    <w:p w14:paraId="57D0E1EC" w14:textId="77777777" w:rsidR="00B161A0" w:rsidRPr="00B161A0" w:rsidRDefault="00B161A0" w:rsidP="00B161A0">
      <w:pPr>
        <w:numPr>
          <w:ilvl w:val="0"/>
          <w:numId w:val="6"/>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VIX/VIX3M</w:t>
      </w:r>
      <w:r w:rsidRPr="00B161A0">
        <w:rPr>
          <w:rFonts w:ascii="Times New Roman" w:eastAsia="Times New Roman" w:hAnsi="Times New Roman" w:cs="Times New Roman"/>
          <w:kern w:val="0"/>
          <w:lang w:eastAsia="it-IT"/>
          <w14:ligatures w14:val="none"/>
        </w:rPr>
        <w:t xml:space="preserve">, cioè volatilità a breve rispetto a quella a tre mesi; </w:t>
      </w:r>
    </w:p>
    <w:p w14:paraId="0377F627" w14:textId="77777777" w:rsidR="00B161A0" w:rsidRPr="00B161A0" w:rsidRDefault="00B161A0" w:rsidP="00B161A0">
      <w:pPr>
        <w:numPr>
          <w:ilvl w:val="0"/>
          <w:numId w:val="6"/>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variazione del VIX in 5 e 20 sedute; </w:t>
      </w:r>
    </w:p>
    <w:p w14:paraId="2C2ADA5C" w14:textId="77777777" w:rsidR="00B161A0" w:rsidRPr="00B161A0" w:rsidRDefault="00B161A0" w:rsidP="00B161A0">
      <w:pPr>
        <w:numPr>
          <w:ilvl w:val="0"/>
          <w:numId w:val="6"/>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volatilità realizzata dell’S&amp;P 500. </w:t>
      </w:r>
    </w:p>
    <w:p w14:paraId="0307CB00"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Il VIX misura la volatilità attesa a circa 30 giorni ricavata dalle opzioni sull’S&amp;P 500. </w:t>
      </w:r>
    </w:p>
    <w:p w14:paraId="5D036EBA"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Meglio evitare una regola rigida del tipo “VIX sopra 30 = rosso”. Userei:</w:t>
      </w:r>
    </w:p>
    <w:p w14:paraId="67BBCA75" w14:textId="77777777" w:rsidR="00B161A0" w:rsidRPr="00B161A0" w:rsidRDefault="00B161A0" w:rsidP="00B161A0">
      <w:pPr>
        <w:numPr>
          <w:ilvl w:val="0"/>
          <w:numId w:val="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livello storico percentile; </w:t>
      </w:r>
    </w:p>
    <w:p w14:paraId="2A52E922" w14:textId="77777777" w:rsidR="00B161A0" w:rsidRPr="00B161A0" w:rsidRDefault="00B161A0" w:rsidP="00B161A0">
      <w:pPr>
        <w:numPr>
          <w:ilvl w:val="0"/>
          <w:numId w:val="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velocità dell’aumento; </w:t>
      </w:r>
    </w:p>
    <w:p w14:paraId="49C69624" w14:textId="77777777" w:rsidR="00B161A0" w:rsidRPr="00B161A0" w:rsidRDefault="00B161A0" w:rsidP="00B161A0">
      <w:pPr>
        <w:numPr>
          <w:ilvl w:val="0"/>
          <w:numId w:val="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struttura a termine. </w:t>
      </w:r>
    </w:p>
    <w:p w14:paraId="627AC648"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Un VIX molto alto può indicare rischio immediato, ma anche che una parte rilevante del panico è già stata incorporata nei prezzi. Perciò il VIX alimenterà contemporaneamente il </w:t>
      </w:r>
      <w:r w:rsidRPr="00B161A0">
        <w:rPr>
          <w:rFonts w:ascii="Times New Roman" w:eastAsia="Times New Roman" w:hAnsi="Times New Roman" w:cs="Times New Roman"/>
          <w:b/>
          <w:bCs/>
          <w:kern w:val="0"/>
          <w:lang w:eastAsia="it-IT"/>
          <w14:ligatures w14:val="none"/>
        </w:rPr>
        <w:t>segnale di rischio</w:t>
      </w:r>
      <w:r w:rsidRPr="00B161A0">
        <w:rPr>
          <w:rFonts w:ascii="Times New Roman" w:eastAsia="Times New Roman" w:hAnsi="Times New Roman" w:cs="Times New Roman"/>
          <w:kern w:val="0"/>
          <w:lang w:eastAsia="it-IT"/>
          <w14:ligatures w14:val="none"/>
        </w:rPr>
        <w:t xml:space="preserve"> e, in senso opposto, il </w:t>
      </w:r>
      <w:r w:rsidRPr="00B161A0">
        <w:rPr>
          <w:rFonts w:ascii="Times New Roman" w:eastAsia="Times New Roman" w:hAnsi="Times New Roman" w:cs="Times New Roman"/>
          <w:b/>
          <w:bCs/>
          <w:kern w:val="0"/>
          <w:lang w:eastAsia="it-IT"/>
          <w14:ligatures w14:val="none"/>
        </w:rPr>
        <w:t>segnale di opportunità</w:t>
      </w:r>
      <w:r w:rsidRPr="00B161A0">
        <w:rPr>
          <w:rFonts w:ascii="Times New Roman" w:eastAsia="Times New Roman" w:hAnsi="Times New Roman" w:cs="Times New Roman"/>
          <w:kern w:val="0"/>
          <w:lang w:eastAsia="it-IT"/>
          <w14:ligatures w14:val="none"/>
        </w:rPr>
        <w:t>.</w:t>
      </w:r>
    </w:p>
    <w:p w14:paraId="1B15A4E1" w14:textId="77777777" w:rsidR="00B161A0" w:rsidRPr="00B161A0" w:rsidRDefault="00B161A0" w:rsidP="00B161A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161A0">
        <w:rPr>
          <w:rFonts w:ascii="Times New Roman" w:eastAsia="Times New Roman" w:hAnsi="Times New Roman" w:cs="Times New Roman"/>
          <w:b/>
          <w:bCs/>
          <w:kern w:val="0"/>
          <w:sz w:val="27"/>
          <w:szCs w:val="27"/>
          <w:lang w:eastAsia="it-IT"/>
          <w14:ligatures w14:val="none"/>
        </w:rPr>
        <w:t>D. Credito</w:t>
      </w:r>
    </w:p>
    <w:p w14:paraId="286314B8"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lastRenderedPageBreak/>
        <w:t>Indicatori fondamentali:</w:t>
      </w:r>
    </w:p>
    <w:p w14:paraId="7C1EAD88" w14:textId="77777777" w:rsidR="00B161A0" w:rsidRPr="00B161A0" w:rsidRDefault="00B161A0" w:rsidP="00B161A0">
      <w:pPr>
        <w:numPr>
          <w:ilvl w:val="0"/>
          <w:numId w:val="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ICE BofA US High Yield Option-</w:t>
      </w:r>
      <w:proofErr w:type="spellStart"/>
      <w:r w:rsidRPr="00B161A0">
        <w:rPr>
          <w:rFonts w:ascii="Times New Roman" w:eastAsia="Times New Roman" w:hAnsi="Times New Roman" w:cs="Times New Roman"/>
          <w:b/>
          <w:bCs/>
          <w:kern w:val="0"/>
          <w:lang w:eastAsia="it-IT"/>
          <w14:ligatures w14:val="none"/>
        </w:rPr>
        <w:t>Adjusted</w:t>
      </w:r>
      <w:proofErr w:type="spellEnd"/>
      <w:r w:rsidRPr="00B161A0">
        <w:rPr>
          <w:rFonts w:ascii="Times New Roman" w:eastAsia="Times New Roman" w:hAnsi="Times New Roman" w:cs="Times New Roman"/>
          <w:b/>
          <w:bCs/>
          <w:kern w:val="0"/>
          <w:lang w:eastAsia="it-IT"/>
          <w14:ligatures w14:val="none"/>
        </w:rPr>
        <w:t xml:space="preserve"> Spread</w:t>
      </w:r>
      <w:r w:rsidRPr="00B161A0">
        <w:rPr>
          <w:rFonts w:ascii="Times New Roman" w:eastAsia="Times New Roman" w:hAnsi="Times New Roman" w:cs="Times New Roman"/>
          <w:kern w:val="0"/>
          <w:lang w:eastAsia="it-IT"/>
          <w14:ligatures w14:val="none"/>
        </w:rPr>
        <w:t xml:space="preserve">, serie FRED </w:t>
      </w:r>
      <w:r w:rsidRPr="00B161A0">
        <w:rPr>
          <w:rFonts w:ascii="Courier New" w:eastAsia="Times New Roman" w:hAnsi="Courier New" w:cs="Courier New"/>
          <w:kern w:val="0"/>
          <w:sz w:val="20"/>
          <w:szCs w:val="20"/>
          <w:lang w:eastAsia="it-IT"/>
          <w14:ligatures w14:val="none"/>
        </w:rPr>
        <w:t>BAMLH0A0HYM2</w:t>
      </w:r>
      <w:r w:rsidRPr="00B161A0">
        <w:rPr>
          <w:rFonts w:ascii="Times New Roman" w:eastAsia="Times New Roman" w:hAnsi="Times New Roman" w:cs="Times New Roman"/>
          <w:kern w:val="0"/>
          <w:lang w:eastAsia="it-IT"/>
          <w14:ligatures w14:val="none"/>
        </w:rPr>
        <w:t xml:space="preserve">; </w:t>
      </w:r>
    </w:p>
    <w:p w14:paraId="3FF440AE" w14:textId="77777777" w:rsidR="00B161A0" w:rsidRPr="00B161A0" w:rsidRDefault="00B161A0" w:rsidP="00B161A0">
      <w:pPr>
        <w:numPr>
          <w:ilvl w:val="0"/>
          <w:numId w:val="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variazione dello spread negli ultimi 20 e 60 giorni; </w:t>
      </w:r>
    </w:p>
    <w:p w14:paraId="186219DF" w14:textId="77777777" w:rsidR="00B161A0" w:rsidRPr="00B161A0" w:rsidRDefault="00B161A0" w:rsidP="00B161A0">
      <w:pPr>
        <w:numPr>
          <w:ilvl w:val="0"/>
          <w:numId w:val="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percentile dello spread su dieci anni; </w:t>
      </w:r>
    </w:p>
    <w:p w14:paraId="06873E81" w14:textId="77777777" w:rsidR="00B161A0" w:rsidRPr="00B161A0" w:rsidRDefault="00B161A0" w:rsidP="00B161A0">
      <w:pPr>
        <w:numPr>
          <w:ilvl w:val="0"/>
          <w:numId w:val="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rapporto </w:t>
      </w:r>
      <w:r w:rsidRPr="00B161A0">
        <w:rPr>
          <w:rFonts w:ascii="Times New Roman" w:eastAsia="Times New Roman" w:hAnsi="Times New Roman" w:cs="Times New Roman"/>
          <w:b/>
          <w:bCs/>
          <w:kern w:val="0"/>
          <w:lang w:eastAsia="it-IT"/>
          <w14:ligatures w14:val="none"/>
        </w:rPr>
        <w:t>HYG/IEF</w:t>
      </w:r>
      <w:r w:rsidRPr="00B161A0">
        <w:rPr>
          <w:rFonts w:ascii="Times New Roman" w:eastAsia="Times New Roman" w:hAnsi="Times New Roman" w:cs="Times New Roman"/>
          <w:kern w:val="0"/>
          <w:lang w:eastAsia="it-IT"/>
          <w14:ligatures w14:val="none"/>
        </w:rPr>
        <w:t xml:space="preserve">; </w:t>
      </w:r>
    </w:p>
    <w:p w14:paraId="0D75A113" w14:textId="77777777" w:rsidR="00B161A0" w:rsidRPr="00B161A0" w:rsidRDefault="00B161A0" w:rsidP="00B161A0">
      <w:pPr>
        <w:numPr>
          <w:ilvl w:val="0"/>
          <w:numId w:val="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eventualmente spread delle obbligazioni CCC. </w:t>
      </w:r>
    </w:p>
    <w:p w14:paraId="74B110F1"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Lo spread high yield misura il premio richiesto dal mercato per detenere obbligazioni societarie speculative rispetto ai Treasury. Quando sale rapidamente, spesso segnala che il rischio percepito sta aumentando anche se gli indici azionari non sono ancora crollati. </w:t>
      </w:r>
    </w:p>
    <w:p w14:paraId="47E3F2D9"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Questo indicatore avrà più peso dell’RSI o del MACD.</w:t>
      </w:r>
    </w:p>
    <w:p w14:paraId="0EE84E12" w14:textId="77777777" w:rsidR="00B161A0" w:rsidRPr="00B161A0" w:rsidRDefault="00B161A0" w:rsidP="00B161A0">
      <w:pPr>
        <w:spacing w:before="100" w:beforeAutospacing="1" w:after="100" w:afterAutospacing="1" w:line="240" w:lineRule="auto"/>
        <w:outlineLvl w:val="1"/>
        <w:rPr>
          <w:rFonts w:ascii="Times New Roman" w:eastAsia="Times New Roman" w:hAnsi="Times New Roman" w:cs="Times New Roman"/>
          <w:b/>
          <w:bCs/>
          <w:kern w:val="0"/>
          <w:sz w:val="36"/>
          <w:szCs w:val="36"/>
          <w:lang w:eastAsia="it-IT"/>
          <w14:ligatures w14:val="none"/>
        </w:rPr>
      </w:pPr>
      <w:r w:rsidRPr="00B161A0">
        <w:rPr>
          <w:rFonts w:ascii="Times New Roman" w:eastAsia="Times New Roman" w:hAnsi="Times New Roman" w:cs="Times New Roman"/>
          <w:b/>
          <w:bCs/>
          <w:kern w:val="0"/>
          <w:sz w:val="36"/>
          <w:szCs w:val="36"/>
          <w:lang w:eastAsia="it-IT"/>
          <w14:ligatures w14:val="none"/>
        </w:rPr>
        <w:t>3. Indicatori macroeconomici</w:t>
      </w:r>
    </w:p>
    <w:p w14:paraId="0107B6D9" w14:textId="77777777" w:rsidR="00B161A0" w:rsidRPr="00B161A0" w:rsidRDefault="00B161A0" w:rsidP="00B161A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161A0">
        <w:rPr>
          <w:rFonts w:ascii="Times New Roman" w:eastAsia="Times New Roman" w:hAnsi="Times New Roman" w:cs="Times New Roman"/>
          <w:b/>
          <w:bCs/>
          <w:kern w:val="0"/>
          <w:sz w:val="27"/>
          <w:szCs w:val="27"/>
          <w:lang w:eastAsia="it-IT"/>
          <w14:ligatures w14:val="none"/>
        </w:rPr>
        <w:t>A. Mercato del lavoro</w:t>
      </w:r>
    </w:p>
    <w:p w14:paraId="1FFE600D"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Non userei il semplice livello della disoccupazione come segnale principale.</w:t>
      </w:r>
    </w:p>
    <w:p w14:paraId="7CB7958E"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Utilizzerei:</w:t>
      </w:r>
    </w:p>
    <w:p w14:paraId="29F17531" w14:textId="77777777" w:rsidR="00B161A0" w:rsidRPr="00B161A0" w:rsidRDefault="00B161A0" w:rsidP="00B161A0">
      <w:pPr>
        <w:numPr>
          <w:ilvl w:val="0"/>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proofErr w:type="spellStart"/>
      <w:r w:rsidRPr="00B161A0">
        <w:rPr>
          <w:rFonts w:ascii="Times New Roman" w:eastAsia="Times New Roman" w:hAnsi="Times New Roman" w:cs="Times New Roman"/>
          <w:b/>
          <w:bCs/>
          <w:kern w:val="0"/>
          <w:lang w:eastAsia="it-IT"/>
          <w14:ligatures w14:val="none"/>
        </w:rPr>
        <w:t>Sahm</w:t>
      </w:r>
      <w:proofErr w:type="spellEnd"/>
      <w:r w:rsidRPr="00B161A0">
        <w:rPr>
          <w:rFonts w:ascii="Times New Roman" w:eastAsia="Times New Roman" w:hAnsi="Times New Roman" w:cs="Times New Roman"/>
          <w:b/>
          <w:bCs/>
          <w:kern w:val="0"/>
          <w:lang w:eastAsia="it-IT"/>
          <w14:ligatures w14:val="none"/>
        </w:rPr>
        <w:t xml:space="preserve"> Rule</w:t>
      </w:r>
      <w:r w:rsidRPr="00B161A0">
        <w:rPr>
          <w:rFonts w:ascii="Times New Roman" w:eastAsia="Times New Roman" w:hAnsi="Times New Roman" w:cs="Times New Roman"/>
          <w:kern w:val="0"/>
          <w:lang w:eastAsia="it-IT"/>
          <w14:ligatures w14:val="none"/>
        </w:rPr>
        <w:t xml:space="preserve">, serie FRED </w:t>
      </w:r>
      <w:r w:rsidRPr="00B161A0">
        <w:rPr>
          <w:rFonts w:ascii="Courier New" w:eastAsia="Times New Roman" w:hAnsi="Courier New" w:cs="Courier New"/>
          <w:kern w:val="0"/>
          <w:sz w:val="20"/>
          <w:szCs w:val="20"/>
          <w:lang w:eastAsia="it-IT"/>
          <w14:ligatures w14:val="none"/>
        </w:rPr>
        <w:t>SAHMREALTIME</w:t>
      </w:r>
      <w:r w:rsidRPr="00B161A0">
        <w:rPr>
          <w:rFonts w:ascii="Times New Roman" w:eastAsia="Times New Roman" w:hAnsi="Times New Roman" w:cs="Times New Roman"/>
          <w:kern w:val="0"/>
          <w:lang w:eastAsia="it-IT"/>
          <w14:ligatures w14:val="none"/>
        </w:rPr>
        <w:t xml:space="preserve">; </w:t>
      </w:r>
    </w:p>
    <w:p w14:paraId="2F2999C4" w14:textId="77777777" w:rsidR="00B161A0" w:rsidRPr="00B161A0" w:rsidRDefault="00B161A0" w:rsidP="00B161A0">
      <w:pPr>
        <w:numPr>
          <w:ilvl w:val="0"/>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media a quattro settimane delle richieste iniziali di sussidio, </w:t>
      </w:r>
      <w:r w:rsidRPr="00B161A0">
        <w:rPr>
          <w:rFonts w:ascii="Courier New" w:eastAsia="Times New Roman" w:hAnsi="Courier New" w:cs="Courier New"/>
          <w:kern w:val="0"/>
          <w:sz w:val="20"/>
          <w:szCs w:val="20"/>
          <w:lang w:eastAsia="it-IT"/>
          <w14:ligatures w14:val="none"/>
        </w:rPr>
        <w:t>IC4WSA</w:t>
      </w:r>
      <w:r w:rsidRPr="00B161A0">
        <w:rPr>
          <w:rFonts w:ascii="Times New Roman" w:eastAsia="Times New Roman" w:hAnsi="Times New Roman" w:cs="Times New Roman"/>
          <w:kern w:val="0"/>
          <w:lang w:eastAsia="it-IT"/>
          <w14:ligatures w14:val="none"/>
        </w:rPr>
        <w:t xml:space="preserve">; </w:t>
      </w:r>
    </w:p>
    <w:p w14:paraId="69FCBA2F" w14:textId="77777777" w:rsidR="00B161A0" w:rsidRPr="00B161A0" w:rsidRDefault="00B161A0" w:rsidP="00B161A0">
      <w:pPr>
        <w:numPr>
          <w:ilvl w:val="0"/>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crescita percentuale dei </w:t>
      </w:r>
      <w:proofErr w:type="spellStart"/>
      <w:r w:rsidRPr="00B161A0">
        <w:rPr>
          <w:rFonts w:ascii="Times New Roman" w:eastAsia="Times New Roman" w:hAnsi="Times New Roman" w:cs="Times New Roman"/>
          <w:kern w:val="0"/>
          <w:lang w:eastAsia="it-IT"/>
          <w14:ligatures w14:val="none"/>
        </w:rPr>
        <w:t>claims</w:t>
      </w:r>
      <w:proofErr w:type="spellEnd"/>
      <w:r w:rsidRPr="00B161A0">
        <w:rPr>
          <w:rFonts w:ascii="Times New Roman" w:eastAsia="Times New Roman" w:hAnsi="Times New Roman" w:cs="Times New Roman"/>
          <w:kern w:val="0"/>
          <w:lang w:eastAsia="it-IT"/>
          <w14:ligatures w14:val="none"/>
        </w:rPr>
        <w:t xml:space="preserve"> rispetto a 13 e 52 settimane prima; </w:t>
      </w:r>
    </w:p>
    <w:p w14:paraId="1F7F8FF1" w14:textId="77777777" w:rsidR="00B161A0" w:rsidRPr="00B161A0" w:rsidRDefault="00B161A0" w:rsidP="00B161A0">
      <w:pPr>
        <w:numPr>
          <w:ilvl w:val="0"/>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payroll e tasso di disoccupazione come dati informativi. </w:t>
      </w:r>
    </w:p>
    <w:p w14:paraId="7BC1D57B"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La </w:t>
      </w:r>
      <w:proofErr w:type="spellStart"/>
      <w:r w:rsidRPr="00B161A0">
        <w:rPr>
          <w:rFonts w:ascii="Times New Roman" w:eastAsia="Times New Roman" w:hAnsi="Times New Roman" w:cs="Times New Roman"/>
          <w:kern w:val="0"/>
          <w:lang w:eastAsia="it-IT"/>
          <w14:ligatures w14:val="none"/>
        </w:rPr>
        <w:t>Sahm</w:t>
      </w:r>
      <w:proofErr w:type="spellEnd"/>
      <w:r w:rsidRPr="00B161A0">
        <w:rPr>
          <w:rFonts w:ascii="Times New Roman" w:eastAsia="Times New Roman" w:hAnsi="Times New Roman" w:cs="Times New Roman"/>
          <w:kern w:val="0"/>
          <w:lang w:eastAsia="it-IT"/>
          <w14:ligatures w14:val="none"/>
        </w:rPr>
        <w:t xml:space="preserve"> Rule confronta la media mobile trimestrale della disoccupazione con il minimo dei dodici mesi precedenti e segnala recessione quando la differenza raggiunge 0,50 punti percentuali. </w:t>
      </w:r>
    </w:p>
    <w:p w14:paraId="5627D415"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I </w:t>
      </w:r>
      <w:proofErr w:type="spellStart"/>
      <w:r w:rsidRPr="00B161A0">
        <w:rPr>
          <w:rFonts w:ascii="Times New Roman" w:eastAsia="Times New Roman" w:hAnsi="Times New Roman" w:cs="Times New Roman"/>
          <w:kern w:val="0"/>
          <w:lang w:eastAsia="it-IT"/>
          <w14:ligatures w14:val="none"/>
        </w:rPr>
        <w:t>claims</w:t>
      </w:r>
      <w:proofErr w:type="spellEnd"/>
      <w:r w:rsidRPr="00B161A0">
        <w:rPr>
          <w:rFonts w:ascii="Times New Roman" w:eastAsia="Times New Roman" w:hAnsi="Times New Roman" w:cs="Times New Roman"/>
          <w:kern w:val="0"/>
          <w:lang w:eastAsia="it-IT"/>
          <w14:ligatures w14:val="none"/>
        </w:rPr>
        <w:t xml:space="preserve"> sono settimanali e quindi più tempestivi della disoccupazione mensile. </w:t>
      </w:r>
    </w:p>
    <w:p w14:paraId="510001F8" w14:textId="77777777" w:rsidR="00B161A0" w:rsidRPr="00B161A0" w:rsidRDefault="00B161A0" w:rsidP="00B161A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161A0">
        <w:rPr>
          <w:rFonts w:ascii="Times New Roman" w:eastAsia="Times New Roman" w:hAnsi="Times New Roman" w:cs="Times New Roman"/>
          <w:b/>
          <w:bCs/>
          <w:kern w:val="0"/>
          <w:sz w:val="27"/>
          <w:szCs w:val="27"/>
          <w:lang w:eastAsia="it-IT"/>
          <w14:ligatures w14:val="none"/>
        </w:rPr>
        <w:t>B. Ciclo economico</w:t>
      </w:r>
    </w:p>
    <w:p w14:paraId="085866DB"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Indicatore principale:</w:t>
      </w:r>
    </w:p>
    <w:p w14:paraId="426E9848" w14:textId="77777777" w:rsidR="00B161A0" w:rsidRPr="00B161A0" w:rsidRDefault="00B161A0" w:rsidP="00B161A0">
      <w:pPr>
        <w:numPr>
          <w:ilvl w:val="0"/>
          <w:numId w:val="10"/>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Chicago Fed National Activity Index, media a tre mesi</w:t>
      </w:r>
      <w:r w:rsidRPr="00B161A0">
        <w:rPr>
          <w:rFonts w:ascii="Times New Roman" w:eastAsia="Times New Roman" w:hAnsi="Times New Roman" w:cs="Times New Roman"/>
          <w:kern w:val="0"/>
          <w:lang w:eastAsia="it-IT"/>
          <w14:ligatures w14:val="none"/>
        </w:rPr>
        <w:t xml:space="preserve">, serie </w:t>
      </w:r>
      <w:r w:rsidRPr="00B161A0">
        <w:rPr>
          <w:rFonts w:ascii="Courier New" w:eastAsia="Times New Roman" w:hAnsi="Courier New" w:cs="Courier New"/>
          <w:kern w:val="0"/>
          <w:sz w:val="20"/>
          <w:szCs w:val="20"/>
          <w:lang w:eastAsia="it-IT"/>
          <w14:ligatures w14:val="none"/>
        </w:rPr>
        <w:t>CFNAIMA3</w:t>
      </w:r>
      <w:r w:rsidRPr="00B161A0">
        <w:rPr>
          <w:rFonts w:ascii="Times New Roman" w:eastAsia="Times New Roman" w:hAnsi="Times New Roman" w:cs="Times New Roman"/>
          <w:kern w:val="0"/>
          <w:lang w:eastAsia="it-IT"/>
          <w14:ligatures w14:val="none"/>
        </w:rPr>
        <w:t xml:space="preserve">. </w:t>
      </w:r>
    </w:p>
    <w:p w14:paraId="27D4C8E4"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È una sintesi di numerosi dati relativi a produzione, lavoro, consumi, abitazioni, vendite e ordini. La Chicago Fed lo descrive come un indicatore dell’attività economica complessiva e delle pressioni inflazionistiche. </w:t>
      </w:r>
    </w:p>
    <w:p w14:paraId="292B984A"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In questo modo evitiamo di inserire separatamente decine di dati macro correlati.</w:t>
      </w:r>
    </w:p>
    <w:p w14:paraId="087E10F9" w14:textId="77777777" w:rsidR="00B161A0" w:rsidRPr="00B161A0" w:rsidRDefault="00B161A0" w:rsidP="00B161A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161A0">
        <w:rPr>
          <w:rFonts w:ascii="Times New Roman" w:eastAsia="Times New Roman" w:hAnsi="Times New Roman" w:cs="Times New Roman"/>
          <w:b/>
          <w:bCs/>
          <w:kern w:val="0"/>
          <w:sz w:val="27"/>
          <w:szCs w:val="27"/>
          <w:lang w:eastAsia="it-IT"/>
          <w14:ligatures w14:val="none"/>
        </w:rPr>
        <w:t>C. Condizioni finanziarie</w:t>
      </w:r>
    </w:p>
    <w:p w14:paraId="675DDBE0"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Indicatori:</w:t>
      </w:r>
    </w:p>
    <w:p w14:paraId="16C8FBCA" w14:textId="77777777" w:rsidR="00B161A0" w:rsidRPr="00B161A0" w:rsidRDefault="00B161A0" w:rsidP="00B161A0">
      <w:pPr>
        <w:numPr>
          <w:ilvl w:val="0"/>
          <w:numId w:val="11"/>
        </w:numPr>
        <w:spacing w:before="100" w:beforeAutospacing="1" w:after="100" w:afterAutospacing="1" w:line="240" w:lineRule="auto"/>
        <w:rPr>
          <w:rFonts w:ascii="Times New Roman" w:eastAsia="Times New Roman" w:hAnsi="Times New Roman" w:cs="Times New Roman"/>
          <w:kern w:val="0"/>
          <w:lang w:eastAsia="it-IT"/>
          <w14:ligatures w14:val="none"/>
        </w:rPr>
      </w:pPr>
      <w:proofErr w:type="spellStart"/>
      <w:r w:rsidRPr="00B161A0">
        <w:rPr>
          <w:rFonts w:ascii="Times New Roman" w:eastAsia="Times New Roman" w:hAnsi="Times New Roman" w:cs="Times New Roman"/>
          <w:b/>
          <w:bCs/>
          <w:kern w:val="0"/>
          <w:lang w:eastAsia="it-IT"/>
          <w14:ligatures w14:val="none"/>
        </w:rPr>
        <w:t>Adjusted</w:t>
      </w:r>
      <w:proofErr w:type="spellEnd"/>
      <w:r w:rsidRPr="00B161A0">
        <w:rPr>
          <w:rFonts w:ascii="Times New Roman" w:eastAsia="Times New Roman" w:hAnsi="Times New Roman" w:cs="Times New Roman"/>
          <w:b/>
          <w:bCs/>
          <w:kern w:val="0"/>
          <w:lang w:eastAsia="it-IT"/>
          <w14:ligatures w14:val="none"/>
        </w:rPr>
        <w:t xml:space="preserve"> National Financial </w:t>
      </w:r>
      <w:proofErr w:type="spellStart"/>
      <w:r w:rsidRPr="00B161A0">
        <w:rPr>
          <w:rFonts w:ascii="Times New Roman" w:eastAsia="Times New Roman" w:hAnsi="Times New Roman" w:cs="Times New Roman"/>
          <w:b/>
          <w:bCs/>
          <w:kern w:val="0"/>
          <w:lang w:eastAsia="it-IT"/>
          <w14:ligatures w14:val="none"/>
        </w:rPr>
        <w:t>Conditions</w:t>
      </w:r>
      <w:proofErr w:type="spellEnd"/>
      <w:r w:rsidRPr="00B161A0">
        <w:rPr>
          <w:rFonts w:ascii="Times New Roman" w:eastAsia="Times New Roman" w:hAnsi="Times New Roman" w:cs="Times New Roman"/>
          <w:b/>
          <w:bCs/>
          <w:kern w:val="0"/>
          <w:lang w:eastAsia="it-IT"/>
          <w14:ligatures w14:val="none"/>
        </w:rPr>
        <w:t xml:space="preserve"> Index</w:t>
      </w:r>
      <w:r w:rsidRPr="00B161A0">
        <w:rPr>
          <w:rFonts w:ascii="Times New Roman" w:eastAsia="Times New Roman" w:hAnsi="Times New Roman" w:cs="Times New Roman"/>
          <w:kern w:val="0"/>
          <w:lang w:eastAsia="it-IT"/>
          <w14:ligatures w14:val="none"/>
        </w:rPr>
        <w:t xml:space="preserve">, </w:t>
      </w:r>
      <w:r w:rsidRPr="00B161A0">
        <w:rPr>
          <w:rFonts w:ascii="Courier New" w:eastAsia="Times New Roman" w:hAnsi="Courier New" w:cs="Courier New"/>
          <w:kern w:val="0"/>
          <w:sz w:val="20"/>
          <w:szCs w:val="20"/>
          <w:lang w:eastAsia="it-IT"/>
          <w14:ligatures w14:val="none"/>
        </w:rPr>
        <w:t>ANFCI</w:t>
      </w:r>
      <w:r w:rsidRPr="00B161A0">
        <w:rPr>
          <w:rFonts w:ascii="Times New Roman" w:eastAsia="Times New Roman" w:hAnsi="Times New Roman" w:cs="Times New Roman"/>
          <w:kern w:val="0"/>
          <w:lang w:eastAsia="it-IT"/>
          <w14:ligatures w14:val="none"/>
        </w:rPr>
        <w:t xml:space="preserve">; </w:t>
      </w:r>
    </w:p>
    <w:p w14:paraId="37703EF0" w14:textId="77777777" w:rsidR="00B161A0" w:rsidRPr="00B161A0" w:rsidRDefault="00B161A0" w:rsidP="00B161A0">
      <w:pPr>
        <w:numPr>
          <w:ilvl w:val="0"/>
          <w:numId w:val="1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oppure NFCI, </w:t>
      </w:r>
      <w:r w:rsidRPr="00B161A0">
        <w:rPr>
          <w:rFonts w:ascii="Courier New" w:eastAsia="Times New Roman" w:hAnsi="Courier New" w:cs="Courier New"/>
          <w:kern w:val="0"/>
          <w:sz w:val="20"/>
          <w:szCs w:val="20"/>
          <w:lang w:eastAsia="it-IT"/>
          <w14:ligatures w14:val="none"/>
        </w:rPr>
        <w:t>NFCI</w:t>
      </w:r>
      <w:r w:rsidRPr="00B161A0">
        <w:rPr>
          <w:rFonts w:ascii="Times New Roman" w:eastAsia="Times New Roman" w:hAnsi="Times New Roman" w:cs="Times New Roman"/>
          <w:kern w:val="0"/>
          <w:lang w:eastAsia="it-IT"/>
          <w14:ligatures w14:val="none"/>
        </w:rPr>
        <w:t xml:space="preserve">; </w:t>
      </w:r>
    </w:p>
    <w:p w14:paraId="682B4CC2" w14:textId="77777777" w:rsidR="00B161A0" w:rsidRPr="00B161A0" w:rsidRDefault="00B161A0" w:rsidP="00B161A0">
      <w:pPr>
        <w:numPr>
          <w:ilvl w:val="0"/>
          <w:numId w:val="1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lastRenderedPageBreak/>
        <w:t xml:space="preserve">variazione nelle ultime quattro settimane. </w:t>
      </w:r>
    </w:p>
    <w:p w14:paraId="602CAAEE"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Il NFCI combina condizioni nei mercati monetari, obbligazionari, azionari e nel sistema bancario. Valori positivi indicano condizioni più restrittive della media storica, valori negativi condizioni più accomodanti. </w:t>
      </w:r>
    </w:p>
    <w:p w14:paraId="2CA6615A" w14:textId="77777777" w:rsidR="00B161A0" w:rsidRPr="00B161A0" w:rsidRDefault="00B161A0" w:rsidP="00B161A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161A0">
        <w:rPr>
          <w:rFonts w:ascii="Times New Roman" w:eastAsia="Times New Roman" w:hAnsi="Times New Roman" w:cs="Times New Roman"/>
          <w:b/>
          <w:bCs/>
          <w:kern w:val="0"/>
          <w:sz w:val="27"/>
          <w:szCs w:val="27"/>
          <w:lang w:eastAsia="it-IT"/>
          <w14:ligatures w14:val="none"/>
        </w:rPr>
        <w:t>D. Curva dei rendimenti</w:t>
      </w:r>
    </w:p>
    <w:p w14:paraId="05F17AF6"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Indicatore:</w:t>
      </w:r>
    </w:p>
    <w:p w14:paraId="1C06EADD" w14:textId="77777777" w:rsidR="00B161A0" w:rsidRPr="00B161A0" w:rsidRDefault="00B161A0" w:rsidP="00B161A0">
      <w:pPr>
        <w:numPr>
          <w:ilvl w:val="0"/>
          <w:numId w:val="12"/>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differenziale Treasury 10 anni–3 mesi, serie </w:t>
      </w:r>
      <w:r w:rsidRPr="00B161A0">
        <w:rPr>
          <w:rFonts w:ascii="Courier New" w:eastAsia="Times New Roman" w:hAnsi="Courier New" w:cs="Courier New"/>
          <w:kern w:val="0"/>
          <w:sz w:val="20"/>
          <w:szCs w:val="20"/>
          <w:lang w:eastAsia="it-IT"/>
          <w14:ligatures w14:val="none"/>
        </w:rPr>
        <w:t>T10Y3M</w:t>
      </w:r>
      <w:r w:rsidRPr="00B161A0">
        <w:rPr>
          <w:rFonts w:ascii="Times New Roman" w:eastAsia="Times New Roman" w:hAnsi="Times New Roman" w:cs="Times New Roman"/>
          <w:kern w:val="0"/>
          <w:lang w:eastAsia="it-IT"/>
          <w14:ligatures w14:val="none"/>
        </w:rPr>
        <w:t xml:space="preserve">; </w:t>
      </w:r>
    </w:p>
    <w:p w14:paraId="506CDC4D" w14:textId="77777777" w:rsidR="00B161A0" w:rsidRPr="00B161A0" w:rsidRDefault="00B161A0" w:rsidP="00B161A0">
      <w:pPr>
        <w:numPr>
          <w:ilvl w:val="0"/>
          <w:numId w:val="12"/>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direzione della curva negli ultimi tre mesi; </w:t>
      </w:r>
    </w:p>
    <w:p w14:paraId="7B4C62C4" w14:textId="77777777" w:rsidR="00B161A0" w:rsidRPr="00B161A0" w:rsidRDefault="00B161A0" w:rsidP="00B161A0">
      <w:pPr>
        <w:numPr>
          <w:ilvl w:val="0"/>
          <w:numId w:val="12"/>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rendimento reale decennale, opzionale. </w:t>
      </w:r>
    </w:p>
    <w:p w14:paraId="3C75EF84"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La curva non va letta semplicemente come:</w:t>
      </w:r>
    </w:p>
    <w:p w14:paraId="13726D9A" w14:textId="77777777" w:rsidR="00B161A0" w:rsidRPr="00B161A0" w:rsidRDefault="00B161A0" w:rsidP="00B161A0">
      <w:pPr>
        <w:spacing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negativa = vendere, positiva = comprare.</w:t>
      </w:r>
    </w:p>
    <w:p w14:paraId="27E36DD6"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È più significativo osservare la sequenza:</w:t>
      </w:r>
    </w:p>
    <w:p w14:paraId="5AF969C1" w14:textId="77777777" w:rsidR="00B161A0" w:rsidRPr="00B161A0" w:rsidRDefault="00B161A0" w:rsidP="00B161A0">
      <w:pPr>
        <w:numPr>
          <w:ilvl w:val="0"/>
          <w:numId w:val="13"/>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inversione; </w:t>
      </w:r>
    </w:p>
    <w:p w14:paraId="2D5B081A" w14:textId="77777777" w:rsidR="00B161A0" w:rsidRPr="00B161A0" w:rsidRDefault="00B161A0" w:rsidP="00B161A0">
      <w:pPr>
        <w:numPr>
          <w:ilvl w:val="0"/>
          <w:numId w:val="13"/>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permanenza dell’inversione; </w:t>
      </w:r>
    </w:p>
    <w:p w14:paraId="18529202" w14:textId="77777777" w:rsidR="00B161A0" w:rsidRPr="00B161A0" w:rsidRDefault="00B161A0" w:rsidP="00B161A0">
      <w:pPr>
        <w:numPr>
          <w:ilvl w:val="0"/>
          <w:numId w:val="13"/>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rapido </w:t>
      </w:r>
      <w:proofErr w:type="spellStart"/>
      <w:r w:rsidRPr="00B161A0">
        <w:rPr>
          <w:rFonts w:ascii="Times New Roman" w:eastAsia="Times New Roman" w:hAnsi="Times New Roman" w:cs="Times New Roman"/>
          <w:kern w:val="0"/>
          <w:lang w:eastAsia="it-IT"/>
          <w14:ligatures w14:val="none"/>
        </w:rPr>
        <w:t>irripidimento</w:t>
      </w:r>
      <w:proofErr w:type="spellEnd"/>
      <w:r w:rsidRPr="00B161A0">
        <w:rPr>
          <w:rFonts w:ascii="Times New Roman" w:eastAsia="Times New Roman" w:hAnsi="Times New Roman" w:cs="Times New Roman"/>
          <w:kern w:val="0"/>
          <w:lang w:eastAsia="it-IT"/>
          <w14:ligatures w14:val="none"/>
        </w:rPr>
        <w:t xml:space="preserve"> mentre l’economia rallenta. </w:t>
      </w:r>
    </w:p>
    <w:p w14:paraId="32B811EC"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La serie FRED </w:t>
      </w:r>
      <w:r w:rsidRPr="00B161A0">
        <w:rPr>
          <w:rFonts w:ascii="Courier New" w:eastAsia="Times New Roman" w:hAnsi="Courier New" w:cs="Courier New"/>
          <w:kern w:val="0"/>
          <w:sz w:val="20"/>
          <w:szCs w:val="20"/>
          <w:lang w:eastAsia="it-IT"/>
          <w14:ligatures w14:val="none"/>
        </w:rPr>
        <w:t>T10Y3M</w:t>
      </w:r>
      <w:r w:rsidRPr="00B161A0">
        <w:rPr>
          <w:rFonts w:ascii="Times New Roman" w:eastAsia="Times New Roman" w:hAnsi="Times New Roman" w:cs="Times New Roman"/>
          <w:kern w:val="0"/>
          <w:lang w:eastAsia="it-IT"/>
          <w14:ligatures w14:val="none"/>
        </w:rPr>
        <w:t xml:space="preserve"> è espressamente utilizzata come indicatore collegato alle probabilità di recessione. </w:t>
      </w:r>
    </w:p>
    <w:p w14:paraId="5A94513E" w14:textId="77777777" w:rsidR="00B161A0" w:rsidRPr="00B161A0" w:rsidRDefault="00B161A0" w:rsidP="00B161A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161A0">
        <w:rPr>
          <w:rFonts w:ascii="Times New Roman" w:eastAsia="Times New Roman" w:hAnsi="Times New Roman" w:cs="Times New Roman"/>
          <w:b/>
          <w:bCs/>
          <w:kern w:val="0"/>
          <w:sz w:val="27"/>
          <w:szCs w:val="27"/>
          <w:lang w:eastAsia="it-IT"/>
          <w14:ligatures w14:val="none"/>
        </w:rPr>
        <w:t>E. Inflazione e politica monetaria</w:t>
      </w:r>
    </w:p>
    <w:p w14:paraId="06FD8E72"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Indicatori:</w:t>
      </w:r>
    </w:p>
    <w:p w14:paraId="484E5380" w14:textId="77777777" w:rsidR="00B161A0" w:rsidRPr="00B161A0" w:rsidRDefault="00B161A0" w:rsidP="00B161A0">
      <w:pPr>
        <w:numPr>
          <w:ilvl w:val="0"/>
          <w:numId w:val="1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Core PCE</w:t>
      </w:r>
      <w:r w:rsidRPr="00B161A0">
        <w:rPr>
          <w:rFonts w:ascii="Times New Roman" w:eastAsia="Times New Roman" w:hAnsi="Times New Roman" w:cs="Times New Roman"/>
          <w:kern w:val="0"/>
          <w:lang w:eastAsia="it-IT"/>
          <w14:ligatures w14:val="none"/>
        </w:rPr>
        <w:t xml:space="preserve">, serie </w:t>
      </w:r>
      <w:r w:rsidRPr="00B161A0">
        <w:rPr>
          <w:rFonts w:ascii="Courier New" w:eastAsia="Times New Roman" w:hAnsi="Courier New" w:cs="Courier New"/>
          <w:kern w:val="0"/>
          <w:sz w:val="20"/>
          <w:szCs w:val="20"/>
          <w:lang w:eastAsia="it-IT"/>
          <w14:ligatures w14:val="none"/>
        </w:rPr>
        <w:t>PCEPILFE</w:t>
      </w:r>
      <w:r w:rsidRPr="00B161A0">
        <w:rPr>
          <w:rFonts w:ascii="Times New Roman" w:eastAsia="Times New Roman" w:hAnsi="Times New Roman" w:cs="Times New Roman"/>
          <w:kern w:val="0"/>
          <w:lang w:eastAsia="it-IT"/>
          <w14:ligatures w14:val="none"/>
        </w:rPr>
        <w:t xml:space="preserve">; </w:t>
      </w:r>
    </w:p>
    <w:p w14:paraId="7FE63627" w14:textId="77777777" w:rsidR="00B161A0" w:rsidRPr="00B161A0" w:rsidRDefault="00B161A0" w:rsidP="00B161A0">
      <w:pPr>
        <w:numPr>
          <w:ilvl w:val="0"/>
          <w:numId w:val="1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variazione annuale; </w:t>
      </w:r>
    </w:p>
    <w:p w14:paraId="3DB88282" w14:textId="77777777" w:rsidR="00B161A0" w:rsidRPr="00B161A0" w:rsidRDefault="00B161A0" w:rsidP="00B161A0">
      <w:pPr>
        <w:numPr>
          <w:ilvl w:val="0"/>
          <w:numId w:val="1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variazione trimestrale annualizzata; </w:t>
      </w:r>
    </w:p>
    <w:p w14:paraId="6A73974E" w14:textId="77777777" w:rsidR="00B161A0" w:rsidRPr="00B161A0" w:rsidRDefault="00B161A0" w:rsidP="00B161A0">
      <w:pPr>
        <w:numPr>
          <w:ilvl w:val="0"/>
          <w:numId w:val="1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differenza tra inflazione a 3 mesi e inflazione a 12 mesi; </w:t>
      </w:r>
    </w:p>
    <w:p w14:paraId="6F80829F" w14:textId="77777777" w:rsidR="00B161A0" w:rsidRPr="00B161A0" w:rsidRDefault="00B161A0" w:rsidP="00B161A0">
      <w:pPr>
        <w:numPr>
          <w:ilvl w:val="0"/>
          <w:numId w:val="1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Fed Funds effettivi; </w:t>
      </w:r>
    </w:p>
    <w:p w14:paraId="301FEE32" w14:textId="77777777" w:rsidR="00B161A0" w:rsidRPr="00B161A0" w:rsidRDefault="00B161A0" w:rsidP="00B161A0">
      <w:pPr>
        <w:numPr>
          <w:ilvl w:val="0"/>
          <w:numId w:val="1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tasso reale approssimativo: Fed Funds meno inflazione core. </w:t>
      </w:r>
    </w:p>
    <w:p w14:paraId="5401C54F"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Il Core PCE esclude alimentari ed energia ed è osservato attentamente dalla Federal Reserve per valutare la tendenza inflazionistica sottostante. </w:t>
      </w:r>
    </w:p>
    <w:p w14:paraId="62FB5D09"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Il livello dei tassi Fed, da solo, non deve generare un colore. Conta se:</w:t>
      </w:r>
    </w:p>
    <w:p w14:paraId="602D0D57" w14:textId="77777777" w:rsidR="00B161A0" w:rsidRPr="00B161A0" w:rsidRDefault="00B161A0" w:rsidP="00B161A0">
      <w:pPr>
        <w:numPr>
          <w:ilvl w:val="0"/>
          <w:numId w:val="1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l’inflazione sta accelerando o rallentando; </w:t>
      </w:r>
    </w:p>
    <w:p w14:paraId="3B65B219" w14:textId="77777777" w:rsidR="00B161A0" w:rsidRPr="00B161A0" w:rsidRDefault="00B161A0" w:rsidP="00B161A0">
      <w:pPr>
        <w:numPr>
          <w:ilvl w:val="0"/>
          <w:numId w:val="1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la politica monetaria si sta irrigidendo; </w:t>
      </w:r>
    </w:p>
    <w:p w14:paraId="476E4DB6" w14:textId="77777777" w:rsidR="00B161A0" w:rsidRPr="00B161A0" w:rsidRDefault="00B161A0" w:rsidP="00B161A0">
      <w:pPr>
        <w:numPr>
          <w:ilvl w:val="0"/>
          <w:numId w:val="1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i tassi reali stanno aumentando; </w:t>
      </w:r>
    </w:p>
    <w:p w14:paraId="6DA816C8" w14:textId="77777777" w:rsidR="00B161A0" w:rsidRPr="00B161A0" w:rsidRDefault="00B161A0" w:rsidP="00B161A0">
      <w:pPr>
        <w:numPr>
          <w:ilvl w:val="0"/>
          <w:numId w:val="1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l’economia sta resistendo oppure deteriorandosi. </w:t>
      </w:r>
    </w:p>
    <w:p w14:paraId="647EE46D" w14:textId="77777777" w:rsidR="00B161A0" w:rsidRPr="00B161A0" w:rsidRDefault="00B161A0" w:rsidP="00B161A0">
      <w:pPr>
        <w:spacing w:before="100" w:beforeAutospacing="1" w:after="100" w:afterAutospacing="1" w:line="240" w:lineRule="auto"/>
        <w:outlineLvl w:val="1"/>
        <w:rPr>
          <w:rFonts w:ascii="Times New Roman" w:eastAsia="Times New Roman" w:hAnsi="Times New Roman" w:cs="Times New Roman"/>
          <w:b/>
          <w:bCs/>
          <w:kern w:val="0"/>
          <w:sz w:val="36"/>
          <w:szCs w:val="36"/>
          <w:lang w:eastAsia="it-IT"/>
          <w14:ligatures w14:val="none"/>
        </w:rPr>
      </w:pPr>
      <w:r w:rsidRPr="00B161A0">
        <w:rPr>
          <w:rFonts w:ascii="Times New Roman" w:eastAsia="Times New Roman" w:hAnsi="Times New Roman" w:cs="Times New Roman"/>
          <w:b/>
          <w:bCs/>
          <w:kern w:val="0"/>
          <w:sz w:val="36"/>
          <w:szCs w:val="36"/>
          <w:lang w:eastAsia="it-IT"/>
          <w14:ligatures w14:val="none"/>
        </w:rPr>
        <w:t>4. Valutazioni</w:t>
      </w:r>
    </w:p>
    <w:p w14:paraId="730E077B"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lastRenderedPageBreak/>
        <w:t>Indicatori:</w:t>
      </w:r>
    </w:p>
    <w:p w14:paraId="7C41EA5F" w14:textId="77777777" w:rsidR="00B161A0" w:rsidRPr="00B161A0" w:rsidRDefault="00B161A0" w:rsidP="00B161A0">
      <w:pPr>
        <w:numPr>
          <w:ilvl w:val="0"/>
          <w:numId w:val="16"/>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Shiller CAPE</w:t>
      </w:r>
      <w:r w:rsidRPr="00B161A0">
        <w:rPr>
          <w:rFonts w:ascii="Times New Roman" w:eastAsia="Times New Roman" w:hAnsi="Times New Roman" w:cs="Times New Roman"/>
          <w:kern w:val="0"/>
          <w:lang w:eastAsia="it-IT"/>
          <w14:ligatures w14:val="none"/>
        </w:rPr>
        <w:t xml:space="preserve">; </w:t>
      </w:r>
    </w:p>
    <w:p w14:paraId="07C945E9" w14:textId="77777777" w:rsidR="00B161A0" w:rsidRPr="00B161A0" w:rsidRDefault="00B161A0" w:rsidP="00B161A0">
      <w:pPr>
        <w:numPr>
          <w:ilvl w:val="0"/>
          <w:numId w:val="16"/>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percentile storico del CAPE; </w:t>
      </w:r>
    </w:p>
    <w:p w14:paraId="4F8BB7D0" w14:textId="77777777" w:rsidR="00B161A0" w:rsidRPr="00B161A0" w:rsidRDefault="00B161A0" w:rsidP="00B161A0">
      <w:pPr>
        <w:numPr>
          <w:ilvl w:val="0"/>
          <w:numId w:val="16"/>
        </w:numPr>
        <w:spacing w:before="100" w:beforeAutospacing="1" w:after="100" w:afterAutospacing="1" w:line="240" w:lineRule="auto"/>
        <w:rPr>
          <w:rFonts w:ascii="Times New Roman" w:eastAsia="Times New Roman" w:hAnsi="Times New Roman" w:cs="Times New Roman"/>
          <w:kern w:val="0"/>
          <w:lang w:eastAsia="it-IT"/>
          <w14:ligatures w14:val="none"/>
        </w:rPr>
      </w:pPr>
      <w:proofErr w:type="spellStart"/>
      <w:r w:rsidRPr="00B161A0">
        <w:rPr>
          <w:rFonts w:ascii="Times New Roman" w:eastAsia="Times New Roman" w:hAnsi="Times New Roman" w:cs="Times New Roman"/>
          <w:kern w:val="0"/>
          <w:lang w:eastAsia="it-IT"/>
          <w14:ligatures w14:val="none"/>
        </w:rPr>
        <w:t>earnings</w:t>
      </w:r>
      <w:proofErr w:type="spellEnd"/>
      <w:r w:rsidRPr="00B161A0">
        <w:rPr>
          <w:rFonts w:ascii="Times New Roman" w:eastAsia="Times New Roman" w:hAnsi="Times New Roman" w:cs="Times New Roman"/>
          <w:kern w:val="0"/>
          <w:lang w:eastAsia="it-IT"/>
          <w14:ligatures w14:val="none"/>
        </w:rPr>
        <w:t xml:space="preserve"> yield, cioè inverso del CAPE; </w:t>
      </w:r>
    </w:p>
    <w:p w14:paraId="3E177AEF" w14:textId="77777777" w:rsidR="00B161A0" w:rsidRPr="00B161A0" w:rsidRDefault="00B161A0" w:rsidP="00B161A0">
      <w:pPr>
        <w:numPr>
          <w:ilvl w:val="0"/>
          <w:numId w:val="16"/>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confronto tra </w:t>
      </w:r>
      <w:proofErr w:type="spellStart"/>
      <w:r w:rsidRPr="00B161A0">
        <w:rPr>
          <w:rFonts w:ascii="Times New Roman" w:eastAsia="Times New Roman" w:hAnsi="Times New Roman" w:cs="Times New Roman"/>
          <w:kern w:val="0"/>
          <w:lang w:eastAsia="it-IT"/>
          <w14:ligatures w14:val="none"/>
        </w:rPr>
        <w:t>earnings</w:t>
      </w:r>
      <w:proofErr w:type="spellEnd"/>
      <w:r w:rsidRPr="00B161A0">
        <w:rPr>
          <w:rFonts w:ascii="Times New Roman" w:eastAsia="Times New Roman" w:hAnsi="Times New Roman" w:cs="Times New Roman"/>
          <w:kern w:val="0"/>
          <w:lang w:eastAsia="it-IT"/>
          <w14:ligatures w14:val="none"/>
        </w:rPr>
        <w:t xml:space="preserve"> yield e rendimento reale dei Treasury; </w:t>
      </w:r>
    </w:p>
    <w:p w14:paraId="25D3EA88" w14:textId="77777777" w:rsidR="00B161A0" w:rsidRPr="00B161A0" w:rsidRDefault="00B161A0" w:rsidP="00B161A0">
      <w:pPr>
        <w:numPr>
          <w:ilvl w:val="0"/>
          <w:numId w:val="16"/>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eventualmente rapporto capitalizzazione/PIL. </w:t>
      </w:r>
    </w:p>
    <w:p w14:paraId="4DD936BA"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Il CAPE va trattato come indicatore delle </w:t>
      </w:r>
      <w:r w:rsidRPr="00B161A0">
        <w:rPr>
          <w:rFonts w:ascii="Times New Roman" w:eastAsia="Times New Roman" w:hAnsi="Times New Roman" w:cs="Times New Roman"/>
          <w:b/>
          <w:bCs/>
          <w:kern w:val="0"/>
          <w:lang w:eastAsia="it-IT"/>
          <w14:ligatures w14:val="none"/>
        </w:rPr>
        <w:t>aspettative di rendimento di lungo periodo</w:t>
      </w:r>
      <w:r w:rsidRPr="00B161A0">
        <w:rPr>
          <w:rFonts w:ascii="Times New Roman" w:eastAsia="Times New Roman" w:hAnsi="Times New Roman" w:cs="Times New Roman"/>
          <w:kern w:val="0"/>
          <w:lang w:eastAsia="it-IT"/>
          <w14:ligatures w14:val="none"/>
        </w:rPr>
        <w:t xml:space="preserve">, non come segnale per uscire domani mattina. Gli studi sui rapporti di valutazione trovano maggiore capacità informativa su orizzonti lunghi rispetto al market timing di breve periodo. </w:t>
      </w:r>
    </w:p>
    <w:p w14:paraId="211556D0"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Robert Shiller pubblica una serie storica mensile con prezzi, utili, dividendi e CAPE dal 1871. </w:t>
      </w:r>
    </w:p>
    <w:p w14:paraId="4AB029DA" w14:textId="77777777" w:rsidR="00B161A0" w:rsidRPr="00B161A0" w:rsidRDefault="00B161A0" w:rsidP="00B161A0">
      <w:pPr>
        <w:spacing w:before="100" w:beforeAutospacing="1" w:after="100" w:afterAutospacing="1" w:line="240" w:lineRule="auto"/>
        <w:outlineLvl w:val="1"/>
        <w:rPr>
          <w:rFonts w:ascii="Times New Roman" w:eastAsia="Times New Roman" w:hAnsi="Times New Roman" w:cs="Times New Roman"/>
          <w:b/>
          <w:bCs/>
          <w:kern w:val="0"/>
          <w:sz w:val="36"/>
          <w:szCs w:val="36"/>
          <w:lang w:eastAsia="it-IT"/>
          <w14:ligatures w14:val="none"/>
        </w:rPr>
      </w:pPr>
      <w:r w:rsidRPr="00B161A0">
        <w:rPr>
          <w:rFonts w:ascii="Times New Roman" w:eastAsia="Times New Roman" w:hAnsi="Times New Roman" w:cs="Times New Roman"/>
          <w:b/>
          <w:bCs/>
          <w:kern w:val="0"/>
          <w:sz w:val="36"/>
          <w:szCs w:val="36"/>
          <w:lang w:eastAsia="it-IT"/>
          <w14:ligatures w14:val="none"/>
        </w:rPr>
        <w:t>5. Sentiment</w:t>
      </w:r>
    </w:p>
    <w:p w14:paraId="63426430"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Utilizzerei:</w:t>
      </w:r>
    </w:p>
    <w:p w14:paraId="050A7708" w14:textId="77777777" w:rsidR="00B161A0" w:rsidRPr="00B161A0" w:rsidRDefault="00B161A0" w:rsidP="00B161A0">
      <w:pPr>
        <w:numPr>
          <w:ilvl w:val="0"/>
          <w:numId w:val="1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put/call ratio CBOE; </w:t>
      </w:r>
    </w:p>
    <w:p w14:paraId="7D852F77" w14:textId="77777777" w:rsidR="00B161A0" w:rsidRPr="00B161A0" w:rsidRDefault="00B161A0" w:rsidP="00B161A0">
      <w:pPr>
        <w:numPr>
          <w:ilvl w:val="0"/>
          <w:numId w:val="1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VIX percentile; </w:t>
      </w:r>
    </w:p>
    <w:p w14:paraId="797AE5F5" w14:textId="77777777" w:rsidR="00B161A0" w:rsidRPr="00B161A0" w:rsidRDefault="00B161A0" w:rsidP="00B161A0">
      <w:pPr>
        <w:numPr>
          <w:ilvl w:val="0"/>
          <w:numId w:val="17"/>
        </w:numPr>
        <w:spacing w:before="100" w:beforeAutospacing="1" w:after="100" w:afterAutospacing="1" w:line="240" w:lineRule="auto"/>
        <w:rPr>
          <w:rFonts w:ascii="Times New Roman" w:eastAsia="Times New Roman" w:hAnsi="Times New Roman" w:cs="Times New Roman"/>
          <w:kern w:val="0"/>
          <w:lang w:eastAsia="it-IT"/>
          <w14:ligatures w14:val="none"/>
        </w:rPr>
      </w:pPr>
      <w:proofErr w:type="spellStart"/>
      <w:r w:rsidRPr="00B161A0">
        <w:rPr>
          <w:rFonts w:ascii="Times New Roman" w:eastAsia="Times New Roman" w:hAnsi="Times New Roman" w:cs="Times New Roman"/>
          <w:kern w:val="0"/>
          <w:lang w:eastAsia="it-IT"/>
          <w14:ligatures w14:val="none"/>
        </w:rPr>
        <w:t>breadth</w:t>
      </w:r>
      <w:proofErr w:type="spellEnd"/>
      <w:r w:rsidRPr="00B161A0">
        <w:rPr>
          <w:rFonts w:ascii="Times New Roman" w:eastAsia="Times New Roman" w:hAnsi="Times New Roman" w:cs="Times New Roman"/>
          <w:kern w:val="0"/>
          <w:lang w:eastAsia="it-IT"/>
          <w14:ligatures w14:val="none"/>
        </w:rPr>
        <w:t xml:space="preserve">; </w:t>
      </w:r>
    </w:p>
    <w:p w14:paraId="7AD4E069" w14:textId="77777777" w:rsidR="00B161A0" w:rsidRPr="00B161A0" w:rsidRDefault="00B161A0" w:rsidP="00B161A0">
      <w:pPr>
        <w:numPr>
          <w:ilvl w:val="0"/>
          <w:numId w:val="1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spread high yield; </w:t>
      </w:r>
    </w:p>
    <w:p w14:paraId="53B21873" w14:textId="77777777" w:rsidR="00B161A0" w:rsidRPr="00B161A0" w:rsidRDefault="00B161A0" w:rsidP="00B161A0">
      <w:pPr>
        <w:numPr>
          <w:ilvl w:val="0"/>
          <w:numId w:val="17"/>
        </w:numPr>
        <w:spacing w:before="100" w:beforeAutospacing="1" w:after="100" w:afterAutospacing="1" w:line="240" w:lineRule="auto"/>
        <w:rPr>
          <w:rFonts w:ascii="Times New Roman" w:eastAsia="Times New Roman" w:hAnsi="Times New Roman" w:cs="Times New Roman"/>
          <w:kern w:val="0"/>
          <w:lang w:eastAsia="it-IT"/>
          <w14:ligatures w14:val="none"/>
        </w:rPr>
      </w:pPr>
      <w:proofErr w:type="spellStart"/>
      <w:r w:rsidRPr="00B161A0">
        <w:rPr>
          <w:rFonts w:ascii="Times New Roman" w:eastAsia="Times New Roman" w:hAnsi="Times New Roman" w:cs="Times New Roman"/>
          <w:kern w:val="0"/>
          <w:lang w:eastAsia="it-IT"/>
          <w14:ligatures w14:val="none"/>
        </w:rPr>
        <w:t>drawdown</w:t>
      </w:r>
      <w:proofErr w:type="spellEnd"/>
      <w:r w:rsidRPr="00B161A0">
        <w:rPr>
          <w:rFonts w:ascii="Times New Roman" w:eastAsia="Times New Roman" w:hAnsi="Times New Roman" w:cs="Times New Roman"/>
          <w:kern w:val="0"/>
          <w:lang w:eastAsia="it-IT"/>
          <w14:ligatures w14:val="none"/>
        </w:rPr>
        <w:t xml:space="preserve">; </w:t>
      </w:r>
    </w:p>
    <w:p w14:paraId="7260DACD" w14:textId="77777777" w:rsidR="00B161A0" w:rsidRPr="00B161A0" w:rsidRDefault="00B161A0" w:rsidP="00B161A0">
      <w:pPr>
        <w:numPr>
          <w:ilvl w:val="0"/>
          <w:numId w:val="17"/>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eventualmente sondaggio AAII e NAAIM </w:t>
      </w:r>
      <w:proofErr w:type="spellStart"/>
      <w:r w:rsidRPr="00B161A0">
        <w:rPr>
          <w:rFonts w:ascii="Times New Roman" w:eastAsia="Times New Roman" w:hAnsi="Times New Roman" w:cs="Times New Roman"/>
          <w:kern w:val="0"/>
          <w:lang w:eastAsia="it-IT"/>
          <w14:ligatures w14:val="none"/>
        </w:rPr>
        <w:t>Exposure</w:t>
      </w:r>
      <w:proofErr w:type="spellEnd"/>
      <w:r w:rsidRPr="00B161A0">
        <w:rPr>
          <w:rFonts w:ascii="Times New Roman" w:eastAsia="Times New Roman" w:hAnsi="Times New Roman" w:cs="Times New Roman"/>
          <w:kern w:val="0"/>
          <w:lang w:eastAsia="it-IT"/>
          <w14:ligatures w14:val="none"/>
        </w:rPr>
        <w:t xml:space="preserve"> Index. </w:t>
      </w:r>
    </w:p>
    <w:p w14:paraId="08B6E150"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CBOE pubblica statistiche giornaliere sui rapporti put/call. </w:t>
      </w:r>
    </w:p>
    <w:p w14:paraId="6AEE70D5"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Non userei il </w:t>
      </w:r>
      <w:proofErr w:type="spellStart"/>
      <w:r w:rsidRPr="00B161A0">
        <w:rPr>
          <w:rFonts w:ascii="Times New Roman" w:eastAsia="Times New Roman" w:hAnsi="Times New Roman" w:cs="Times New Roman"/>
          <w:kern w:val="0"/>
          <w:lang w:eastAsia="it-IT"/>
          <w14:ligatures w14:val="none"/>
        </w:rPr>
        <w:t>Fear</w:t>
      </w:r>
      <w:proofErr w:type="spellEnd"/>
      <w:r w:rsidRPr="00B161A0">
        <w:rPr>
          <w:rFonts w:ascii="Times New Roman" w:eastAsia="Times New Roman" w:hAnsi="Times New Roman" w:cs="Times New Roman"/>
          <w:kern w:val="0"/>
          <w:lang w:eastAsia="it-IT"/>
          <w14:ligatures w14:val="none"/>
        </w:rPr>
        <w:t xml:space="preserve"> &amp; </w:t>
      </w:r>
      <w:proofErr w:type="spellStart"/>
      <w:r w:rsidRPr="00B161A0">
        <w:rPr>
          <w:rFonts w:ascii="Times New Roman" w:eastAsia="Times New Roman" w:hAnsi="Times New Roman" w:cs="Times New Roman"/>
          <w:kern w:val="0"/>
          <w:lang w:eastAsia="it-IT"/>
          <w14:ligatures w14:val="none"/>
        </w:rPr>
        <w:t>Greed</w:t>
      </w:r>
      <w:proofErr w:type="spellEnd"/>
      <w:r w:rsidRPr="00B161A0">
        <w:rPr>
          <w:rFonts w:ascii="Times New Roman" w:eastAsia="Times New Roman" w:hAnsi="Times New Roman" w:cs="Times New Roman"/>
          <w:kern w:val="0"/>
          <w:lang w:eastAsia="it-IT"/>
          <w14:ligatures w14:val="none"/>
        </w:rPr>
        <w:t xml:space="preserve"> Index di un singolo editore come componente centrale. Creerei un nostro </w:t>
      </w:r>
      <w:proofErr w:type="spellStart"/>
      <w:r w:rsidRPr="00B161A0">
        <w:rPr>
          <w:rFonts w:ascii="Times New Roman" w:eastAsia="Times New Roman" w:hAnsi="Times New Roman" w:cs="Times New Roman"/>
          <w:b/>
          <w:bCs/>
          <w:kern w:val="0"/>
          <w:lang w:eastAsia="it-IT"/>
          <w14:ligatures w14:val="none"/>
        </w:rPr>
        <w:t>Fear</w:t>
      </w:r>
      <w:proofErr w:type="spellEnd"/>
      <w:r w:rsidRPr="00B161A0">
        <w:rPr>
          <w:rFonts w:ascii="Times New Roman" w:eastAsia="Times New Roman" w:hAnsi="Times New Roman" w:cs="Times New Roman"/>
          <w:b/>
          <w:bCs/>
          <w:kern w:val="0"/>
          <w:lang w:eastAsia="it-IT"/>
          <w14:ligatures w14:val="none"/>
        </w:rPr>
        <w:t xml:space="preserve"> &amp; </w:t>
      </w:r>
      <w:proofErr w:type="spellStart"/>
      <w:r w:rsidRPr="00B161A0">
        <w:rPr>
          <w:rFonts w:ascii="Times New Roman" w:eastAsia="Times New Roman" w:hAnsi="Times New Roman" w:cs="Times New Roman"/>
          <w:b/>
          <w:bCs/>
          <w:kern w:val="0"/>
          <w:lang w:eastAsia="it-IT"/>
          <w14:ligatures w14:val="none"/>
        </w:rPr>
        <w:t>Greed</w:t>
      </w:r>
      <w:proofErr w:type="spellEnd"/>
      <w:r w:rsidRPr="00B161A0">
        <w:rPr>
          <w:rFonts w:ascii="Times New Roman" w:eastAsia="Times New Roman" w:hAnsi="Times New Roman" w:cs="Times New Roman"/>
          <w:b/>
          <w:bCs/>
          <w:kern w:val="0"/>
          <w:lang w:eastAsia="it-IT"/>
          <w14:ligatures w14:val="none"/>
        </w:rPr>
        <w:t xml:space="preserve"> trasparente</w:t>
      </w:r>
      <w:r w:rsidRPr="00B161A0">
        <w:rPr>
          <w:rFonts w:ascii="Times New Roman" w:eastAsia="Times New Roman" w:hAnsi="Times New Roman" w:cs="Times New Roman"/>
          <w:kern w:val="0"/>
          <w:lang w:eastAsia="it-IT"/>
          <w14:ligatures w14:val="none"/>
        </w:rPr>
        <w:t>, calcolato da:</w:t>
      </w:r>
    </w:p>
    <w:p w14:paraId="586B931D" w14:textId="77777777" w:rsidR="00B161A0" w:rsidRPr="00B161A0" w:rsidRDefault="00B161A0" w:rsidP="00B161A0">
      <w:pPr>
        <w:numPr>
          <w:ilvl w:val="0"/>
          <w:numId w:val="1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25% VIX e struttura a termine; </w:t>
      </w:r>
    </w:p>
    <w:p w14:paraId="31F7A391" w14:textId="77777777" w:rsidR="00B161A0" w:rsidRPr="00B161A0" w:rsidRDefault="00B161A0" w:rsidP="00B161A0">
      <w:pPr>
        <w:numPr>
          <w:ilvl w:val="0"/>
          <w:numId w:val="1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25% </w:t>
      </w:r>
      <w:proofErr w:type="spellStart"/>
      <w:r w:rsidRPr="00B161A0">
        <w:rPr>
          <w:rFonts w:ascii="Times New Roman" w:eastAsia="Times New Roman" w:hAnsi="Times New Roman" w:cs="Times New Roman"/>
          <w:kern w:val="0"/>
          <w:lang w:eastAsia="it-IT"/>
          <w14:ligatures w14:val="none"/>
        </w:rPr>
        <w:t>breadth</w:t>
      </w:r>
      <w:proofErr w:type="spellEnd"/>
      <w:r w:rsidRPr="00B161A0">
        <w:rPr>
          <w:rFonts w:ascii="Times New Roman" w:eastAsia="Times New Roman" w:hAnsi="Times New Roman" w:cs="Times New Roman"/>
          <w:kern w:val="0"/>
          <w:lang w:eastAsia="it-IT"/>
          <w14:ligatures w14:val="none"/>
        </w:rPr>
        <w:t xml:space="preserve">; </w:t>
      </w:r>
    </w:p>
    <w:p w14:paraId="044AB7F6" w14:textId="77777777" w:rsidR="00B161A0" w:rsidRPr="00B161A0" w:rsidRDefault="00B161A0" w:rsidP="00B161A0">
      <w:pPr>
        <w:numPr>
          <w:ilvl w:val="0"/>
          <w:numId w:val="1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25% credito; </w:t>
      </w:r>
    </w:p>
    <w:p w14:paraId="41801A61" w14:textId="77777777" w:rsidR="00B161A0" w:rsidRPr="00B161A0" w:rsidRDefault="00B161A0" w:rsidP="00B161A0">
      <w:pPr>
        <w:numPr>
          <w:ilvl w:val="0"/>
          <w:numId w:val="1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15% put/call; </w:t>
      </w:r>
    </w:p>
    <w:p w14:paraId="6A80D60D" w14:textId="77777777" w:rsidR="00B161A0" w:rsidRPr="00B161A0" w:rsidRDefault="00B161A0" w:rsidP="00B161A0">
      <w:pPr>
        <w:numPr>
          <w:ilvl w:val="0"/>
          <w:numId w:val="1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10% </w:t>
      </w:r>
      <w:proofErr w:type="spellStart"/>
      <w:r w:rsidRPr="00B161A0">
        <w:rPr>
          <w:rFonts w:ascii="Times New Roman" w:eastAsia="Times New Roman" w:hAnsi="Times New Roman" w:cs="Times New Roman"/>
          <w:kern w:val="0"/>
          <w:lang w:eastAsia="it-IT"/>
          <w14:ligatures w14:val="none"/>
        </w:rPr>
        <w:t>momentum</w:t>
      </w:r>
      <w:proofErr w:type="spellEnd"/>
      <w:r w:rsidRPr="00B161A0">
        <w:rPr>
          <w:rFonts w:ascii="Times New Roman" w:eastAsia="Times New Roman" w:hAnsi="Times New Roman" w:cs="Times New Roman"/>
          <w:kern w:val="0"/>
          <w:lang w:eastAsia="it-IT"/>
          <w14:ligatures w14:val="none"/>
        </w:rPr>
        <w:t xml:space="preserve">. </w:t>
      </w:r>
    </w:p>
    <w:p w14:paraId="6BA09041"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Così sapremo sempre perché il sentiment è cambiato.</w:t>
      </w:r>
    </w:p>
    <w:p w14:paraId="09CAFE29" w14:textId="77777777" w:rsidR="00B161A0" w:rsidRPr="00B161A0" w:rsidRDefault="00B161A0" w:rsidP="00B161A0">
      <w:pPr>
        <w:spacing w:before="100" w:beforeAutospacing="1" w:after="100" w:afterAutospacing="1" w:line="240" w:lineRule="auto"/>
        <w:outlineLvl w:val="1"/>
        <w:rPr>
          <w:rFonts w:ascii="Times New Roman" w:eastAsia="Times New Roman" w:hAnsi="Times New Roman" w:cs="Times New Roman"/>
          <w:b/>
          <w:bCs/>
          <w:kern w:val="0"/>
          <w:sz w:val="36"/>
          <w:szCs w:val="36"/>
          <w:lang w:eastAsia="it-IT"/>
          <w14:ligatures w14:val="none"/>
        </w:rPr>
      </w:pPr>
      <w:r w:rsidRPr="00B161A0">
        <w:rPr>
          <w:rFonts w:ascii="Times New Roman" w:eastAsia="Times New Roman" w:hAnsi="Times New Roman" w:cs="Times New Roman"/>
          <w:b/>
          <w:bCs/>
          <w:kern w:val="0"/>
          <w:sz w:val="36"/>
          <w:szCs w:val="36"/>
          <w:lang w:eastAsia="it-IT"/>
          <w14:ligatures w14:val="none"/>
        </w:rPr>
        <w:t>6. Due indicatori finali, non uno soltanto</w:t>
      </w:r>
    </w:p>
    <w:p w14:paraId="4B8517C7"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Un unico semaforo rischierebbe di confondere due situazioni opposte:</w:t>
      </w:r>
    </w:p>
    <w:p w14:paraId="4BEDFF90" w14:textId="77777777" w:rsidR="00B161A0" w:rsidRPr="00B161A0" w:rsidRDefault="00B161A0" w:rsidP="00B161A0">
      <w:pPr>
        <w:numPr>
          <w:ilvl w:val="0"/>
          <w:numId w:val="1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mercato sano ma molto caro; </w:t>
      </w:r>
    </w:p>
    <w:p w14:paraId="04722217" w14:textId="77777777" w:rsidR="00B161A0" w:rsidRPr="00B161A0" w:rsidRDefault="00B161A0" w:rsidP="00B161A0">
      <w:pPr>
        <w:numPr>
          <w:ilvl w:val="0"/>
          <w:numId w:val="1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mercato in forte crisi ma ormai molto conveniente. </w:t>
      </w:r>
    </w:p>
    <w:p w14:paraId="2992799D"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Propongo quindi due misuratori.</w:t>
      </w:r>
    </w:p>
    <w:p w14:paraId="73504AC8" w14:textId="77777777" w:rsidR="00B161A0" w:rsidRPr="00B161A0" w:rsidRDefault="00B161A0" w:rsidP="00B161A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161A0">
        <w:rPr>
          <w:rFonts w:ascii="Times New Roman" w:eastAsia="Times New Roman" w:hAnsi="Times New Roman" w:cs="Times New Roman"/>
          <w:b/>
          <w:bCs/>
          <w:kern w:val="0"/>
          <w:sz w:val="27"/>
          <w:szCs w:val="27"/>
          <w:lang w:eastAsia="it-IT"/>
          <w14:ligatures w14:val="none"/>
        </w:rPr>
        <w:t>Semaforo del rischio</w:t>
      </w:r>
    </w:p>
    <w:p w14:paraId="6A51D72F"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Pesi iniziali: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542"/>
      </w:tblGrid>
      <w:tr w:rsidR="00B161A0" w:rsidRPr="00B161A0" w14:paraId="4B07DBBE" w14:textId="77777777" w:rsidTr="00B161A0">
        <w:trPr>
          <w:tblHeader/>
          <w:tblCellSpacing w:w="15" w:type="dxa"/>
        </w:trPr>
        <w:tc>
          <w:tcPr>
            <w:tcW w:w="0" w:type="auto"/>
            <w:vAlign w:val="center"/>
            <w:hideMark/>
          </w:tcPr>
          <w:p w14:paraId="60B92214" w14:textId="77777777" w:rsidR="00B161A0" w:rsidRPr="00B161A0" w:rsidRDefault="00B161A0" w:rsidP="00B161A0">
            <w:pPr>
              <w:spacing w:after="0" w:line="240" w:lineRule="auto"/>
              <w:jc w:val="center"/>
              <w:rPr>
                <w:rFonts w:ascii="Times New Roman" w:eastAsia="Times New Roman" w:hAnsi="Times New Roman" w:cs="Times New Roman"/>
                <w:b/>
                <w:bCs/>
                <w:kern w:val="0"/>
                <w:lang w:eastAsia="it-IT"/>
                <w14:ligatures w14:val="none"/>
              </w:rPr>
            </w:pPr>
            <w:r w:rsidRPr="00B161A0">
              <w:rPr>
                <w:rFonts w:ascii="Times New Roman" w:eastAsia="Times New Roman" w:hAnsi="Times New Roman" w:cs="Times New Roman"/>
                <w:b/>
                <w:bCs/>
                <w:kern w:val="0"/>
                <w:lang w:eastAsia="it-IT"/>
                <w14:ligatures w14:val="none"/>
              </w:rPr>
              <w:lastRenderedPageBreak/>
              <w:t>Componente</w:t>
            </w:r>
          </w:p>
        </w:tc>
        <w:tc>
          <w:tcPr>
            <w:tcW w:w="0" w:type="auto"/>
            <w:vAlign w:val="center"/>
            <w:hideMark/>
          </w:tcPr>
          <w:p w14:paraId="395D4AB5" w14:textId="77777777" w:rsidR="00B161A0" w:rsidRPr="00B161A0" w:rsidRDefault="00B161A0" w:rsidP="00B161A0">
            <w:pPr>
              <w:spacing w:after="0" w:line="240" w:lineRule="auto"/>
              <w:jc w:val="center"/>
              <w:rPr>
                <w:rFonts w:ascii="Times New Roman" w:eastAsia="Times New Roman" w:hAnsi="Times New Roman" w:cs="Times New Roman"/>
                <w:b/>
                <w:bCs/>
                <w:kern w:val="0"/>
                <w:lang w:eastAsia="it-IT"/>
                <w14:ligatures w14:val="none"/>
              </w:rPr>
            </w:pPr>
            <w:r w:rsidRPr="00B161A0">
              <w:rPr>
                <w:rFonts w:ascii="Times New Roman" w:eastAsia="Times New Roman" w:hAnsi="Times New Roman" w:cs="Times New Roman"/>
                <w:b/>
                <w:bCs/>
                <w:kern w:val="0"/>
                <w:lang w:eastAsia="it-IT"/>
                <w14:ligatures w14:val="none"/>
              </w:rPr>
              <w:t>Peso</w:t>
            </w:r>
          </w:p>
        </w:tc>
      </w:tr>
      <w:tr w:rsidR="00B161A0" w:rsidRPr="00B161A0" w14:paraId="15C3E5FA" w14:textId="77777777" w:rsidTr="00B161A0">
        <w:trPr>
          <w:tblCellSpacing w:w="15" w:type="dxa"/>
        </w:trPr>
        <w:tc>
          <w:tcPr>
            <w:tcW w:w="0" w:type="auto"/>
            <w:vAlign w:val="center"/>
            <w:hideMark/>
          </w:tcPr>
          <w:p w14:paraId="0785E7A3"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proofErr w:type="gramStart"/>
            <w:r w:rsidRPr="00B161A0">
              <w:rPr>
                <w:rFonts w:ascii="Times New Roman" w:eastAsia="Times New Roman" w:hAnsi="Times New Roman" w:cs="Times New Roman"/>
                <w:kern w:val="0"/>
                <w:lang w:eastAsia="it-IT"/>
                <w14:ligatures w14:val="none"/>
              </w:rPr>
              <w:t>Trend</w:t>
            </w:r>
            <w:proofErr w:type="gramEnd"/>
          </w:p>
        </w:tc>
        <w:tc>
          <w:tcPr>
            <w:tcW w:w="0" w:type="auto"/>
            <w:vAlign w:val="center"/>
            <w:hideMark/>
          </w:tcPr>
          <w:p w14:paraId="37140300"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30%</w:t>
            </w:r>
          </w:p>
        </w:tc>
      </w:tr>
      <w:tr w:rsidR="00B161A0" w:rsidRPr="00B161A0" w14:paraId="0E247A67" w14:textId="77777777" w:rsidTr="00B161A0">
        <w:trPr>
          <w:tblCellSpacing w:w="15" w:type="dxa"/>
        </w:trPr>
        <w:tc>
          <w:tcPr>
            <w:tcW w:w="0" w:type="auto"/>
            <w:vAlign w:val="center"/>
            <w:hideMark/>
          </w:tcPr>
          <w:p w14:paraId="175A6C88"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Ampiezza</w:t>
            </w:r>
          </w:p>
        </w:tc>
        <w:tc>
          <w:tcPr>
            <w:tcW w:w="0" w:type="auto"/>
            <w:vAlign w:val="center"/>
            <w:hideMark/>
          </w:tcPr>
          <w:p w14:paraId="0302668A"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20%</w:t>
            </w:r>
          </w:p>
        </w:tc>
      </w:tr>
      <w:tr w:rsidR="00B161A0" w:rsidRPr="00B161A0" w14:paraId="4008DF25" w14:textId="77777777" w:rsidTr="00B161A0">
        <w:trPr>
          <w:tblCellSpacing w:w="15" w:type="dxa"/>
        </w:trPr>
        <w:tc>
          <w:tcPr>
            <w:tcW w:w="0" w:type="auto"/>
            <w:vAlign w:val="center"/>
            <w:hideMark/>
          </w:tcPr>
          <w:p w14:paraId="287872BA"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Volatilità e sentiment</w:t>
            </w:r>
          </w:p>
        </w:tc>
        <w:tc>
          <w:tcPr>
            <w:tcW w:w="0" w:type="auto"/>
            <w:vAlign w:val="center"/>
            <w:hideMark/>
          </w:tcPr>
          <w:p w14:paraId="2FD6019E"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15%</w:t>
            </w:r>
          </w:p>
        </w:tc>
      </w:tr>
      <w:tr w:rsidR="00B161A0" w:rsidRPr="00B161A0" w14:paraId="22AB0B01" w14:textId="77777777" w:rsidTr="00B161A0">
        <w:trPr>
          <w:tblCellSpacing w:w="15" w:type="dxa"/>
        </w:trPr>
        <w:tc>
          <w:tcPr>
            <w:tcW w:w="0" w:type="auto"/>
            <w:vAlign w:val="center"/>
            <w:hideMark/>
          </w:tcPr>
          <w:p w14:paraId="2F6552A1"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Credito e condizioni finanziarie</w:t>
            </w:r>
          </w:p>
        </w:tc>
        <w:tc>
          <w:tcPr>
            <w:tcW w:w="0" w:type="auto"/>
            <w:vAlign w:val="center"/>
            <w:hideMark/>
          </w:tcPr>
          <w:p w14:paraId="5D1FA934"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20%</w:t>
            </w:r>
          </w:p>
        </w:tc>
      </w:tr>
      <w:tr w:rsidR="00B161A0" w:rsidRPr="00B161A0" w14:paraId="2450D7B4" w14:textId="77777777" w:rsidTr="00B161A0">
        <w:trPr>
          <w:tblCellSpacing w:w="15" w:type="dxa"/>
        </w:trPr>
        <w:tc>
          <w:tcPr>
            <w:tcW w:w="0" w:type="auto"/>
            <w:vAlign w:val="center"/>
            <w:hideMark/>
          </w:tcPr>
          <w:p w14:paraId="16D1FA69"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Macro e lavoro</w:t>
            </w:r>
          </w:p>
        </w:tc>
        <w:tc>
          <w:tcPr>
            <w:tcW w:w="0" w:type="auto"/>
            <w:vAlign w:val="center"/>
            <w:hideMark/>
          </w:tcPr>
          <w:p w14:paraId="108047D8"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15%</w:t>
            </w:r>
          </w:p>
        </w:tc>
      </w:tr>
    </w:tbl>
    <w:p w14:paraId="4C6FCAA3"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Output:</w:t>
      </w:r>
    </w:p>
    <w:p w14:paraId="77BDBC88" w14:textId="77777777" w:rsidR="00B161A0" w:rsidRPr="00B161A0" w:rsidRDefault="00B161A0" w:rsidP="00B161A0">
      <w:pPr>
        <w:numPr>
          <w:ilvl w:val="0"/>
          <w:numId w:val="20"/>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verde</w:t>
      </w:r>
      <w:r w:rsidRPr="00B161A0">
        <w:rPr>
          <w:rFonts w:ascii="Times New Roman" w:eastAsia="Times New Roman" w:hAnsi="Times New Roman" w:cs="Times New Roman"/>
          <w:kern w:val="0"/>
          <w:lang w:eastAsia="it-IT"/>
          <w14:ligatures w14:val="none"/>
        </w:rPr>
        <w:t xml:space="preserve">: </w:t>
      </w:r>
      <w:proofErr w:type="gramStart"/>
      <w:r w:rsidRPr="00B161A0">
        <w:rPr>
          <w:rFonts w:ascii="Times New Roman" w:eastAsia="Times New Roman" w:hAnsi="Times New Roman" w:cs="Times New Roman"/>
          <w:kern w:val="0"/>
          <w:lang w:eastAsia="it-IT"/>
          <w14:ligatures w14:val="none"/>
        </w:rPr>
        <w:t>trend</w:t>
      </w:r>
      <w:proofErr w:type="gramEnd"/>
      <w:r w:rsidRPr="00B161A0">
        <w:rPr>
          <w:rFonts w:ascii="Times New Roman" w:eastAsia="Times New Roman" w:hAnsi="Times New Roman" w:cs="Times New Roman"/>
          <w:kern w:val="0"/>
          <w:lang w:eastAsia="it-IT"/>
          <w14:ligatures w14:val="none"/>
        </w:rPr>
        <w:t xml:space="preserve"> e partecipazione sani, stress contenuto; </w:t>
      </w:r>
    </w:p>
    <w:p w14:paraId="44F6AE22" w14:textId="77777777" w:rsidR="00B161A0" w:rsidRPr="00B161A0" w:rsidRDefault="00B161A0" w:rsidP="00B161A0">
      <w:pPr>
        <w:numPr>
          <w:ilvl w:val="0"/>
          <w:numId w:val="20"/>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giallo</w:t>
      </w:r>
      <w:r w:rsidRPr="00B161A0">
        <w:rPr>
          <w:rFonts w:ascii="Times New Roman" w:eastAsia="Times New Roman" w:hAnsi="Times New Roman" w:cs="Times New Roman"/>
          <w:kern w:val="0"/>
          <w:lang w:eastAsia="it-IT"/>
          <w14:ligatures w14:val="none"/>
        </w:rPr>
        <w:t xml:space="preserve">: deterioramento non ancora generalizzato; </w:t>
      </w:r>
    </w:p>
    <w:p w14:paraId="46832A97" w14:textId="77777777" w:rsidR="00B161A0" w:rsidRPr="00B161A0" w:rsidRDefault="00B161A0" w:rsidP="00B161A0">
      <w:pPr>
        <w:numPr>
          <w:ilvl w:val="0"/>
          <w:numId w:val="20"/>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rosso</w:t>
      </w:r>
      <w:r w:rsidRPr="00B161A0">
        <w:rPr>
          <w:rFonts w:ascii="Times New Roman" w:eastAsia="Times New Roman" w:hAnsi="Times New Roman" w:cs="Times New Roman"/>
          <w:kern w:val="0"/>
          <w:lang w:eastAsia="it-IT"/>
          <w14:ligatures w14:val="none"/>
        </w:rPr>
        <w:t xml:space="preserve">: debolezza confermata da </w:t>
      </w:r>
      <w:proofErr w:type="gramStart"/>
      <w:r w:rsidRPr="00B161A0">
        <w:rPr>
          <w:rFonts w:ascii="Times New Roman" w:eastAsia="Times New Roman" w:hAnsi="Times New Roman" w:cs="Times New Roman"/>
          <w:kern w:val="0"/>
          <w:lang w:eastAsia="it-IT"/>
          <w14:ligatures w14:val="none"/>
        </w:rPr>
        <w:t>trend</w:t>
      </w:r>
      <w:proofErr w:type="gramEnd"/>
      <w:r w:rsidRPr="00B161A0">
        <w:rPr>
          <w:rFonts w:ascii="Times New Roman" w:eastAsia="Times New Roman" w:hAnsi="Times New Roman" w:cs="Times New Roman"/>
          <w:kern w:val="0"/>
          <w:lang w:eastAsia="it-IT"/>
          <w14:ligatures w14:val="none"/>
        </w:rPr>
        <w:t xml:space="preserve">, credito o macro. </w:t>
      </w:r>
    </w:p>
    <w:p w14:paraId="3105AD56" w14:textId="77777777" w:rsidR="00B161A0" w:rsidRPr="00B161A0" w:rsidRDefault="00B161A0" w:rsidP="00B161A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161A0">
        <w:rPr>
          <w:rFonts w:ascii="Times New Roman" w:eastAsia="Times New Roman" w:hAnsi="Times New Roman" w:cs="Times New Roman"/>
          <w:b/>
          <w:bCs/>
          <w:kern w:val="0"/>
          <w:sz w:val="27"/>
          <w:szCs w:val="27"/>
          <w:lang w:eastAsia="it-IT"/>
          <w14:ligatures w14:val="none"/>
        </w:rPr>
        <w:t>Indicatore di opportunità</w:t>
      </w:r>
    </w:p>
    <w:p w14:paraId="41D784D9"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Pesi: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542"/>
      </w:tblGrid>
      <w:tr w:rsidR="00B161A0" w:rsidRPr="00B161A0" w14:paraId="45628360" w14:textId="77777777" w:rsidTr="00B161A0">
        <w:trPr>
          <w:tblHeader/>
          <w:tblCellSpacing w:w="15" w:type="dxa"/>
        </w:trPr>
        <w:tc>
          <w:tcPr>
            <w:tcW w:w="0" w:type="auto"/>
            <w:vAlign w:val="center"/>
            <w:hideMark/>
          </w:tcPr>
          <w:p w14:paraId="0410530D" w14:textId="77777777" w:rsidR="00B161A0" w:rsidRPr="00B161A0" w:rsidRDefault="00B161A0" w:rsidP="00B161A0">
            <w:pPr>
              <w:spacing w:after="0" w:line="240" w:lineRule="auto"/>
              <w:jc w:val="center"/>
              <w:rPr>
                <w:rFonts w:ascii="Times New Roman" w:eastAsia="Times New Roman" w:hAnsi="Times New Roman" w:cs="Times New Roman"/>
                <w:b/>
                <w:bCs/>
                <w:kern w:val="0"/>
                <w:lang w:eastAsia="it-IT"/>
                <w14:ligatures w14:val="none"/>
              </w:rPr>
            </w:pPr>
            <w:r w:rsidRPr="00B161A0">
              <w:rPr>
                <w:rFonts w:ascii="Times New Roman" w:eastAsia="Times New Roman" w:hAnsi="Times New Roman" w:cs="Times New Roman"/>
                <w:b/>
                <w:bCs/>
                <w:kern w:val="0"/>
                <w:lang w:eastAsia="it-IT"/>
                <w14:ligatures w14:val="none"/>
              </w:rPr>
              <w:t>Componente</w:t>
            </w:r>
          </w:p>
        </w:tc>
        <w:tc>
          <w:tcPr>
            <w:tcW w:w="0" w:type="auto"/>
            <w:vAlign w:val="center"/>
            <w:hideMark/>
          </w:tcPr>
          <w:p w14:paraId="014EC184" w14:textId="77777777" w:rsidR="00B161A0" w:rsidRPr="00B161A0" w:rsidRDefault="00B161A0" w:rsidP="00B161A0">
            <w:pPr>
              <w:spacing w:after="0" w:line="240" w:lineRule="auto"/>
              <w:jc w:val="center"/>
              <w:rPr>
                <w:rFonts w:ascii="Times New Roman" w:eastAsia="Times New Roman" w:hAnsi="Times New Roman" w:cs="Times New Roman"/>
                <w:b/>
                <w:bCs/>
                <w:kern w:val="0"/>
                <w:lang w:eastAsia="it-IT"/>
                <w14:ligatures w14:val="none"/>
              </w:rPr>
            </w:pPr>
            <w:r w:rsidRPr="00B161A0">
              <w:rPr>
                <w:rFonts w:ascii="Times New Roman" w:eastAsia="Times New Roman" w:hAnsi="Times New Roman" w:cs="Times New Roman"/>
                <w:b/>
                <w:bCs/>
                <w:kern w:val="0"/>
                <w:lang w:eastAsia="it-IT"/>
                <w14:ligatures w14:val="none"/>
              </w:rPr>
              <w:t>Peso</w:t>
            </w:r>
          </w:p>
        </w:tc>
      </w:tr>
      <w:tr w:rsidR="00B161A0" w:rsidRPr="00B161A0" w14:paraId="65CDE90F" w14:textId="77777777" w:rsidTr="00B161A0">
        <w:trPr>
          <w:tblCellSpacing w:w="15" w:type="dxa"/>
        </w:trPr>
        <w:tc>
          <w:tcPr>
            <w:tcW w:w="0" w:type="auto"/>
            <w:vAlign w:val="center"/>
            <w:hideMark/>
          </w:tcPr>
          <w:p w14:paraId="6F56C9F9"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proofErr w:type="spellStart"/>
            <w:r w:rsidRPr="00B161A0">
              <w:rPr>
                <w:rFonts w:ascii="Times New Roman" w:eastAsia="Times New Roman" w:hAnsi="Times New Roman" w:cs="Times New Roman"/>
                <w:kern w:val="0"/>
                <w:lang w:eastAsia="it-IT"/>
                <w14:ligatures w14:val="none"/>
              </w:rPr>
              <w:t>Drawdown</w:t>
            </w:r>
            <w:proofErr w:type="spellEnd"/>
          </w:p>
        </w:tc>
        <w:tc>
          <w:tcPr>
            <w:tcW w:w="0" w:type="auto"/>
            <w:vAlign w:val="center"/>
            <w:hideMark/>
          </w:tcPr>
          <w:p w14:paraId="6F8F416D"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30%</w:t>
            </w:r>
          </w:p>
        </w:tc>
      </w:tr>
      <w:tr w:rsidR="00B161A0" w:rsidRPr="00B161A0" w14:paraId="355FD123" w14:textId="77777777" w:rsidTr="00B161A0">
        <w:trPr>
          <w:tblCellSpacing w:w="15" w:type="dxa"/>
        </w:trPr>
        <w:tc>
          <w:tcPr>
            <w:tcW w:w="0" w:type="auto"/>
            <w:vAlign w:val="center"/>
            <w:hideMark/>
          </w:tcPr>
          <w:p w14:paraId="2772C509"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Valutazioni</w:t>
            </w:r>
          </w:p>
        </w:tc>
        <w:tc>
          <w:tcPr>
            <w:tcW w:w="0" w:type="auto"/>
            <w:vAlign w:val="center"/>
            <w:hideMark/>
          </w:tcPr>
          <w:p w14:paraId="78FDA2EA"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25%</w:t>
            </w:r>
          </w:p>
        </w:tc>
      </w:tr>
      <w:tr w:rsidR="00B161A0" w:rsidRPr="00B161A0" w14:paraId="28DA66FC" w14:textId="77777777" w:rsidTr="00B161A0">
        <w:trPr>
          <w:tblCellSpacing w:w="15" w:type="dxa"/>
        </w:trPr>
        <w:tc>
          <w:tcPr>
            <w:tcW w:w="0" w:type="auto"/>
            <w:vAlign w:val="center"/>
            <w:hideMark/>
          </w:tcPr>
          <w:p w14:paraId="37E6F55F"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Paura e capitolazione</w:t>
            </w:r>
          </w:p>
        </w:tc>
        <w:tc>
          <w:tcPr>
            <w:tcW w:w="0" w:type="auto"/>
            <w:vAlign w:val="center"/>
            <w:hideMark/>
          </w:tcPr>
          <w:p w14:paraId="32600631"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20%</w:t>
            </w:r>
          </w:p>
        </w:tc>
      </w:tr>
      <w:tr w:rsidR="00B161A0" w:rsidRPr="00B161A0" w14:paraId="048BEDAE" w14:textId="77777777" w:rsidTr="00B161A0">
        <w:trPr>
          <w:tblCellSpacing w:w="15" w:type="dxa"/>
        </w:trPr>
        <w:tc>
          <w:tcPr>
            <w:tcW w:w="0" w:type="auto"/>
            <w:vAlign w:val="center"/>
            <w:hideMark/>
          </w:tcPr>
          <w:p w14:paraId="5DAD9B93"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Stabilizzazione </w:t>
            </w:r>
            <w:proofErr w:type="gramStart"/>
            <w:r w:rsidRPr="00B161A0">
              <w:rPr>
                <w:rFonts w:ascii="Times New Roman" w:eastAsia="Times New Roman" w:hAnsi="Times New Roman" w:cs="Times New Roman"/>
                <w:kern w:val="0"/>
                <w:lang w:eastAsia="it-IT"/>
                <w14:ligatures w14:val="none"/>
              </w:rPr>
              <w:t>del trend</w:t>
            </w:r>
            <w:proofErr w:type="gramEnd"/>
          </w:p>
        </w:tc>
        <w:tc>
          <w:tcPr>
            <w:tcW w:w="0" w:type="auto"/>
            <w:vAlign w:val="center"/>
            <w:hideMark/>
          </w:tcPr>
          <w:p w14:paraId="683641EC" w14:textId="77777777" w:rsidR="00B161A0" w:rsidRPr="00B161A0" w:rsidRDefault="00B161A0" w:rsidP="00B161A0">
            <w:pPr>
              <w:spacing w:after="0"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25%</w:t>
            </w:r>
          </w:p>
        </w:tc>
      </w:tr>
    </w:tbl>
    <w:p w14:paraId="0729D1C1"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Output:</w:t>
      </w:r>
    </w:p>
    <w:p w14:paraId="6A608CA9" w14:textId="77777777" w:rsidR="00B161A0" w:rsidRPr="00B161A0" w:rsidRDefault="00B161A0" w:rsidP="00B161A0">
      <w:pPr>
        <w:numPr>
          <w:ilvl w:val="0"/>
          <w:numId w:val="2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caro; </w:t>
      </w:r>
    </w:p>
    <w:p w14:paraId="15012E67" w14:textId="77777777" w:rsidR="00B161A0" w:rsidRPr="00B161A0" w:rsidRDefault="00B161A0" w:rsidP="00B161A0">
      <w:pPr>
        <w:numPr>
          <w:ilvl w:val="0"/>
          <w:numId w:val="2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neutrale; </w:t>
      </w:r>
    </w:p>
    <w:p w14:paraId="695DD452" w14:textId="77777777" w:rsidR="00B161A0" w:rsidRPr="00B161A0" w:rsidRDefault="00B161A0" w:rsidP="00B161A0">
      <w:pPr>
        <w:numPr>
          <w:ilvl w:val="0"/>
          <w:numId w:val="2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interessante; </w:t>
      </w:r>
    </w:p>
    <w:p w14:paraId="4FA742C0" w14:textId="77777777" w:rsidR="00B161A0" w:rsidRPr="00B161A0" w:rsidRDefault="00B161A0" w:rsidP="00B161A0">
      <w:pPr>
        <w:numPr>
          <w:ilvl w:val="0"/>
          <w:numId w:val="2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fortemente interessante. </w:t>
      </w:r>
    </w:p>
    <w:p w14:paraId="5EB8AE58"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La configurazione più favorevole per aumentare gli ingressi non sarebbe semplicemente “rischio rosso”, ma:</w:t>
      </w:r>
    </w:p>
    <w:p w14:paraId="6E0543B4" w14:textId="77777777" w:rsidR="00B161A0" w:rsidRPr="00B161A0" w:rsidRDefault="00B161A0" w:rsidP="00B161A0">
      <w:pPr>
        <w:spacing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opportunità alta + rischio che passa da rosso a giallo</w:t>
      </w:r>
      <w:r w:rsidRPr="00B161A0">
        <w:rPr>
          <w:rFonts w:ascii="Times New Roman" w:eastAsia="Times New Roman" w:hAnsi="Times New Roman" w:cs="Times New Roman"/>
          <w:kern w:val="0"/>
          <w:lang w:eastAsia="it-IT"/>
          <w14:ligatures w14:val="none"/>
        </w:rPr>
        <w:t>, cioè prezzi depressi e primi segnali di stabilizzazione.</w:t>
      </w:r>
    </w:p>
    <w:p w14:paraId="5B033325" w14:textId="77777777" w:rsidR="00B161A0" w:rsidRPr="00B161A0" w:rsidRDefault="00B161A0" w:rsidP="00B161A0">
      <w:pPr>
        <w:spacing w:before="100" w:beforeAutospacing="1" w:after="100" w:afterAutospacing="1" w:line="240" w:lineRule="auto"/>
        <w:outlineLvl w:val="1"/>
        <w:rPr>
          <w:rFonts w:ascii="Times New Roman" w:eastAsia="Times New Roman" w:hAnsi="Times New Roman" w:cs="Times New Roman"/>
          <w:b/>
          <w:bCs/>
          <w:kern w:val="0"/>
          <w:sz w:val="36"/>
          <w:szCs w:val="36"/>
          <w:lang w:eastAsia="it-IT"/>
          <w14:ligatures w14:val="none"/>
        </w:rPr>
      </w:pPr>
      <w:r w:rsidRPr="00B161A0">
        <w:rPr>
          <w:rFonts w:ascii="Times New Roman" w:eastAsia="Times New Roman" w:hAnsi="Times New Roman" w:cs="Times New Roman"/>
          <w:b/>
          <w:bCs/>
          <w:kern w:val="0"/>
          <w:sz w:val="36"/>
          <w:szCs w:val="36"/>
          <w:lang w:eastAsia="it-IT"/>
          <w14:ligatures w14:val="none"/>
        </w:rPr>
        <w:t>7. Fonti dati da utilizzare</w:t>
      </w:r>
    </w:p>
    <w:p w14:paraId="24CDFBDE" w14:textId="77777777" w:rsidR="00B161A0" w:rsidRPr="00B161A0" w:rsidRDefault="00B161A0" w:rsidP="00B161A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proofErr w:type="spellStart"/>
      <w:r w:rsidRPr="00B161A0">
        <w:rPr>
          <w:rFonts w:ascii="Times New Roman" w:eastAsia="Times New Roman" w:hAnsi="Times New Roman" w:cs="Times New Roman"/>
          <w:b/>
          <w:bCs/>
          <w:kern w:val="0"/>
          <w:sz w:val="27"/>
          <w:szCs w:val="27"/>
          <w:lang w:eastAsia="it-IT"/>
          <w14:ligatures w14:val="none"/>
        </w:rPr>
        <w:t>TradingView</w:t>
      </w:r>
      <w:proofErr w:type="spellEnd"/>
    </w:p>
    <w:p w14:paraId="0D443CEF"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Da usare per:</w:t>
      </w:r>
    </w:p>
    <w:p w14:paraId="0DE242AB" w14:textId="77777777" w:rsidR="00B161A0" w:rsidRPr="00B161A0" w:rsidRDefault="00B161A0" w:rsidP="00B161A0">
      <w:pPr>
        <w:numPr>
          <w:ilvl w:val="0"/>
          <w:numId w:val="22"/>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prezzi e grafici; </w:t>
      </w:r>
    </w:p>
    <w:p w14:paraId="3C24432F" w14:textId="77777777" w:rsidR="00B161A0" w:rsidRPr="00B161A0" w:rsidRDefault="00B161A0" w:rsidP="00B161A0">
      <w:pPr>
        <w:numPr>
          <w:ilvl w:val="0"/>
          <w:numId w:val="22"/>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medie mobili; </w:t>
      </w:r>
    </w:p>
    <w:p w14:paraId="56322A3B" w14:textId="77777777" w:rsidR="00B161A0" w:rsidRPr="00B161A0" w:rsidRDefault="00B161A0" w:rsidP="00B161A0">
      <w:pPr>
        <w:numPr>
          <w:ilvl w:val="0"/>
          <w:numId w:val="22"/>
        </w:numPr>
        <w:spacing w:before="100" w:beforeAutospacing="1" w:after="100" w:afterAutospacing="1" w:line="240" w:lineRule="auto"/>
        <w:rPr>
          <w:rFonts w:ascii="Times New Roman" w:eastAsia="Times New Roman" w:hAnsi="Times New Roman" w:cs="Times New Roman"/>
          <w:kern w:val="0"/>
          <w:lang w:eastAsia="it-IT"/>
          <w14:ligatures w14:val="none"/>
        </w:rPr>
      </w:pPr>
      <w:proofErr w:type="spellStart"/>
      <w:r w:rsidRPr="00B161A0">
        <w:rPr>
          <w:rFonts w:ascii="Times New Roman" w:eastAsia="Times New Roman" w:hAnsi="Times New Roman" w:cs="Times New Roman"/>
          <w:kern w:val="0"/>
          <w:lang w:eastAsia="it-IT"/>
          <w14:ligatures w14:val="none"/>
        </w:rPr>
        <w:t>breadth</w:t>
      </w:r>
      <w:proofErr w:type="spellEnd"/>
      <w:r w:rsidRPr="00B161A0">
        <w:rPr>
          <w:rFonts w:ascii="Times New Roman" w:eastAsia="Times New Roman" w:hAnsi="Times New Roman" w:cs="Times New Roman"/>
          <w:kern w:val="0"/>
          <w:lang w:eastAsia="it-IT"/>
          <w14:ligatures w14:val="none"/>
        </w:rPr>
        <w:t xml:space="preserve"> e rapporti tra strumenti; </w:t>
      </w:r>
    </w:p>
    <w:p w14:paraId="5D8AF033" w14:textId="77777777" w:rsidR="00B161A0" w:rsidRPr="00B161A0" w:rsidRDefault="00B161A0" w:rsidP="00B161A0">
      <w:pPr>
        <w:numPr>
          <w:ilvl w:val="0"/>
          <w:numId w:val="22"/>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Pine Script; </w:t>
      </w:r>
    </w:p>
    <w:p w14:paraId="362DBB68" w14:textId="77777777" w:rsidR="00B161A0" w:rsidRPr="00B161A0" w:rsidRDefault="00B161A0" w:rsidP="00B161A0">
      <w:pPr>
        <w:numPr>
          <w:ilvl w:val="0"/>
          <w:numId w:val="22"/>
        </w:numPr>
        <w:spacing w:before="100" w:beforeAutospacing="1" w:after="100" w:afterAutospacing="1" w:line="240" w:lineRule="auto"/>
        <w:rPr>
          <w:rFonts w:ascii="Times New Roman" w:eastAsia="Times New Roman" w:hAnsi="Times New Roman" w:cs="Times New Roman"/>
          <w:kern w:val="0"/>
          <w:lang w:eastAsia="it-IT"/>
          <w14:ligatures w14:val="none"/>
        </w:rPr>
      </w:pPr>
      <w:proofErr w:type="spellStart"/>
      <w:r w:rsidRPr="00B161A0">
        <w:rPr>
          <w:rFonts w:ascii="Times New Roman" w:eastAsia="Times New Roman" w:hAnsi="Times New Roman" w:cs="Times New Roman"/>
          <w:kern w:val="0"/>
          <w:lang w:eastAsia="it-IT"/>
          <w14:ligatures w14:val="none"/>
        </w:rPr>
        <w:t>alert</w:t>
      </w:r>
      <w:proofErr w:type="spellEnd"/>
      <w:r w:rsidRPr="00B161A0">
        <w:rPr>
          <w:rFonts w:ascii="Times New Roman" w:eastAsia="Times New Roman" w:hAnsi="Times New Roman" w:cs="Times New Roman"/>
          <w:kern w:val="0"/>
          <w:lang w:eastAsia="it-IT"/>
          <w14:ligatures w14:val="none"/>
        </w:rPr>
        <w:t xml:space="preserve"> e </w:t>
      </w:r>
      <w:proofErr w:type="spellStart"/>
      <w:r w:rsidRPr="00B161A0">
        <w:rPr>
          <w:rFonts w:ascii="Times New Roman" w:eastAsia="Times New Roman" w:hAnsi="Times New Roman" w:cs="Times New Roman"/>
          <w:kern w:val="0"/>
          <w:lang w:eastAsia="it-IT"/>
          <w14:ligatures w14:val="none"/>
        </w:rPr>
        <w:t>webhook</w:t>
      </w:r>
      <w:proofErr w:type="spellEnd"/>
      <w:r w:rsidRPr="00B161A0">
        <w:rPr>
          <w:rFonts w:ascii="Times New Roman" w:eastAsia="Times New Roman" w:hAnsi="Times New Roman" w:cs="Times New Roman"/>
          <w:kern w:val="0"/>
          <w:lang w:eastAsia="it-IT"/>
          <w14:ligatures w14:val="none"/>
        </w:rPr>
        <w:t xml:space="preserve">. </w:t>
      </w:r>
    </w:p>
    <w:p w14:paraId="137B4752"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proofErr w:type="spellStart"/>
      <w:r w:rsidRPr="00B161A0">
        <w:rPr>
          <w:rFonts w:ascii="Times New Roman" w:eastAsia="Times New Roman" w:hAnsi="Times New Roman" w:cs="Times New Roman"/>
          <w:kern w:val="0"/>
          <w:lang w:eastAsia="it-IT"/>
          <w14:ligatures w14:val="none"/>
        </w:rPr>
        <w:lastRenderedPageBreak/>
        <w:t>TradingView</w:t>
      </w:r>
      <w:proofErr w:type="spellEnd"/>
      <w:r w:rsidRPr="00B161A0">
        <w:rPr>
          <w:rFonts w:ascii="Times New Roman" w:eastAsia="Times New Roman" w:hAnsi="Times New Roman" w:cs="Times New Roman"/>
          <w:kern w:val="0"/>
          <w:lang w:eastAsia="it-IT"/>
          <w14:ligatures w14:val="none"/>
        </w:rPr>
        <w:t xml:space="preserve"> non mette a disposizione una normale API pubblica per estrarre direttamente dati e valori degli indicatori dai grafici. Consente però agli </w:t>
      </w:r>
      <w:proofErr w:type="spellStart"/>
      <w:r w:rsidRPr="00B161A0">
        <w:rPr>
          <w:rFonts w:ascii="Times New Roman" w:eastAsia="Times New Roman" w:hAnsi="Times New Roman" w:cs="Times New Roman"/>
          <w:kern w:val="0"/>
          <w:lang w:eastAsia="it-IT"/>
          <w14:ligatures w14:val="none"/>
        </w:rPr>
        <w:t>alert</w:t>
      </w:r>
      <w:proofErr w:type="spellEnd"/>
      <w:r w:rsidRPr="00B161A0">
        <w:rPr>
          <w:rFonts w:ascii="Times New Roman" w:eastAsia="Times New Roman" w:hAnsi="Times New Roman" w:cs="Times New Roman"/>
          <w:kern w:val="0"/>
          <w:lang w:eastAsia="it-IT"/>
          <w14:ligatures w14:val="none"/>
        </w:rPr>
        <w:t xml:space="preserve"> di inviare richieste HTTP POST verso un nostro </w:t>
      </w:r>
      <w:proofErr w:type="spellStart"/>
      <w:r w:rsidRPr="00B161A0">
        <w:rPr>
          <w:rFonts w:ascii="Times New Roman" w:eastAsia="Times New Roman" w:hAnsi="Times New Roman" w:cs="Times New Roman"/>
          <w:kern w:val="0"/>
          <w:lang w:eastAsia="it-IT"/>
          <w14:ligatures w14:val="none"/>
        </w:rPr>
        <w:t>webhook</w:t>
      </w:r>
      <w:proofErr w:type="spellEnd"/>
      <w:r w:rsidRPr="00B161A0">
        <w:rPr>
          <w:rFonts w:ascii="Times New Roman" w:eastAsia="Times New Roman" w:hAnsi="Times New Roman" w:cs="Times New Roman"/>
          <w:kern w:val="0"/>
          <w:lang w:eastAsia="it-IT"/>
          <w14:ligatures w14:val="none"/>
        </w:rPr>
        <w:t xml:space="preserve">; per usare i </w:t>
      </w:r>
      <w:proofErr w:type="spellStart"/>
      <w:r w:rsidRPr="00B161A0">
        <w:rPr>
          <w:rFonts w:ascii="Times New Roman" w:eastAsia="Times New Roman" w:hAnsi="Times New Roman" w:cs="Times New Roman"/>
          <w:kern w:val="0"/>
          <w:lang w:eastAsia="it-IT"/>
          <w14:ligatures w14:val="none"/>
        </w:rPr>
        <w:t>webhook</w:t>
      </w:r>
      <w:proofErr w:type="spellEnd"/>
      <w:r w:rsidRPr="00B161A0">
        <w:rPr>
          <w:rFonts w:ascii="Times New Roman" w:eastAsia="Times New Roman" w:hAnsi="Times New Roman" w:cs="Times New Roman"/>
          <w:kern w:val="0"/>
          <w:lang w:eastAsia="it-IT"/>
          <w14:ligatures w14:val="none"/>
        </w:rPr>
        <w:t xml:space="preserve"> è necessario attivare l’autenticazione a due fattori. </w:t>
      </w:r>
    </w:p>
    <w:p w14:paraId="7B6BD3A7" w14:textId="77777777" w:rsidR="00B161A0" w:rsidRPr="00B161A0" w:rsidRDefault="00B161A0" w:rsidP="00B161A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161A0">
        <w:rPr>
          <w:rFonts w:ascii="Times New Roman" w:eastAsia="Times New Roman" w:hAnsi="Times New Roman" w:cs="Times New Roman"/>
          <w:b/>
          <w:bCs/>
          <w:kern w:val="0"/>
          <w:sz w:val="27"/>
          <w:szCs w:val="27"/>
          <w:lang w:eastAsia="it-IT"/>
          <w14:ligatures w14:val="none"/>
        </w:rPr>
        <w:t>FRED</w:t>
      </w:r>
    </w:p>
    <w:p w14:paraId="72A396B7"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Sarà la fonte principale per:</w:t>
      </w:r>
    </w:p>
    <w:p w14:paraId="08D9DDCC" w14:textId="77777777" w:rsidR="00B161A0" w:rsidRPr="00B161A0" w:rsidRDefault="00B161A0" w:rsidP="00B161A0">
      <w:pPr>
        <w:numPr>
          <w:ilvl w:val="0"/>
          <w:numId w:val="23"/>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curva dei tassi; </w:t>
      </w:r>
    </w:p>
    <w:p w14:paraId="291EA391" w14:textId="77777777" w:rsidR="00B161A0" w:rsidRPr="00B161A0" w:rsidRDefault="00B161A0" w:rsidP="00B161A0">
      <w:pPr>
        <w:numPr>
          <w:ilvl w:val="0"/>
          <w:numId w:val="23"/>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spread high yield; </w:t>
      </w:r>
    </w:p>
    <w:p w14:paraId="1775BDF5" w14:textId="77777777" w:rsidR="00B161A0" w:rsidRPr="00B161A0" w:rsidRDefault="00B161A0" w:rsidP="00B161A0">
      <w:pPr>
        <w:numPr>
          <w:ilvl w:val="0"/>
          <w:numId w:val="23"/>
        </w:numPr>
        <w:spacing w:before="100" w:beforeAutospacing="1" w:after="100" w:afterAutospacing="1" w:line="240" w:lineRule="auto"/>
        <w:rPr>
          <w:rFonts w:ascii="Times New Roman" w:eastAsia="Times New Roman" w:hAnsi="Times New Roman" w:cs="Times New Roman"/>
          <w:kern w:val="0"/>
          <w:lang w:eastAsia="it-IT"/>
          <w14:ligatures w14:val="none"/>
        </w:rPr>
      </w:pPr>
      <w:proofErr w:type="spellStart"/>
      <w:r w:rsidRPr="00B161A0">
        <w:rPr>
          <w:rFonts w:ascii="Times New Roman" w:eastAsia="Times New Roman" w:hAnsi="Times New Roman" w:cs="Times New Roman"/>
          <w:kern w:val="0"/>
          <w:lang w:eastAsia="it-IT"/>
          <w14:ligatures w14:val="none"/>
        </w:rPr>
        <w:t>Sahm</w:t>
      </w:r>
      <w:proofErr w:type="spellEnd"/>
      <w:r w:rsidRPr="00B161A0">
        <w:rPr>
          <w:rFonts w:ascii="Times New Roman" w:eastAsia="Times New Roman" w:hAnsi="Times New Roman" w:cs="Times New Roman"/>
          <w:kern w:val="0"/>
          <w:lang w:eastAsia="it-IT"/>
          <w14:ligatures w14:val="none"/>
        </w:rPr>
        <w:t xml:space="preserve"> Rule; </w:t>
      </w:r>
    </w:p>
    <w:p w14:paraId="1B051009" w14:textId="77777777" w:rsidR="00B161A0" w:rsidRPr="00B161A0" w:rsidRDefault="00B161A0" w:rsidP="00B161A0">
      <w:pPr>
        <w:numPr>
          <w:ilvl w:val="0"/>
          <w:numId w:val="23"/>
        </w:numPr>
        <w:spacing w:before="100" w:beforeAutospacing="1" w:after="100" w:afterAutospacing="1" w:line="240" w:lineRule="auto"/>
        <w:rPr>
          <w:rFonts w:ascii="Times New Roman" w:eastAsia="Times New Roman" w:hAnsi="Times New Roman" w:cs="Times New Roman"/>
          <w:kern w:val="0"/>
          <w:lang w:eastAsia="it-IT"/>
          <w14:ligatures w14:val="none"/>
        </w:rPr>
      </w:pPr>
      <w:proofErr w:type="spellStart"/>
      <w:r w:rsidRPr="00B161A0">
        <w:rPr>
          <w:rFonts w:ascii="Times New Roman" w:eastAsia="Times New Roman" w:hAnsi="Times New Roman" w:cs="Times New Roman"/>
          <w:kern w:val="0"/>
          <w:lang w:eastAsia="it-IT"/>
          <w14:ligatures w14:val="none"/>
        </w:rPr>
        <w:t>claims</w:t>
      </w:r>
      <w:proofErr w:type="spellEnd"/>
      <w:r w:rsidRPr="00B161A0">
        <w:rPr>
          <w:rFonts w:ascii="Times New Roman" w:eastAsia="Times New Roman" w:hAnsi="Times New Roman" w:cs="Times New Roman"/>
          <w:kern w:val="0"/>
          <w:lang w:eastAsia="it-IT"/>
          <w14:ligatures w14:val="none"/>
        </w:rPr>
        <w:t xml:space="preserve">; </w:t>
      </w:r>
    </w:p>
    <w:p w14:paraId="2C44ED4E" w14:textId="77777777" w:rsidR="00B161A0" w:rsidRPr="00B161A0" w:rsidRDefault="00B161A0" w:rsidP="00B161A0">
      <w:pPr>
        <w:numPr>
          <w:ilvl w:val="0"/>
          <w:numId w:val="23"/>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Fed Funds; </w:t>
      </w:r>
    </w:p>
    <w:p w14:paraId="6B50A07A" w14:textId="77777777" w:rsidR="00B161A0" w:rsidRPr="00B161A0" w:rsidRDefault="00B161A0" w:rsidP="00B161A0">
      <w:pPr>
        <w:numPr>
          <w:ilvl w:val="0"/>
          <w:numId w:val="23"/>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Core PCE; </w:t>
      </w:r>
    </w:p>
    <w:p w14:paraId="0F294BAE" w14:textId="77777777" w:rsidR="00B161A0" w:rsidRPr="00B161A0" w:rsidRDefault="00B161A0" w:rsidP="00B161A0">
      <w:pPr>
        <w:numPr>
          <w:ilvl w:val="0"/>
          <w:numId w:val="23"/>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CFNAI; </w:t>
      </w:r>
    </w:p>
    <w:p w14:paraId="3E49004B" w14:textId="77777777" w:rsidR="00B161A0" w:rsidRPr="00B161A0" w:rsidRDefault="00B161A0" w:rsidP="00B161A0">
      <w:pPr>
        <w:numPr>
          <w:ilvl w:val="0"/>
          <w:numId w:val="23"/>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NFCI/ANFCI. </w:t>
      </w:r>
    </w:p>
    <w:p w14:paraId="119D0BED"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FRED offre un’API ufficiale che restituisce osservazioni e serie economiche anche in JSON. </w:t>
      </w:r>
    </w:p>
    <w:p w14:paraId="50DF2BEF" w14:textId="77777777" w:rsidR="00B161A0" w:rsidRPr="00B161A0" w:rsidRDefault="00B161A0" w:rsidP="00B161A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161A0">
        <w:rPr>
          <w:rFonts w:ascii="Times New Roman" w:eastAsia="Times New Roman" w:hAnsi="Times New Roman" w:cs="Times New Roman"/>
          <w:b/>
          <w:bCs/>
          <w:kern w:val="0"/>
          <w:sz w:val="27"/>
          <w:szCs w:val="27"/>
          <w:lang w:eastAsia="it-IT"/>
          <w14:ligatures w14:val="none"/>
        </w:rPr>
        <w:t>Fonti ufficiali integrative</w:t>
      </w:r>
    </w:p>
    <w:p w14:paraId="1CA54971" w14:textId="77777777" w:rsidR="00B161A0" w:rsidRPr="00B161A0" w:rsidRDefault="00B161A0" w:rsidP="00B161A0">
      <w:pPr>
        <w:numPr>
          <w:ilvl w:val="0"/>
          <w:numId w:val="2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BLS</w:t>
      </w:r>
      <w:r w:rsidRPr="00B161A0">
        <w:rPr>
          <w:rFonts w:ascii="Times New Roman" w:eastAsia="Times New Roman" w:hAnsi="Times New Roman" w:cs="Times New Roman"/>
          <w:kern w:val="0"/>
          <w:lang w:eastAsia="it-IT"/>
          <w14:ligatures w14:val="none"/>
        </w:rPr>
        <w:t xml:space="preserve">: lavoro, disoccupazione, CPI; dispone di un’API pubblica. </w:t>
      </w:r>
    </w:p>
    <w:p w14:paraId="0BFF30D2" w14:textId="77777777" w:rsidR="00B161A0" w:rsidRPr="00B161A0" w:rsidRDefault="00B161A0" w:rsidP="00B161A0">
      <w:pPr>
        <w:numPr>
          <w:ilvl w:val="0"/>
          <w:numId w:val="2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BEA</w:t>
      </w:r>
      <w:r w:rsidRPr="00B161A0">
        <w:rPr>
          <w:rFonts w:ascii="Times New Roman" w:eastAsia="Times New Roman" w:hAnsi="Times New Roman" w:cs="Times New Roman"/>
          <w:kern w:val="0"/>
          <w:lang w:eastAsia="it-IT"/>
          <w14:ligatures w14:val="none"/>
        </w:rPr>
        <w:t xml:space="preserve">: PCE, Core PCE, consumi e redditi. </w:t>
      </w:r>
    </w:p>
    <w:p w14:paraId="5800A7AD" w14:textId="77777777" w:rsidR="00B161A0" w:rsidRPr="00B161A0" w:rsidRDefault="00B161A0" w:rsidP="00B161A0">
      <w:pPr>
        <w:numPr>
          <w:ilvl w:val="0"/>
          <w:numId w:val="2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CBOE</w:t>
      </w:r>
      <w:r w:rsidRPr="00B161A0">
        <w:rPr>
          <w:rFonts w:ascii="Times New Roman" w:eastAsia="Times New Roman" w:hAnsi="Times New Roman" w:cs="Times New Roman"/>
          <w:kern w:val="0"/>
          <w:lang w:eastAsia="it-IT"/>
          <w14:ligatures w14:val="none"/>
        </w:rPr>
        <w:t xml:space="preserve">: VIX, struttura della volatilità e put/call. </w:t>
      </w:r>
    </w:p>
    <w:p w14:paraId="2C2D8B50" w14:textId="77777777" w:rsidR="00B161A0" w:rsidRPr="00B161A0" w:rsidRDefault="00B161A0" w:rsidP="00B161A0">
      <w:pPr>
        <w:numPr>
          <w:ilvl w:val="0"/>
          <w:numId w:val="24"/>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b/>
          <w:bCs/>
          <w:kern w:val="0"/>
          <w:lang w:eastAsia="it-IT"/>
          <w14:ligatures w14:val="none"/>
        </w:rPr>
        <w:t>Yale/Shiller</w:t>
      </w:r>
      <w:r w:rsidRPr="00B161A0">
        <w:rPr>
          <w:rFonts w:ascii="Times New Roman" w:eastAsia="Times New Roman" w:hAnsi="Times New Roman" w:cs="Times New Roman"/>
          <w:kern w:val="0"/>
          <w:lang w:eastAsia="it-IT"/>
          <w14:ligatures w14:val="none"/>
        </w:rPr>
        <w:t xml:space="preserve">: CAPE e valutazioni storiche. </w:t>
      </w:r>
    </w:p>
    <w:p w14:paraId="6A465261" w14:textId="77777777" w:rsidR="00B161A0" w:rsidRPr="00B161A0" w:rsidRDefault="00B161A0" w:rsidP="00B161A0">
      <w:pPr>
        <w:spacing w:before="100" w:beforeAutospacing="1" w:after="100" w:afterAutospacing="1" w:line="240" w:lineRule="auto"/>
        <w:outlineLvl w:val="1"/>
        <w:rPr>
          <w:rFonts w:ascii="Times New Roman" w:eastAsia="Times New Roman" w:hAnsi="Times New Roman" w:cs="Times New Roman"/>
          <w:b/>
          <w:bCs/>
          <w:kern w:val="0"/>
          <w:sz w:val="36"/>
          <w:szCs w:val="36"/>
          <w:lang w:eastAsia="it-IT"/>
          <w14:ligatures w14:val="none"/>
        </w:rPr>
      </w:pPr>
      <w:r w:rsidRPr="00B161A0">
        <w:rPr>
          <w:rFonts w:ascii="Times New Roman" w:eastAsia="Times New Roman" w:hAnsi="Times New Roman" w:cs="Times New Roman"/>
          <w:b/>
          <w:bCs/>
          <w:kern w:val="0"/>
          <w:sz w:val="36"/>
          <w:szCs w:val="36"/>
          <w:lang w:eastAsia="it-IT"/>
          <w14:ligatures w14:val="none"/>
        </w:rPr>
        <w:t>8. MVP consigliato</w:t>
      </w:r>
    </w:p>
    <w:p w14:paraId="26D336AC"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La prima versione non dovrebbe contenere cinquanta indicatori. Partirei con questi dodici:</w:t>
      </w:r>
    </w:p>
    <w:p w14:paraId="0FE51963" w14:textId="77777777" w:rsidR="00B161A0" w:rsidRPr="00B161A0" w:rsidRDefault="00B161A0" w:rsidP="00B161A0">
      <w:pPr>
        <w:numPr>
          <w:ilvl w:val="0"/>
          <w:numId w:val="2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ACWI rispetto alla media mobile 200; </w:t>
      </w:r>
    </w:p>
    <w:p w14:paraId="630BA794" w14:textId="77777777" w:rsidR="00B161A0" w:rsidRPr="00B161A0" w:rsidRDefault="00B161A0" w:rsidP="00B161A0">
      <w:pPr>
        <w:numPr>
          <w:ilvl w:val="0"/>
          <w:numId w:val="2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SPY rispetto alla media mobile 200; </w:t>
      </w:r>
    </w:p>
    <w:p w14:paraId="5128D6F2" w14:textId="77777777" w:rsidR="00B161A0" w:rsidRPr="00B161A0" w:rsidRDefault="00B161A0" w:rsidP="00B161A0">
      <w:pPr>
        <w:numPr>
          <w:ilvl w:val="0"/>
          <w:numId w:val="2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pendenza della media mobile 200 dello SPY; </w:t>
      </w:r>
    </w:p>
    <w:p w14:paraId="26CAD742" w14:textId="77777777" w:rsidR="00B161A0" w:rsidRPr="00B161A0" w:rsidRDefault="00B161A0" w:rsidP="00B161A0">
      <w:pPr>
        <w:numPr>
          <w:ilvl w:val="0"/>
          <w:numId w:val="2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RSP/SPY; </w:t>
      </w:r>
    </w:p>
    <w:p w14:paraId="4EB0D48B" w14:textId="77777777" w:rsidR="00B161A0" w:rsidRPr="00B161A0" w:rsidRDefault="00B161A0" w:rsidP="00B161A0">
      <w:pPr>
        <w:numPr>
          <w:ilvl w:val="0"/>
          <w:numId w:val="2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IWM/SPY; </w:t>
      </w:r>
    </w:p>
    <w:p w14:paraId="70D6C2F7" w14:textId="77777777" w:rsidR="00B161A0" w:rsidRPr="00B161A0" w:rsidRDefault="00B161A0" w:rsidP="00B161A0">
      <w:pPr>
        <w:numPr>
          <w:ilvl w:val="0"/>
          <w:numId w:val="2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percentuale S&amp;P 500 sopra la media 200; </w:t>
      </w:r>
    </w:p>
    <w:p w14:paraId="7A028233" w14:textId="77777777" w:rsidR="00B161A0" w:rsidRPr="00B161A0" w:rsidRDefault="00B161A0" w:rsidP="00B161A0">
      <w:pPr>
        <w:numPr>
          <w:ilvl w:val="0"/>
          <w:numId w:val="2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VIX e VIX/VIX3M; </w:t>
      </w:r>
    </w:p>
    <w:p w14:paraId="4D49E420" w14:textId="77777777" w:rsidR="00B161A0" w:rsidRPr="00B161A0" w:rsidRDefault="00B161A0" w:rsidP="00B161A0">
      <w:pPr>
        <w:numPr>
          <w:ilvl w:val="0"/>
          <w:numId w:val="2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High Yield OAS; </w:t>
      </w:r>
    </w:p>
    <w:p w14:paraId="26C1745F" w14:textId="77777777" w:rsidR="00B161A0" w:rsidRPr="00B161A0" w:rsidRDefault="00B161A0" w:rsidP="00B161A0">
      <w:pPr>
        <w:numPr>
          <w:ilvl w:val="0"/>
          <w:numId w:val="2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ANFCI; </w:t>
      </w:r>
    </w:p>
    <w:p w14:paraId="669A24B2" w14:textId="77777777" w:rsidR="00B161A0" w:rsidRPr="00B161A0" w:rsidRDefault="00B161A0" w:rsidP="00B161A0">
      <w:pPr>
        <w:numPr>
          <w:ilvl w:val="0"/>
          <w:numId w:val="25"/>
        </w:numPr>
        <w:spacing w:before="100" w:beforeAutospacing="1" w:after="100" w:afterAutospacing="1" w:line="240" w:lineRule="auto"/>
        <w:rPr>
          <w:rFonts w:ascii="Times New Roman" w:eastAsia="Times New Roman" w:hAnsi="Times New Roman" w:cs="Times New Roman"/>
          <w:kern w:val="0"/>
          <w:lang w:eastAsia="it-IT"/>
          <w14:ligatures w14:val="none"/>
        </w:rPr>
      </w:pPr>
      <w:proofErr w:type="spellStart"/>
      <w:r w:rsidRPr="00B161A0">
        <w:rPr>
          <w:rFonts w:ascii="Times New Roman" w:eastAsia="Times New Roman" w:hAnsi="Times New Roman" w:cs="Times New Roman"/>
          <w:kern w:val="0"/>
          <w:lang w:eastAsia="it-IT"/>
          <w14:ligatures w14:val="none"/>
        </w:rPr>
        <w:t>Sahm</w:t>
      </w:r>
      <w:proofErr w:type="spellEnd"/>
      <w:r w:rsidRPr="00B161A0">
        <w:rPr>
          <w:rFonts w:ascii="Times New Roman" w:eastAsia="Times New Roman" w:hAnsi="Times New Roman" w:cs="Times New Roman"/>
          <w:kern w:val="0"/>
          <w:lang w:eastAsia="it-IT"/>
          <w14:ligatures w14:val="none"/>
        </w:rPr>
        <w:t xml:space="preserve"> Rule; </w:t>
      </w:r>
    </w:p>
    <w:p w14:paraId="427EA5BE" w14:textId="77777777" w:rsidR="00B161A0" w:rsidRPr="00B161A0" w:rsidRDefault="00B161A0" w:rsidP="00B161A0">
      <w:pPr>
        <w:numPr>
          <w:ilvl w:val="0"/>
          <w:numId w:val="2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CFNAI-MA3; </w:t>
      </w:r>
    </w:p>
    <w:p w14:paraId="0FA94524" w14:textId="77777777" w:rsidR="00B161A0" w:rsidRPr="00B161A0" w:rsidRDefault="00B161A0" w:rsidP="00B161A0">
      <w:pPr>
        <w:numPr>
          <w:ilvl w:val="0"/>
          <w:numId w:val="25"/>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 xml:space="preserve">CAPE percentile. </w:t>
      </w:r>
    </w:p>
    <w:p w14:paraId="6BCE24C2"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Oro e Bitcoin comparirebbero nella dashboard, ma inizialmente avrebbero un peso ridotto nel colore complessivo.</w:t>
      </w:r>
    </w:p>
    <w:p w14:paraId="5E650688"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t>Dal punto di vista tecnico, la soluzione più pulita sarebbe:</w:t>
      </w:r>
    </w:p>
    <w:p w14:paraId="64B88A83"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proofErr w:type="spellStart"/>
      <w:r w:rsidRPr="00B161A0">
        <w:rPr>
          <w:rFonts w:ascii="Times New Roman" w:eastAsia="Times New Roman" w:hAnsi="Times New Roman" w:cs="Times New Roman"/>
          <w:b/>
          <w:bCs/>
          <w:kern w:val="0"/>
          <w:lang w:eastAsia="it-IT"/>
          <w14:ligatures w14:val="none"/>
        </w:rPr>
        <w:t>TradingView</w:t>
      </w:r>
      <w:proofErr w:type="spellEnd"/>
      <w:r w:rsidRPr="00B161A0">
        <w:rPr>
          <w:rFonts w:ascii="Times New Roman" w:eastAsia="Times New Roman" w:hAnsi="Times New Roman" w:cs="Times New Roman"/>
          <w:b/>
          <w:bCs/>
          <w:kern w:val="0"/>
          <w:lang w:eastAsia="it-IT"/>
          <w14:ligatures w14:val="none"/>
        </w:rPr>
        <w:t xml:space="preserve">/Pine Script → </w:t>
      </w:r>
      <w:proofErr w:type="spellStart"/>
      <w:r w:rsidRPr="00B161A0">
        <w:rPr>
          <w:rFonts w:ascii="Times New Roman" w:eastAsia="Times New Roman" w:hAnsi="Times New Roman" w:cs="Times New Roman"/>
          <w:b/>
          <w:bCs/>
          <w:kern w:val="0"/>
          <w:lang w:eastAsia="it-IT"/>
          <w14:ligatures w14:val="none"/>
        </w:rPr>
        <w:t>webhook</w:t>
      </w:r>
      <w:proofErr w:type="spellEnd"/>
      <w:r w:rsidRPr="00B161A0">
        <w:rPr>
          <w:rFonts w:ascii="Times New Roman" w:eastAsia="Times New Roman" w:hAnsi="Times New Roman" w:cs="Times New Roman"/>
          <w:b/>
          <w:bCs/>
          <w:kern w:val="0"/>
          <w:lang w:eastAsia="it-IT"/>
          <w14:ligatures w14:val="none"/>
        </w:rPr>
        <w:t xml:space="preserve"> JSON → piccolo </w:t>
      </w:r>
      <w:proofErr w:type="spellStart"/>
      <w:r w:rsidRPr="00B161A0">
        <w:rPr>
          <w:rFonts w:ascii="Times New Roman" w:eastAsia="Times New Roman" w:hAnsi="Times New Roman" w:cs="Times New Roman"/>
          <w:b/>
          <w:bCs/>
          <w:kern w:val="0"/>
          <w:lang w:eastAsia="it-IT"/>
          <w14:ligatures w14:val="none"/>
        </w:rPr>
        <w:t>backend</w:t>
      </w:r>
      <w:proofErr w:type="spellEnd"/>
      <w:r w:rsidRPr="00B161A0">
        <w:rPr>
          <w:rFonts w:ascii="Times New Roman" w:eastAsia="Times New Roman" w:hAnsi="Times New Roman" w:cs="Times New Roman"/>
          <w:b/>
          <w:bCs/>
          <w:kern w:val="0"/>
          <w:lang w:eastAsia="it-IT"/>
          <w14:ligatures w14:val="none"/>
        </w:rPr>
        <w:t xml:space="preserve"> → integrazione FRED → database → dashboard web.</w:t>
      </w:r>
    </w:p>
    <w:p w14:paraId="16A6AE24" w14:textId="77777777" w:rsidR="00B161A0" w:rsidRPr="00B161A0" w:rsidRDefault="00B161A0" w:rsidP="00B161A0">
      <w:pPr>
        <w:spacing w:before="100" w:beforeAutospacing="1" w:after="100" w:afterAutospacing="1" w:line="240" w:lineRule="auto"/>
        <w:rPr>
          <w:rFonts w:ascii="Times New Roman" w:eastAsia="Times New Roman" w:hAnsi="Times New Roman" w:cs="Times New Roman"/>
          <w:kern w:val="0"/>
          <w:lang w:eastAsia="it-IT"/>
          <w14:ligatures w14:val="none"/>
        </w:rPr>
      </w:pPr>
      <w:r w:rsidRPr="00B161A0">
        <w:rPr>
          <w:rFonts w:ascii="Times New Roman" w:eastAsia="Times New Roman" w:hAnsi="Times New Roman" w:cs="Times New Roman"/>
          <w:kern w:val="0"/>
          <w:lang w:eastAsia="it-IT"/>
          <w14:ligatures w14:val="none"/>
        </w:rPr>
        <w:lastRenderedPageBreak/>
        <w:t xml:space="preserve">Il codice può stare su GitHub, ma GitHub Pages da solo non può ricevere </w:t>
      </w:r>
      <w:proofErr w:type="spellStart"/>
      <w:r w:rsidRPr="00B161A0">
        <w:rPr>
          <w:rFonts w:ascii="Times New Roman" w:eastAsia="Times New Roman" w:hAnsi="Times New Roman" w:cs="Times New Roman"/>
          <w:kern w:val="0"/>
          <w:lang w:eastAsia="it-IT"/>
          <w14:ligatures w14:val="none"/>
        </w:rPr>
        <w:t>webhook</w:t>
      </w:r>
      <w:proofErr w:type="spellEnd"/>
      <w:r w:rsidRPr="00B161A0">
        <w:rPr>
          <w:rFonts w:ascii="Times New Roman" w:eastAsia="Times New Roman" w:hAnsi="Times New Roman" w:cs="Times New Roman"/>
          <w:kern w:val="0"/>
          <w:lang w:eastAsia="it-IT"/>
          <w14:ligatures w14:val="none"/>
        </w:rPr>
        <w:t xml:space="preserve">, eseguire il calcolo giornaliero o proteggere le chiavi API. Servirà una piccola funzione </w:t>
      </w:r>
      <w:proofErr w:type="spellStart"/>
      <w:r w:rsidRPr="00B161A0">
        <w:rPr>
          <w:rFonts w:ascii="Times New Roman" w:eastAsia="Times New Roman" w:hAnsi="Times New Roman" w:cs="Times New Roman"/>
          <w:kern w:val="0"/>
          <w:lang w:eastAsia="it-IT"/>
          <w14:ligatures w14:val="none"/>
        </w:rPr>
        <w:t>serverless</w:t>
      </w:r>
      <w:proofErr w:type="spellEnd"/>
      <w:r w:rsidRPr="00B161A0">
        <w:rPr>
          <w:rFonts w:ascii="Times New Roman" w:eastAsia="Times New Roman" w:hAnsi="Times New Roman" w:cs="Times New Roman"/>
          <w:kern w:val="0"/>
          <w:lang w:eastAsia="it-IT"/>
          <w14:ligatures w14:val="none"/>
        </w:rPr>
        <w:t xml:space="preserve"> e un archivio dati. Il passo successivo è trasformare questa struttura in un vero </w:t>
      </w:r>
      <w:r w:rsidRPr="00B161A0">
        <w:rPr>
          <w:rFonts w:ascii="Times New Roman" w:eastAsia="Times New Roman" w:hAnsi="Times New Roman" w:cs="Times New Roman"/>
          <w:b/>
          <w:bCs/>
          <w:kern w:val="0"/>
          <w:lang w:eastAsia="it-IT"/>
          <w14:ligatures w14:val="none"/>
        </w:rPr>
        <w:t>brief funzionale e tecnico v0.1</w:t>
      </w:r>
      <w:r w:rsidRPr="00B161A0">
        <w:rPr>
          <w:rFonts w:ascii="Times New Roman" w:eastAsia="Times New Roman" w:hAnsi="Times New Roman" w:cs="Times New Roman"/>
          <w:kern w:val="0"/>
          <w:lang w:eastAsia="it-IT"/>
          <w14:ligatures w14:val="none"/>
        </w:rPr>
        <w:t>, con formule, soglie iniziali e schema JSON dei dati.</w:t>
      </w:r>
    </w:p>
    <w:p w14:paraId="501FCE2E" w14:textId="77777777" w:rsidR="00CF5819" w:rsidRDefault="00CF5819"/>
    <w:sectPr w:rsidR="00CF581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3C5"/>
    <w:multiLevelType w:val="multilevel"/>
    <w:tmpl w:val="2284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27451"/>
    <w:multiLevelType w:val="multilevel"/>
    <w:tmpl w:val="25F0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308E5"/>
    <w:multiLevelType w:val="multilevel"/>
    <w:tmpl w:val="ED9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130B8"/>
    <w:multiLevelType w:val="multilevel"/>
    <w:tmpl w:val="6026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F4187"/>
    <w:multiLevelType w:val="multilevel"/>
    <w:tmpl w:val="45A8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C02CB"/>
    <w:multiLevelType w:val="multilevel"/>
    <w:tmpl w:val="90EC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30F5E"/>
    <w:multiLevelType w:val="multilevel"/>
    <w:tmpl w:val="5C2A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C3D2E"/>
    <w:multiLevelType w:val="multilevel"/>
    <w:tmpl w:val="BEE6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E1176"/>
    <w:multiLevelType w:val="multilevel"/>
    <w:tmpl w:val="FA3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216FF"/>
    <w:multiLevelType w:val="multilevel"/>
    <w:tmpl w:val="F740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361F5"/>
    <w:multiLevelType w:val="multilevel"/>
    <w:tmpl w:val="7244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B3FC3"/>
    <w:multiLevelType w:val="multilevel"/>
    <w:tmpl w:val="D81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F14FF"/>
    <w:multiLevelType w:val="multilevel"/>
    <w:tmpl w:val="7630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265D9"/>
    <w:multiLevelType w:val="multilevel"/>
    <w:tmpl w:val="27BA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610CC"/>
    <w:multiLevelType w:val="multilevel"/>
    <w:tmpl w:val="40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132E7"/>
    <w:multiLevelType w:val="multilevel"/>
    <w:tmpl w:val="0D1C5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B65835"/>
    <w:multiLevelType w:val="multilevel"/>
    <w:tmpl w:val="5678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F6277"/>
    <w:multiLevelType w:val="multilevel"/>
    <w:tmpl w:val="6016B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010DAF"/>
    <w:multiLevelType w:val="multilevel"/>
    <w:tmpl w:val="3BF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24000"/>
    <w:multiLevelType w:val="multilevel"/>
    <w:tmpl w:val="E882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CF4B54"/>
    <w:multiLevelType w:val="multilevel"/>
    <w:tmpl w:val="28D2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4657D"/>
    <w:multiLevelType w:val="multilevel"/>
    <w:tmpl w:val="549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C1E7B"/>
    <w:multiLevelType w:val="multilevel"/>
    <w:tmpl w:val="2604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96170"/>
    <w:multiLevelType w:val="multilevel"/>
    <w:tmpl w:val="9A26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4339DC"/>
    <w:multiLevelType w:val="multilevel"/>
    <w:tmpl w:val="F812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151890">
    <w:abstractNumId w:val="0"/>
  </w:num>
  <w:num w:numId="2" w16cid:durableId="1289169621">
    <w:abstractNumId w:val="1"/>
  </w:num>
  <w:num w:numId="3" w16cid:durableId="1565721957">
    <w:abstractNumId w:val="20"/>
  </w:num>
  <w:num w:numId="4" w16cid:durableId="248123579">
    <w:abstractNumId w:val="14"/>
  </w:num>
  <w:num w:numId="5" w16cid:durableId="2142189234">
    <w:abstractNumId w:val="9"/>
  </w:num>
  <w:num w:numId="6" w16cid:durableId="858741766">
    <w:abstractNumId w:val="24"/>
  </w:num>
  <w:num w:numId="7" w16cid:durableId="1509834141">
    <w:abstractNumId w:val="13"/>
  </w:num>
  <w:num w:numId="8" w16cid:durableId="488405149">
    <w:abstractNumId w:val="23"/>
  </w:num>
  <w:num w:numId="9" w16cid:durableId="1174421848">
    <w:abstractNumId w:val="2"/>
  </w:num>
  <w:num w:numId="10" w16cid:durableId="1899852663">
    <w:abstractNumId w:val="7"/>
  </w:num>
  <w:num w:numId="11" w16cid:durableId="96338212">
    <w:abstractNumId w:val="22"/>
  </w:num>
  <w:num w:numId="12" w16cid:durableId="1421877035">
    <w:abstractNumId w:val="19"/>
  </w:num>
  <w:num w:numId="13" w16cid:durableId="1435518484">
    <w:abstractNumId w:val="15"/>
  </w:num>
  <w:num w:numId="14" w16cid:durableId="1825585926">
    <w:abstractNumId w:val="16"/>
  </w:num>
  <w:num w:numId="15" w16cid:durableId="1801723327">
    <w:abstractNumId w:val="8"/>
  </w:num>
  <w:num w:numId="16" w16cid:durableId="579172036">
    <w:abstractNumId w:val="18"/>
  </w:num>
  <w:num w:numId="17" w16cid:durableId="1511606454">
    <w:abstractNumId w:val="3"/>
  </w:num>
  <w:num w:numId="18" w16cid:durableId="673605259">
    <w:abstractNumId w:val="11"/>
  </w:num>
  <w:num w:numId="19" w16cid:durableId="1346126532">
    <w:abstractNumId w:val="12"/>
  </w:num>
  <w:num w:numId="20" w16cid:durableId="76903479">
    <w:abstractNumId w:val="10"/>
  </w:num>
  <w:num w:numId="21" w16cid:durableId="1808277737">
    <w:abstractNumId w:val="5"/>
  </w:num>
  <w:num w:numId="22" w16cid:durableId="168644339">
    <w:abstractNumId w:val="21"/>
  </w:num>
  <w:num w:numId="23" w16cid:durableId="536162386">
    <w:abstractNumId w:val="6"/>
  </w:num>
  <w:num w:numId="24" w16cid:durableId="1174802651">
    <w:abstractNumId w:val="4"/>
  </w:num>
  <w:num w:numId="25" w16cid:durableId="1601265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1A0"/>
    <w:rsid w:val="005E13D4"/>
    <w:rsid w:val="00B161A0"/>
    <w:rsid w:val="00B40325"/>
    <w:rsid w:val="00CF5819"/>
    <w:rsid w:val="00D03041"/>
    <w:rsid w:val="00E13B4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D2A62B9"/>
  <w15:chartTrackingRefBased/>
  <w15:docId w15:val="{733ECEC7-220F-0C47-BCA6-2F15B3A5F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16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B16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B161A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161A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161A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161A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161A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161A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161A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autoRedefine/>
    <w:uiPriority w:val="34"/>
    <w:qFormat/>
    <w:rsid w:val="00CF5819"/>
    <w:pPr>
      <w:spacing w:after="200" w:line="276" w:lineRule="auto"/>
      <w:ind w:left="1440"/>
      <w:contextualSpacing/>
    </w:pPr>
    <w:rPr>
      <w:rFonts w:ascii="Calibri" w:eastAsiaTheme="minorEastAsia" w:hAnsi="Calibri"/>
      <w:kern w:val="0"/>
      <w:sz w:val="22"/>
      <w:szCs w:val="22"/>
      <w:lang w:val="en-US"/>
      <w14:ligatures w14:val="none"/>
    </w:rPr>
  </w:style>
  <w:style w:type="character" w:customStyle="1" w:styleId="Titolo1Carattere">
    <w:name w:val="Titolo 1 Carattere"/>
    <w:basedOn w:val="Carpredefinitoparagrafo"/>
    <w:link w:val="Titolo1"/>
    <w:uiPriority w:val="9"/>
    <w:rsid w:val="00B161A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B161A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B161A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161A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161A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161A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161A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161A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161A0"/>
    <w:rPr>
      <w:rFonts w:eastAsiaTheme="majorEastAsia" w:cstheme="majorBidi"/>
      <w:color w:val="272727" w:themeColor="text1" w:themeTint="D8"/>
    </w:rPr>
  </w:style>
  <w:style w:type="paragraph" w:styleId="Titolo">
    <w:name w:val="Title"/>
    <w:basedOn w:val="Normale"/>
    <w:next w:val="Normale"/>
    <w:link w:val="TitoloCarattere"/>
    <w:uiPriority w:val="10"/>
    <w:qFormat/>
    <w:rsid w:val="00B16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161A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161A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161A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161A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161A0"/>
    <w:rPr>
      <w:i/>
      <w:iCs/>
      <w:color w:val="404040" w:themeColor="text1" w:themeTint="BF"/>
    </w:rPr>
  </w:style>
  <w:style w:type="character" w:styleId="Enfasiintensa">
    <w:name w:val="Intense Emphasis"/>
    <w:basedOn w:val="Carpredefinitoparagrafo"/>
    <w:uiPriority w:val="21"/>
    <w:qFormat/>
    <w:rsid w:val="00B161A0"/>
    <w:rPr>
      <w:i/>
      <w:iCs/>
      <w:color w:val="0F4761" w:themeColor="accent1" w:themeShade="BF"/>
    </w:rPr>
  </w:style>
  <w:style w:type="paragraph" w:styleId="Citazioneintensa">
    <w:name w:val="Intense Quote"/>
    <w:basedOn w:val="Normale"/>
    <w:next w:val="Normale"/>
    <w:link w:val="CitazioneintensaCarattere"/>
    <w:uiPriority w:val="30"/>
    <w:qFormat/>
    <w:rsid w:val="00B16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161A0"/>
    <w:rPr>
      <w:i/>
      <w:iCs/>
      <w:color w:val="0F4761" w:themeColor="accent1" w:themeShade="BF"/>
    </w:rPr>
  </w:style>
  <w:style w:type="character" w:styleId="Riferimentointenso">
    <w:name w:val="Intense Reference"/>
    <w:basedOn w:val="Carpredefinitoparagrafo"/>
    <w:uiPriority w:val="32"/>
    <w:qFormat/>
    <w:rsid w:val="00B161A0"/>
    <w:rPr>
      <w:b/>
      <w:bCs/>
      <w:smallCaps/>
      <w:color w:val="0F4761" w:themeColor="accent1" w:themeShade="BF"/>
      <w:spacing w:val="5"/>
    </w:rPr>
  </w:style>
  <w:style w:type="paragraph" w:customStyle="1" w:styleId="pdq2pgselectionanchorcontainer">
    <w:name w:val="pdq2pg_selectionanchorcontainer"/>
    <w:basedOn w:val="Normale"/>
    <w:rsid w:val="00B161A0"/>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B161A0"/>
    <w:rPr>
      <w:b/>
      <w:bCs/>
    </w:rPr>
  </w:style>
  <w:style w:type="paragraph" w:styleId="NormaleWeb">
    <w:name w:val="Normal (Web)"/>
    <w:basedOn w:val="Normale"/>
    <w:uiPriority w:val="99"/>
    <w:semiHidden/>
    <w:unhideWhenUsed/>
    <w:rsid w:val="00B161A0"/>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CodiceHTML">
    <w:name w:val="HTML Code"/>
    <w:basedOn w:val="Carpredefinitoparagrafo"/>
    <w:uiPriority w:val="99"/>
    <w:semiHidden/>
    <w:unhideWhenUsed/>
    <w:rsid w:val="00B161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168296">
      <w:bodyDiv w:val="1"/>
      <w:marLeft w:val="0"/>
      <w:marRight w:val="0"/>
      <w:marTop w:val="0"/>
      <w:marBottom w:val="0"/>
      <w:divBdr>
        <w:top w:val="none" w:sz="0" w:space="0" w:color="auto"/>
        <w:left w:val="none" w:sz="0" w:space="0" w:color="auto"/>
        <w:bottom w:val="none" w:sz="0" w:space="0" w:color="auto"/>
        <w:right w:val="none" w:sz="0" w:space="0" w:color="auto"/>
      </w:divBdr>
      <w:divsChild>
        <w:div w:id="1887251856">
          <w:marLeft w:val="0"/>
          <w:marRight w:val="0"/>
          <w:marTop w:val="0"/>
          <w:marBottom w:val="0"/>
          <w:divBdr>
            <w:top w:val="none" w:sz="0" w:space="0" w:color="auto"/>
            <w:left w:val="none" w:sz="0" w:space="0" w:color="auto"/>
            <w:bottom w:val="none" w:sz="0" w:space="0" w:color="auto"/>
            <w:right w:val="none" w:sz="0" w:space="0" w:color="auto"/>
          </w:divBdr>
          <w:divsChild>
            <w:div w:id="481504902">
              <w:marLeft w:val="0"/>
              <w:marRight w:val="0"/>
              <w:marTop w:val="0"/>
              <w:marBottom w:val="0"/>
              <w:divBdr>
                <w:top w:val="none" w:sz="0" w:space="0" w:color="auto"/>
                <w:left w:val="none" w:sz="0" w:space="0" w:color="auto"/>
                <w:bottom w:val="none" w:sz="0" w:space="0" w:color="auto"/>
                <w:right w:val="none" w:sz="0" w:space="0" w:color="auto"/>
              </w:divBdr>
            </w:div>
          </w:divsChild>
        </w:div>
        <w:div w:id="2061007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606011">
          <w:marLeft w:val="0"/>
          <w:marRight w:val="0"/>
          <w:marTop w:val="0"/>
          <w:marBottom w:val="0"/>
          <w:divBdr>
            <w:top w:val="none" w:sz="0" w:space="0" w:color="auto"/>
            <w:left w:val="none" w:sz="0" w:space="0" w:color="auto"/>
            <w:bottom w:val="none" w:sz="0" w:space="0" w:color="auto"/>
            <w:right w:val="none" w:sz="0" w:space="0" w:color="auto"/>
          </w:divBdr>
          <w:divsChild>
            <w:div w:id="102306933">
              <w:marLeft w:val="0"/>
              <w:marRight w:val="0"/>
              <w:marTop w:val="0"/>
              <w:marBottom w:val="0"/>
              <w:divBdr>
                <w:top w:val="none" w:sz="0" w:space="0" w:color="auto"/>
                <w:left w:val="none" w:sz="0" w:space="0" w:color="auto"/>
                <w:bottom w:val="none" w:sz="0" w:space="0" w:color="auto"/>
                <w:right w:val="none" w:sz="0" w:space="0" w:color="auto"/>
              </w:divBdr>
            </w:div>
          </w:divsChild>
        </w:div>
        <w:div w:id="498497785">
          <w:marLeft w:val="0"/>
          <w:marRight w:val="0"/>
          <w:marTop w:val="0"/>
          <w:marBottom w:val="0"/>
          <w:divBdr>
            <w:top w:val="none" w:sz="0" w:space="0" w:color="auto"/>
            <w:left w:val="none" w:sz="0" w:space="0" w:color="auto"/>
            <w:bottom w:val="none" w:sz="0" w:space="0" w:color="auto"/>
            <w:right w:val="none" w:sz="0" w:space="0" w:color="auto"/>
          </w:divBdr>
          <w:divsChild>
            <w:div w:id="1286427461">
              <w:marLeft w:val="0"/>
              <w:marRight w:val="0"/>
              <w:marTop w:val="0"/>
              <w:marBottom w:val="0"/>
              <w:divBdr>
                <w:top w:val="none" w:sz="0" w:space="0" w:color="auto"/>
                <w:left w:val="none" w:sz="0" w:space="0" w:color="auto"/>
                <w:bottom w:val="none" w:sz="0" w:space="0" w:color="auto"/>
                <w:right w:val="none" w:sz="0" w:space="0" w:color="auto"/>
              </w:divBdr>
            </w:div>
          </w:divsChild>
        </w:div>
        <w:div w:id="1239095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1620</Words>
  <Characters>9238</Characters>
  <Application>Microsoft Office Word</Application>
  <DocSecurity>0</DocSecurity>
  <Lines>76</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Esposito | Invrsion - Vection Technologies</dc:creator>
  <cp:keywords/>
  <dc:description/>
  <cp:lastModifiedBy>Matteo Esposito | Invrsion - Vection Technologies</cp:lastModifiedBy>
  <cp:revision>1</cp:revision>
  <dcterms:created xsi:type="dcterms:W3CDTF">2026-07-13T09:55:00Z</dcterms:created>
  <dcterms:modified xsi:type="dcterms:W3CDTF">2026-07-13T09:59:00Z</dcterms:modified>
</cp:coreProperties>
</file>