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1800"/>
        <w:jc w:val="left"/>
      </w:pPr>
      <w:r>
        <w:rPr>
          <w:rFonts w:ascii="Arial" w:cs="Arial" w:eastAsia="Arial" w:hAnsi="Arial"/>
          <w:b/>
          <w:bCs/>
          <w:color w:val="1e3a5f"/>
          <w:sz w:val="60"/>
          <w:szCs w:val="60"/>
        </w:rPr>
        <w:t xml:space="preserve">Grant Radar</w:t>
      </w:r>
    </w:p>
    <w:p>
      <w:pPr>
        <w:spacing w:after="240" w:before="0"/>
      </w:pPr>
      <w:r>
        <w:rPr>
          <w:rFonts w:ascii="Arial" w:cs="Arial" w:eastAsia="Arial" w:hAnsi="Arial"/>
          <w:color w:val="2b6cb0"/>
          <w:sz w:val="28"/>
          <w:szCs w:val="28"/>
        </w:rPr>
        <w:t xml:space="preserve">Editorial commissioning radar for active and recent research grants</w:t>
      </w:r>
    </w:p>
    <w:p>
      <w:pPr>
        <w:spacing w:after="120" w:before="0"/>
      </w:pPr>
      <w:r>
        <w:rPr>
          <w:rFonts w:ascii="Arial" w:cs="Arial" w:eastAsia="Arial" w:hAnsi="Arial"/>
          <w:i/>
          <w:iCs/>
          <w:color w:val="4a5568"/>
          <w:sz w:val="24"/>
          <w:szCs w:val="24"/>
        </w:rPr>
        <w:t xml:space="preserve">Project brief &amp; design documentation</w:t>
      </w:r>
    </w:p>
    <w:p>
      <w:pPr>
        <w:spacing w:after="60" w:before="600"/>
      </w:pPr>
      <w:r>
        <w:rPr>
          <w:rFonts w:ascii="Arial" w:cs="Arial" w:eastAsia="Arial" w:hAnsi="Arial"/>
          <w:color w:val="4a5568"/>
          <w:sz w:val="22"/>
          <w:szCs w:val="22"/>
        </w:rPr>
        <w:t xml:space="preserve">Author:  </w:t>
      </w:r>
      <w:r>
        <w:rPr>
          <w:rFonts w:ascii="Arial" w:cs="Arial" w:eastAsia="Arial" w:hAnsi="Arial"/>
          <w:color w:val="1a202c"/>
          <w:sz w:val="22"/>
          <w:szCs w:val="22"/>
        </w:rPr>
        <w:t xml:space="preserve">Matteo Cavalleri (teowaits)</w:t>
      </w:r>
    </w:p>
    <w:p>
      <w:pPr>
        <w:spacing w:after="60" w:before="0"/>
      </w:pPr>
      <w:r>
        <w:rPr>
          <w:rFonts w:ascii="Arial" w:cs="Arial" w:eastAsia="Arial" w:hAnsi="Arial"/>
          <w:color w:val="4a5568"/>
          <w:sz w:val="22"/>
          <w:szCs w:val="22"/>
        </w:rPr>
        <w:t xml:space="preserve">Date:  </w:t>
      </w:r>
      <w:r>
        <w:rPr>
          <w:rFonts w:ascii="Arial" w:cs="Arial" w:eastAsia="Arial" w:hAnsi="Arial"/>
          <w:color w:val="1a202c"/>
          <w:sz w:val="22"/>
          <w:szCs w:val="22"/>
        </w:rPr>
        <w:t xml:space="preserve">April 2026</w:t>
      </w:r>
    </w:p>
    <w:p>
      <w:pPr>
        <w:spacing w:after="60" w:before="0"/>
      </w:pPr>
      <w:r>
        <w:rPr>
          <w:rFonts w:ascii="Arial" w:cs="Arial" w:eastAsia="Arial" w:hAnsi="Arial"/>
          <w:color w:val="4a5568"/>
          <w:sz w:val="22"/>
          <w:szCs w:val="22"/>
        </w:rPr>
        <w:t xml:space="preserve">Primary use case:  </w:t>
      </w:r>
      <w:r>
        <w:rPr>
          <w:rFonts w:ascii="Arial" w:cs="Arial" w:eastAsia="Arial" w:hAnsi="Arial"/>
          <w:color w:val="1a202c"/>
          <w:sz w:val="22"/>
          <w:szCs w:val="22"/>
        </w:rPr>
        <w:t xml:space="preserve">Advanced Intelligent Discovery (AIDI) commissioning</w:t>
      </w:r>
    </w:p>
    <w:p>
      <w:pPr>
        <w:spacing w:after="60" w:before="0"/>
      </w:pPr>
      <w:r>
        <w:rPr>
          <w:rFonts w:ascii="Arial" w:cs="Arial" w:eastAsia="Arial" w:hAnsi="Arial"/>
          <w:color w:val="4a5568"/>
          <w:sz w:val="22"/>
          <w:szCs w:val="22"/>
        </w:rPr>
        <w:t xml:space="preserve">License:  </w:t>
      </w:r>
      <w:r>
        <w:rPr>
          <w:rFonts w:ascii="Arial" w:cs="Arial" w:eastAsia="Arial" w:hAnsi="Arial"/>
          <w:color w:val="1a202c"/>
          <w:sz w:val="22"/>
          <w:szCs w:val="22"/>
        </w:rPr>
        <w:t xml:space="preserve">MIT</w:t>
      </w:r>
    </w:p>
    <w:p>
      <w:r>
        <w:br w:type="page"/>
      </w:r>
    </w:p>
    <w:p>
      <w:pPr>
        <w:pStyle w:val="Heading1"/>
        <w:spacing w:after="180" w:before="360"/>
      </w:pPr>
      <w:r>
        <w:rPr>
          <w:rFonts w:ascii="Arial" w:cs="Arial" w:eastAsia="Arial" w:hAnsi="Arial"/>
          <w:b/>
          <w:bCs/>
          <w:color w:val="1e3a5f"/>
          <w:sz w:val="36"/>
          <w:szCs w:val="36"/>
        </w:rPr>
        <w:t xml:space="preserve">1. Project overview</w:t>
      </w:r>
    </w:p>
    <w:p>
      <w:pPr>
        <w:pStyle w:val="Heading2"/>
        <w:spacing w:after="120" w:before="240"/>
      </w:pPr>
      <w:r>
        <w:rPr>
          <w:rFonts w:ascii="Arial" w:cs="Arial" w:eastAsia="Arial" w:hAnsi="Arial"/>
          <w:b/>
          <w:bCs/>
          <w:color w:val="2b6cb0"/>
          <w:sz w:val="28"/>
          <w:szCs w:val="28"/>
        </w:rPr>
        <w:t xml:space="preserve">1.1 Origin</w:t>
      </w:r>
    </w:p>
    <w:p>
      <w:pPr>
        <w:spacing w:after="80" w:before="80" w:line="300"/>
      </w:pPr>
      <w:r>
        <w:rPr>
          <w:rFonts w:ascii="Arial" w:cs="Arial" w:eastAsia="Arial" w:hAnsi="Arial"/>
          <w:color w:val="1a202c"/>
          <w:sz w:val="22"/>
          <w:szCs w:val="22"/>
        </w:rPr>
        <w:t xml:space="preserve">Grant Radar is a commissioning aid for journal editors — primarily Matteo, working on Advanced Intelligent Discovery (AIDI), a Wiley gold open-access journal in the Advanced portfolio that publishes machine learning, computational science, and AI-driven research across discovery and design domains. The editorial problem is well-defined: identify researchers whose recent or active grants suggest forthcoming work in scope, then commission articles before competing journals do.</w:t>
      </w:r>
    </w:p>
    <w:p>
      <w:pPr>
        <w:spacing w:after="80" w:before="80" w:line="300"/>
      </w:pPr>
      <w:r>
        <w:rPr>
          <w:rFonts w:ascii="Arial" w:cs="Arial" w:eastAsia="Arial" w:hAnsi="Arial"/>
          <w:color w:val="1a202c"/>
          <w:sz w:val="22"/>
          <w:szCs w:val="22"/>
        </w:rPr>
        <w:t xml:space="preserve">The tool is one component of a broader suite of OpenAlex-driven editorial tools (journal-overlap, journal-profiler) that share a visual language, repository conventions, and CSV export schema. It is built first for AIDI but the subject-area input means it is reusable for any other journal whose editors can articulate scope keywords.</w:t>
      </w:r>
    </w:p>
    <w:p>
      <w:pPr>
        <w:pStyle w:val="Heading2"/>
        <w:spacing w:after="120" w:before="240"/>
      </w:pPr>
      <w:r>
        <w:rPr>
          <w:rFonts w:ascii="Arial" w:cs="Arial" w:eastAsia="Arial" w:hAnsi="Arial"/>
          <w:b/>
          <w:bCs/>
          <w:color w:val="2b6cb0"/>
          <w:sz w:val="28"/>
          <w:szCs w:val="28"/>
        </w:rPr>
        <w:t xml:space="preserve">1.2 What it does</w:t>
      </w:r>
    </w:p>
    <w:p>
      <w:pPr>
        <w:spacing w:after="80" w:before="80" w:line="300"/>
      </w:pPr>
      <w:r>
        <w:rPr>
          <w:rFonts w:ascii="Arial" w:cs="Arial" w:eastAsia="Arial" w:hAnsi="Arial"/>
          <w:color w:val="1a202c"/>
          <w:sz w:val="22"/>
          <w:szCs w:val="22"/>
        </w:rPr>
        <w:t xml:space="preserve">Given a set of subject-area keywords (and optionally a constrained set of OpenAlex Topics for disambiguation), Grant Radar queries OpenAlex Awards and OpenAIRE Graph in parallel. It returns a sortable, filterable list of grants — and by extension, principal investigators — matching the keywords within a user-selected recency window. For each PI, the tool attempts to surface a corresponding-author email derived from their most recent published paper, so editors can reach out directly.</w:t>
      </w:r>
    </w:p>
    <w:p>
      <w:pPr>
        <w:pStyle w:val="Heading2"/>
        <w:spacing w:after="120" w:before="240"/>
      </w:pPr>
      <w:r>
        <w:rPr>
          <w:rFonts w:ascii="Arial" w:cs="Arial" w:eastAsia="Arial" w:hAnsi="Arial"/>
          <w:b/>
          <w:bCs/>
          <w:color w:val="2b6cb0"/>
          <w:sz w:val="28"/>
          <w:szCs w:val="28"/>
        </w:rPr>
        <w:t xml:space="preserve">1.3 What it explicitly is not</w:t>
      </w:r>
    </w:p>
    <w:p>
      <w:pPr>
        <w:pStyle w:val="ListParagraph"/>
        <w:numPr>
          <w:ilvl w:val="0"/>
          <w:numId w:val="2"/>
        </w:numPr>
        <w:spacing w:after="40" w:before="40" w:line="280"/>
      </w:pPr>
      <w:r>
        <w:rPr>
          <w:rFonts w:ascii="Arial" w:cs="Arial" w:eastAsia="Arial" w:hAnsi="Arial"/>
          <w:color w:val="1a202c"/>
          <w:sz w:val="22"/>
          <w:szCs w:val="22"/>
        </w:rPr>
        <w:t xml:space="preserve">Not a comprehensive global grants database. Coverage is honest about its limits.</w:t>
      </w:r>
    </w:p>
    <w:p>
      <w:pPr>
        <w:pStyle w:val="ListParagraph"/>
        <w:numPr>
          <w:ilvl w:val="0"/>
          <w:numId w:val="2"/>
        </w:numPr>
        <w:spacing w:after="40" w:before="40" w:line="280"/>
      </w:pPr>
      <w:r>
        <w:rPr>
          <w:rFonts w:ascii="Arial" w:cs="Arial" w:eastAsia="Arial" w:hAnsi="Arial"/>
          <w:color w:val="1a202c"/>
          <w:sz w:val="22"/>
          <w:szCs w:val="22"/>
        </w:rPr>
        <w:t xml:space="preserve">Not a tool for ranking researchers. Editors do that themselves; Grant Radar provides sortable columns, not a composite score.</w:t>
      </w:r>
    </w:p>
    <w:p>
      <w:pPr>
        <w:pStyle w:val="ListParagraph"/>
        <w:numPr>
          <w:ilvl w:val="0"/>
          <w:numId w:val="2"/>
        </w:numPr>
        <w:spacing w:after="40" w:before="40" w:line="280"/>
      </w:pPr>
      <w:r>
        <w:rPr>
          <w:rFonts w:ascii="Arial" w:cs="Arial" w:eastAsia="Arial" w:hAnsi="Arial"/>
          <w:color w:val="1a202c"/>
          <w:sz w:val="22"/>
          <w:szCs w:val="22"/>
        </w:rPr>
        <w:t xml:space="preserve">Not a tracker. v1 is stateless. Saved searches and alerts are roadmap-only.</w:t>
      </w:r>
    </w:p>
    <w:p>
      <w:pPr>
        <w:pStyle w:val="ListParagraph"/>
        <w:numPr>
          <w:ilvl w:val="0"/>
          <w:numId w:val="2"/>
        </w:numPr>
        <w:spacing w:after="40" w:before="40" w:line="280"/>
      </w:pPr>
      <w:r>
        <w:rPr>
          <w:rFonts w:ascii="Arial" w:cs="Arial" w:eastAsia="Arial" w:hAnsi="Arial"/>
          <w:color w:val="1a202c"/>
          <w:sz w:val="22"/>
          <w:szCs w:val="22"/>
        </w:rPr>
        <w:t xml:space="preserve">Not an ethics or integrity tool. Strictly editorial-discovery scope.</w:t>
      </w:r>
    </w:p>
    <w:p>
      <w:pPr>
        <w:pStyle w:val="Heading2"/>
        <w:spacing w:after="120" w:before="240"/>
      </w:pPr>
      <w:r>
        <w:rPr>
          <w:rFonts w:ascii="Arial" w:cs="Arial" w:eastAsia="Arial" w:hAnsi="Arial"/>
          <w:b/>
          <w:bCs/>
          <w:color w:val="2b6cb0"/>
          <w:sz w:val="28"/>
          <w:szCs w:val="28"/>
        </w:rPr>
        <w:t xml:space="preserve">1.4 Tech stack</w:t>
      </w:r>
    </w:p>
    <w:p>
      <w:pPr>
        <w:spacing w:after="80" w:before="80" w:line="300"/>
      </w:pPr>
      <w:r>
        <w:rPr>
          <w:rFonts w:ascii="Arial" w:cs="Arial" w:eastAsia="Arial" w:hAnsi="Arial"/>
          <w:color w:val="1a202c"/>
          <w:sz w:val="22"/>
          <w:szCs w:val="22"/>
        </w:rPr>
        <w:t xml:space="preserve">React 18 + Vite, deployed as a static SPA to GitHub Pages. No backend in v1. Public/anonymous API access only — no secrets to embed, no authentication flows. Inherits dark/light theme tokens, IBM Plex Mono/Sans typography, and component patterns from journal-overlap and journal-profiler.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6cb0" w:sz="8"/>
              <w:left w:val="single" w:color="2b6cb0" w:sz="8"/>
              <w:bottom w:val="single" w:color="2b6cb0" w:sz="8"/>
              <w:right w:val="single" w:color="2b6cb0" w:sz="8"/>
            </w:tcBorders>
            <w:shd w:fill="D5E8F0" w:val="clear"/>
            <w:tcMar>
              <w:top w:type="dxa" w:w="160"/>
              <w:left w:type="dxa" w:w="200"/>
              <w:bottom w:type="dxa" w:w="160"/>
              <w:right w:type="dxa" w:w="200"/>
            </w:tcMar>
          </w:tcPr>
          <w:p>
            <w:pPr>
              <w:spacing w:after="80" w:before="0"/>
            </w:pPr>
            <w:r>
              <w:rPr>
                <w:rFonts w:ascii="Arial" w:cs="Arial" w:eastAsia="Arial" w:hAnsi="Arial"/>
                <w:b/>
                <w:bCs/>
                <w:color w:val="2b6cb0"/>
                <w:sz w:val="22"/>
                <w:szCs w:val="22"/>
              </w:rPr>
              <w:t xml:space="preserve">Constraint: client-side only</w:t>
            </w:r>
          </w:p>
          <w:p>
            <w:pPr>
              <w:spacing w:after="60" w:before="0" w:line="280"/>
            </w:pPr>
            <w:r>
              <w:rPr>
                <w:rFonts w:ascii="Arial" w:cs="Arial" w:eastAsia="Arial" w:hAnsi="Arial"/>
                <w:color w:val="1a202c"/>
                <w:sz w:val="22"/>
                <w:szCs w:val="22"/>
              </w:rPr>
              <w:t xml:space="preserve">No backend in v1. Anything that requires a stored secret (e.g. OpenAIRE authenticated rate limits) is deferred to v2 and would require a thin proxy.</w:t>
            </w:r>
          </w:p>
        </w:tc>
      </w:tr>
    </w:tbl>
    <w:p>
      <w:pPr>
        <w:pStyle w:val="Heading1"/>
        <w:spacing w:after="180" w:before="360"/>
      </w:pPr>
      <w:r>
        <w:rPr>
          <w:rFonts w:ascii="Arial" w:cs="Arial" w:eastAsia="Arial" w:hAnsi="Arial"/>
          <w:b/>
          <w:bCs/>
          <w:color w:val="1e3a5f"/>
          <w:sz w:val="36"/>
          <w:szCs w:val="36"/>
        </w:rPr>
        <w:t xml:space="preserve">2. Phase plan</w:t>
      </w:r>
    </w:p>
    <w:p>
      <w:pPr>
        <w:spacing w:after="80" w:before="80" w:line="300"/>
      </w:pPr>
      <w:r>
        <w:rPr>
          <w:rFonts w:ascii="Arial" w:cs="Arial" w:eastAsia="Arial" w:hAnsi="Arial"/>
          <w:color w:val="1a202c"/>
          <w:sz w:val="22"/>
          <w:szCs w:val="22"/>
        </w:rPr>
        <w:t xml:space="preserve">The full scope is documented here, but only v1 is in build scope. v2 and v3 are documented to inform v1 architecture decisions (so v1 does not paint itself into a corner) and to give editorial stakeholders an honest picture of what is currently feasible.</w:t>
      </w:r>
    </w:p>
    <w:p>
      <w:pPr>
        <w:pStyle w:val="Heading2"/>
        <w:spacing w:after="120" w:before="240"/>
      </w:pPr>
      <w:r>
        <w:rPr>
          <w:rFonts w:ascii="Arial" w:cs="Arial" w:eastAsia="Arial" w:hAnsi="Arial"/>
          <w:b/>
          <w:bCs/>
          <w:color w:val="2b6cb0"/>
          <w:sz w:val="28"/>
          <w:szCs w:val="28"/>
        </w:rPr>
        <w:t xml:space="preserve">2.1 Phase scope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00"/>
        <w:gridCol w:w="3360"/>
      </w:tblGrid>
      <w:tr>
        <w:trPr>
          <w:tblHeader/>
        </w:trPr>
        <w:tc>
          <w:tcPr>
            <w:tcW w:type="dxa" w:w="15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Phase</w:t>
            </w:r>
          </w:p>
        </w:tc>
        <w:tc>
          <w:tcPr>
            <w:tcW w:type="dxa" w:w="45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In scope</w:t>
            </w:r>
          </w:p>
        </w:tc>
        <w:tc>
          <w:tcPr>
            <w:tcW w:type="dxa" w:w="33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Deferred to later phase</w:t>
            </w:r>
          </w:p>
        </w:tc>
      </w:tr>
      <w:tr>
        <w:tc>
          <w:tcPr>
            <w:tcW w:type="dxa" w:w="1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v1 (build)</w:t>
            </w:r>
          </w:p>
        </w:tc>
        <w:tc>
          <w:tcPr>
            <w:tcW w:type="dxa" w:w="4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OpenAlex /awards + OpenAIRE Graph projects. Keyword + recency + active filter + funder + size filters. 5 sortable columns. PI email enrichment. CSV export. Stateless. GitHub Pages.</w:t>
            </w:r>
          </w:p>
        </w:tc>
        <w:tc>
          <w:tcPr>
            <w:tcW w:type="dxa" w:w="33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Asian funder APIs, OpenAIRE topic translation, ORCID auth, alerts, saved searches.</w:t>
            </w:r>
          </w:p>
        </w:tc>
      </w:tr>
      <w:tr>
        <w:tc>
          <w:tcPr>
            <w:tcW w:type="dxa" w:w="1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v2 (documented)</w:t>
            </w:r>
          </w:p>
        </w:tc>
        <w:tc>
          <w:tcPr>
            <w:tcW w:type="dxa" w:w="4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KAKEN, NTIS, IGMS adapters. OpenAlex Topic → OpenAIRE FOS subject mapping. ORCID enrichment expansion. Optional thin proxy for authenticated rate limits.</w:t>
            </w:r>
          </w:p>
        </w:tc>
        <w:tc>
          <w:tcPr>
            <w:tcW w:type="dxa" w:w="33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Backend, accounts.</w:t>
            </w:r>
          </w:p>
        </w:tc>
      </w:tr>
      <w:tr>
        <w:tc>
          <w:tcPr>
            <w:tcW w:type="dxa" w:w="1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v3 (roadmap)</w:t>
            </w:r>
          </w:p>
        </w:tc>
        <w:tc>
          <w:tcPr>
            <w:tcW w:type="dxa" w:w="4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Saved searches, email alerts (requires backend). Candid / 360Giving for private/philanthropic funders.</w:t>
            </w:r>
          </w:p>
        </w:tc>
        <w:tc>
          <w:tcPr>
            <w:tcW w:type="dxa" w:w="33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w:t>
            </w:r>
          </w:p>
        </w:tc>
      </w:tr>
    </w:tbl>
    <w:p>
      <w:pPr>
        <w:pStyle w:val="Heading2"/>
        <w:spacing w:after="120" w:before="240"/>
      </w:pPr>
      <w:r>
        <w:rPr>
          <w:rFonts w:ascii="Arial" w:cs="Arial" w:eastAsia="Arial" w:hAnsi="Arial"/>
          <w:b/>
          <w:bCs/>
          <w:color w:val="2b6cb0"/>
          <w:sz w:val="28"/>
          <w:szCs w:val="28"/>
        </w:rPr>
        <w:t xml:space="preserve">2.2 Why this phasing</w:t>
      </w:r>
    </w:p>
    <w:p>
      <w:pPr>
        <w:spacing w:after="80" w:before="80" w:line="300"/>
      </w:pPr>
      <w:r>
        <w:rPr>
          <w:rFonts w:ascii="Arial" w:cs="Arial" w:eastAsia="Arial" w:hAnsi="Arial"/>
          <w:color w:val="1a202c"/>
          <w:sz w:val="22"/>
          <w:szCs w:val="22"/>
        </w:rPr>
        <w:t xml:space="preserve">OpenAlex and OpenAIRE together cover NIH, NSF, UKRI, Horizon Europe and large parts of Asia by aggregation. Building all twelve sources from the briefing document into v1 is the surest way to ship nothing useful. v1 deliberately accepts a coverage gap for Asian national funders and private foundations because (a) the gap can be addressed in v2 once v1 has demonstrated editorial value, and (b) the OpenAlex Wellcome-funded global funder integration project is actively reducing this gap on the OpenAlex side without our intervention.</w:t>
      </w:r>
    </w:p>
    <w:p>
      <w:pPr>
        <w:spacing w:after="80" w:before="80" w:line="300"/>
      </w:pPr>
      <w:r>
        <w:rPr>
          <w:rFonts w:ascii="Arial" w:cs="Arial" w:eastAsia="Arial" w:hAnsi="Arial"/>
          <w:color w:val="1a202c"/>
          <w:sz w:val="22"/>
          <w:szCs w:val="22"/>
        </w:rPr>
        <w:t xml:space="preserve">Saved searches and alerts are the most common feature creep request for tools like this, and they are also the feature that turns a static SPA into a backend project with users, accounts, auth, sessions, and email infrastructure. v1 deliberately refuses this. If editorial usage proves out, v3 picks it up explicitly.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Risk: editorial expectations</w:t>
            </w:r>
          </w:p>
          <w:p>
            <w:pPr>
              <w:spacing w:after="60" w:before="0" w:line="280"/>
            </w:pPr>
            <w:r>
              <w:rPr>
                <w:rFonts w:ascii="Arial" w:cs="Arial" w:eastAsia="Arial" w:hAnsi="Arial"/>
                <w:color w:val="1a202c"/>
                <w:sz w:val="22"/>
                <w:szCs w:val="22"/>
              </w:rPr>
              <w:t xml:space="preserve">Editors will likely ask for "comprehensive global coverage" and "alert me when new grants match". v1 is honest about not providing the first and explicitly does not provide the second. The README and the in-product coverage banner both say so plainly.</w:t>
            </w:r>
          </w:p>
        </w:tc>
      </w:tr>
    </w:tbl>
    <w:p>
      <w:pPr>
        <w:pStyle w:val="Heading1"/>
        <w:spacing w:after="180" w:before="360"/>
      </w:pPr>
      <w:r>
        <w:rPr>
          <w:rFonts w:ascii="Arial" w:cs="Arial" w:eastAsia="Arial" w:hAnsi="Arial"/>
          <w:b/>
          <w:bCs/>
          <w:color w:val="1e3a5f"/>
          <w:sz w:val="36"/>
          <w:szCs w:val="36"/>
        </w:rPr>
        <w:t xml:space="preserve">3. Constraints</w:t>
      </w:r>
    </w:p>
    <w:p>
      <w:pPr>
        <w:pStyle w:val="Heading2"/>
        <w:spacing w:after="120" w:before="240"/>
      </w:pPr>
      <w:r>
        <w:rPr>
          <w:rFonts w:ascii="Arial" w:cs="Arial" w:eastAsia="Arial" w:hAnsi="Arial"/>
          <w:b/>
          <w:bCs/>
          <w:color w:val="2b6cb0"/>
          <w:sz w:val="28"/>
          <w:szCs w:val="28"/>
        </w:rPr>
        <w:t xml:space="preserve">3.1 Coverage honesty</w:t>
      </w:r>
    </w:p>
    <w:p>
      <w:pPr>
        <w:spacing w:after="80" w:before="80" w:line="300"/>
      </w:pPr>
      <w:r>
        <w:rPr>
          <w:rFonts w:ascii="Arial" w:cs="Arial" w:eastAsia="Arial" w:hAnsi="Arial"/>
          <w:color w:val="1a202c"/>
          <w:sz w:val="22"/>
          <w:szCs w:val="22"/>
        </w:rPr>
        <w:t xml:space="preserve">The most important non-obvious constraint is that the v1 sources under-represent Asian national funders and private/philanthropic funders. Editors using the tool need to know this without having to read the docs. The architecture handles it three ways:</w:t>
      </w:r>
    </w:p>
    <w:p>
      <w:pPr>
        <w:pStyle w:val="ListParagraph"/>
        <w:numPr>
          <w:ilvl w:val="0"/>
          <w:numId w:val="3"/>
        </w:numPr>
        <w:spacing w:after="40" w:before="40" w:line="280"/>
      </w:pPr>
      <w:r>
        <w:rPr>
          <w:rFonts w:ascii="Arial" w:cs="Arial" w:eastAsia="Arial" w:hAnsi="Arial"/>
          <w:color w:val="1a202c"/>
          <w:sz w:val="22"/>
          <w:szCs w:val="22"/>
        </w:rPr>
        <w:t xml:space="preserve">Persistent coverage banner in the results view, in neutral language.</w:t>
      </w:r>
    </w:p>
    <w:p>
      <w:pPr>
        <w:pStyle w:val="ListParagraph"/>
        <w:numPr>
          <w:ilvl w:val="0"/>
          <w:numId w:val="3"/>
        </w:numPr>
        <w:spacing w:after="40" w:before="40" w:line="280"/>
      </w:pPr>
      <w:r>
        <w:rPr>
          <w:rFonts w:ascii="Arial" w:cs="Arial" w:eastAsia="Arial" w:hAnsi="Arial"/>
          <w:color w:val="1a202c"/>
          <w:sz w:val="22"/>
          <w:szCs w:val="22"/>
        </w:rPr>
        <w:t xml:space="preserve">Per-row source badge (OpenAlex / OpenAIRE) so the user can see provenance at a glance.</w:t>
      </w:r>
    </w:p>
    <w:p>
      <w:pPr>
        <w:pStyle w:val="ListParagraph"/>
        <w:numPr>
          <w:ilvl w:val="0"/>
          <w:numId w:val="3"/>
        </w:numPr>
        <w:spacing w:after="40" w:before="40" w:line="280"/>
      </w:pPr>
      <w:r>
        <w:rPr>
          <w:rFonts w:ascii="Arial" w:cs="Arial" w:eastAsia="Arial" w:hAnsi="Arial"/>
          <w:color w:val="1a202c"/>
          <w:sz w:val="22"/>
          <w:szCs w:val="22"/>
        </w:rPr>
        <w:t xml:space="preserve">"Sources covered" panel in the About tab, listing what is and is not searched in the current version.</w:t>
      </w:r>
    </w:p>
    <w:p>
      <w:pPr>
        <w:pStyle w:val="Heading3"/>
        <w:spacing w:after="80" w:before="180"/>
      </w:pPr>
      <w:r>
        <w:rPr>
          <w:rFonts w:ascii="Arial" w:cs="Arial" w:eastAsia="Arial" w:hAnsi="Arial"/>
          <w:b/>
          <w:bCs/>
          <w:color w:val="2b6cb0"/>
          <w:sz w:val="24"/>
          <w:szCs w:val="24"/>
        </w:rPr>
        <w:t xml:space="preserve">Approved vs prohibited framing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Use</w:t>
            </w:r>
          </w:p>
        </w:tc>
        <w:tc>
          <w:tcPr>
            <w:tcW w:type="dxa" w:w="468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Never use</w:t>
            </w:r>
          </w:p>
        </w:tc>
      </w:tr>
      <w:tr>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"Coverage in v1: OpenAlex Awards + OpenAIRE Graph. Asian national funders and private foundations are under-represented."</w:t>
            </w:r>
          </w:p>
        </w:tc>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"Comprehensive global grants database"</w:t>
            </w:r>
          </w:p>
        </w:tc>
      </w:tr>
      <w:tr>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"No matching grants found in current sources"</w:t>
            </w:r>
          </w:p>
        </w:tc>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"No grants exist for this query"</w:t>
            </w:r>
          </w:p>
        </w:tc>
      </w:tr>
      <w:tr>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"Data source: OpenAlex" / "Data source: OpenAIRE" badge on every row</w:t>
            </w:r>
          </w:p>
        </w:tc>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Unattributed merged results</w:t>
            </w:r>
          </w:p>
        </w:tc>
      </w:tr>
      <w:tr>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"Email derived from corresponding-author metadata of [DOI]"</w:t>
            </w:r>
          </w:p>
        </w:tc>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Unsourced PI email</w:t>
            </w:r>
          </w:p>
        </w:tc>
      </w:tr>
      <w:tr>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"Active grant" / "Recently ended grant"</w:t>
            </w:r>
          </w:p>
        </w:tc>
        <w:tc>
          <w:tcPr>
            <w:tcW w:type="dxa" w:w="468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"Funded researcher" (ambiguous between current and historical)</w:t>
            </w:r>
          </w:p>
        </w:tc>
      </w:tr>
    </w:tbl>
    <w:p>
      <w:pPr>
        <w:pStyle w:val="Heading2"/>
        <w:spacing w:after="120" w:before="240"/>
      </w:pPr>
      <w:r>
        <w:rPr>
          <w:rFonts w:ascii="Arial" w:cs="Arial" w:eastAsia="Arial" w:hAnsi="Arial"/>
          <w:b/>
          <w:bCs/>
          <w:color w:val="2b6cb0"/>
          <w:sz w:val="28"/>
          <w:szCs w:val="28"/>
        </w:rPr>
        <w:t xml:space="preserve">3.2 Privacy and PII</w:t>
      </w:r>
    </w:p>
    <w:p>
      <w:pPr>
        <w:spacing w:after="80" w:before="80" w:line="300"/>
      </w:pPr>
      <w:r>
        <w:rPr>
          <w:rFonts w:ascii="Arial" w:cs="Arial" w:eastAsia="Arial" w:hAnsi="Arial"/>
          <w:color w:val="1a202c"/>
          <w:sz w:val="22"/>
          <w:szCs w:val="22"/>
        </w:rPr>
        <w:t xml:space="preserve">Grant Radar surfaces principal investigator names, institutions, and corresponding-author emails. All three are reproduced from already-public sources (funder grant records and published papers). The tool does not scrape institutional pages, does not infer emails from institutional patterns, and does not store any user query.</w:t>
      </w:r>
    </w:p>
    <w:p>
      <w:pPr>
        <w:spacing w:after="80" w:before="80" w:line="300"/>
      </w:pPr>
      <w:r>
        <w:rPr>
          <w:rFonts w:ascii="Arial" w:cs="Arial" w:eastAsia="Arial" w:hAnsi="Arial"/>
          <w:color w:val="1a202c"/>
          <w:sz w:val="22"/>
          <w:szCs w:val="22"/>
        </w:rPr>
        <w:t xml:space="preserve">Every email shown carries a provenance tooltip linking to the source DOI. If no corresponding-author email is available from a published paper, the tool shows "no email available from public sources" rather than guessing.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6cb0" w:sz="8"/>
              <w:left w:val="single" w:color="2b6cb0" w:sz="8"/>
              <w:bottom w:val="single" w:color="2b6cb0" w:sz="8"/>
              <w:right w:val="single" w:color="2b6cb0" w:sz="8"/>
            </w:tcBorders>
            <w:shd w:fill="F1F5F9" w:val="clear"/>
            <w:tcMar>
              <w:top w:type="dxa" w:w="160"/>
              <w:left w:type="dxa" w:w="200"/>
              <w:bottom w:type="dxa" w:w="160"/>
              <w:right w:type="dxa" w:w="200"/>
            </w:tcMar>
          </w:tcPr>
          <w:p>
            <w:pPr>
              <w:spacing w:after="80" w:before="0"/>
            </w:pPr>
            <w:r>
              <w:rPr>
                <w:rFonts w:ascii="Arial" w:cs="Arial" w:eastAsia="Arial" w:hAnsi="Arial"/>
                <w:b/>
                <w:bCs/>
                <w:color w:val="2b6cb0"/>
                <w:sz w:val="22"/>
                <w:szCs w:val="22"/>
              </w:rPr>
              <w:t xml:space="preserve">GDPR posture (informational, not legal advice)</w:t>
            </w:r>
          </w:p>
          <w:p>
            <w:pPr>
              <w:spacing w:after="60" w:before="0" w:line="280"/>
            </w:pPr>
            <w:r>
              <w:rPr>
                <w:rFonts w:ascii="Arial" w:cs="Arial" w:eastAsia="Arial" w:hAnsi="Arial"/>
                <w:color w:val="1a202c"/>
                <w:sz w:val="22"/>
                <w:szCs w:val="22"/>
              </w:rPr>
              <w:t xml:space="preserve">Reuse of already-public publication metadata for editorial outreach is generally a recognised legitimate-interest case in academic publishing. The tool nonetheless minimises by (a) showing emails only with provenance, (b) not storing queries, and (c) not exposing bulk-export of email lists separately from the per-grant context.</w:t>
            </w:r>
          </w:p>
        </w:tc>
      </w:tr>
    </w:tbl>
    <w:p>
      <w:pPr>
        <w:pStyle w:val="Heading2"/>
        <w:spacing w:after="120" w:before="240"/>
      </w:pPr>
      <w:r>
        <w:rPr>
          <w:rFonts w:ascii="Arial" w:cs="Arial" w:eastAsia="Arial" w:hAnsi="Arial"/>
          <w:b/>
          <w:bCs/>
          <w:color w:val="2b6cb0"/>
          <w:sz w:val="28"/>
          <w:szCs w:val="28"/>
        </w:rPr>
        <w:t xml:space="preserve">3.3 Tone &amp; framing</w:t>
      </w:r>
    </w:p>
    <w:p>
      <w:pPr>
        <w:spacing w:after="80" w:before="80" w:line="300"/>
      </w:pPr>
      <w:r>
        <w:rPr>
          <w:rFonts w:ascii="Arial" w:cs="Arial" w:eastAsia="Arial" w:hAnsi="Arial"/>
          <w:color w:val="1a202c"/>
          <w:sz w:val="22"/>
          <w:szCs w:val="22"/>
        </w:rPr>
        <w:t xml:space="preserve">Inheriting the journal-profiler precedent: neutral, editorial register throughout. The tool surfaces information; it does not characterise researchers, predict outputs, or make claims about likelihood-to-publish-in-AIDI. Editors form those judgements. Strings in the UI follow this register strictly.</w:t>
      </w:r>
    </w:p>
    <w:p>
      <w:pPr>
        <w:pStyle w:val="Heading1"/>
        <w:spacing w:after="180" w:before="360"/>
      </w:pPr>
      <w:r>
        <w:rPr>
          <w:rFonts w:ascii="Arial" w:cs="Arial" w:eastAsia="Arial" w:hAnsi="Arial"/>
          <w:b/>
          <w:bCs/>
          <w:color w:val="1e3a5f"/>
          <w:sz w:val="36"/>
          <w:szCs w:val="36"/>
        </w:rPr>
        <w:t xml:space="preserve">4. Feature design</w:t>
      </w:r>
    </w:p>
    <w:p>
      <w:pPr>
        <w:pStyle w:val="Heading2"/>
        <w:spacing w:after="120" w:before="240"/>
      </w:pPr>
      <w:r>
        <w:rPr>
          <w:rFonts w:ascii="Arial" w:cs="Arial" w:eastAsia="Arial" w:hAnsi="Arial"/>
          <w:b/>
          <w:bCs/>
          <w:color w:val="2b6cb0"/>
          <w:sz w:val="28"/>
          <w:szCs w:val="28"/>
        </w:rPr>
        <w:t xml:space="preserve">4.1 Active vs not-active grants</w:t>
      </w:r>
    </w:p>
    <w:p>
      <w:pPr>
        <w:spacing w:after="80" w:before="80" w:line="300"/>
      </w:pPr>
      <w:r>
        <w:rPr>
          <w:rFonts w:ascii="Arial" w:cs="Arial" w:eastAsia="Arial" w:hAnsi="Arial"/>
          <w:color w:val="1a202c"/>
          <w:sz w:val="22"/>
          <w:szCs w:val="22"/>
        </w:rPr>
        <w:t xml:space="preserve">Replacing the original "headline paper" filter (which was complex and required deciding what counts as a "main" output) with a simpler temporal definition of grant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active     := today between start_date and end_date (inclusive)</w:t>
            </w:r>
          </w:p>
          <w:p>
            <w:pPr>
              <w:spacing w:after="0" w:before="0" w:line="240"/>
            </w:pPr>
            <w:r>
              <w:rPr>
                <w:rFonts w:ascii="Consolas" w:cs="Consolas" w:eastAsia="Consolas" w:hAnsi="Consolas"/>
                <w:color w:val="1a202c"/>
                <w:sz w:val="18"/>
                <w:szCs w:val="18"/>
              </w:rPr>
              <w:t xml:space="preserve">              OR (end_date missing AND start_date within recency window)</w:t>
            </w:r>
          </w:p>
          <w:p>
            <w:pPr>
              <w:spacing w:after="0" w:before="0" w:line="240"/>
            </w:pPr>
            <w:r>
              <w:rPr>
                <w:rFonts w:ascii="Consolas" w:cs="Consolas" w:eastAsia="Consolas" w:hAnsi="Consolas"/>
                <w:color w:val="1a202c"/>
                <w:sz w:val="18"/>
                <w:szCs w:val="18"/>
              </w:rPr>
              <w:t xml:space="preserve">not_active := end_date in the past</w:t>
            </w:r>
          </w:p>
          <w:p>
            <w:pPr>
              <w:spacing w:after="0" w:before="0" w:line="240"/>
            </w:pPr>
            <w:r>
              <w:rPr>
                <w:rFonts w:ascii="Consolas" w:cs="Consolas" w:eastAsia="Consolas" w:hAnsi="Consolas"/>
                <w:color w:val="1a202c"/>
                <w:sz w:val="18"/>
                <w:szCs w:val="18"/>
              </w:rPr>
              <w:t xml:space="preserve">unknown    := start_date missing</w:t>
            </w:r>
          </w:p>
        </w:tc>
      </w:tr>
    </w:tbl>
    <w:p>
      <w:pPr>
        <w:spacing w:after="80" w:before="80" w:line="300"/>
      </w:pPr>
      <w:r>
        <w:rPr>
          <w:rFonts w:ascii="Arial" w:cs="Arial" w:eastAsia="Arial" w:hAnsi="Arial"/>
          <w:color w:val="1a202c"/>
          <w:sz w:val="22"/>
          <w:szCs w:val="22"/>
        </w:rPr>
        <w:t xml:space="preserve">The UI exposes this as a three-way toggle: "active", "recently ended", "both". Editors often want recently ended grants — those PIs are now writing up. The default is "both" with a 24-month recency window, which empirically captures the most editorially-relevant cohort.</w:t>
      </w:r>
    </w:p>
    <w:p>
      <w:pPr>
        <w:pStyle w:val="Heading2"/>
        <w:spacing w:after="120" w:before="240"/>
      </w:pPr>
      <w:r>
        <w:rPr>
          <w:rFonts w:ascii="Arial" w:cs="Arial" w:eastAsia="Arial" w:hAnsi="Arial"/>
          <w:b/>
          <w:bCs/>
          <w:color w:val="2b6cb0"/>
          <w:sz w:val="28"/>
          <w:szCs w:val="28"/>
        </w:rPr>
        <w:t xml:space="preserve">4.2 Recency window</w:t>
      </w:r>
    </w:p>
    <w:p>
      <w:pPr>
        <w:spacing w:after="80" w:before="80" w:line="300"/>
      </w:pPr>
      <w:r>
        <w:rPr>
          <w:rFonts w:ascii="Arial" w:cs="Arial" w:eastAsia="Arial" w:hAnsi="Arial"/>
          <w:color w:val="1a202c"/>
          <w:sz w:val="22"/>
          <w:szCs w:val="22"/>
        </w:rPr>
        <w:t xml:space="preserve">User-selectable: 12, 24, 36, or 48 months. The filter applies to start_date, not end_date — the question being answered is "who started a grant in scope recently", not "whose grant is still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6cb0" w:sz="8"/>
              <w:left w:val="single" w:color="2b6cb0" w:sz="8"/>
              <w:bottom w:val="single" w:color="2b6cb0" w:sz="8"/>
              <w:right w:val="single" w:color="2b6cb0" w:sz="8"/>
            </w:tcBorders>
            <w:shd w:fill="D5E8F0" w:val="clear"/>
            <w:tcMar>
              <w:top w:type="dxa" w:w="160"/>
              <w:left w:type="dxa" w:w="200"/>
              <w:bottom w:type="dxa" w:w="160"/>
              <w:right w:type="dxa" w:w="200"/>
            </w:tcMar>
          </w:tcPr>
          <w:p>
            <w:pPr>
              <w:spacing w:after="80" w:before="0"/>
            </w:pPr>
            <w:r>
              <w:rPr>
                <w:rFonts w:ascii="Arial" w:cs="Arial" w:eastAsia="Arial" w:hAnsi="Arial"/>
                <w:b/>
                <w:bCs/>
                <w:color w:val="2b6cb0"/>
                <w:sz w:val="22"/>
                <w:szCs w:val="22"/>
              </w:rPr>
              <w:t xml:space="preserve">Why these specific values</w:t>
            </w:r>
          </w:p>
          <w:p>
            <w:pPr>
              <w:spacing w:after="60" w:before="0" w:line="280"/>
            </w:pPr>
            <w:r>
              <w:rPr>
                <w:rFonts w:ascii="Arial" w:cs="Arial" w:eastAsia="Arial" w:hAnsi="Arial"/>
                <w:color w:val="1a202c"/>
                <w:sz w:val="22"/>
                <w:szCs w:val="22"/>
              </w:rPr>
              <w:t xml:space="preserve">12 months catches the freshest grants (high editorial-time-pressure, fewer published outputs yet). 24 months is the sweet spot for AIDI-style commissioning — long enough that PIs have direction, short enough that they have not yet placed major outputs. 36 and 48 broaden the net for slower-moving fields.</w:t>
            </w:r>
          </w:p>
        </w:tc>
      </w:tr>
    </w:tbl>
    <w:p>
      <w:pPr>
        <w:pStyle w:val="Heading2"/>
        <w:spacing w:after="120" w:before="240"/>
      </w:pPr>
      <w:r>
        <w:rPr>
          <w:rFonts w:ascii="Arial" w:cs="Arial" w:eastAsia="Arial" w:hAnsi="Arial"/>
          <w:b/>
          <w:bCs/>
          <w:color w:val="2b6cb0"/>
          <w:sz w:val="28"/>
          <w:szCs w:val="28"/>
        </w:rPr>
        <w:t xml:space="preserve">4.3 Five sortable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1200"/>
        <w:gridCol w:w="5560"/>
      </w:tblGrid>
      <w:tr>
        <w:trPr>
          <w:tblHeader/>
        </w:trPr>
        <w:tc>
          <w:tcPr>
            <w:tcW w:type="dxa" w:w="8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w:t>
            </w:r>
          </w:p>
        </w:tc>
        <w:tc>
          <w:tcPr>
            <w:tcW w:type="dxa" w:w="18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Column</w:t>
            </w:r>
          </w:p>
        </w:tc>
        <w:tc>
          <w:tcPr>
            <w:tcW w:type="dxa" w:w="12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Type</w:t>
            </w:r>
          </w:p>
        </w:tc>
        <w:tc>
          <w:tcPr>
            <w:tcW w:type="dxa" w:w="55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Notes</w:t>
            </w:r>
          </w:p>
        </w:tc>
      </w:tr>
      <w:tr>
        <w:tc>
          <w:tcPr>
            <w:tcW w:type="dxa" w:w="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1</w:t>
            </w:r>
          </w:p>
        </w:tc>
        <w:tc>
          <w:tcPr>
            <w:tcW w:type="dxa" w:w="1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PI name</w:t>
            </w:r>
          </w:p>
        </w:tc>
        <w:tc>
          <w:tcPr>
            <w:tcW w:type="dxa" w:w="1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string</w:t>
            </w:r>
          </w:p>
        </w:tc>
        <w:tc>
          <w:tcPr>
            <w:tcW w:type="dxa" w:w="55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First listed PI from source record. Project-coordinator fallback for OpenAIRE when PI not exposed.</w:t>
            </w:r>
          </w:p>
        </w:tc>
      </w:tr>
      <w:tr>
        <w:tc>
          <w:tcPr>
            <w:tcW w:type="dxa" w:w="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2</w:t>
            </w:r>
          </w:p>
        </w:tc>
        <w:tc>
          <w:tcPr>
            <w:tcW w:type="dxa" w:w="1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Institution</w:t>
            </w:r>
          </w:p>
        </w:tc>
        <w:tc>
          <w:tcPr>
            <w:tcW w:type="dxa" w:w="1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string</w:t>
            </w:r>
          </w:p>
        </w:tc>
        <w:tc>
          <w:tcPr>
            <w:tcW w:type="dxa" w:w="55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Includes country code. First listed institution if multiple.</w:t>
            </w:r>
          </w:p>
        </w:tc>
      </w:tr>
      <w:tr>
        <w:tc>
          <w:tcPr>
            <w:tcW w:type="dxa" w:w="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3</w:t>
            </w:r>
          </w:p>
        </w:tc>
        <w:tc>
          <w:tcPr>
            <w:tcW w:type="dxa" w:w="1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Funder</w:t>
            </w:r>
          </w:p>
        </w:tc>
        <w:tc>
          <w:tcPr>
            <w:tcW w:type="dxa" w:w="1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string</w:t>
            </w:r>
          </w:p>
        </w:tc>
        <w:tc>
          <w:tcPr>
            <w:tcW w:type="dxa" w:w="55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Display name from source. Shown alongside funder country in tooltip.</w:t>
            </w:r>
          </w:p>
        </w:tc>
      </w:tr>
      <w:tr>
        <w:tc>
          <w:tcPr>
            <w:tcW w:type="dxa" w:w="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4</w:t>
            </w:r>
          </w:p>
        </w:tc>
        <w:tc>
          <w:tcPr>
            <w:tcW w:type="dxa" w:w="1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Grant amount</w:t>
            </w:r>
          </w:p>
        </w:tc>
        <w:tc>
          <w:tcPr>
            <w:tcW w:type="dxa" w:w="1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numeric</w:t>
            </w:r>
          </w:p>
        </w:tc>
        <w:tc>
          <w:tcPr>
            <w:tcW w:type="dxa" w:w="55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Native currency stored, USD-converted shown. Frequently null in OpenAIRE — explicit "n/a" rendering, not zero.</w:t>
            </w:r>
          </w:p>
        </w:tc>
      </w:tr>
      <w:tr>
        <w:tc>
          <w:tcPr>
            <w:tcW w:type="dxa" w:w="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5</w:t>
            </w:r>
          </w:p>
        </w:tc>
        <w:tc>
          <w:tcPr>
            <w:tcW w:type="dxa" w:w="18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Recency</w:t>
            </w:r>
          </w:p>
        </w:tc>
        <w:tc>
          <w:tcPr>
            <w:tcW w:type="dxa" w:w="1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months since start_date</w:t>
            </w:r>
          </w:p>
        </w:tc>
        <w:tc>
          <w:tcPr>
            <w:tcW w:type="dxa" w:w="55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Derived consistently across sources. Sorted ascending by default (most recent first).</w:t>
            </w:r>
          </w:p>
        </w:tc>
      </w:tr>
    </w:tbl>
    <w:p>
      <w:pPr>
        <w:spacing w:after="80" w:before="80" w:line="300"/>
      </w:pPr>
      <w:r>
        <w:rPr>
          <w:rFonts w:ascii="Arial" w:cs="Arial" w:eastAsia="Arial" w:hAnsi="Arial"/>
          <w:color w:val="1a202c"/>
          <w:sz w:val="22"/>
          <w:szCs w:val="22"/>
        </w:rPr>
        <w:t xml:space="preserve">Source-specific extras live in expandable row details: DOIs of resulting works (if any), OpenAlex Topic IDs, OpenAIRE FOS codes, project URL, abstract snippet, full PI list, full institution list, currency-of-record. The expandable row keeps the main table scannable while not hiding information.</w:t>
      </w:r>
    </w:p>
    <w:p>
      <w:pPr>
        <w:pStyle w:val="Heading2"/>
        <w:spacing w:after="120" w:before="240"/>
      </w:pPr>
      <w:r>
        <w:rPr>
          <w:rFonts w:ascii="Arial" w:cs="Arial" w:eastAsia="Arial" w:hAnsi="Arial"/>
          <w:b/>
          <w:bCs/>
          <w:color w:val="2b6cb0"/>
          <w:sz w:val="28"/>
          <w:szCs w:val="28"/>
        </w:rPr>
        <w:t xml:space="preserve">4.4 Filters (separate from sort)</w:t>
      </w:r>
    </w:p>
    <w:p>
      <w:pPr>
        <w:pStyle w:val="ListParagraph"/>
        <w:numPr>
          <w:ilvl w:val="0"/>
          <w:numId w:val="2"/>
        </w:numPr>
        <w:spacing w:after="40" w:before="40" w:line="280"/>
      </w:pPr>
      <w:r>
        <w:rPr>
          <w:rFonts w:ascii="Arial" w:cs="Arial" w:eastAsia="Arial" w:hAnsi="Arial"/>
          <w:color w:val="1a202c"/>
          <w:sz w:val="22"/>
          <w:szCs w:val="22"/>
        </w:rPr>
        <w:t xml:space="preserve">Funder name — multi-select, populated from the current result set</w:t>
      </w:r>
    </w:p>
    <w:p>
      <w:pPr>
        <w:pStyle w:val="ListParagraph"/>
        <w:numPr>
          <w:ilvl w:val="0"/>
          <w:numId w:val="2"/>
        </w:numPr>
        <w:spacing w:after="40" w:before="40" w:line="280"/>
      </w:pPr>
      <w:r>
        <w:rPr>
          <w:rFonts w:ascii="Arial" w:cs="Arial" w:eastAsia="Arial" w:hAnsi="Arial"/>
          <w:color w:val="1a202c"/>
          <w:sz w:val="22"/>
          <w:szCs w:val="22"/>
        </w:rPr>
        <w:t xml:space="preserve">Recency window — 12/24/36/48 months (drives the start_date filter at query time, not just display)</w:t>
      </w:r>
    </w:p>
    <w:p>
      <w:pPr>
        <w:pStyle w:val="ListParagraph"/>
        <w:numPr>
          <w:ilvl w:val="0"/>
          <w:numId w:val="2"/>
        </w:numPr>
        <w:spacing w:after="40" w:before="40" w:line="280"/>
      </w:pPr>
      <w:r>
        <w:rPr>
          <w:rFonts w:ascii="Arial" w:cs="Arial" w:eastAsia="Arial" w:hAnsi="Arial"/>
          <w:color w:val="1a202c"/>
          <w:sz w:val="22"/>
          <w:szCs w:val="22"/>
        </w:rPr>
        <w:t xml:space="preserve">Active status — active / recently ended / both</w:t>
      </w:r>
    </w:p>
    <w:p>
      <w:pPr>
        <w:pStyle w:val="ListParagraph"/>
        <w:numPr>
          <w:ilvl w:val="0"/>
          <w:numId w:val="2"/>
        </w:numPr>
        <w:spacing w:after="40" w:before="40" w:line="280"/>
      </w:pPr>
      <w:r>
        <w:rPr>
          <w:rFonts w:ascii="Arial" w:cs="Arial" w:eastAsia="Arial" w:hAnsi="Arial"/>
          <w:color w:val="1a202c"/>
          <w:sz w:val="22"/>
          <w:szCs w:val="22"/>
        </w:rPr>
        <w:t xml:space="preserve">Grant size band — &lt;$100k / $100k–$1M / &gt;$1M / unknown</w:t>
      </w:r>
    </w:p>
    <w:p>
      <w:pPr>
        <w:pStyle w:val="ListParagraph"/>
        <w:numPr>
          <w:ilvl w:val="0"/>
          <w:numId w:val="2"/>
        </w:numPr>
        <w:spacing w:after="40" w:before="40" w:line="280"/>
      </w:pPr>
      <w:r>
        <w:rPr>
          <w:rFonts w:ascii="Arial" w:cs="Arial" w:eastAsia="Arial" w:hAnsi="Arial"/>
          <w:color w:val="1a202c"/>
          <w:sz w:val="22"/>
          <w:szCs w:val="22"/>
        </w:rPr>
        <w:t xml:space="preserve">Country — multi-select (institution country, not funder country)</w:t>
      </w:r>
    </w:p>
    <w:p>
      <w:pPr>
        <w:pStyle w:val="ListParagraph"/>
        <w:numPr>
          <w:ilvl w:val="0"/>
          <w:numId w:val="2"/>
        </w:numPr>
        <w:spacing w:after="40" w:before="40" w:line="280"/>
      </w:pPr>
      <w:r>
        <w:rPr>
          <w:rFonts w:ascii="Arial" w:cs="Arial" w:eastAsia="Arial" w:hAnsi="Arial"/>
          <w:color w:val="1a202c"/>
          <w:sz w:val="22"/>
          <w:szCs w:val="22"/>
        </w:rPr>
        <w:t xml:space="preserve">Source — OpenAlex / OpenAIRE / both</w:t>
      </w:r>
    </w:p>
    <w:p>
      <w:pPr>
        <w:spacing w:after="80" w:before="80" w:line="300"/>
      </w:pPr>
      <w:r>
        <w:rPr>
          <w:rFonts w:ascii="Arial" w:cs="Arial" w:eastAsia="Arial" w:hAnsi="Arial"/>
          <w:color w:val="1a202c"/>
          <w:sz w:val="22"/>
          <w:szCs w:val="22"/>
        </w:rPr>
        <w:t xml:space="preserve">Filters compose with AND. Counts of results matching each filter value shown beside the option, so editors can see the trade-off before applying.</w:t>
      </w:r>
    </w:p>
    <w:p>
      <w:pPr>
        <w:pStyle w:val="Heading2"/>
        <w:spacing w:after="120" w:before="240"/>
      </w:pPr>
      <w:r>
        <w:rPr>
          <w:rFonts w:ascii="Arial" w:cs="Arial" w:eastAsia="Arial" w:hAnsi="Arial"/>
          <w:b/>
          <w:bCs/>
          <w:color w:val="2b6cb0"/>
          <w:sz w:val="28"/>
          <w:szCs w:val="28"/>
        </w:rPr>
        <w:t xml:space="preserve">4.5 Topic disambiguation (OpenAlex side only in v1)</w:t>
      </w:r>
    </w:p>
    <w:p>
      <w:pPr>
        <w:spacing w:after="80" w:before="80" w:line="300"/>
      </w:pPr>
      <w:r>
        <w:rPr>
          <w:rFonts w:ascii="Arial" w:cs="Arial" w:eastAsia="Arial" w:hAnsi="Arial"/>
          <w:color w:val="1a202c"/>
          <w:sz w:val="22"/>
          <w:szCs w:val="22"/>
        </w:rPr>
        <w:t xml:space="preserve">Free-text keyword search is noisy. OpenAlex offers a structured Topic taxonomy that journal-overlap already exploits. In Grant Radar, the user enters keywords; before submitting, an optional disambiguation panel suggests OpenAlex Topic IDs that match the keywords (via /topics?search=). The user can click to constrain the OpenAlex-side query to those Topic IDs. The OpenAIRE side stays keyword-driven in v1 because OpenAIRE uses its own Fields-of-Science classification, not OpenAlex Topics.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b6cb0" w:sz="8"/>
              <w:left w:val="single" w:color="2b6cb0" w:sz="8"/>
              <w:bottom w:val="single" w:color="2b6cb0" w:sz="8"/>
              <w:right w:val="single" w:color="2b6cb0" w:sz="8"/>
            </w:tcBorders>
            <w:shd w:fill="D5E8F0" w:val="clear"/>
            <w:tcMar>
              <w:top w:type="dxa" w:w="160"/>
              <w:left w:type="dxa" w:w="200"/>
              <w:bottom w:type="dxa" w:w="160"/>
              <w:right w:type="dxa" w:w="200"/>
            </w:tcMar>
          </w:tcPr>
          <w:p>
            <w:pPr>
              <w:spacing w:after="80" w:before="0"/>
            </w:pPr>
            <w:r>
              <w:rPr>
                <w:rFonts w:ascii="Arial" w:cs="Arial" w:eastAsia="Arial" w:hAnsi="Arial"/>
                <w:b/>
                <w:bCs/>
                <w:color w:val="2b6cb0"/>
                <w:sz w:val="22"/>
                <w:szCs w:val="22"/>
              </w:rPr>
              <w:t xml:space="preserve">v2 enhancement: cross-source topic translation</w:t>
            </w:r>
          </w:p>
          <w:p>
            <w:pPr>
              <w:spacing w:after="60" w:before="0" w:line="280"/>
            </w:pPr>
            <w:r>
              <w:rPr>
                <w:rFonts w:ascii="Arial" w:cs="Arial" w:eastAsia="Arial" w:hAnsi="Arial"/>
                <w:color w:val="1a202c"/>
                <w:sz w:val="22"/>
                <w:szCs w:val="22"/>
              </w:rPr>
              <w:t xml:space="preserve">Build a static mapping from OpenAlex Topic IDs to OpenAIRE FOS codes (and to free-text query bundles for funders that have neither). This makes disambiguation symmetric across sources but is non-trivial — the two taxonomies do not align cleanly, and a hand-curated bridge for the AIDI-relevant subset is the right v2 starting point.</w:t>
            </w:r>
          </w:p>
        </w:tc>
      </w:tr>
    </w:tbl>
    <w:p>
      <w:pPr>
        <w:pStyle w:val="Heading2"/>
        <w:spacing w:after="120" w:before="240"/>
      </w:pPr>
      <w:r>
        <w:rPr>
          <w:rFonts w:ascii="Arial" w:cs="Arial" w:eastAsia="Arial" w:hAnsi="Arial"/>
          <w:b/>
          <w:bCs/>
          <w:color w:val="2b6cb0"/>
          <w:sz w:val="28"/>
          <w:szCs w:val="28"/>
        </w:rPr>
        <w:t xml:space="preserve">4.6 PI email enrichment</w:t>
      </w:r>
    </w:p>
    <w:p>
      <w:pPr>
        <w:spacing w:after="80" w:before="80" w:line="300"/>
      </w:pPr>
      <w:r>
        <w:rPr>
          <w:rFonts w:ascii="Arial" w:cs="Arial" w:eastAsia="Arial" w:hAnsi="Arial"/>
          <w:color w:val="1a202c"/>
          <w:sz w:val="22"/>
          <w:szCs w:val="22"/>
        </w:rPr>
        <w:t xml:space="preserve">The reliable path to a PI's contact email is via their most recent paper as corresponding author. The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1. Resolve PI name → OpenAlex Author ID</w:t>
            </w:r>
          </w:p>
          <w:p>
            <w:pPr>
              <w:spacing w:after="0" w:before="0" w:line="240"/>
            </w:pPr>
            <w:r>
              <w:rPr>
                <w:rFonts w:ascii="Consolas" w:cs="Consolas" w:eastAsia="Consolas" w:hAnsi="Consolas"/>
                <w:color w:val="1a202c"/>
                <w:sz w:val="18"/>
                <w:szCs w:val="18"/>
              </w:rPr>
              <w:t xml:space="preserve">   GET /authors?search={name}</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2. Fetch their most recent corresponding-author paper</w:t>
            </w:r>
          </w:p>
          <w:p>
            <w:pPr>
              <w:spacing w:after="0" w:before="0" w:line="240"/>
            </w:pPr>
            <w:r>
              <w:rPr>
                <w:rFonts w:ascii="Consolas" w:cs="Consolas" w:eastAsia="Consolas" w:hAnsi="Consolas"/>
                <w:color w:val="1a202c"/>
                <w:sz w:val="18"/>
                <w:szCs w:val="18"/>
              </w:rPr>
              <w:t xml:space="preserve">   GET /works?filter=author.id:{id},authorship.is_corresponding:true</w:t>
            </w:r>
          </w:p>
          <w:p>
            <w:pPr>
              <w:spacing w:after="0" w:before="0" w:line="240"/>
            </w:pPr>
            <w:r>
              <w:rPr>
                <w:rFonts w:ascii="Consolas" w:cs="Consolas" w:eastAsia="Consolas" w:hAnsi="Consolas"/>
                <w:color w:val="1a202c"/>
                <w:sz w:val="18"/>
                <w:szCs w:val="18"/>
              </w:rPr>
              <w:t xml:space="preserve">       &amp;sort=publication_date:desc&amp;per_page=1</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3. Extract corresponding_author_email from the work record</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4. Display as mailto: link with provenance tooltip:</w:t>
            </w:r>
          </w:p>
          <w:p>
            <w:pPr>
              <w:spacing w:after="0" w:before="0" w:line="240"/>
            </w:pPr>
            <w:r>
              <w:rPr>
                <w:rFonts w:ascii="Consolas" w:cs="Consolas" w:eastAsia="Consolas" w:hAnsi="Consolas"/>
                <w:color w:val="1a202c"/>
                <w:sz w:val="18"/>
                <w:szCs w:val="18"/>
              </w:rPr>
              <w:t xml:space="preserve">   "Source: most recent paper [DOI]"</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5. Fallback: ORCID public email → null</w:t>
            </w:r>
          </w:p>
          <w:p>
            <w:pPr>
              <w:spacing w:after="0" w:before="0" w:line="240"/>
            </w:pPr>
            <w:r>
              <w:rPr>
                <w:rFonts w:ascii="Consolas" w:cs="Consolas" w:eastAsia="Consolas" w:hAnsi="Consolas"/>
                <w:color w:val="1a202c"/>
                <w:sz w:val="18"/>
                <w:szCs w:val="18"/>
              </w:rPr>
              <w:t xml:space="preserve">   (Do NOT scrape institutional pages.)</w:t>
            </w:r>
          </w:p>
        </w:tc>
      </w:tr>
    </w:tbl>
    <w:p>
      <w:pPr>
        <w:spacing w:after="80" w:before="80" w:line="300"/>
      </w:pPr>
      <w:r>
        <w:rPr>
          <w:rFonts w:ascii="Arial" w:cs="Arial" w:eastAsia="Arial" w:hAnsi="Arial"/>
          <w:color w:val="1a202c"/>
          <w:sz w:val="22"/>
          <w:szCs w:val="22"/>
        </w:rPr>
        <w:t xml:space="preserve">This is reuse of already-public information — corresponding-author emails appear on published papers. The tool surfaces them with provenance for editorial outreach, never strips that provenance, and never bulk-exports emails outside their grant context.</w:t>
      </w:r>
    </w:p>
    <w:p>
      <w:pPr>
        <w:pStyle w:val="Heading2"/>
        <w:spacing w:after="120" w:before="240"/>
      </w:pPr>
      <w:r>
        <w:rPr>
          <w:rFonts w:ascii="Arial" w:cs="Arial" w:eastAsia="Arial" w:hAnsi="Arial"/>
          <w:b/>
          <w:bCs/>
          <w:color w:val="2b6cb0"/>
          <w:sz w:val="28"/>
          <w:szCs w:val="28"/>
        </w:rPr>
        <w:t xml:space="preserve">4.7 CSV export</w:t>
      </w:r>
    </w:p>
    <w:p>
      <w:pPr>
        <w:spacing w:after="80" w:before="80" w:line="300"/>
      </w:pPr>
      <w:r>
        <w:rPr>
          <w:rFonts w:ascii="Arial" w:cs="Arial" w:eastAsia="Arial" w:hAnsi="Arial"/>
          <w:color w:val="1a202c"/>
          <w:sz w:val="22"/>
          <w:szCs w:val="22"/>
        </w:rPr>
        <w:t xml:space="preserve">The CSV schema reuses the suite-shared format established by journal-overlap and journal-profiler. Where columns do not apply to grant records (citation counts, journal identity), they are included but left empty rather than omitted, so downstream tooling that expects the canonical schema does not break. The exported rows are the currently-filtered, currently-sorted view — what the editor sees is what they get.</w:t>
      </w:r>
    </w:p>
    <w:p>
      <w:pPr>
        <w:pStyle w:val="Heading1"/>
        <w:spacing w:after="180" w:before="360"/>
      </w:pPr>
      <w:r>
        <w:rPr>
          <w:rFonts w:ascii="Arial" w:cs="Arial" w:eastAsia="Arial" w:hAnsi="Arial"/>
          <w:b/>
          <w:bCs/>
          <w:color w:val="1e3a5f"/>
          <w:sz w:val="36"/>
          <w:szCs w:val="36"/>
        </w:rPr>
        <w:t xml:space="preserve">5. Architecture &amp; data pipeline</w:t>
      </w:r>
    </w:p>
    <w:p>
      <w:pPr>
        <w:pStyle w:val="Heading2"/>
        <w:spacing w:after="120" w:before="240"/>
      </w:pPr>
      <w:r>
        <w:rPr>
          <w:rFonts w:ascii="Arial" w:cs="Arial" w:eastAsia="Arial" w:hAnsi="Arial"/>
          <w:b/>
          <w:bCs/>
          <w:color w:val="2b6cb0"/>
          <w:sz w:val="28"/>
          <w:szCs w:val="28"/>
        </w:rPr>
        <w:t xml:space="preserve">5.1 High-level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User submits query (keywords [+ optional topic IDs] + filters)</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 OpenAlex /awards adapter (api/openalex.js)</w:t>
            </w:r>
          </w:p>
          <w:p>
            <w:pPr>
              <w:spacing w:after="0" w:before="0" w:line="240"/>
            </w:pPr>
            <w:r>
              <w:rPr>
                <w:rFonts w:ascii="Consolas" w:cs="Consolas" w:eastAsia="Consolas" w:hAnsi="Consolas"/>
                <w:color w:val="1a202c"/>
                <w:sz w:val="18"/>
                <w:szCs w:val="18"/>
              </w:rPr>
              <w:t xml:space="preserve">         │           paginates, applies select=, normalises to CanonicalGrant</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 OpenAIRE Graph /projects adapter (api/openaire.js)</w:t>
            </w:r>
          </w:p>
          <w:p>
            <w:pPr>
              <w:spacing w:after="0" w:before="0" w:line="240"/>
            </w:pPr>
            <w:r>
              <w:rPr>
                <w:rFonts w:ascii="Consolas" w:cs="Consolas" w:eastAsia="Consolas" w:hAnsi="Consolas"/>
                <w:color w:val="1a202c"/>
                <w:sz w:val="18"/>
                <w:szCs w:val="18"/>
              </w:rPr>
              <w:t xml:space="preserve">                     paginates, applies field selection, normalises to CanonicalGrant</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analytics.mergeAndDedupe(grants)</w:t>
            </w:r>
          </w:p>
          <w:p>
            <w:pPr>
              <w:spacing w:after="0" w:before="0" w:line="240"/>
            </w:pPr>
            <w:r>
              <w:rPr>
                <w:rFonts w:ascii="Consolas" w:cs="Consolas" w:eastAsia="Consolas" w:hAnsi="Consolas"/>
                <w:color w:val="1a202c"/>
                <w:sz w:val="18"/>
                <w:szCs w:val="18"/>
              </w:rPr>
              <w:t xml:space="preserve">       key: funder_id + award_id + first PI normalised name</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analytics.classifyActive(grant, today)</w:t>
            </w:r>
          </w:p>
          <w:p>
            <w:pPr>
              <w:spacing w:after="0" w:before="0" w:line="240"/>
            </w:pPr>
            <w:r>
              <w:rPr>
                <w:rFonts w:ascii="Consolas" w:cs="Consolas" w:eastAsia="Consolas" w:hAnsi="Consolas"/>
                <w:color w:val="1a202c"/>
                <w:sz w:val="18"/>
                <w:szCs w:val="18"/>
              </w:rPr>
              <w:t xml:space="preserve">       attaches "active" / "recently_ended" / "unknown"</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analytics.toUSD(amount, currency)</w:t>
            </w:r>
          </w:p>
          <w:p>
            <w:pPr>
              <w:spacing w:after="0" w:before="0" w:line="240"/>
            </w:pPr>
            <w:r>
              <w:rPr>
                <w:rFonts w:ascii="Consolas" w:cs="Consolas" w:eastAsia="Consolas" w:hAnsi="Consolas"/>
                <w:color w:val="1a202c"/>
                <w:sz w:val="18"/>
                <w:szCs w:val="18"/>
              </w:rPr>
              <w:t xml:space="preserve">       static FX table v1; abstract for v2 live FX</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For each grant: enrichment.fetchPIEmail(grant.pi)</w:t>
            </w:r>
          </w:p>
          <w:p>
            <w:pPr>
              <w:spacing w:after="0" w:before="0" w:line="240"/>
            </w:pPr>
            <w:r>
              <w:rPr>
                <w:rFonts w:ascii="Consolas" w:cs="Consolas" w:eastAsia="Consolas" w:hAnsi="Consolas"/>
                <w:color w:val="1a202c"/>
                <w:sz w:val="18"/>
                <w:szCs w:val="18"/>
              </w:rPr>
              <w:t xml:space="preserve">       (concurrent, throttled, optional — non-blocking)</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ResultsTable renders sorted+filtered view</w:t>
            </w:r>
          </w:p>
          <w:p>
            <w:pPr>
              <w:spacing w:after="0" w:before="0" w:line="240"/>
            </w:pPr>
            <w:r>
              <w:rPr>
                <w:rFonts w:ascii="Consolas" w:cs="Consolas" w:eastAsia="Consolas" w:hAnsi="Consolas"/>
                <w:color w:val="1a202c"/>
                <w:sz w:val="18"/>
                <w:szCs w:val="18"/>
              </w:rPr>
              <w:t xml:space="preserve">   CSV export writes the same view</w:t>
            </w:r>
          </w:p>
        </w:tc>
      </w:tr>
    </w:tbl>
    <w:p>
      <w:pPr>
        <w:pStyle w:val="Heading2"/>
        <w:spacing w:after="120" w:before="240"/>
      </w:pPr>
      <w:r>
        <w:rPr>
          <w:rFonts w:ascii="Arial" w:cs="Arial" w:eastAsia="Arial" w:hAnsi="Arial"/>
          <w:b/>
          <w:bCs/>
          <w:color w:val="2b6cb0"/>
          <w:sz w:val="28"/>
          <w:szCs w:val="28"/>
        </w:rPr>
        <w:t xml:space="preserve">5.2 Computation location</w:t>
      </w:r>
    </w:p>
    <w:p>
      <w:pPr>
        <w:spacing w:after="80" w:before="80" w:line="300"/>
      </w:pPr>
      <w:r>
        <w:rPr>
          <w:rFonts w:ascii="Arial" w:cs="Arial" w:eastAsia="Arial" w:hAnsi="Arial"/>
          <w:color w:val="1a202c"/>
          <w:sz w:val="22"/>
          <w:szCs w:val="22"/>
        </w:rPr>
        <w:t xml:space="preserve">All computation runs client-side. Browser-only architecture is feasible because both APIs are public and CORS-friendly (subject to spike confirmation for OpenAIRE — see §6.2). Static FX rates are hard-coded for v1 from a snapshot at build time; live FX is a v2 concern.</w:t>
      </w:r>
    </w:p>
    <w:p>
      <w:pPr>
        <w:pStyle w:val="Heading2"/>
        <w:spacing w:after="120" w:before="240"/>
      </w:pPr>
      <w:r>
        <w:rPr>
          <w:rFonts w:ascii="Arial" w:cs="Arial" w:eastAsia="Arial" w:hAnsi="Arial"/>
          <w:b/>
          <w:bCs/>
          <w:color w:val="2b6cb0"/>
          <w:sz w:val="28"/>
          <w:szCs w:val="28"/>
        </w:rPr>
        <w:t xml:space="preserve">5.3 Why this separation</w:t>
      </w:r>
    </w:p>
    <w:p>
      <w:pPr>
        <w:spacing w:after="80" w:before="80" w:line="300"/>
      </w:pPr>
      <w:r>
        <w:rPr>
          <w:rFonts w:ascii="Arial" w:cs="Arial" w:eastAsia="Arial" w:hAnsi="Arial"/>
          <w:color w:val="1a202c"/>
          <w:sz w:val="22"/>
          <w:szCs w:val="22"/>
        </w:rPr>
        <w:t xml:space="preserve">Strict module boundaries are inherited from journal-profiler's tested-and-working pattern. api/* files contain only fetch logic — no UI dependencies, no analytics, just network and shape conversion. analytics.js contains only pure functions, fully testable without mocking the network. components/* import from both but neither imports from components.</w:t>
      </w:r>
    </w:p>
    <w:p>
      <w:pPr>
        <w:spacing w:after="80" w:before="80" w:line="300"/>
      </w:pPr>
      <w:r>
        <w:rPr>
          <w:rFonts w:ascii="Arial" w:cs="Arial" w:eastAsia="Arial" w:hAnsi="Arial"/>
          <w:color w:val="1a202c"/>
          <w:sz w:val="22"/>
          <w:szCs w:val="22"/>
        </w:rPr>
        <w:t xml:space="preserve">This means the analytics layer can be unit-tested in isolation (which is where most of the bugs will hide — date arithmetic, currency normalisation, dedup keys), and the API adapters can be swapped or extended in v2 without touching analytics or UI.</w:t>
      </w:r>
    </w:p>
    <w:p>
      <w:pPr>
        <w:pStyle w:val="Heading1"/>
        <w:spacing w:after="180" w:before="360"/>
      </w:pPr>
      <w:r>
        <w:rPr>
          <w:rFonts w:ascii="Arial" w:cs="Arial" w:eastAsia="Arial" w:hAnsi="Arial"/>
          <w:b/>
          <w:bCs/>
          <w:color w:val="1e3a5f"/>
          <w:sz w:val="36"/>
          <w:szCs w:val="36"/>
        </w:rPr>
        <w:t xml:space="preserve">6. API &amp; data source reference</w:t>
      </w:r>
    </w:p>
    <w:p>
      <w:pPr>
        <w:pStyle w:val="Heading2"/>
        <w:spacing w:after="120" w:before="240"/>
      </w:pPr>
      <w:r>
        <w:rPr>
          <w:rFonts w:ascii="Arial" w:cs="Arial" w:eastAsia="Arial" w:hAnsi="Arial"/>
          <w:b/>
          <w:bCs/>
          <w:color w:val="2b6cb0"/>
          <w:sz w:val="28"/>
          <w:szCs w:val="28"/>
        </w:rPr>
        <w:t xml:space="preserve">6.1 OpenAlex</w:t>
      </w:r>
    </w:p>
    <w:p>
      <w:pPr>
        <w:spacing w:after="80" w:before="80" w:line="300"/>
      </w:pPr>
      <w:r>
        <w:rPr>
          <w:rFonts w:ascii="Arial" w:cs="Arial" w:eastAsia="Arial" w:hAnsi="Arial"/>
          <w:color w:val="1a202c"/>
          <w:sz w:val="22"/>
          <w:szCs w:val="22"/>
        </w:rPr>
        <w:t xml:space="preserve">OpenAlex made awards a first-class entity in Q1 2026 with the Walden release. The previous grants property on Works is deprecated and replaced by the funders + awards properties. Grant Radar builds against the new /awards endpoint.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Endpoint</w:t>
            </w:r>
          </w:p>
        </w:tc>
        <w:tc>
          <w:tcPr>
            <w:tcW w:type="dxa" w:w="58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Use</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/awards?search={q}&amp;filter=...</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Primary award search. Filterable by funder ID, country, start date.</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/awards/{id}</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Single award detail (used in expandable row, lazy-loaded).</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/funders?search={name}</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Resolve a funder name to an OpenAlex funder ID before filtering. Never filter by free-text funder name.</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/funders/{id}</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Funder detail (homepage, country, alt names) for tooltips.</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/authors?search={name}</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PI name → OpenAlex Author ID. First step in email enrichment chain.</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/works?filter=author.id:{id},authorship.is_corresponding:true&amp;sort=publication_date:desc&amp;per_page=1</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Most recent corresponding-author paper for PI email lookup.</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/topics?search={q}</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Optional topic disambiguation panel (OpenAlex side only in v1).</w:t>
            </w:r>
          </w:p>
        </w:tc>
      </w:tr>
    </w:tbl>
    <w:p>
      <w:pPr>
        <w:spacing w:after="80" w:before="80" w:line="300"/>
      </w:pPr>
      <w:r>
        <w:rPr>
          <w:rFonts w:ascii="Arial" w:cs="Arial" w:eastAsia="Arial" w:hAnsi="Arial"/>
          <w:color w:val="1a202c"/>
          <w:sz w:val="22"/>
          <w:szCs w:val="22"/>
        </w:rPr>
        <w:t xml:space="preserve">Conventions: per_page=200 for paged endpoints, mailto={contact_email} query parameter for the Polite Pool (no API key required, but politeness gets better rate limits), 60ms delay between paginated requests, select= to reduce response size on hot paths.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OpenAlex /awards caveats</w:t>
            </w:r>
          </w:p>
          <w:p>
            <w:pPr>
              <w:spacing w:after="60" w:before="0" w:line="280"/>
            </w:pPr>
            <w:r>
              <w:rPr>
                <w:rFonts w:ascii="Arial" w:cs="Arial" w:eastAsia="Arial" w:hAnsi="Arial"/>
                <w:color w:val="1a202c"/>
                <w:sz w:val="22"/>
                <w:szCs w:val="22"/>
              </w:rPr>
              <w:t xml:space="preserve">• The endpoint is brand new (Q1 2026) — wrap it in an adapter so any schema shift is a one-file change.</w:t>
            </w:r>
          </w:p>
          <w:p>
            <w:pPr>
              <w:spacing w:after="60" w:before="0" w:line="280"/>
            </w:pPr>
            <w:r>
              <w:rPr>
                <w:rFonts w:ascii="Arial" w:cs="Arial" w:eastAsia="Arial" w:hAnsi="Arial"/>
                <w:color w:val="1a202c"/>
                <w:sz w:val="22"/>
                <w:szCs w:val="22"/>
              </w:rPr>
              <w:t xml:space="preserve">• Funder coverage skews heavily to Crossref-registered funders — predominantly US and EU.</w:t>
            </w:r>
          </w:p>
          <w:p>
            <w:pPr>
              <w:spacing w:after="60" w:before="0" w:line="280"/>
            </w:pPr>
            <w:r>
              <w:rPr>
                <w:rFonts w:ascii="Arial" w:cs="Arial" w:eastAsia="Arial" w:hAnsi="Arial"/>
                <w:color w:val="1a202c"/>
                <w:sz w:val="22"/>
                <w:szCs w:val="22"/>
              </w:rPr>
              <w:t xml:space="preserve">• 27M of the funder→work links are extracted from full-text PDFs by OpenAlex and are probabilistic, not authoritative.</w:t>
            </w:r>
          </w:p>
          <w:p>
            <w:pPr>
              <w:spacing w:after="60" w:before="0" w:line="280"/>
            </w:pPr>
            <w:r>
              <w:rPr>
                <w:rFonts w:ascii="Arial" w:cs="Arial" w:eastAsia="Arial" w:hAnsi="Arial"/>
                <w:color w:val="1a202c"/>
                <w:sz w:val="22"/>
                <w:szCs w:val="22"/>
              </w:rPr>
              <w:t xml:space="preserve">• The Wellcome-funded global funder integration project (announced Jan 2026) will materially improve coverage over 3 years; v1 should treat current coverage as a baseline that improves automatically.</w:t>
            </w:r>
          </w:p>
        </w:tc>
      </w:tr>
    </w:tbl>
    <w:p>
      <w:pPr>
        <w:pStyle w:val="Heading2"/>
        <w:spacing w:after="120" w:before="240"/>
      </w:pPr>
      <w:r>
        <w:rPr>
          <w:rFonts w:ascii="Arial" w:cs="Arial" w:eastAsia="Arial" w:hAnsi="Arial"/>
          <w:b/>
          <w:bCs/>
          <w:color w:val="2b6cb0"/>
          <w:sz w:val="28"/>
          <w:szCs w:val="28"/>
        </w:rPr>
        <w:t xml:space="preserve">6.2 OpenAIRE Graph API</w:t>
      </w:r>
    </w:p>
    <w:p>
      <w:pPr>
        <w:spacing w:after="80" w:before="80" w:line="300"/>
      </w:pPr>
      <w:r>
        <w:rPr>
          <w:rFonts w:ascii="Arial" w:cs="Arial" w:eastAsia="Arial" w:hAnsi="Arial"/>
          <w:color w:val="1a202c"/>
          <w:sz w:val="22"/>
          <w:szCs w:val="22"/>
        </w:rPr>
        <w:t xml:space="preserve">OpenAIRE's old Search API (api.openaire.eu/search/projects, the one referenced in the original briefing document) is being phased out on May 31, 2026. Grant Radar builds against the new Graph API at api.openaire.eu/graph from day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Endpoint</w:t>
            </w:r>
          </w:p>
        </w:tc>
        <w:tc>
          <w:tcPr>
            <w:tcW w:type="dxa" w:w="58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Use</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/graph/projects?search={q}&amp;page=1&amp;pageSize=50</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Primary project search.</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/graph/projects/{id}</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Single project detail.</w:t>
            </w:r>
          </w:p>
        </w:tc>
      </w:tr>
      <w:tr>
        <w:tc>
          <w:tcPr>
            <w:tcW w:type="dxa" w:w="35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/graph/organizations/{id}</w:t>
            </w:r>
          </w:p>
        </w:tc>
        <w:tc>
          <w:tcPr>
            <w:tcW w:type="dxa" w:w="58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Institution lookup for tooltips.</w:t>
            </w:r>
          </w:p>
        </w:tc>
      </w:tr>
    </w:tbl>
    <w:p>
      <w:pPr>
        <w:spacing w:after="80" w:before="80" w:line="300"/>
      </w:pPr>
      <w:r>
        <w:rPr>
          <w:rFonts w:ascii="Arial" w:cs="Arial" w:eastAsia="Arial" w:hAnsi="Arial"/>
          <w:color w:val="1a202c"/>
          <w:sz w:val="22"/>
          <w:szCs w:val="22"/>
        </w:rPr>
        <w:t xml:space="preserve">Public access requires no authentication for v1 use volumes. Authenticated access (higher rate limits) is available via OAuth client-credentials, but requires a stored client_secret and is therefore deferred to v2 with a thin proxy. Hard limit of 10,000 results per traditional paged query; cursor-based access is available for larger pulls but not needed for editorial-scope queries.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OpenAIRE pre-build verification</w:t>
            </w:r>
          </w:p>
          <w:p>
            <w:pPr>
              <w:spacing w:after="60" w:before="0" w:line="280"/>
            </w:pPr>
            <w:r>
              <w:rPr>
                <w:rFonts w:ascii="Arial" w:cs="Arial" w:eastAsia="Arial" w:hAnsi="Arial"/>
                <w:color w:val="1a202c"/>
                <w:sz w:val="22"/>
                <w:szCs w:val="22"/>
              </w:rPr>
              <w:t xml:space="preserve">• CORS support for browser calls — verify in a 30-minute spike before locking in static-only architecture. If CORS blocks browser access, the v1 fallback is a Cloudflare Worker proxy (~30 lines, no secrets).</w:t>
            </w:r>
          </w:p>
          <w:p>
            <w:pPr>
              <w:spacing w:after="60" w:before="0" w:line="280"/>
            </w:pPr>
            <w:r>
              <w:rPr>
                <w:rFonts w:ascii="Arial" w:cs="Arial" w:eastAsia="Arial" w:hAnsi="Arial"/>
                <w:color w:val="1a202c"/>
                <w:sz w:val="22"/>
                <w:szCs w:val="22"/>
              </w:rPr>
              <w:t xml:space="preserve">• Field availability: PI is not always exposed on project records — fall back to project coordinator name. Grant amount is frequently null. Currency varies; capture both native and USD-converted, never silently coerce.</w:t>
            </w:r>
          </w:p>
          <w:p>
            <w:pPr>
              <w:spacing w:after="60" w:before="0" w:line="280"/>
            </w:pPr>
            <w:r>
              <w:rPr>
                <w:rFonts w:ascii="Arial" w:cs="Arial" w:eastAsia="Arial" w:hAnsi="Arial"/>
                <w:color w:val="1a202c"/>
                <w:sz w:val="22"/>
                <w:szCs w:val="22"/>
              </w:rPr>
              <w:t xml:space="preserve">• Subject classification uses FOS (Fields of Science), not OpenAlex Topics. Topic translation across sources is a v2 concern.</w:t>
            </w:r>
          </w:p>
        </w:tc>
      </w:tr>
    </w:tbl>
    <w:p>
      <w:pPr>
        <w:pStyle w:val="Heading2"/>
        <w:spacing w:after="120" w:before="240"/>
      </w:pPr>
      <w:r>
        <w:rPr>
          <w:rFonts w:ascii="Arial" w:cs="Arial" w:eastAsia="Arial" w:hAnsi="Arial"/>
          <w:b/>
          <w:bCs/>
          <w:color w:val="2b6cb0"/>
          <w:sz w:val="28"/>
          <w:szCs w:val="28"/>
        </w:rPr>
        <w:t xml:space="preserve">6.3 Source-merging key</w:t>
      </w:r>
    </w:p>
    <w:p>
      <w:pPr>
        <w:spacing w:after="80" w:before="80" w:line="300"/>
      </w:pPr>
      <w:r>
        <w:rPr>
          <w:rFonts w:ascii="Arial" w:cs="Arial" w:eastAsia="Arial" w:hAnsi="Arial"/>
          <w:color w:val="1a202c"/>
          <w:sz w:val="22"/>
          <w:szCs w:val="22"/>
        </w:rPr>
        <w:t xml:space="preserve">OpenAlex and OpenAIRE both cover Horizon Europe, UKRI, and several other major funders, so the same grant can appear in both sources. Dedupe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key = normalise(funder_id) + "|" + normalise(award_id) + "|" + normalise(pi_name)</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where normalise():</w:t>
            </w:r>
          </w:p>
          <w:p>
            <w:pPr>
              <w:spacing w:after="0" w:before="0" w:line="240"/>
            </w:pPr>
            <w:r>
              <w:rPr>
                <w:rFonts w:ascii="Consolas" w:cs="Consolas" w:eastAsia="Consolas" w:hAnsi="Consolas"/>
                <w:color w:val="1a202c"/>
                <w:sz w:val="18"/>
                <w:szCs w:val="18"/>
              </w:rPr>
              <w:t xml:space="preserve">  - lowercases</w:t>
            </w:r>
          </w:p>
          <w:p>
            <w:pPr>
              <w:spacing w:after="0" w:before="0" w:line="240"/>
            </w:pPr>
            <w:r>
              <w:rPr>
                <w:rFonts w:ascii="Consolas" w:cs="Consolas" w:eastAsia="Consolas" w:hAnsi="Consolas"/>
                <w:color w:val="1a202c"/>
                <w:sz w:val="18"/>
                <w:szCs w:val="18"/>
              </w:rPr>
              <w:t xml:space="preserve">  - strips diacritics</w:t>
            </w:r>
          </w:p>
          <w:p>
            <w:pPr>
              <w:spacing w:after="0" w:before="0" w:line="240"/>
            </w:pPr>
            <w:r>
              <w:rPr>
                <w:rFonts w:ascii="Consolas" w:cs="Consolas" w:eastAsia="Consolas" w:hAnsi="Consolas"/>
                <w:color w:val="1a202c"/>
                <w:sz w:val="18"/>
                <w:szCs w:val="18"/>
              </w:rPr>
              <w:t xml:space="preserve">  - strips honorifics (Dr., Prof., etc.)</w:t>
            </w:r>
          </w:p>
          <w:p>
            <w:pPr>
              <w:spacing w:after="0" w:before="0" w:line="240"/>
            </w:pPr>
            <w:r>
              <w:rPr>
                <w:rFonts w:ascii="Consolas" w:cs="Consolas" w:eastAsia="Consolas" w:hAnsi="Consolas"/>
                <w:color w:val="1a202c"/>
                <w:sz w:val="18"/>
                <w:szCs w:val="18"/>
              </w:rPr>
              <w:t xml:space="preserve">  - collapses whitespace</w:t>
            </w:r>
          </w:p>
          <w:p>
            <w:pPr>
              <w:spacing w:after="0" w:before="0" w:line="240"/>
            </w:pPr>
            <w:r>
              <w:rPr>
                <w:rFonts w:ascii="Consolas" w:cs="Consolas" w:eastAsia="Consolas" w:hAnsi="Consolas"/>
                <w:color w:val="1a202c"/>
                <w:sz w:val="18"/>
                <w:szCs w:val="18"/>
              </w:rPr>
              <w:t xml:space="preserve">  - for award_id: strips known funder prefixes (e.g. "EU H2020 ", "ERC-")</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Conflict resolution: prefer OpenAlex record for canonical fields,</w:t>
            </w:r>
          </w:p>
          <w:p>
            <w:pPr>
              <w:spacing w:after="0" w:before="0" w:line="240"/>
            </w:pPr>
            <w:r>
              <w:rPr>
                <w:rFonts w:ascii="Consolas" w:cs="Consolas" w:eastAsia="Consolas" w:hAnsi="Consolas"/>
                <w:color w:val="1a202c"/>
                <w:sz w:val="18"/>
                <w:szCs w:val="18"/>
              </w:rPr>
              <w:t xml:space="preserve">                    union the topics/FOS,</w:t>
            </w:r>
          </w:p>
          <w:p>
            <w:pPr>
              <w:spacing w:after="0" w:before="0" w:line="240"/>
            </w:pPr>
            <w:r>
              <w:rPr>
                <w:rFonts w:ascii="Consolas" w:cs="Consolas" w:eastAsia="Consolas" w:hAnsi="Consolas"/>
                <w:color w:val="1a202c"/>
                <w:sz w:val="18"/>
                <w:szCs w:val="18"/>
              </w:rPr>
              <w:t xml:space="preserve">                    keep both source IDs in the merged record.</w:t>
            </w:r>
          </w:p>
        </w:tc>
      </w:tr>
    </w:tbl>
    <w:p>
      <w:pPr>
        <w:pStyle w:val="Heading1"/>
        <w:spacing w:after="180" w:before="360"/>
      </w:pPr>
      <w:r>
        <w:rPr>
          <w:rFonts w:ascii="Arial" w:cs="Arial" w:eastAsia="Arial" w:hAnsi="Arial"/>
          <w:b/>
          <w:bCs/>
          <w:color w:val="1e3a5f"/>
          <w:sz w:val="36"/>
          <w:szCs w:val="36"/>
        </w:rPr>
        <w:t xml:space="preserve">7. UI structure</w:t>
      </w:r>
    </w:p>
    <w:p>
      <w:pPr>
        <w:pStyle w:val="Heading2"/>
        <w:spacing w:after="120" w:before="240"/>
      </w:pPr>
      <w:r>
        <w:rPr>
          <w:rFonts w:ascii="Arial" w:cs="Arial" w:eastAsia="Arial" w:hAnsi="Arial"/>
          <w:b/>
          <w:bCs/>
          <w:color w:val="2b6cb0"/>
          <w:sz w:val="28"/>
          <w:szCs w:val="28"/>
        </w:rPr>
        <w:t xml:space="preserve">7.1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Tab</w:t>
            </w:r>
          </w:p>
        </w:tc>
        <w:tc>
          <w:tcPr>
            <w:tcW w:type="dxa" w:w="7160"/>
            <w:tcBorders>
              <w:top w:val="single" w:color="CCCCCC" w:sz="1"/>
              <w:left w:val="single" w:color="CCCCCC" w:sz="1"/>
              <w:bottom w:val="single" w:color="CCCCCC" w:sz="1"/>
              <w:right w:val="single" w:color="CCCCCC" w:sz="1"/>
            </w:tcBorders>
            <w:shd w:fill="D5E8F0" w:val="clear"/>
            <w:tcMar>
              <w:top w:type="dxa" w:w="100"/>
              <w:left w:type="dxa" w:w="140"/>
              <w:bottom w:type="dxa" w:w="100"/>
              <w:right w:type="dxa" w:w="140"/>
            </w:tcMar>
            <w:vAlign w:val="center"/>
          </w:tcPr>
          <w:p>
            <w:pPr>
              <w:spacing w:after="0" w:before="0"/>
            </w:pPr>
            <w:r>
              <w:rPr>
                <w:rFonts w:ascii="Arial" w:cs="Arial" w:eastAsia="Arial" w:hAnsi="Arial"/>
                <w:b/>
                <w:bCs/>
                <w:color w:val="1e3a5f"/>
                <w:sz w:val="22"/>
                <w:szCs w:val="22"/>
              </w:rPr>
              <w:t xml:space="preserve">Purpose</w:t>
            </w:r>
          </w:p>
        </w:tc>
      </w:tr>
      <w:tr>
        <w:tc>
          <w:tcPr>
            <w:tcW w:type="dxa" w:w="2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Search</w:t>
            </w:r>
          </w:p>
        </w:tc>
        <w:tc>
          <w:tcPr>
            <w:tcW w:type="dxa" w:w="71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Keyword input, filter setup, optional OpenAlex Topic disambiguation panel, run button.</w:t>
            </w:r>
          </w:p>
        </w:tc>
      </w:tr>
      <w:tr>
        <w:tc>
          <w:tcPr>
            <w:tcW w:type="dxa" w:w="2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Results</w:t>
            </w:r>
          </w:p>
        </w:tc>
        <w:tc>
          <w:tcPr>
            <w:tcW w:type="dxa" w:w="71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Sortable table (5 columns), filter bar, expandable rows, CSV export, persistent coverage banner. PRIMARY EDITORIAL WORKING SURFACE.</w:t>
            </w:r>
          </w:p>
        </w:tc>
      </w:tr>
      <w:tr>
        <w:tc>
          <w:tcPr>
            <w:tcW w:type="dxa" w:w="220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About</w:t>
            </w:r>
          </w:p>
        </w:tc>
        <w:tc>
          <w:tcPr>
            <w:tcW w:type="dxa" w:w="7160"/>
            <w:tcBorders>
              <w:top w:val="single" w:color="CCCCCC" w:sz="1"/>
              <w:left w:val="single" w:color="CCCCCC" w:sz="1"/>
              <w:bottom w:val="single" w:color="CCCCCC" w:sz="1"/>
              <w:right w:val="single" w:color="CCCCCC" w:sz="1"/>
            </w:tcBorders>
            <w:tcMar>
              <w:top w:type="dxa" w:w="80"/>
              <w:left w:type="dxa" w:w="140"/>
              <w:bottom w:type="dxa" w:w="80"/>
              <w:right w:type="dxa" w:w="140"/>
            </w:tcMar>
            <w:vAlign w:val="center"/>
          </w:tcPr>
          <w:p>
            <w:pPr>
              <w:spacing w:after="0" w:before="0" w:line="280"/>
            </w:pPr>
            <w:r>
              <w:rPr>
                <w:rFonts w:ascii="Arial" w:cs="Arial" w:eastAsia="Arial" w:hAnsi="Arial"/>
                <w:color w:val="1a202c"/>
                <w:sz w:val="21"/>
                <w:szCs w:val="21"/>
              </w:rPr>
              <w:t xml:space="preserve">Methodology, data sources, limitations, version, link to repo, contact.</w:t>
            </w:r>
          </w:p>
        </w:tc>
      </w:tr>
    </w:tbl>
    <w:p>
      <w:pPr>
        <w:pStyle w:val="Heading2"/>
        <w:spacing w:after="120" w:before="240"/>
      </w:pPr>
      <w:r>
        <w:rPr>
          <w:rFonts w:ascii="Arial" w:cs="Arial" w:eastAsia="Arial" w:hAnsi="Arial"/>
          <w:b/>
          <w:bCs/>
          <w:color w:val="2b6cb0"/>
          <w:sz w:val="28"/>
          <w:szCs w:val="28"/>
        </w:rPr>
        <w:t xml:space="preserve">7.2 Colour tokens (inherited)</w:t>
      </w:r>
    </w:p>
    <w:p>
      <w:pPr>
        <w:spacing w:after="80" w:before="80" w:line="300"/>
      </w:pPr>
      <w:r>
        <w:rPr>
          <w:rFonts w:ascii="Arial" w:cs="Arial" w:eastAsia="Arial" w:hAnsi="Arial"/>
          <w:color w:val="1a202c"/>
          <w:sz w:val="22"/>
          <w:szCs w:val="22"/>
        </w:rPr>
        <w:t xml:space="preserve">All inherited from journal-overlap and journal-profiler. Do not introduce new tokens unless a new component genuinely requires one — and if so, document it in this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bg:           "#0d111c"</w:t>
            </w:r>
          </w:p>
          <w:p>
            <w:pPr>
              <w:spacing w:after="0" w:before="0" w:line="240"/>
            </w:pPr>
            <w:r>
              <w:rPr>
                <w:rFonts w:ascii="Consolas" w:cs="Consolas" w:eastAsia="Consolas" w:hAnsi="Consolas"/>
                <w:color w:val="1a202c"/>
                <w:sz w:val="18"/>
                <w:szCs w:val="18"/>
              </w:rPr>
              <w:t xml:space="preserve">surface:      "#131826"  (cards, panels)</w:t>
            </w:r>
          </w:p>
          <w:p>
            <w:pPr>
              <w:spacing w:after="0" w:before="0" w:line="240"/>
            </w:pPr>
            <w:r>
              <w:rPr>
                <w:rFonts w:ascii="Consolas" w:cs="Consolas" w:eastAsia="Consolas" w:hAnsi="Consolas"/>
                <w:color w:val="1a202c"/>
                <w:sz w:val="18"/>
                <w:szCs w:val="18"/>
              </w:rPr>
              <w:t xml:space="preserve">surface-2:    "#161b2a"  (raised cards, modal backgrounds)</w:t>
            </w:r>
          </w:p>
          <w:p>
            <w:pPr>
              <w:spacing w:after="0" w:before="0" w:line="240"/>
            </w:pPr>
            <w:r>
              <w:rPr>
                <w:rFonts w:ascii="Consolas" w:cs="Consolas" w:eastAsia="Consolas" w:hAnsi="Consolas"/>
                <w:color w:val="1a202c"/>
                <w:sz w:val="18"/>
                <w:szCs w:val="18"/>
              </w:rPr>
              <w:t xml:space="preserve">border:       "#1e2436"</w:t>
            </w:r>
          </w:p>
          <w:p>
            <w:pPr>
              <w:spacing w:after="0" w:before="0" w:line="240"/>
            </w:pPr>
            <w:r>
              <w:rPr>
                <w:rFonts w:ascii="Consolas" w:cs="Consolas" w:eastAsia="Consolas" w:hAnsi="Consolas"/>
                <w:color w:val="1a202c"/>
                <w:sz w:val="18"/>
                <w:szCs w:val="18"/>
              </w:rPr>
              <w:t xml:space="preserve">border-2:     "#2d3449"</w:t>
            </w:r>
          </w:p>
          <w:p>
            <w:pPr>
              <w:spacing w:after="0" w:before="0" w:line="240"/>
            </w:pPr>
            <w:r>
              <w:rPr>
                <w:rFonts w:ascii="Consolas" w:cs="Consolas" w:eastAsia="Consolas" w:hAnsi="Consolas"/>
                <w:color w:val="1a202c"/>
                <w:sz w:val="18"/>
                <w:szCs w:val="18"/>
              </w:rPr>
              <w:t xml:space="preserve">textPrimary:  "#e2e8f0"</w:t>
            </w:r>
          </w:p>
          <w:p>
            <w:pPr>
              <w:spacing w:after="0" w:before="0" w:line="240"/>
            </w:pPr>
            <w:r>
              <w:rPr>
                <w:rFonts w:ascii="Consolas" w:cs="Consolas" w:eastAsia="Consolas" w:hAnsi="Consolas"/>
                <w:color w:val="1a202c"/>
                <w:sz w:val="18"/>
                <w:szCs w:val="18"/>
              </w:rPr>
              <w:t xml:space="preserve">textMuted:    "#718096"</w:t>
            </w:r>
          </w:p>
          <w:p>
            <w:pPr>
              <w:spacing w:after="0" w:before="0" w:line="240"/>
            </w:pPr>
            <w:r>
              <w:rPr>
                <w:rFonts w:ascii="Consolas" w:cs="Consolas" w:eastAsia="Consolas" w:hAnsi="Consolas"/>
                <w:color w:val="1a202c"/>
                <w:sz w:val="18"/>
                <w:szCs w:val="18"/>
              </w:rPr>
              <w:t xml:space="preserve">blue:         "#63b3ed"  (primary action, links)</w:t>
            </w:r>
          </w:p>
          <w:p>
            <w:pPr>
              <w:spacing w:after="0" w:before="0" w:line="240"/>
            </w:pPr>
            <w:r>
              <w:rPr>
                <w:rFonts w:ascii="Consolas" w:cs="Consolas" w:eastAsia="Consolas" w:hAnsi="Consolas"/>
                <w:color w:val="1a202c"/>
                <w:sz w:val="18"/>
                <w:szCs w:val="18"/>
              </w:rPr>
              <w:t xml:space="preserve">amber:        "#f6ad55"  (caveats, "n/a" indicators)</w:t>
            </w:r>
          </w:p>
          <w:p>
            <w:pPr>
              <w:spacing w:after="0" w:before="0" w:line="240"/>
            </w:pPr>
            <w:r>
              <w:rPr>
                <w:rFonts w:ascii="Consolas" w:cs="Consolas" w:eastAsia="Consolas" w:hAnsi="Consolas"/>
                <w:color w:val="1a202c"/>
                <w:sz w:val="18"/>
                <w:szCs w:val="18"/>
              </w:rPr>
              <w:t xml:space="preserve">green:        "#9ae6b4"  (active grant indicator)</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fonts:</w:t>
            </w:r>
          </w:p>
          <w:p>
            <w:pPr>
              <w:spacing w:after="0" w:before="0" w:line="240"/>
            </w:pPr>
            <w:r>
              <w:rPr>
                <w:rFonts w:ascii="Consolas" w:cs="Consolas" w:eastAsia="Consolas" w:hAnsi="Consolas"/>
                <w:color w:val="1a202c"/>
                <w:sz w:val="18"/>
                <w:szCs w:val="18"/>
              </w:rPr>
              <w:t xml:space="preserve">  IBM Plex Mono — UI numbers, IDs, table data</w:t>
            </w:r>
          </w:p>
          <w:p>
            <w:pPr>
              <w:spacing w:after="0" w:before="0" w:line="240"/>
            </w:pPr>
            <w:r>
              <w:rPr>
                <w:rFonts w:ascii="Consolas" w:cs="Consolas" w:eastAsia="Consolas" w:hAnsi="Consolas"/>
                <w:color w:val="1a202c"/>
                <w:sz w:val="18"/>
                <w:szCs w:val="18"/>
              </w:rPr>
              <w:t xml:space="preserve">  IBM Plex Sans — labels, buttons, prose</w:t>
            </w:r>
          </w:p>
        </w:tc>
      </w:tr>
    </w:tbl>
    <w:p>
      <w:pPr>
        <w:pStyle w:val="Heading2"/>
        <w:spacing w:after="120" w:before="240"/>
      </w:pPr>
      <w:r>
        <w:rPr>
          <w:rFonts w:ascii="Arial" w:cs="Arial" w:eastAsia="Arial" w:hAnsi="Arial"/>
          <w:b/>
          <w:bCs/>
          <w:color w:val="2b6cb0"/>
          <w:sz w:val="28"/>
          <w:szCs w:val="28"/>
        </w:rPr>
        <w:t xml:space="preserve">7.3 Inheritance rules</w:t>
      </w:r>
    </w:p>
    <w:p>
      <w:pPr>
        <w:spacing w:after="80" w:before="80" w:line="300"/>
      </w:pPr>
      <w:r>
        <w:rPr>
          <w:rFonts w:ascii="Arial" w:cs="Arial" w:eastAsia="Arial" w:hAnsi="Arial"/>
          <w:color w:val="1a202c"/>
          <w:sz w:val="22"/>
          <w:szCs w:val="22"/>
        </w:rPr>
        <w:t xml:space="preserve">What to carry over from journal-overlap and journal-profiler:</w:t>
      </w:r>
    </w:p>
    <w:p>
      <w:pPr>
        <w:pStyle w:val="ListParagraph"/>
        <w:numPr>
          <w:ilvl w:val="0"/>
          <w:numId w:val="2"/>
        </w:numPr>
        <w:spacing w:after="40" w:before="40" w:line="280"/>
      </w:pPr>
      <w:r>
        <w:rPr>
          <w:rFonts w:ascii="Arial" w:cs="Arial" w:eastAsia="Arial" w:hAnsi="Arial"/>
          <w:color w:val="1a202c"/>
          <w:sz w:val="22"/>
          <w:szCs w:val="22"/>
        </w:rPr>
        <w:t xml:space="preserve">Search input component (with paste support)</w:t>
      </w:r>
    </w:p>
    <w:p>
      <w:pPr>
        <w:pStyle w:val="ListParagraph"/>
        <w:numPr>
          <w:ilvl w:val="0"/>
          <w:numId w:val="2"/>
        </w:numPr>
        <w:spacing w:after="40" w:before="40" w:line="280"/>
      </w:pPr>
      <w:r>
        <w:rPr>
          <w:rFonts w:ascii="Arial" w:cs="Arial" w:eastAsia="Arial" w:hAnsi="Arial"/>
          <w:color w:val="1a202c"/>
          <w:sz w:val="22"/>
          <w:szCs w:val="22"/>
        </w:rPr>
        <w:t xml:space="preserve">AbortController-based cancellation pattern for in-flight queries</w:t>
      </w:r>
    </w:p>
    <w:p>
      <w:pPr>
        <w:pStyle w:val="ListParagraph"/>
        <w:numPr>
          <w:ilvl w:val="0"/>
          <w:numId w:val="2"/>
        </w:numPr>
        <w:spacing w:after="40" w:before="40" w:line="280"/>
      </w:pPr>
      <w:r>
        <w:rPr>
          <w:rFonts w:ascii="Arial" w:cs="Arial" w:eastAsia="Arial" w:hAnsi="Arial"/>
          <w:color w:val="1a202c"/>
          <w:sz w:val="22"/>
          <w:szCs w:val="22"/>
        </w:rPr>
        <w:t xml:space="preserve">Progress bars during paginated fetches</w:t>
      </w:r>
    </w:p>
    <w:p>
      <w:pPr>
        <w:pStyle w:val="ListParagraph"/>
        <w:numPr>
          <w:ilvl w:val="0"/>
          <w:numId w:val="2"/>
        </w:numPr>
        <w:spacing w:after="40" w:before="40" w:line="280"/>
      </w:pPr>
      <w:r>
        <w:rPr>
          <w:rFonts w:ascii="Arial" w:cs="Arial" w:eastAsia="Arial" w:hAnsi="Arial"/>
          <w:color w:val="1a202c"/>
          <w:sz w:val="22"/>
          <w:szCs w:val="22"/>
        </w:rPr>
        <w:t xml:space="preserve">Expandable row component</w:t>
      </w:r>
    </w:p>
    <w:p>
      <w:pPr>
        <w:pStyle w:val="ListParagraph"/>
        <w:numPr>
          <w:ilvl w:val="0"/>
          <w:numId w:val="2"/>
        </w:numPr>
        <w:spacing w:after="40" w:before="40" w:line="280"/>
      </w:pPr>
      <w:r>
        <w:rPr>
          <w:rFonts w:ascii="Arial" w:cs="Arial" w:eastAsia="Arial" w:hAnsi="Arial"/>
          <w:color w:val="1a202c"/>
          <w:sz w:val="22"/>
          <w:szCs w:val="22"/>
        </w:rPr>
        <w:t xml:space="preserve">CSV export utility</w:t>
      </w:r>
    </w:p>
    <w:p>
      <w:pPr>
        <w:pStyle w:val="ListParagraph"/>
        <w:numPr>
          <w:ilvl w:val="0"/>
          <w:numId w:val="2"/>
        </w:numPr>
        <w:spacing w:after="40" w:before="40" w:line="280"/>
      </w:pPr>
      <w:r>
        <w:rPr>
          <w:rFonts w:ascii="Arial" w:cs="Arial" w:eastAsia="Arial" w:hAnsi="Arial"/>
          <w:color w:val="1a202c"/>
          <w:sz w:val="22"/>
          <w:szCs w:val="22"/>
        </w:rPr>
        <w:t xml:space="preserve">Footer attribution block (suite-coherent)</w:t>
      </w:r>
    </w:p>
    <w:p>
      <w:pPr>
        <w:pStyle w:val="ListParagraph"/>
        <w:numPr>
          <w:ilvl w:val="0"/>
          <w:numId w:val="2"/>
        </w:numPr>
        <w:spacing w:after="40" w:before="40" w:line="280"/>
      </w:pPr>
      <w:r>
        <w:rPr>
          <w:rFonts w:ascii="Arial" w:cs="Arial" w:eastAsia="Arial" w:hAnsi="Arial"/>
          <w:color w:val="1a202c"/>
          <w:sz w:val="22"/>
          <w:szCs w:val="22"/>
        </w:rPr>
        <w:t xml:space="preserve">Dark/light theme toggle and tokens</w:t>
      </w:r>
    </w:p>
    <w:p>
      <w:pPr>
        <w:spacing w:after="80" w:before="80" w:line="300"/>
      </w:pPr>
      <w:r>
        <w:rPr>
          <w:rFonts w:ascii="Arial" w:cs="Arial" w:eastAsia="Arial" w:hAnsi="Arial"/>
          <w:color w:val="1a202c"/>
          <w:sz w:val="22"/>
          <w:szCs w:val="22"/>
        </w:rPr>
        <w:t xml:space="preserve">What NOT to carry over:</w:t>
      </w:r>
    </w:p>
    <w:p>
      <w:pPr>
        <w:pStyle w:val="ListParagraph"/>
        <w:numPr>
          <w:ilvl w:val="0"/>
          <w:numId w:val="2"/>
        </w:numPr>
        <w:spacing w:after="40" w:before="40" w:line="280"/>
      </w:pPr>
      <w:r>
        <w:rPr>
          <w:rFonts w:ascii="Arial" w:cs="Arial" w:eastAsia="Arial" w:hAnsi="Arial"/>
          <w:color w:val="1a202c"/>
          <w:sz w:val="22"/>
          <w:szCs w:val="22"/>
        </w:rPr>
        <w:t xml:space="preserve">journal-overlap's set-A/set-B intersection logic — different problem</w:t>
      </w:r>
    </w:p>
    <w:p>
      <w:pPr>
        <w:pStyle w:val="ListParagraph"/>
        <w:numPr>
          <w:ilvl w:val="0"/>
          <w:numId w:val="2"/>
        </w:numPr>
        <w:spacing w:after="40" w:before="40" w:line="280"/>
      </w:pPr>
      <w:r>
        <w:rPr>
          <w:rFonts w:ascii="Arial" w:cs="Arial" w:eastAsia="Arial" w:hAnsi="Arial"/>
          <w:color w:val="1a202c"/>
          <w:sz w:val="22"/>
          <w:szCs w:val="22"/>
        </w:rPr>
        <w:t xml:space="preserve">journal-profiler's signal computation modules — different problem</w:t>
      </w:r>
    </w:p>
    <w:p>
      <w:pPr>
        <w:pStyle w:val="ListParagraph"/>
        <w:numPr>
          <w:ilvl w:val="0"/>
          <w:numId w:val="2"/>
        </w:numPr>
        <w:spacing w:after="40" w:before="40" w:line="280"/>
      </w:pPr>
      <w:r>
        <w:rPr>
          <w:rFonts w:ascii="Arial" w:cs="Arial" w:eastAsia="Arial" w:hAnsi="Arial"/>
          <w:color w:val="1a202c"/>
          <w:sz w:val="22"/>
          <w:szCs w:val="22"/>
        </w:rPr>
        <w:t xml:space="preserve">Author-enrichment word-cloud panels — not relevant for grant lists</w:t>
      </w:r>
    </w:p>
    <w:p>
      <w:pPr>
        <w:pStyle w:val="Heading1"/>
        <w:spacing w:after="180" w:before="360"/>
      </w:pPr>
      <w:r>
        <w:rPr>
          <w:rFonts w:ascii="Arial" w:cs="Arial" w:eastAsia="Arial" w:hAnsi="Arial"/>
          <w:b/>
          <w:bCs/>
          <w:color w:val="1e3a5f"/>
          <w:sz w:val="36"/>
          <w:szCs w:val="36"/>
        </w:rPr>
        <w:t xml:space="preserve">8. Implementation notes</w:t>
      </w:r>
    </w:p>
    <w:p>
      <w:pPr>
        <w:pStyle w:val="Heading2"/>
        <w:spacing w:after="120" w:before="240"/>
      </w:pPr>
      <w:r>
        <w:rPr>
          <w:rFonts w:ascii="Arial" w:cs="Arial" w:eastAsia="Arial" w:hAnsi="Arial"/>
          <w:b/>
          <w:bCs/>
          <w:color w:val="2b6cb0"/>
          <w:sz w:val="28"/>
          <w:szCs w:val="28"/>
        </w:rPr>
        <w:t xml:space="preserve">8.1 Repo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src/</w:t>
            </w:r>
          </w:p>
          <w:p>
            <w:pPr>
              <w:spacing w:after="0" w:before="0" w:line="240"/>
            </w:pPr>
            <w:r>
              <w:rPr>
                <w:rFonts w:ascii="Consolas" w:cs="Consolas" w:eastAsia="Consolas" w:hAnsi="Consolas"/>
                <w:color w:val="1a202c"/>
                <w:sz w:val="18"/>
                <w:szCs w:val="18"/>
              </w:rPr>
              <w:t xml:space="preserve">  App.jsx                 ← main app, tab routing</w:t>
            </w:r>
          </w:p>
          <w:p>
            <w:pPr>
              <w:spacing w:after="0" w:before="0" w:line="240"/>
            </w:pPr>
            <w:r>
              <w:rPr>
                <w:rFonts w:ascii="Consolas" w:cs="Consolas" w:eastAsia="Consolas" w:hAnsi="Consolas"/>
                <w:color w:val="1a202c"/>
                <w:sz w:val="18"/>
                <w:szCs w:val="18"/>
              </w:rPr>
              <w:t xml:space="preserve">  api/</w:t>
            </w:r>
          </w:p>
          <w:p>
            <w:pPr>
              <w:spacing w:after="0" w:before="0" w:line="240"/>
            </w:pPr>
            <w:r>
              <w:rPr>
                <w:rFonts w:ascii="Consolas" w:cs="Consolas" w:eastAsia="Consolas" w:hAnsi="Consolas"/>
                <w:color w:val="1a202c"/>
                <w:sz w:val="18"/>
                <w:szCs w:val="18"/>
              </w:rPr>
              <w:t xml:space="preserve">    openalex.js           ← OpenAlex fetch logic ONLY</w:t>
            </w:r>
          </w:p>
          <w:p>
            <w:pPr>
              <w:spacing w:after="0" w:before="0" w:line="240"/>
            </w:pPr>
            <w:r>
              <w:rPr>
                <w:rFonts w:ascii="Consolas" w:cs="Consolas" w:eastAsia="Consolas" w:hAnsi="Consolas"/>
                <w:color w:val="1a202c"/>
                <w:sz w:val="18"/>
                <w:szCs w:val="18"/>
              </w:rPr>
              <w:t xml:space="preserve">    openaire.js           ← OpenAIRE Graph fetch logic ONLY</w:t>
            </w:r>
          </w:p>
          <w:p>
            <w:pPr>
              <w:spacing w:after="0" w:before="0" w:line="240"/>
            </w:pPr>
            <w:r>
              <w:rPr>
                <w:rFonts w:ascii="Consolas" w:cs="Consolas" w:eastAsia="Consolas" w:hAnsi="Consolas"/>
                <w:color w:val="1a202c"/>
                <w:sz w:val="18"/>
                <w:szCs w:val="18"/>
              </w:rPr>
              <w:t xml:space="preserve">    enrichment.js         ← PI email lookup, ORCID fallback</w:t>
            </w:r>
          </w:p>
          <w:p>
            <w:pPr>
              <w:spacing w:after="0" w:before="0" w:line="240"/>
            </w:pPr>
            <w:r>
              <w:rPr>
                <w:rFonts w:ascii="Consolas" w:cs="Consolas" w:eastAsia="Consolas" w:hAnsi="Consolas"/>
                <w:color w:val="1a202c"/>
                <w:sz w:val="18"/>
                <w:szCs w:val="18"/>
              </w:rPr>
              <w:t xml:space="preserve">  analytics.js            ← pure normalisation/merging (no fetch, no UI)</w:t>
            </w:r>
          </w:p>
          <w:p>
            <w:pPr>
              <w:spacing w:after="0" w:before="0" w:line="240"/>
            </w:pPr>
            <w:r>
              <w:rPr>
                <w:rFonts w:ascii="Consolas" w:cs="Consolas" w:eastAsia="Consolas" w:hAnsi="Consolas"/>
                <w:color w:val="1a202c"/>
                <w:sz w:val="18"/>
                <w:szCs w:val="18"/>
              </w:rPr>
              <w:t xml:space="preserve">  csv.js                  ← shared CSV schema (suite-coherent)</w:t>
            </w:r>
          </w:p>
          <w:p>
            <w:pPr>
              <w:spacing w:after="0" w:before="0" w:line="240"/>
            </w:pPr>
            <w:r>
              <w:rPr>
                <w:rFonts w:ascii="Consolas" w:cs="Consolas" w:eastAsia="Consolas" w:hAnsi="Consolas"/>
                <w:color w:val="1a202c"/>
                <w:sz w:val="18"/>
                <w:szCs w:val="18"/>
              </w:rPr>
              <w:t xml:space="preserve">  components/</w:t>
            </w:r>
          </w:p>
          <w:p>
            <w:pPr>
              <w:spacing w:after="0" w:before="0" w:line="240"/>
            </w:pPr>
            <w:r>
              <w:rPr>
                <w:rFonts w:ascii="Consolas" w:cs="Consolas" w:eastAsia="Consolas" w:hAnsi="Consolas"/>
                <w:color w:val="1a202c"/>
                <w:sz w:val="18"/>
                <w:szCs w:val="18"/>
              </w:rPr>
              <w:t xml:space="preserve">    SearchPanel.jsx</w:t>
            </w:r>
          </w:p>
          <w:p>
            <w:pPr>
              <w:spacing w:after="0" w:before="0" w:line="240"/>
            </w:pPr>
            <w:r>
              <w:rPr>
                <w:rFonts w:ascii="Consolas" w:cs="Consolas" w:eastAsia="Consolas" w:hAnsi="Consolas"/>
                <w:color w:val="1a202c"/>
                <w:sz w:val="18"/>
                <w:szCs w:val="18"/>
              </w:rPr>
              <w:t xml:space="preserve">    TopicDisambiguator.jsx</w:t>
            </w:r>
          </w:p>
          <w:p>
            <w:pPr>
              <w:spacing w:after="0" w:before="0" w:line="240"/>
            </w:pPr>
            <w:r>
              <w:rPr>
                <w:rFonts w:ascii="Consolas" w:cs="Consolas" w:eastAsia="Consolas" w:hAnsi="Consolas"/>
                <w:color w:val="1a202c"/>
                <w:sz w:val="18"/>
                <w:szCs w:val="18"/>
              </w:rPr>
              <w:t xml:space="preserve">    ResultsTable.jsx</w:t>
            </w:r>
          </w:p>
          <w:p>
            <w:pPr>
              <w:spacing w:after="0" w:before="0" w:line="240"/>
            </w:pPr>
            <w:r>
              <w:rPr>
                <w:rFonts w:ascii="Consolas" w:cs="Consolas" w:eastAsia="Consolas" w:hAnsi="Consolas"/>
                <w:color w:val="1a202c"/>
                <w:sz w:val="18"/>
                <w:szCs w:val="18"/>
              </w:rPr>
              <w:t xml:space="preserve">    FilterBar.jsx</w:t>
            </w:r>
          </w:p>
          <w:p>
            <w:pPr>
              <w:spacing w:after="0" w:before="0" w:line="240"/>
            </w:pPr>
            <w:r>
              <w:rPr>
                <w:rFonts w:ascii="Consolas" w:cs="Consolas" w:eastAsia="Consolas" w:hAnsi="Consolas"/>
                <w:color w:val="1a202c"/>
                <w:sz w:val="18"/>
                <w:szCs w:val="18"/>
              </w:rPr>
              <w:t xml:space="preserve">    CoverageBanner.jsx</w:t>
            </w:r>
          </w:p>
          <w:p>
            <w:pPr>
              <w:spacing w:after="0" w:before="0" w:line="240"/>
            </w:pPr>
            <w:r>
              <w:rPr>
                <w:rFonts w:ascii="Consolas" w:cs="Consolas" w:eastAsia="Consolas" w:hAnsi="Consolas"/>
                <w:color w:val="1a202c"/>
                <w:sz w:val="18"/>
                <w:szCs w:val="18"/>
              </w:rPr>
              <w:t xml:space="preserve">    ExpandableRow.jsx</w:t>
            </w:r>
          </w:p>
          <w:p>
            <w:pPr>
              <w:spacing w:after="0" w:before="0" w:line="240"/>
            </w:pPr>
            <w:r>
              <w:rPr>
                <w:rFonts w:ascii="Consolas" w:cs="Consolas" w:eastAsia="Consolas" w:hAnsi="Consolas"/>
                <w:color w:val="1a202c"/>
                <w:sz w:val="18"/>
                <w:szCs w:val="18"/>
              </w:rPr>
              <w:t xml:space="preserve">    AboutTab.jsx</w:t>
            </w:r>
          </w:p>
          <w:p>
            <w:pPr>
              <w:spacing w:after="0" w:before="0" w:line="240"/>
            </w:pPr>
            <w:r>
              <w:rPr>
                <w:rFonts w:ascii="Consolas" w:cs="Consolas" w:eastAsia="Consolas" w:hAnsi="Consolas"/>
                <w:color w:val="1a202c"/>
                <w:sz w:val="18"/>
                <w:szCs w:val="18"/>
              </w:rPr>
              <w:t xml:space="preserve">public/</w:t>
            </w:r>
          </w:p>
          <w:p>
            <w:pPr>
              <w:spacing w:after="0" w:before="0" w:line="240"/>
            </w:pPr>
            <w:r>
              <w:rPr>
                <w:rFonts w:ascii="Consolas" w:cs="Consolas" w:eastAsia="Consolas" w:hAnsi="Consolas"/>
                <w:color w:val="1a202c"/>
                <w:sz w:val="18"/>
                <w:szCs w:val="18"/>
              </w:rPr>
              <w:t xml:space="preserve">  index.html</w:t>
            </w:r>
          </w:p>
          <w:p>
            <w:pPr>
              <w:spacing w:after="0" w:before="0" w:line="240"/>
            </w:pPr>
            <w:r>
              <w:rPr>
                <w:rFonts w:ascii="Consolas" w:cs="Consolas" w:eastAsia="Consolas" w:hAnsi="Consolas"/>
                <w:color w:val="1a202c"/>
                <w:sz w:val="18"/>
                <w:szCs w:val="18"/>
              </w:rPr>
              <w:t xml:space="preserve">.github/workflows/        ← deploy to gh-pages</w:t>
            </w:r>
          </w:p>
          <w:p>
            <w:pPr>
              <w:spacing w:after="0" w:before="0" w:line="240"/>
            </w:pPr>
            <w:r>
              <w:rPr>
                <w:rFonts w:ascii="Consolas" w:cs="Consolas" w:eastAsia="Consolas" w:hAnsi="Consolas"/>
                <w:color w:val="1a202c"/>
                <w:sz w:val="18"/>
                <w:szCs w:val="18"/>
              </w:rPr>
              <w:t xml:space="preserve">CLAUDE.md</w:t>
            </w:r>
          </w:p>
          <w:p>
            <w:pPr>
              <w:spacing w:after="0" w:before="0" w:line="240"/>
            </w:pPr>
            <w:r>
              <w:rPr>
                <w:rFonts w:ascii="Consolas" w:cs="Consolas" w:eastAsia="Consolas" w:hAnsi="Consolas"/>
                <w:color w:val="1a202c"/>
                <w:sz w:val="18"/>
                <w:szCs w:val="18"/>
              </w:rPr>
              <w:t xml:space="preserve">CLAUDE.docx</w:t>
            </w:r>
          </w:p>
          <w:p>
            <w:pPr>
              <w:spacing w:after="0" w:before="0" w:line="240"/>
            </w:pPr>
            <w:r>
              <w:rPr>
                <w:rFonts w:ascii="Consolas" w:cs="Consolas" w:eastAsia="Consolas" w:hAnsi="Consolas"/>
                <w:color w:val="1a202c"/>
                <w:sz w:val="18"/>
                <w:szCs w:val="18"/>
              </w:rPr>
              <w:t xml:space="preserve">README.md</w:t>
            </w:r>
          </w:p>
          <w:p>
            <w:pPr>
              <w:spacing w:after="0" w:before="0" w:line="240"/>
            </w:pPr>
            <w:r>
              <w:rPr>
                <w:rFonts w:ascii="Consolas" w:cs="Consolas" w:eastAsia="Consolas" w:hAnsi="Consolas"/>
                <w:color w:val="1a202c"/>
                <w:sz w:val="18"/>
                <w:szCs w:val="18"/>
              </w:rPr>
              <w:t xml:space="preserve">LICENSE</w:t>
            </w:r>
          </w:p>
        </w:tc>
      </w:tr>
    </w:tbl>
    <w:p>
      <w:pPr>
        <w:pStyle w:val="Heading2"/>
        <w:spacing w:after="120" w:before="240"/>
      </w:pPr>
      <w:r>
        <w:rPr>
          <w:rFonts w:ascii="Arial" w:cs="Arial" w:eastAsia="Arial" w:hAnsi="Arial"/>
          <w:b/>
          <w:bCs/>
          <w:color w:val="2b6cb0"/>
          <w:sz w:val="28"/>
          <w:szCs w:val="28"/>
        </w:rPr>
        <w:t xml:space="preserve">8.2 Key functions in analytics.js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normaliseAward(rec, source)          → CanonicalGrant</w:t>
            </w:r>
          </w:p>
          <w:p>
            <w:pPr>
              <w:spacing w:after="0" w:before="0" w:line="240"/>
            </w:pPr>
            <w:r>
              <w:rPr>
                <w:rFonts w:ascii="Consolas" w:cs="Consolas" w:eastAsia="Consolas" w:hAnsi="Consolas"/>
                <w:color w:val="1a202c"/>
                <w:sz w:val="18"/>
                <w:szCs w:val="18"/>
              </w:rPr>
              <w:t xml:space="preserve">    // unifies OpenAlex + OpenAIRE shapes into one schema</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mergeAndDedupe(grants)               → CanonicalGrant[]</w:t>
            </w:r>
          </w:p>
          <w:p>
            <w:pPr>
              <w:spacing w:after="0" w:before="0" w:line="240"/>
            </w:pPr>
            <w:r>
              <w:rPr>
                <w:rFonts w:ascii="Consolas" w:cs="Consolas" w:eastAsia="Consolas" w:hAnsi="Consolas"/>
                <w:color w:val="1a202c"/>
                <w:sz w:val="18"/>
                <w:szCs w:val="18"/>
              </w:rPr>
              <w:t xml:space="preserve">    // dedup key per §6.3</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classifyActive(grant, today)         → "active" | "recently_ended" | "unknown"</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monthsSince(dateStr, today)          → number | null</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applyFilters(grants, filterState)    → CanonicalGrant[]</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sortBy(grants, columnKey, direction) → CanonicalGrant[]</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toUSD(amount, currency, fxRates)     → number | null</w:t>
            </w:r>
          </w:p>
          <w:p>
            <w:pPr>
              <w:spacing w:after="0" w:before="0" w:line="240"/>
            </w:pPr>
            <w:r>
              <w:rPr>
                <w:rFonts w:ascii="Consolas" w:cs="Consolas" w:eastAsia="Consolas" w:hAnsi="Consolas"/>
                <w:color w:val="1a202c"/>
                <w:sz w:val="18"/>
                <w:szCs w:val="18"/>
              </w:rPr>
              <w:t xml:space="preserve">    // static FX table v1; signature anticipates v2 live FX</w:t>
            </w:r>
          </w:p>
        </w:tc>
      </w:tr>
    </w:tbl>
    <w:p>
      <w:pPr>
        <w:pStyle w:val="Heading2"/>
        <w:spacing w:after="120" w:before="240"/>
      </w:pPr>
      <w:r>
        <w:rPr>
          <w:rFonts w:ascii="Arial" w:cs="Arial" w:eastAsia="Arial" w:hAnsi="Arial"/>
          <w:b/>
          <w:bCs/>
          <w:color w:val="2b6cb0"/>
          <w:sz w:val="28"/>
          <w:szCs w:val="28"/>
        </w:rPr>
        <w:t xml:space="preserve">8.3 Canonical grant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w:t>
            </w:r>
          </w:p>
          <w:p>
            <w:pPr>
              <w:spacing w:after="0" w:before="0" w:line="240"/>
            </w:pPr>
            <w:r>
              <w:rPr>
                <w:rFonts w:ascii="Consolas" w:cs="Consolas" w:eastAsia="Consolas" w:hAnsi="Consolas"/>
                <w:color w:val="1a202c"/>
                <w:sz w:val="18"/>
                <w:szCs w:val="18"/>
              </w:rPr>
              <w:t xml:space="preserve">  source:       "openalex" | "openaire",</w:t>
            </w:r>
          </w:p>
          <w:p>
            <w:pPr>
              <w:spacing w:after="0" w:before="0" w:line="240"/>
            </w:pPr>
            <w:r>
              <w:rPr>
                <w:rFonts w:ascii="Consolas" w:cs="Consolas" w:eastAsia="Consolas" w:hAnsi="Consolas"/>
                <w:color w:val="1a202c"/>
                <w:sz w:val="18"/>
                <w:szCs w:val="18"/>
              </w:rPr>
              <w:t xml:space="preserve">  id:           string,         // canonical merged ID</w:t>
            </w:r>
          </w:p>
          <w:p>
            <w:pPr>
              <w:spacing w:after="0" w:before="0" w:line="240"/>
            </w:pPr>
            <w:r>
              <w:rPr>
                <w:rFonts w:ascii="Consolas" w:cs="Consolas" w:eastAsia="Consolas" w:hAnsi="Consolas"/>
                <w:color w:val="1a202c"/>
                <w:sz w:val="18"/>
                <w:szCs w:val="18"/>
              </w:rPr>
              <w:t xml:space="preserve">  sourceIds:    { openalex?: string, openaire?: string },</w:t>
            </w:r>
          </w:p>
          <w:p>
            <w:pPr>
              <w:spacing w:after="0" w:before="0" w:line="240"/>
            </w:pPr>
            <w:r>
              <w:rPr>
                <w:rFonts w:ascii="Consolas" w:cs="Consolas" w:eastAsia="Consolas" w:hAnsi="Consolas"/>
                <w:color w:val="1a202c"/>
                <w:sz w:val="18"/>
                <w:szCs w:val="18"/>
              </w:rPr>
              <w:t xml:space="preserve">  title:        string,</w:t>
            </w:r>
          </w:p>
          <w:p>
            <w:pPr>
              <w:spacing w:after="0" w:before="0" w:line="240"/>
            </w:pPr>
            <w:r>
              <w:rPr>
                <w:rFonts w:ascii="Consolas" w:cs="Consolas" w:eastAsia="Consolas" w:hAnsi="Consolas"/>
                <w:color w:val="1a202c"/>
                <w:sz w:val="18"/>
                <w:szCs w:val="18"/>
              </w:rPr>
              <w:t xml:space="preserve">  funder:       string,</w:t>
            </w:r>
          </w:p>
          <w:p>
            <w:pPr>
              <w:spacing w:after="0" w:before="0" w:line="240"/>
            </w:pPr>
            <w:r>
              <w:rPr>
                <w:rFonts w:ascii="Consolas" w:cs="Consolas" w:eastAsia="Consolas" w:hAnsi="Consolas"/>
                <w:color w:val="1a202c"/>
                <w:sz w:val="18"/>
                <w:szCs w:val="18"/>
              </w:rPr>
              <w:t xml:space="preserve">  funderId:     string,</w:t>
            </w:r>
          </w:p>
          <w:p>
            <w:pPr>
              <w:spacing w:after="0" w:before="0" w:line="240"/>
            </w:pPr>
            <w:r>
              <w:rPr>
                <w:rFonts w:ascii="Consolas" w:cs="Consolas" w:eastAsia="Consolas" w:hAnsi="Consolas"/>
                <w:color w:val="1a202c"/>
                <w:sz w:val="18"/>
                <w:szCs w:val="18"/>
              </w:rPr>
              <w:t xml:space="preserve">  funderCountry:string,</w:t>
            </w:r>
          </w:p>
          <w:p>
            <w:pPr>
              <w:spacing w:after="0" w:before="0" w:line="240"/>
            </w:pPr>
            <w:r>
              <w:rPr>
                <w:rFonts w:ascii="Consolas" w:cs="Consolas" w:eastAsia="Consolas" w:hAnsi="Consolas"/>
                <w:color w:val="1a202c"/>
                <w:sz w:val="18"/>
                <w:szCs w:val="18"/>
              </w:rPr>
              <w:t xml:space="preserve">  pi:           { name, openalexId?, orcid? },</w:t>
            </w:r>
          </w:p>
          <w:p>
            <w:pPr>
              <w:spacing w:after="0" w:before="0" w:line="240"/>
            </w:pPr>
            <w:r>
              <w:rPr>
                <w:rFonts w:ascii="Consolas" w:cs="Consolas" w:eastAsia="Consolas" w:hAnsi="Consolas"/>
                <w:color w:val="1a202c"/>
                <w:sz w:val="18"/>
                <w:szCs w:val="18"/>
              </w:rPr>
              <w:t xml:space="preserve">  institution:  string,</w:t>
            </w:r>
          </w:p>
          <w:p>
            <w:pPr>
              <w:spacing w:after="0" w:before="0" w:line="240"/>
            </w:pPr>
            <w:r>
              <w:rPr>
                <w:rFonts w:ascii="Consolas" w:cs="Consolas" w:eastAsia="Consolas" w:hAnsi="Consolas"/>
                <w:color w:val="1a202c"/>
                <w:sz w:val="18"/>
                <w:szCs w:val="18"/>
              </w:rPr>
              <w:t xml:space="preserve">  institutionCountry: string,</w:t>
            </w:r>
          </w:p>
          <w:p>
            <w:pPr>
              <w:spacing w:after="0" w:before="0" w:line="240"/>
            </w:pPr>
            <w:r>
              <w:rPr>
                <w:rFonts w:ascii="Consolas" w:cs="Consolas" w:eastAsia="Consolas" w:hAnsi="Consolas"/>
                <w:color w:val="1a202c"/>
                <w:sz w:val="18"/>
                <w:szCs w:val="18"/>
              </w:rPr>
              <w:t xml:space="preserve">  amount:       number | null,</w:t>
            </w:r>
          </w:p>
          <w:p>
            <w:pPr>
              <w:spacing w:after="0" w:before="0" w:line="240"/>
            </w:pPr>
            <w:r>
              <w:rPr>
                <w:rFonts w:ascii="Consolas" w:cs="Consolas" w:eastAsia="Consolas" w:hAnsi="Consolas"/>
                <w:color w:val="1a202c"/>
                <w:sz w:val="18"/>
                <w:szCs w:val="18"/>
              </w:rPr>
              <w:t xml:space="preserve">  amountUSD:    number | null,</w:t>
            </w:r>
          </w:p>
          <w:p>
            <w:pPr>
              <w:spacing w:after="0" w:before="0" w:line="240"/>
            </w:pPr>
            <w:r>
              <w:rPr>
                <w:rFonts w:ascii="Consolas" w:cs="Consolas" w:eastAsia="Consolas" w:hAnsi="Consolas"/>
                <w:color w:val="1a202c"/>
                <w:sz w:val="18"/>
                <w:szCs w:val="18"/>
              </w:rPr>
              <w:t xml:space="preserve">  currency:     string | null,</w:t>
            </w:r>
          </w:p>
          <w:p>
            <w:pPr>
              <w:spacing w:after="0" w:before="0" w:line="240"/>
            </w:pPr>
            <w:r>
              <w:rPr>
                <w:rFonts w:ascii="Consolas" w:cs="Consolas" w:eastAsia="Consolas" w:hAnsi="Consolas"/>
                <w:color w:val="1a202c"/>
                <w:sz w:val="18"/>
                <w:szCs w:val="18"/>
              </w:rPr>
              <w:t xml:space="preserve">  startDate:    string,         // ISO</w:t>
            </w:r>
          </w:p>
          <w:p>
            <w:pPr>
              <w:spacing w:after="0" w:before="0" w:line="240"/>
            </w:pPr>
            <w:r>
              <w:rPr>
                <w:rFonts w:ascii="Consolas" w:cs="Consolas" w:eastAsia="Consolas" w:hAnsi="Consolas"/>
                <w:color w:val="1a202c"/>
                <w:sz w:val="18"/>
                <w:szCs w:val="18"/>
              </w:rPr>
              <w:t xml:space="preserve">  endDate:      string | null,</w:t>
            </w:r>
          </w:p>
          <w:p>
            <w:pPr>
              <w:spacing w:after="0" w:before="0" w:line="240"/>
            </w:pPr>
            <w:r>
              <w:rPr>
                <w:rFonts w:ascii="Consolas" w:cs="Consolas" w:eastAsia="Consolas" w:hAnsi="Consolas"/>
                <w:color w:val="1a202c"/>
                <w:sz w:val="18"/>
                <w:szCs w:val="18"/>
              </w:rPr>
              <w:t xml:space="preserve">  recencyMonths:number,</w:t>
            </w:r>
          </w:p>
          <w:p>
            <w:pPr>
              <w:spacing w:after="0" w:before="0" w:line="240"/>
            </w:pPr>
            <w:r>
              <w:rPr>
                <w:rFonts w:ascii="Consolas" w:cs="Consolas" w:eastAsia="Consolas" w:hAnsi="Consolas"/>
                <w:color w:val="1a202c"/>
                <w:sz w:val="18"/>
                <w:szCs w:val="18"/>
              </w:rPr>
              <w:t xml:space="preserve">  active:       "active" | "recently_ended" | "unknown",</w:t>
            </w:r>
          </w:p>
          <w:p>
            <w:pPr>
              <w:spacing w:after="0" w:before="0" w:line="240"/>
            </w:pPr>
            <w:r>
              <w:rPr>
                <w:rFonts w:ascii="Consolas" w:cs="Consolas" w:eastAsia="Consolas" w:hAnsi="Consolas"/>
                <w:color w:val="1a202c"/>
                <w:sz w:val="18"/>
                <w:szCs w:val="18"/>
              </w:rPr>
              <w:t xml:space="preserve">  topics:       string[],       // OpenAlex Topic IDs</w:t>
            </w:r>
          </w:p>
          <w:p>
            <w:pPr>
              <w:spacing w:after="0" w:before="0" w:line="240"/>
            </w:pPr>
            <w:r>
              <w:rPr>
                <w:rFonts w:ascii="Consolas" w:cs="Consolas" w:eastAsia="Consolas" w:hAnsi="Consolas"/>
                <w:color w:val="1a202c"/>
                <w:sz w:val="18"/>
                <w:szCs w:val="18"/>
              </w:rPr>
              <w:t xml:space="preserve">  fos:          string[],       // OpenAIRE FOS codes</w:t>
            </w:r>
          </w:p>
          <w:p>
            <w:pPr>
              <w:spacing w:after="0" w:before="0" w:line="240"/>
            </w:pPr>
            <w:r>
              <w:rPr>
                <w:rFonts w:ascii="Consolas" w:cs="Consolas" w:eastAsia="Consolas" w:hAnsi="Consolas"/>
                <w:color w:val="1a202c"/>
                <w:sz w:val="18"/>
                <w:szCs w:val="18"/>
              </w:rPr>
              <w:t xml:space="preserve">  workSampleDOI:string | null   // for email provenance</w:t>
            </w:r>
          </w:p>
          <w:p>
            <w:pPr>
              <w:spacing w:after="0" w:before="0" w:line="240"/>
            </w:pPr>
            <w:r>
              <w:rPr>
                <w:rFonts w:ascii="Consolas" w:cs="Consolas" w:eastAsia="Consolas" w:hAnsi="Consolas"/>
                <w:color w:val="1a202c"/>
                <w:sz w:val="18"/>
                <w:szCs w:val="18"/>
              </w:rPr>
              <w:t xml:space="preserve">}</w:t>
            </w:r>
          </w:p>
        </w:tc>
      </w:tr>
    </w:tbl>
    <w:p>
      <w:pPr>
        <w:pStyle w:val="Heading2"/>
        <w:spacing w:after="120" w:before="240"/>
      </w:pPr>
      <w:r>
        <w:rPr>
          <w:rFonts w:ascii="Arial" w:cs="Arial" w:eastAsia="Arial" w:hAnsi="Arial"/>
          <w:b/>
          <w:bCs/>
          <w:color w:val="2b6cb0"/>
          <w:sz w:val="28"/>
          <w:szCs w:val="28"/>
        </w:rPr>
        <w:t xml:space="preserve">8.4 State shape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BD5E0" w:sz="4"/>
              <w:left w:val="single" w:color="CBD5E0" w:sz="4"/>
              <w:bottom w:val="single" w:color="CBD5E0" w:sz="4"/>
              <w:right w:val="single" w:color="CBD5E0" w:sz="4"/>
            </w:tcBorders>
            <w:shd w:fill="F1F5F9" w:val="clear"/>
            <w:tcMar>
              <w:top w:type="dxa" w:w="120"/>
              <w:left w:type="dxa" w:w="160"/>
              <w:bottom w:type="dxa" w:w="120"/>
              <w:right w:type="dxa" w:w="160"/>
            </w:tcMar>
          </w:tcPr>
          <w:p>
            <w:pPr>
              <w:spacing w:after="0" w:before="0" w:line="240"/>
            </w:pPr>
            <w:r>
              <w:rPr>
                <w:rFonts w:ascii="Consolas" w:cs="Consolas" w:eastAsia="Consolas" w:hAnsi="Consolas"/>
                <w:color w:val="1a202c"/>
                <w:sz w:val="18"/>
                <w:szCs w:val="18"/>
              </w:rPr>
              <w:t xml:space="preserve">{</w:t>
            </w:r>
          </w:p>
          <w:p>
            <w:pPr>
              <w:spacing w:after="0" w:before="0" w:line="240"/>
            </w:pPr>
            <w:r>
              <w:rPr>
                <w:rFonts w:ascii="Consolas" w:cs="Consolas" w:eastAsia="Consolas" w:hAnsi="Consolas"/>
                <w:color w:val="1a202c"/>
                <w:sz w:val="18"/>
                <w:szCs w:val="18"/>
              </w:rPr>
              <w:t xml:space="preserve">  query: { keywords: "", topicIds: [], submittedAt: null },</w:t>
            </w:r>
          </w:p>
          <w:p>
            <w:pPr>
              <w:spacing w:after="0" w:before="0" w:line="240"/>
            </w:pPr>
            <w:r>
              <w:rPr>
                <w:rFonts w:ascii="Consolas" w:cs="Consolas" w:eastAsia="Consolas" w:hAnsi="Consolas"/>
                <w:color w:val="1a202c"/>
                <w:sz w:val="18"/>
                <w:szCs w:val="18"/>
              </w:rPr>
              <w:t xml:space="preserve">  filters: {</w:t>
            </w:r>
          </w:p>
          <w:p>
            <w:pPr>
              <w:spacing w:after="0" w:before="0" w:line="240"/>
            </w:pPr>
            <w:r>
              <w:rPr>
                <w:rFonts w:ascii="Consolas" w:cs="Consolas" w:eastAsia="Consolas" w:hAnsi="Consolas"/>
                <w:color w:val="1a202c"/>
                <w:sz w:val="18"/>
                <w:szCs w:val="18"/>
              </w:rPr>
              <w:t xml:space="preserve">    recencyMonths: 24,</w:t>
            </w:r>
          </w:p>
          <w:p>
            <w:pPr>
              <w:spacing w:after="0" w:before="0" w:line="240"/>
            </w:pPr>
            <w:r>
              <w:rPr>
                <w:rFonts w:ascii="Consolas" w:cs="Consolas" w:eastAsia="Consolas" w:hAnsi="Consolas"/>
                <w:color w:val="1a202c"/>
                <w:sz w:val="18"/>
                <w:szCs w:val="18"/>
              </w:rPr>
              <w:t xml:space="preserve">    active: "both",         // "active" | "recently_ended" | "both"</w:t>
            </w:r>
          </w:p>
          <w:p>
            <w:pPr>
              <w:spacing w:after="0" w:before="0" w:line="240"/>
            </w:pPr>
            <w:r>
              <w:rPr>
                <w:rFonts w:ascii="Consolas" w:cs="Consolas" w:eastAsia="Consolas" w:hAnsi="Consolas"/>
                <w:color w:val="1a202c"/>
                <w:sz w:val="18"/>
                <w:szCs w:val="18"/>
              </w:rPr>
              <w:t xml:space="preserve">    funders: [],            // multi-select</w:t>
            </w:r>
          </w:p>
          <w:p>
            <w:pPr>
              <w:spacing w:after="0" w:before="0" w:line="240"/>
            </w:pPr>
            <w:r>
              <w:rPr>
                <w:rFonts w:ascii="Consolas" w:cs="Consolas" w:eastAsia="Consolas" w:hAnsi="Consolas"/>
                <w:color w:val="1a202c"/>
                <w:sz w:val="18"/>
                <w:szCs w:val="18"/>
              </w:rPr>
              <w:t xml:space="preserve">    sizeBands: [],</w:t>
            </w:r>
          </w:p>
          <w:p>
            <w:pPr>
              <w:spacing w:after="0" w:before="0" w:line="240"/>
            </w:pPr>
            <w:r>
              <w:rPr>
                <w:rFonts w:ascii="Consolas" w:cs="Consolas" w:eastAsia="Consolas" w:hAnsi="Consolas"/>
                <w:color w:val="1a202c"/>
                <w:sz w:val="18"/>
                <w:szCs w:val="18"/>
              </w:rPr>
              <w:t xml:space="preserve">    countries: [],</w:t>
            </w:r>
          </w:p>
          <w:p>
            <w:pPr>
              <w:spacing w:after="0" w:before="0" w:line="240"/>
            </w:pPr>
            <w:r>
              <w:rPr>
                <w:rFonts w:ascii="Consolas" w:cs="Consolas" w:eastAsia="Consolas" w:hAnsi="Consolas"/>
                <w:color w:val="1a202c"/>
                <w:sz w:val="18"/>
                <w:szCs w:val="18"/>
              </w:rPr>
              <w:t xml:space="preserve">    sources: ["openalex", "openaire"]</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results: {</w:t>
            </w:r>
          </w:p>
          <w:p>
            <w:pPr>
              <w:spacing w:after="0" w:before="0" w:line="240"/>
            </w:pPr>
            <w:r>
              <w:rPr>
                <w:rFonts w:ascii="Consolas" w:cs="Consolas" w:eastAsia="Consolas" w:hAnsi="Consolas"/>
                <w:color w:val="1a202c"/>
                <w:sz w:val="18"/>
                <w:szCs w:val="18"/>
              </w:rPr>
              <w:t xml:space="preserve">    raw: { openalex: [], openaire: [] },</w:t>
            </w:r>
          </w:p>
          <w:p>
            <w:pPr>
              <w:spacing w:after="0" w:before="0" w:line="240"/>
            </w:pPr>
            <w:r>
              <w:rPr>
                <w:rFonts w:ascii="Consolas" w:cs="Consolas" w:eastAsia="Consolas" w:hAnsi="Consolas"/>
                <w:color w:val="1a202c"/>
                <w:sz w:val="18"/>
                <w:szCs w:val="18"/>
              </w:rPr>
              <w:t xml:space="preserve">    canonical: [],          // post-merge</w:t>
            </w:r>
          </w:p>
          <w:p>
            <w:pPr>
              <w:spacing w:after="0" w:before="0" w:line="240"/>
            </w:pPr>
            <w:r>
              <w:rPr>
                <w:rFonts w:ascii="Consolas" w:cs="Consolas" w:eastAsia="Consolas" w:hAnsi="Consolas"/>
                <w:color w:val="1a202c"/>
                <w:sz w:val="18"/>
                <w:szCs w:val="18"/>
              </w:rPr>
              <w:t xml:space="preserve">    loading: false,</w:t>
            </w:r>
          </w:p>
          <w:p>
            <w:pPr>
              <w:spacing w:after="0" w:before="0" w:line="240"/>
            </w:pPr>
            <w:r>
              <w:rPr>
                <w:rFonts w:ascii="Consolas" w:cs="Consolas" w:eastAsia="Consolas" w:hAnsi="Consolas"/>
                <w:color w:val="1a202c"/>
                <w:sz w:val="18"/>
                <w:szCs w:val="18"/>
              </w:rPr>
              <w:t xml:space="preserve">    errors: []</w:t>
            </w:r>
          </w:p>
          <w:p>
            <w:pPr>
              <w:spacing w:after="0" w:before="0" w:line="240"/>
            </w:pPr>
            <w:r>
              <w:rPr>
                <w:rFonts w:ascii="Consolas" w:cs="Consolas" w:eastAsia="Consolas" w:hAnsi="Consolas"/>
                <w:color w:val="1a202c"/>
                <w:sz w:val="18"/>
                <w:szCs w:val="18"/>
              </w:rPr>
              <w:t xml:space="preserve">  },</w:t>
            </w:r>
          </w:p>
          <w:p>
            <w:pPr>
              <w:spacing w:after="0" w:before="0" w:line="240"/>
            </w:pPr>
            <w:r>
              <w:rPr>
                <w:rFonts w:ascii="Consolas" w:cs="Consolas" w:eastAsia="Consolas" w:hAnsi="Consolas"/>
                <w:color w:val="1a202c"/>
                <w:sz w:val="18"/>
                <w:szCs w:val="18"/>
              </w:rPr>
              <w:t xml:space="preserve">  sort: { column: "recency", direction: "asc" },</w:t>
            </w:r>
          </w:p>
          <w:p>
            <w:pPr>
              <w:spacing w:after="0" w:before="0" w:line="240"/>
            </w:pPr>
            <w:r>
              <w:rPr>
                <w:rFonts w:ascii="Consolas" w:cs="Consolas" w:eastAsia="Consolas" w:hAnsi="Consolas"/>
                <w:color w:val="1a202c"/>
                <w:sz w:val="18"/>
                <w:szCs w:val="18"/>
              </w:rPr>
              <w:t xml:space="preserve">  ui: { tab: "search", expandedRow: null, theme: "dark" }</w:t>
            </w:r>
          </w:p>
          <w:p>
            <w:pPr>
              <w:spacing w:after="0" w:before="0" w:line="240"/>
            </w:pPr>
            <w:r>
              <w:rPr>
                <w:rFonts w:ascii="Consolas" w:cs="Consolas" w:eastAsia="Consolas" w:hAnsi="Consolas"/>
                <w:color w:val="1a202c"/>
                <w:sz w:val="18"/>
                <w:szCs w:val="18"/>
              </w:rPr>
              <w:t xml:space="preserve">}</w:t>
            </w:r>
          </w:p>
        </w:tc>
      </w:tr>
    </w:tbl>
    <w:p>
      <w:pPr>
        <w:pStyle w:val="Heading2"/>
        <w:spacing w:after="120" w:before="240"/>
      </w:pPr>
      <w:r>
        <w:rPr>
          <w:rFonts w:ascii="Arial" w:cs="Arial" w:eastAsia="Arial" w:hAnsi="Arial"/>
          <w:b/>
          <w:bCs/>
          <w:color w:val="2b6cb0"/>
          <w:sz w:val="28"/>
          <w:szCs w:val="28"/>
        </w:rPr>
        <w:t xml:space="preserve">8.5 Testing posture</w:t>
      </w:r>
    </w:p>
    <w:p>
      <w:pPr>
        <w:spacing w:after="80" w:before="80" w:line="300"/>
      </w:pPr>
      <w:r>
        <w:rPr>
          <w:rFonts w:ascii="Arial" w:cs="Arial" w:eastAsia="Arial" w:hAnsi="Arial"/>
          <w:color w:val="1a202c"/>
          <w:sz w:val="22"/>
          <w:szCs w:val="22"/>
        </w:rPr>
        <w:t xml:space="preserve">analytics.js, csv.js, and the normalisers in api/*.js are pure functions and must have unit tests. Snapshot fixtures: capture three representative responses each from OpenAlex /awards and OpenAIRE Graph /projects (one with full fields, one with sparse fields, one with multilingual title) and pin them. Tests should run without network access.</w:t>
      </w:r>
    </w:p>
    <w:p>
      <w:pPr>
        <w:spacing w:after="80" w:before="80" w:line="300"/>
      </w:pPr>
      <w:r>
        <w:rPr>
          <w:rFonts w:ascii="Arial" w:cs="Arial" w:eastAsia="Arial" w:hAnsi="Arial"/>
          <w:color w:val="1a202c"/>
          <w:sz w:val="22"/>
          <w:szCs w:val="22"/>
        </w:rPr>
        <w:t xml:space="preserve">UI components do not need tests in v1. The data layer is where the bugs will hide.</w:t>
      </w:r>
    </w:p>
    <w:p>
      <w:pPr>
        <w:pStyle w:val="Heading1"/>
        <w:spacing w:after="180" w:before="360"/>
      </w:pPr>
      <w:r>
        <w:rPr>
          <w:rFonts w:ascii="Arial" w:cs="Arial" w:eastAsia="Arial" w:hAnsi="Arial"/>
          <w:b/>
          <w:bCs/>
          <w:color w:val="1e3a5f"/>
          <w:sz w:val="36"/>
          <w:szCs w:val="36"/>
        </w:rPr>
        <w:t xml:space="preserve">9. Risks &amp; open questions</w:t>
      </w:r>
    </w:p>
    <w:p>
      <w:pPr>
        <w:pStyle w:val="Heading2"/>
        <w:spacing w:after="120" w:before="240"/>
      </w:pPr>
      <w:r>
        <w:rPr>
          <w:rFonts w:ascii="Arial" w:cs="Arial" w:eastAsia="Arial" w:hAnsi="Arial"/>
          <w:b/>
          <w:bCs/>
          <w:color w:val="2b6cb0"/>
          <w:sz w:val="28"/>
          <w:szCs w:val="28"/>
        </w:rPr>
        <w:t xml:space="preserve">9.1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OpenAlex /awards endpoint is brand new (Q1 2026)</w:t>
            </w:r>
          </w:p>
          <w:p>
            <w:pPr>
              <w:spacing w:after="60" w:before="0" w:line="280"/>
            </w:pPr>
            <w:r>
              <w:rPr>
                <w:rFonts w:ascii="Arial" w:cs="Arial" w:eastAsia="Arial" w:hAnsi="Arial"/>
                <w:color w:val="1a202c"/>
                <w:sz w:val="22"/>
                <w:szCs w:val="22"/>
              </w:rPr>
              <w:t xml:space="preserve">Schema may shift. Wrap in adapter, log unexpected fields, watch the OpenAlex changelog for the first six months. Pin the response shape via fixtures and update intentionally.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OpenAIRE migration completes mid-2026</w:t>
            </w:r>
          </w:p>
          <w:p>
            <w:pPr>
              <w:spacing w:after="60" w:before="0" w:line="280"/>
            </w:pPr>
            <w:r>
              <w:rPr>
                <w:rFonts w:ascii="Arial" w:cs="Arial" w:eastAsia="Arial" w:hAnsi="Arial"/>
                <w:color w:val="1a202c"/>
                <w:sz w:val="22"/>
                <w:szCs w:val="22"/>
              </w:rPr>
              <w:t xml:space="preserve">Building on the production new-API is correct, but expect minor churn through Q3 2026. The May 31 deprecation of the old API is a hard date — confirmed in OpenAIRE docs.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Grant→paper lead time of 18–36 months</w:t>
            </w:r>
          </w:p>
          <w:p>
            <w:pPr>
              <w:spacing w:after="60" w:before="0" w:line="280"/>
            </w:pPr>
            <w:r>
              <w:rPr>
                <w:rFonts w:ascii="Arial" w:cs="Arial" w:eastAsia="Arial" w:hAnsi="Arial"/>
                <w:color w:val="1a202c"/>
                <w:sz w:val="22"/>
                <w:szCs w:val="22"/>
              </w:rPr>
              <w:t xml:space="preserve">The signal Grant Radar surfaces is upstream of typical commissioning horizons. This is the point — early identification — but stakeholders should understand that "no recent paper yet" is the feature, not a bug.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Asian and private/philanthropic coverage is genuinely weak in v1 sources</w:t>
            </w:r>
          </w:p>
          <w:p>
            <w:pPr>
              <w:spacing w:after="60" w:before="0" w:line="280"/>
            </w:pPr>
            <w:r>
              <w:rPr>
                <w:rFonts w:ascii="Arial" w:cs="Arial" w:eastAsia="Arial" w:hAnsi="Arial"/>
                <w:color w:val="1a202c"/>
                <w:sz w:val="22"/>
                <w:szCs w:val="22"/>
              </w:rPr>
              <w:t xml:space="preserve">Document explicitly in-product. v2 plan addresses Asian funders. Private foundations remain a gap until v3 or until upstream sources improve.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5621" w:sz="8"/>
              <w:left w:val="single" w:color="C05621" w:sz="8"/>
              <w:bottom w:val="single" w:color="C05621" w:sz="8"/>
              <w:right w:val="single" w:color="C05621" w:sz="8"/>
            </w:tcBorders>
            <w:shd w:fill="FFF4E5" w:val="clear"/>
            <w:tcMar>
              <w:top w:type="dxa" w:w="160"/>
              <w:left w:type="dxa" w:w="200"/>
              <w:bottom w:type="dxa" w:w="160"/>
              <w:right w:type="dxa" w:w="200"/>
            </w:tcMar>
          </w:tcPr>
          <w:p>
            <w:pPr>
              <w:spacing w:after="80" w:before="0"/>
            </w:pPr>
            <w:r>
              <w:rPr>
                <w:rFonts w:ascii="Arial" w:cs="Arial" w:eastAsia="Arial" w:hAnsi="Arial"/>
                <w:b/>
                <w:bCs/>
                <w:color w:val="C05621"/>
                <w:sz w:val="22"/>
                <w:szCs w:val="22"/>
              </w:rPr>
              <w:t xml:space="preserve">Grant amount field is heterogeneous</w:t>
            </w:r>
          </w:p>
          <w:p>
            <w:pPr>
              <w:spacing w:after="60" w:before="0" w:line="280"/>
            </w:pPr>
            <w:r>
              <w:rPr>
                <w:rFonts w:ascii="Arial" w:cs="Arial" w:eastAsia="Arial" w:hAnsi="Arial"/>
                <w:color w:val="1a202c"/>
                <w:sz w:val="22"/>
                <w:szCs w:val="22"/>
              </w:rPr>
              <w:t xml:space="preserve">Different currencies, sometimes total vs annual, frequently null. Normalise carefully and render "n/a" explicitly rather than zero. Never use zero in sort or filter logic when amount is missing.</w:t>
            </w:r>
          </w:p>
        </w:tc>
      </w:tr>
    </w:tbl>
    <w:p>
      <w:pPr>
        <w:pStyle w:val="Heading2"/>
        <w:spacing w:after="120" w:before="240"/>
      </w:pPr>
      <w:r>
        <w:rPr>
          <w:rFonts w:ascii="Arial" w:cs="Arial" w:eastAsia="Arial" w:hAnsi="Arial"/>
          <w:b/>
          <w:bCs/>
          <w:color w:val="2b6cb0"/>
          <w:sz w:val="28"/>
          <w:szCs w:val="28"/>
        </w:rPr>
        <w:t xml:space="preserve">9.2 Open questions to resolve in the build phase</w:t>
      </w:r>
    </w:p>
    <w:p>
      <w:pPr>
        <w:pStyle w:val="ListParagraph"/>
        <w:numPr>
          <w:ilvl w:val="0"/>
          <w:numId w:val="2"/>
        </w:numPr>
        <w:spacing w:after="40" w:before="40" w:line="280"/>
      </w:pPr>
      <w:r>
        <w:rPr>
          <w:rFonts w:ascii="Arial" w:cs="Arial" w:eastAsia="Arial" w:hAnsi="Arial"/>
          <w:color w:val="1a202c"/>
          <w:sz w:val="22"/>
          <w:szCs w:val="22"/>
        </w:rPr>
        <w:t xml:space="preserve">OpenAIRE CORS behaviour — confirm in a 30-minute spike. If browser access is blocked, plan for a tiny Cloudflare Worker proxy.</w:t>
      </w:r>
    </w:p>
    <w:p>
      <w:pPr>
        <w:pStyle w:val="ListParagraph"/>
        <w:numPr>
          <w:ilvl w:val="0"/>
          <w:numId w:val="2"/>
        </w:numPr>
        <w:spacing w:after="40" w:before="40" w:line="280"/>
      </w:pPr>
      <w:r>
        <w:rPr>
          <w:rFonts w:ascii="Arial" w:cs="Arial" w:eastAsia="Arial" w:hAnsi="Arial"/>
          <w:color w:val="1a202c"/>
          <w:sz w:val="22"/>
          <w:szCs w:val="22"/>
        </w:rPr>
        <w:t xml:space="preserve">Funder ID alignment between OpenAlex (uses ROR / Crossref Funder ID) and OpenAIRE (uses its own funder identifiers) — empirically check overlap on the major funders before locking in the dedup key.</w:t>
      </w:r>
    </w:p>
    <w:p>
      <w:pPr>
        <w:pStyle w:val="ListParagraph"/>
        <w:numPr>
          <w:ilvl w:val="0"/>
          <w:numId w:val="2"/>
        </w:numPr>
        <w:spacing w:after="40" w:before="40" w:line="280"/>
      </w:pPr>
      <w:r>
        <w:rPr>
          <w:rFonts w:ascii="Arial" w:cs="Arial" w:eastAsia="Arial" w:hAnsi="Arial"/>
          <w:color w:val="1a202c"/>
          <w:sz w:val="22"/>
          <w:szCs w:val="22"/>
        </w:rPr>
        <w:t xml:space="preserve">Static FX rates: snapshot at build time vs build-time fetch from a stable open source. Decide before first deploy.</w:t>
      </w:r>
    </w:p>
    <w:p>
      <w:pPr>
        <w:pStyle w:val="ListParagraph"/>
        <w:numPr>
          <w:ilvl w:val="0"/>
          <w:numId w:val="2"/>
        </w:numPr>
        <w:spacing w:after="40" w:before="40" w:line="280"/>
      </w:pPr>
      <w:r>
        <w:rPr>
          <w:rFonts w:ascii="Arial" w:cs="Arial" w:eastAsia="Arial" w:hAnsi="Arial"/>
          <w:color w:val="1a202c"/>
          <w:sz w:val="22"/>
          <w:szCs w:val="22"/>
        </w:rPr>
        <w:t xml:space="preserve">Whether to surface "recently ended" as a default-on filter or require the user to opt in. Hypothesis: opt-in for a cleaner first impression; revisit after first editorial use.</w:t>
      </w:r>
    </w:p>
    <w:p>
      <w:pPr>
        <w:pStyle w:val="ListParagraph"/>
        <w:numPr>
          <w:ilvl w:val="0"/>
          <w:numId w:val="2"/>
        </w:numPr>
        <w:spacing w:after="40" w:before="40" w:line="280"/>
      </w:pPr>
      <w:r>
        <w:rPr>
          <w:rFonts w:ascii="Arial" w:cs="Arial" w:eastAsia="Arial" w:hAnsi="Arial"/>
          <w:color w:val="1a202c"/>
          <w:sz w:val="22"/>
          <w:szCs w:val="22"/>
        </w:rPr>
        <w:t xml:space="preserve">Topic disambiguation UX — modal vs inline panel vs typeahead. Inherit from journal-profiler's pattern unless there is a strong reason not to.</w:t>
      </w:r>
    </w:p>
    <w:p>
      <w:pPr>
        <w:pStyle w:val="Heading1"/>
        <w:spacing w:after="180" w:before="360"/>
      </w:pPr>
      <w:r>
        <w:rPr>
          <w:rFonts w:ascii="Arial" w:cs="Arial" w:eastAsia="Arial" w:hAnsi="Arial"/>
          <w:b/>
          <w:bCs/>
          <w:color w:val="1e3a5f"/>
          <w:sz w:val="36"/>
          <w:szCs w:val="36"/>
        </w:rPr>
        <w:t xml:space="preserve">10. References</w:t>
      </w:r>
    </w:p>
    <w:p>
      <w:pPr>
        <w:pStyle w:val="ListParagraph"/>
        <w:numPr>
          <w:ilvl w:val="0"/>
          <w:numId w:val="2"/>
        </w:numPr>
        <w:spacing w:after="40" w:before="40" w:line="280"/>
      </w:pPr>
      <w:r>
        <w:rPr>
          <w:rFonts w:ascii="Arial" w:cs="Arial" w:eastAsia="Arial" w:hAnsi="Arial"/>
          <w:b/>
          <w:bCs/>
          <w:color w:val="1a202c"/>
          <w:sz w:val="22"/>
          <w:szCs w:val="22"/>
        </w:rPr>
        <w:t xml:space="preserve">OpenAlex Awards documentation: </w:t>
      </w:r>
      <w:hyperlink w:history="1" r:id="rIdcvhxb3x_o4cxwp_kiaq50">
        <w:r>
          <w:rPr>
            <w:rFonts w:ascii="Arial" w:cs="Arial" w:eastAsia="Arial" w:hAnsi="Arial"/>
            <w:color w:val="2b6cb0"/>
            <w:sz w:val="22"/>
            <w:szCs w:val="22"/>
            <w:u w:val="single"/>
          </w:rPr>
          <w:t xml:space="preserve">https://docs.openalex.org/api-entities/awards</w:t>
        </w:r>
      </w:hyperlink>
    </w:p>
    <w:p>
      <w:pPr>
        <w:pStyle w:val="ListParagraph"/>
        <w:numPr>
          <w:ilvl w:val="0"/>
          <w:numId w:val="2"/>
        </w:numPr>
        <w:spacing w:after="40" w:before="40" w:line="280"/>
      </w:pPr>
      <w:r>
        <w:rPr>
          <w:rFonts w:ascii="Arial" w:cs="Arial" w:eastAsia="Arial" w:hAnsi="Arial"/>
          <w:b/>
          <w:bCs/>
          <w:color w:val="1a202c"/>
          <w:sz w:val="22"/>
          <w:szCs w:val="22"/>
        </w:rPr>
        <w:t xml:space="preserve">OpenAlex funding metadata project: </w:t>
      </w:r>
      <w:hyperlink w:history="1" r:id="rIdcht6b0xil9qb9avritrmo">
        <w:r>
          <w:rPr>
            <w:rFonts w:ascii="Arial" w:cs="Arial" w:eastAsia="Arial" w:hAnsi="Arial"/>
            <w:color w:val="2b6cb0"/>
            <w:sz w:val="22"/>
            <w:szCs w:val="22"/>
            <w:u w:val="single"/>
          </w:rPr>
          <w:t xml:space="preserve">https://blog.openalex.org/funding-metadata-in-openalex/</w:t>
        </w:r>
      </w:hyperlink>
    </w:p>
    <w:p>
      <w:pPr>
        <w:pStyle w:val="ListParagraph"/>
        <w:numPr>
          <w:ilvl w:val="0"/>
          <w:numId w:val="2"/>
        </w:numPr>
        <w:spacing w:after="40" w:before="40" w:line="280"/>
      </w:pPr>
      <w:r>
        <w:rPr>
          <w:rFonts w:ascii="Arial" w:cs="Arial" w:eastAsia="Arial" w:hAnsi="Arial"/>
          <w:b/>
          <w:bCs/>
          <w:color w:val="1a202c"/>
          <w:sz w:val="22"/>
          <w:szCs w:val="22"/>
        </w:rPr>
        <w:t xml:space="preserve">OpenAlex Funders documentation: </w:t>
      </w:r>
      <w:hyperlink w:history="1" r:id="rIddnteuzsrmxidu2lixz0ze">
        <w:r>
          <w:rPr>
            <w:rFonts w:ascii="Arial" w:cs="Arial" w:eastAsia="Arial" w:hAnsi="Arial"/>
            <w:color w:val="2b6cb0"/>
            <w:sz w:val="22"/>
            <w:szCs w:val="22"/>
            <w:u w:val="single"/>
          </w:rPr>
          <w:t xml:space="preserve">https://docs.openalex.org/api-entities/funders</w:t>
        </w:r>
      </w:hyperlink>
    </w:p>
    <w:p>
      <w:pPr>
        <w:pStyle w:val="ListParagraph"/>
        <w:numPr>
          <w:ilvl w:val="0"/>
          <w:numId w:val="2"/>
        </w:numPr>
        <w:spacing w:after="40" w:before="40" w:line="280"/>
      </w:pPr>
      <w:r>
        <w:rPr>
          <w:rFonts w:ascii="Arial" w:cs="Arial" w:eastAsia="Arial" w:hAnsi="Arial"/>
          <w:b/>
          <w:bCs/>
          <w:color w:val="1a202c"/>
          <w:sz w:val="22"/>
          <w:szCs w:val="22"/>
        </w:rPr>
        <w:t xml:space="preserve">OpenAIRE Graph API: </w:t>
      </w:r>
      <w:hyperlink w:history="1" r:id="rIdltfuxhmkwn_usg74aedp_">
        <w:r>
          <w:rPr>
            <w:rFonts w:ascii="Arial" w:cs="Arial" w:eastAsia="Arial" w:hAnsi="Arial"/>
            <w:color w:val="2b6cb0"/>
            <w:sz w:val="22"/>
            <w:szCs w:val="22"/>
            <w:u w:val="single"/>
          </w:rPr>
          <w:t xml:space="preserve">https://graph.openaire.eu/docs/apis/graph-api/</w:t>
        </w:r>
      </w:hyperlink>
    </w:p>
    <w:p>
      <w:pPr>
        <w:pStyle w:val="ListParagraph"/>
        <w:numPr>
          <w:ilvl w:val="0"/>
          <w:numId w:val="2"/>
        </w:numPr>
        <w:spacing w:after="40" w:before="40" w:line="280"/>
      </w:pPr>
      <w:r>
        <w:rPr>
          <w:rFonts w:ascii="Arial" w:cs="Arial" w:eastAsia="Arial" w:hAnsi="Arial"/>
          <w:b/>
          <w:bCs/>
          <w:color w:val="1a202c"/>
          <w:sz w:val="22"/>
          <w:szCs w:val="22"/>
        </w:rPr>
        <w:t xml:space="preserve">OpenAIRE Search API deprecation notice: </w:t>
      </w:r>
      <w:hyperlink w:history="1" r:id="rIdcm-3ovgl7ak8z8pwyquam">
        <w:r>
          <w:rPr>
            <w:rFonts w:ascii="Arial" w:cs="Arial" w:eastAsia="Arial" w:hAnsi="Arial"/>
            <w:color w:val="2b6cb0"/>
            <w:sz w:val="22"/>
            <w:szCs w:val="22"/>
            <w:u w:val="single"/>
          </w:rPr>
          <w:t xml:space="preserve">https://graph.openaire.eu/docs/apis/search-api/</w:t>
        </w:r>
      </w:hyperlink>
    </w:p>
    <w:p>
      <w:pPr>
        <w:pStyle w:val="ListParagraph"/>
        <w:numPr>
          <w:ilvl w:val="0"/>
          <w:numId w:val="2"/>
        </w:numPr>
        <w:spacing w:after="40" w:before="40" w:line="280"/>
      </w:pPr>
      <w:r>
        <w:rPr>
          <w:rFonts w:ascii="Arial" w:cs="Arial" w:eastAsia="Arial" w:hAnsi="Arial"/>
          <w:b/>
          <w:bCs/>
          <w:color w:val="1a202c"/>
          <w:sz w:val="22"/>
          <w:szCs w:val="22"/>
        </w:rPr>
        <w:t xml:space="preserve">Advanced Intelligent Discovery (AIDI) journal: </w:t>
      </w:r>
      <w:hyperlink w:history="1" r:id="rId6d2ottqrxcv0f5jheisdu">
        <w:r>
          <w:rPr>
            <w:rFonts w:ascii="Arial" w:cs="Arial" w:eastAsia="Arial" w:hAnsi="Arial"/>
            <w:color w:val="2b6cb0"/>
            <w:sz w:val="22"/>
            <w:szCs w:val="22"/>
            <w:u w:val="single"/>
          </w:rPr>
          <w:t xml:space="preserve">https://advanced.onlinelibrary.wiley.com/journal/29439981</w:t>
        </w:r>
      </w:hyperlink>
    </w:p>
    <w:p>
      <w:pPr>
        <w:pStyle w:val="ListParagraph"/>
        <w:numPr>
          <w:ilvl w:val="0"/>
          <w:numId w:val="2"/>
        </w:numPr>
        <w:spacing w:after="40" w:before="40" w:line="280"/>
      </w:pPr>
      <w:r>
        <w:rPr>
          <w:rFonts w:ascii="Arial" w:cs="Arial" w:eastAsia="Arial" w:hAnsi="Arial"/>
          <w:b/>
          <w:bCs/>
          <w:color w:val="1a202c"/>
          <w:sz w:val="22"/>
          <w:szCs w:val="22"/>
        </w:rPr>
        <w:t xml:space="preserve">Parent project — journal-overlap: </w:t>
      </w:r>
      <w:hyperlink w:history="1" r:id="rIdc69pafjm-91rai4uzbhgp">
        <w:r>
          <w:rPr>
            <w:rFonts w:ascii="Arial" w:cs="Arial" w:eastAsia="Arial" w:hAnsi="Arial"/>
            <w:color w:val="2b6cb0"/>
            <w:sz w:val="22"/>
            <w:szCs w:val="22"/>
            <w:u w:val="single"/>
          </w:rPr>
          <w:t xml:space="preserve">https://github.com/teowaits/journal-overlap</w:t>
        </w:r>
      </w:hyperlink>
    </w:p>
    <w:p>
      <w:pPr>
        <w:pStyle w:val="ListParagraph"/>
        <w:numPr>
          <w:ilvl w:val="0"/>
          <w:numId w:val="2"/>
        </w:numPr>
        <w:spacing w:after="40" w:before="40" w:line="280"/>
      </w:pPr>
      <w:r>
        <w:rPr>
          <w:rFonts w:ascii="Arial" w:cs="Arial" w:eastAsia="Arial" w:hAnsi="Arial"/>
          <w:b/>
          <w:bCs/>
          <w:color w:val="1a202c"/>
          <w:sz w:val="22"/>
          <w:szCs w:val="22"/>
        </w:rPr>
        <w:t xml:space="preserve">Parent project — journal-profiler: </w:t>
      </w:r>
      <w:hyperlink w:history="1" r:id="rIdsste1r2b-syawd24twvfk">
        <w:r>
          <w:rPr>
            <w:rFonts w:ascii="Arial" w:cs="Arial" w:eastAsia="Arial" w:hAnsi="Arial"/>
            <w:color w:val="2b6cb0"/>
            <w:sz w:val="22"/>
            <w:szCs w:val="22"/>
            <w:u w:val="single"/>
          </w:rPr>
          <w:t xml:space="preserve">https://github.com/teowaits/journal-profiler</w:t>
        </w:r>
      </w:hyperlink>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4a5568"/>
        <w:sz w:val="18"/>
        <w:szCs w:val="18"/>
      </w:rPr>
      <w:t xml:space="preserve">Page </w:t>
    </w:r>
    <w:r>
      <w:rPr>
        <w:rFonts w:ascii="Arial" w:cs="Arial" w:eastAsia="Arial" w:hAnsi="Arial"/>
        <w:color w:val="4a556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6cb0" w:sz="6" w:space="1"/>
      </w:pBdr>
      <w:jc w:val="right"/>
    </w:pPr>
    <w:r>
      <w:rPr>
        <w:rFonts w:ascii="Arial" w:cs="Arial" w:eastAsia="Arial" w:hAnsi="Arial"/>
        <w:i/>
        <w:iCs/>
        <w:color w:val="4a5568"/>
        <w:sz w:val="18"/>
        <w:szCs w:val="18"/>
      </w:rPr>
      <w:t xml:space="preserve">Grant Radar — Project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e3a5f"/>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b6cb0"/>
      <w:sz w:val="28"/>
      <w:szCs w:val="28"/>
    </w:rPr>
  </w:style>
  <w:style w:type="paragraph" w:styleId="Heading3">
    <w:name w:val="Heading 3"/>
    <w:basedOn w:val="Normal"/>
    <w:next w:val="Normal"/>
    <w:qFormat/>
    <w:pPr>
      <w:spacing w:after="80" w:before="180"/>
      <w:outlineLvl w:val="2"/>
    </w:pPr>
    <w:rPr>
      <w:rFonts w:ascii="Arial" w:cs="Arial" w:eastAsia="Arial" w:hAnsi="Arial"/>
      <w:b/>
      <w:bCs/>
      <w:color w:val="2b6cb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vhxb3x_o4cxwp_kiaq50" Type="http://schemas.openxmlformats.org/officeDocument/2006/relationships/hyperlink" Target="https://docs.openalex.org/api-entities/awards" TargetMode="External"/><Relationship Id="rIdcht6b0xil9qb9avritrmo" Type="http://schemas.openxmlformats.org/officeDocument/2006/relationships/hyperlink" Target="https://blog.openalex.org/funding-metadata-in-openalex/" TargetMode="External"/><Relationship Id="rIddnteuzsrmxidu2lixz0ze" Type="http://schemas.openxmlformats.org/officeDocument/2006/relationships/hyperlink" Target="https://docs.openalex.org/api-entities/funders" TargetMode="External"/><Relationship Id="rIdltfuxhmkwn_usg74aedp_" Type="http://schemas.openxmlformats.org/officeDocument/2006/relationships/hyperlink" Target="https://graph.openaire.eu/docs/apis/graph-api/" TargetMode="External"/><Relationship Id="rIdcm-3ovgl7ak8z8pwyquam" Type="http://schemas.openxmlformats.org/officeDocument/2006/relationships/hyperlink" Target="https://graph.openaire.eu/docs/apis/search-api/" TargetMode="External"/><Relationship Id="rId6d2ottqrxcv0f5jheisdu" Type="http://schemas.openxmlformats.org/officeDocument/2006/relationships/hyperlink" Target="https://advanced.onlinelibrary.wiley.com/journal/29439981" TargetMode="External"/><Relationship Id="rIdc69pafjm-91rai4uzbhgp" Type="http://schemas.openxmlformats.org/officeDocument/2006/relationships/hyperlink" Target="https://github.com/teowaits/journal-overlap" TargetMode="External"/><Relationship Id="rIdsste1r2b-syawd24twvfk" Type="http://schemas.openxmlformats.org/officeDocument/2006/relationships/hyperlink" Target="https://github.com/teowaits/journal-profiler"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Radar — Project Brief</dc:title>
  <dc:creator>Matteo Cavalleri (teowaits)</dc:creator>
  <dc:description>Design documentation for Grant Radar — editorial commissioning radar for active and recent research grants.</dc:description>
  <cp:lastModifiedBy>Un-named</cp:lastModifiedBy>
  <cp:revision>1</cp:revision>
  <dcterms:created xsi:type="dcterms:W3CDTF">2026-04-25T21:18:43.214Z</dcterms:created>
  <dcterms:modified xsi:type="dcterms:W3CDTF">2026-04-25T21:18:43.215Z</dcterms:modified>
</cp:coreProperties>
</file>

<file path=docProps/custom.xml><?xml version="1.0" encoding="utf-8"?>
<Properties xmlns="http://schemas.openxmlformats.org/officeDocument/2006/custom-properties" xmlns:vt="http://schemas.openxmlformats.org/officeDocument/2006/docPropsVTypes"/>
</file>