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800"/>
        <w:jc w:val="left"/>
      </w:pPr>
      <w:r>
        <w:rPr>
          <w:rFonts w:ascii="Arial" w:cs="Arial" w:eastAsia="Arial" w:hAnsi="Arial"/>
          <w:b/>
          <w:bCs/>
          <w:color w:val="1e3a5f"/>
          <w:sz w:val="60"/>
          <w:szCs w:val="60"/>
        </w:rPr>
        <w:t xml:space="preserve">Grant Radar</w:t>
      </w:r>
    </w:p>
    <w:p>
      <w:pPr>
        <w:spacing w:after="240" w:before="0"/>
      </w:pPr>
      <w:r>
        <w:rPr>
          <w:rFonts w:ascii="Arial" w:cs="Arial" w:eastAsia="Arial" w:hAnsi="Arial"/>
          <w:color w:val="2b6cb0"/>
          <w:sz w:val="28"/>
          <w:szCs w:val="28"/>
        </w:rPr>
        <w:t xml:space="preserve">Editorial commissioning radar for active and recent research grants</w:t>
      </w:r>
    </w:p>
    <w:p>
      <w:pPr>
        <w:spacing w:after="120" w:before="0"/>
      </w:pPr>
      <w:r>
        <w:rPr>
          <w:rFonts w:ascii="Arial" w:cs="Arial" w:eastAsia="Arial" w:hAnsi="Arial"/>
          <w:i/>
          <w:iCs/>
          <w:color w:val="4a5568"/>
          <w:sz w:val="24"/>
          <w:szCs w:val="24"/>
        </w:rPr>
        <w:t xml:space="preserve">Project brief &amp; design documentation</w:t>
      </w:r>
    </w:p>
    <w:p>
      <w:pPr>
        <w:spacing w:after="60" w:before="600"/>
      </w:pPr>
      <w:r>
        <w:rPr>
          <w:rFonts w:ascii="Arial" w:cs="Arial" w:eastAsia="Arial" w:hAnsi="Arial"/>
          <w:color w:val="4a5568"/>
          <w:sz w:val="22"/>
          <w:szCs w:val="22"/>
        </w:rPr>
        <w:t xml:space="preserve">Author:  </w:t>
      </w:r>
      <w:r>
        <w:rPr>
          <w:rFonts w:ascii="Arial" w:cs="Arial" w:eastAsia="Arial" w:hAnsi="Arial"/>
          <w:color w:val="1a202c"/>
          <w:sz w:val="22"/>
          <w:szCs w:val="22"/>
        </w:rPr>
        <w:t xml:space="preserve">Matteo Cavalleri (teowaits)</w:t>
      </w:r>
    </w:p>
    <w:p>
      <w:pPr>
        <w:spacing w:after="60" w:before="0"/>
      </w:pPr>
      <w:r>
        <w:rPr>
          <w:rFonts w:ascii="Arial" w:cs="Arial" w:eastAsia="Arial" w:hAnsi="Arial"/>
          <w:color w:val="4a5568"/>
          <w:sz w:val="22"/>
          <w:szCs w:val="22"/>
        </w:rPr>
        <w:t xml:space="preserve">Original brief:  </w:t>
      </w:r>
      <w:r>
        <w:rPr>
          <w:rFonts w:ascii="Arial" w:cs="Arial" w:eastAsia="Arial" w:hAnsi="Arial"/>
          <w:color w:val="1a202c"/>
          <w:sz w:val="22"/>
          <w:szCs w:val="22"/>
        </w:rPr>
        <w:t xml:space="preserve">April 2026</w:t>
      </w:r>
    </w:p>
    <w:p>
      <w:pPr>
        <w:spacing w:after="60" w:before="0"/>
      </w:pPr>
      <w:r>
        <w:rPr>
          <w:rFonts w:ascii="Arial" w:cs="Arial" w:eastAsia="Arial" w:hAnsi="Arial"/>
          <w:color w:val="4a5568"/>
          <w:sz w:val="22"/>
          <w:szCs w:val="22"/>
        </w:rPr>
        <w:t xml:space="preserve">Revision:  </w:t>
      </w:r>
      <w:r>
        <w:rPr>
          <w:rFonts w:ascii="Arial" w:cs="Arial" w:eastAsia="Arial" w:hAnsi="Arial"/>
          <w:b/>
          <w:bCs/>
          <w:color w:val="1a202c"/>
          <w:sz w:val="22"/>
          <w:szCs w:val="22"/>
        </w:rPr>
        <w:t xml:space="preserve">April 2026 — post-spike corrections</w:t>
      </w:r>
    </w:p>
    <w:p>
      <w:pPr>
        <w:spacing w:after="60" w:before="0"/>
      </w:pPr>
      <w:r>
        <w:rPr>
          <w:rFonts w:ascii="Arial" w:cs="Arial" w:eastAsia="Arial" w:hAnsi="Arial"/>
          <w:color w:val="4a5568"/>
          <w:sz w:val="22"/>
          <w:szCs w:val="22"/>
        </w:rPr>
        <w:t xml:space="preserve">Primary use case:  </w:t>
      </w:r>
      <w:r>
        <w:rPr>
          <w:rFonts w:ascii="Arial" w:cs="Arial" w:eastAsia="Arial" w:hAnsi="Arial"/>
          <w:color w:val="1a202c"/>
          <w:sz w:val="22"/>
          <w:szCs w:val="22"/>
        </w:rPr>
        <w:t xml:space="preserve">Advanced Intelligent Discovery (AIDI) commissioning</w:t>
      </w:r>
    </w:p>
    <w:p>
      <w:pPr>
        <w:spacing w:after="60" w:before="0"/>
      </w:pPr>
      <w:r>
        <w:rPr>
          <w:rFonts w:ascii="Arial" w:cs="Arial" w:eastAsia="Arial" w:hAnsi="Arial"/>
          <w:color w:val="4a5568"/>
          <w:sz w:val="22"/>
          <w:szCs w:val="22"/>
        </w:rPr>
        <w:t xml:space="preserve">License:  </w:t>
      </w:r>
      <w:r>
        <w:rPr>
          <w:rFonts w:ascii="Arial" w:cs="Arial" w:eastAsia="Arial" w:hAnsi="Arial"/>
          <w:color w:val="1a202c"/>
          <w:sz w:val="22"/>
          <w:szCs w:val="22"/>
        </w:rPr>
        <w:t xml:space="preserve">MIT</w:t>
      </w:r>
    </w:p>
    <w:p>
      <w:r>
        <w:br w:type="page"/>
      </w:r>
    </w:p>
    <w:p>
      <w:pPr>
        <w:pStyle w:val="Heading1"/>
        <w:spacing w:after="180" w:before="360"/>
      </w:pPr>
      <w:r>
        <w:rPr>
          <w:rFonts w:ascii="Arial" w:cs="Arial" w:eastAsia="Arial" w:hAnsi="Arial"/>
          <w:b/>
          <w:bCs/>
          <w:color w:val="1e3a5f"/>
          <w:sz w:val="36"/>
          <w:szCs w:val="36"/>
        </w:rPr>
        <w:t xml:space="preserve">0. Revision notes (April 2026)</w:t>
      </w:r>
    </w:p>
    <w:p>
      <w:pPr>
        <w:spacing w:after="80" w:before="80" w:line="300"/>
      </w:pPr>
      <w:r>
        <w:rPr>
          <w:rFonts w:ascii="Arial" w:cs="Arial" w:eastAsia="Arial" w:hAnsi="Arial"/>
          <w:color w:val="1a202c"/>
          <w:sz w:val="22"/>
          <w:szCs w:val="22"/>
        </w:rPr>
        <w:t xml:space="preserve">This revision incorporates findings from the v1 build spike and the first round of editorial testing. Three corrections to the original brief and one new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8"/>
              <w:left w:val="single" w:color="9B2C2C" w:sz="8"/>
              <w:bottom w:val="single" w:color="9B2C2C" w:sz="8"/>
              <w:right w:val="single" w:color="9B2C2C" w:sz="8"/>
            </w:tcBorders>
            <w:shd w:fill="FED7D7" w:val="clear"/>
            <w:tcMar>
              <w:top w:type="dxa" w:w="160"/>
              <w:left w:type="dxa" w:w="200"/>
              <w:bottom w:type="dxa" w:w="160"/>
              <w:right w:type="dxa" w:w="200"/>
            </w:tcMar>
          </w:tcPr>
          <w:p>
            <w:pPr>
              <w:spacing w:after="80" w:before="0"/>
            </w:pPr>
            <w:r>
              <w:rPr>
                <w:rFonts w:ascii="Arial" w:cs="Arial" w:eastAsia="Arial" w:hAnsi="Arial"/>
                <w:b/>
                <w:bCs/>
                <w:color w:val="9B2C2C"/>
                <w:sz w:val="22"/>
                <w:szCs w:val="22"/>
              </w:rPr>
              <w:t xml:space="preserve">Correction 1 — OpenAlex does not expose corresponding-author emails</w:t>
            </w:r>
          </w:p>
          <w:p>
            <w:pPr>
              <w:spacing w:after="60" w:before="0" w:line="280"/>
            </w:pPr>
            <w:r>
              <w:rPr>
                <w:rFonts w:ascii="Arial" w:cs="Arial" w:eastAsia="Arial" w:hAnsi="Arial"/>
                <w:color w:val="1a202c"/>
                <w:sz w:val="22"/>
                <w:szCs w:val="22"/>
              </w:rPr>
              <w:t xml:space="preserve">The original §4.6 in the prior revision specified extracting corresponding_author_email from the OpenAlex Works endpoint. This was wrong. The OpenAlex public API exposes corresponding_author_ids (an array of OpenAlex Author IDs), but does NOT expose email addresses. Crossref puts those behind their authenticated Plus tier and OpenAlex inherits no email field.</w:t>
            </w:r>
          </w:p>
          <w:p>
            <w:pPr>
              <w:spacing w:after="60" w:before="0" w:line="280"/>
            </w:pPr>
            <w:r>
              <w:rPr>
                <w:rFonts w:ascii="Arial" w:cs="Arial" w:eastAsia="Arial" w:hAnsi="Arial"/>
                <w:color w:val="1a202c"/>
                <w:sz w:val="22"/>
                <w:szCs w:val="22"/>
              </w:rPr>
              <w:t xml:space="preserve">The shipped tool surfaces the work-sample DOI instead. Editors click through to the publisher page to retrieve contact details. The expandable row shows: "No public email · Most recent paper: [DOI]". This is fewer clicks than appears at first — the publisher page typically has the corresponding author email at the top of the article — and it is honest about what the public API can and cannot deliver.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8"/>
              <w:left w:val="single" w:color="9B2C2C" w:sz="8"/>
              <w:bottom w:val="single" w:color="9B2C2C" w:sz="8"/>
              <w:right w:val="single" w:color="9B2C2C" w:sz="8"/>
            </w:tcBorders>
            <w:shd w:fill="FED7D7" w:val="clear"/>
            <w:tcMar>
              <w:top w:type="dxa" w:w="160"/>
              <w:left w:type="dxa" w:w="200"/>
              <w:bottom w:type="dxa" w:w="160"/>
              <w:right w:type="dxa" w:w="200"/>
            </w:tcMar>
          </w:tcPr>
          <w:p>
            <w:pPr>
              <w:spacing w:after="80" w:before="0"/>
            </w:pPr>
            <w:r>
              <w:rPr>
                <w:rFonts w:ascii="Arial" w:cs="Arial" w:eastAsia="Arial" w:hAnsi="Arial"/>
                <w:b/>
                <w:bCs/>
                <w:color w:val="9B2C2C"/>
                <w:sz w:val="22"/>
                <w:szCs w:val="22"/>
              </w:rPr>
              <w:t xml:space="preserve">Correction 2 — OpenAIRE Graph API path includes /v1/</w:t>
            </w:r>
          </w:p>
          <w:p>
            <w:pPr>
              <w:spacing w:after="60" w:before="0" w:line="280"/>
            </w:pPr>
            <w:r>
              <w:rPr>
                <w:rFonts w:ascii="Arial" w:cs="Arial" w:eastAsia="Arial" w:hAnsi="Arial"/>
                <w:color w:val="1a202c"/>
                <w:sz w:val="22"/>
                <w:szCs w:val="22"/>
              </w:rPr>
              <w:t xml:space="preserve">The original brief specified api.openaire.eu/graph/projects. The actual production path is api.openaire.eu/graph/v1/projects. The path without /v1/ returns HTTP 405. This is now the canonical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8"/>
              <w:left w:val="single" w:color="2b6cb0" w:sz="8"/>
              <w:bottom w:val="single" w:color="2b6cb0" w:sz="8"/>
              <w:right w:val="single" w:color="2b6cb0" w:sz="8"/>
            </w:tcBorders>
            <w:shd w:fill="D5E8F0" w:val="clear"/>
            <w:tcMar>
              <w:top w:type="dxa" w:w="160"/>
              <w:left w:type="dxa" w:w="200"/>
              <w:bottom w:type="dxa" w:w="160"/>
              <w:right w:type="dxa" w:w="200"/>
            </w:tcMar>
          </w:tcPr>
          <w:p>
            <w:pPr>
              <w:spacing w:after="80" w:before="0"/>
            </w:pPr>
            <w:r>
              <w:rPr>
                <w:rFonts w:ascii="Arial" w:cs="Arial" w:eastAsia="Arial" w:hAnsi="Arial"/>
                <w:b/>
                <w:bCs/>
                <w:color w:val="2b6cb0"/>
                <w:sz w:val="22"/>
                <w:szCs w:val="22"/>
              </w:rPr>
              <w:t xml:space="preserve">Correction 3 — CORS confirmed; no proxy needed</w:t>
            </w:r>
          </w:p>
          <w:p>
            <w:pPr>
              <w:spacing w:after="60" w:before="0" w:line="280"/>
            </w:pPr>
            <w:r>
              <w:rPr>
                <w:rFonts w:ascii="Arial" w:cs="Arial" w:eastAsia="Arial" w:hAnsi="Arial"/>
                <w:color w:val="1a202c"/>
                <w:sz w:val="22"/>
                <w:szCs w:val="22"/>
              </w:rPr>
              <w:t xml:space="preserve">The original brief flagged CORS as a Q1 risk. The Q2 2026 spike confirmed Access-Control-Allow-Origin: * is present on both OpenAlex /awards and OpenAIRE /graph/v1/projects. Static-only client-side architecture is viable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8"/>
              <w:left w:val="single" w:color="C05621" w:sz="8"/>
              <w:bottom w:val="single" w:color="C05621" w:sz="8"/>
              <w:right w:val="single" w:color="C05621" w:sz="8"/>
            </w:tcBorders>
            <w:shd w:fill="FFF4E5" w:val="clear"/>
            <w:tcMar>
              <w:top w:type="dxa" w:w="160"/>
              <w:left w:type="dxa" w:w="200"/>
              <w:bottom w:type="dxa" w:w="160"/>
              <w:right w:type="dxa" w:w="200"/>
            </w:tcMar>
          </w:tcPr>
          <w:p>
            <w:pPr>
              <w:spacing w:after="80" w:before="0"/>
            </w:pPr>
            <w:r>
              <w:rPr>
                <w:rFonts w:ascii="Arial" w:cs="Arial" w:eastAsia="Arial" w:hAnsi="Arial"/>
                <w:b/>
                <w:bCs/>
                <w:color w:val="C05621"/>
                <w:sz w:val="22"/>
                <w:szCs w:val="22"/>
              </w:rPr>
              <w:t xml:space="preserve">New requirement — Per-query EU-skew warning at the Results stage</w:t>
            </w:r>
          </w:p>
          <w:p>
            <w:pPr>
              <w:spacing w:after="60" w:before="0" w:line="280"/>
            </w:pPr>
            <w:r>
              <w:rPr>
                <w:rFonts w:ascii="Arial" w:cs="Arial" w:eastAsia="Arial" w:hAnsi="Arial"/>
                <w:color w:val="1a202c"/>
                <w:sz w:val="22"/>
                <w:szCs w:val="22"/>
              </w:rPr>
              <w:t xml:space="preserve">Q2 2026 spike measurements showed asymmetric coverage between sources for AIDI-relevant queries:</w:t>
            </w:r>
          </w:p>
          <w:p>
            <w:pPr>
              <w:spacing w:after="60" w:before="0" w:line="280"/>
            </w:pPr>
            <w:r>
              <w:rPr>
                <w:rFonts w:ascii="Arial" w:cs="Arial" w:eastAsia="Arial" w:hAnsi="Arial"/>
                <w:color w:val="1a202c"/>
                <w:sz w:val="22"/>
                <w:szCs w:val="22"/>
              </w:rPr>
              <w:t xml:space="preserve">   "self-driving laboratory":   102 OpenAlex /  2 OpenAIRE</w:t>
            </w:r>
          </w:p>
          <w:p>
            <w:pPr>
              <w:spacing w:after="60" w:before="0" w:line="280"/>
            </w:pPr>
            <w:r>
              <w:rPr>
                <w:rFonts w:ascii="Arial" w:cs="Arial" w:eastAsia="Arial" w:hAnsi="Arial"/>
                <w:color w:val="1a202c"/>
                <w:sz w:val="22"/>
                <w:szCs w:val="22"/>
              </w:rPr>
              <w:t xml:space="preserve">   "autonomous discovery":      441 OpenAlex / 29 OpenAIRE</w:t>
            </w:r>
          </w:p>
          <w:p>
            <w:pPr>
              <w:spacing w:after="60" w:before="0" w:line="280"/>
            </w:pPr>
            <w:r>
              <w:rPr>
                <w:rFonts w:ascii="Arial" w:cs="Arial" w:eastAsia="Arial" w:hAnsi="Arial"/>
                <w:color w:val="1a202c"/>
                <w:sz w:val="22"/>
                <w:szCs w:val="22"/>
              </w:rPr>
              <w:t xml:space="preserve">OpenAIRE indexes EU-funded research most thoroughly. Thin OpenAIRE counts on these queries reflect indexing gaps for non-EU funders, not low non-EU research activity. Editors must not be allowed to misread this.</w:t>
            </w:r>
          </w:p>
          <w:p>
            <w:pPr>
              <w:spacing w:after="60" w:before="0" w:line="280"/>
            </w:pPr>
            <w:r>
              <w:rPr>
                <w:rFonts w:ascii="Arial" w:cs="Arial" w:eastAsia="Arial" w:hAnsi="Arial"/>
                <w:color w:val="1a202c"/>
                <w:sz w:val="22"/>
                <w:szCs w:val="22"/>
              </w:rPr>
              <w:t xml:space="preserve">The shipped tool must surface this asymmetry in the Results view, in addition to the persistent global coverage banner. See §3.4 for the requirement.</w:t>
            </w:r>
          </w:p>
        </w:tc>
      </w:tr>
    </w:tbl>
    <w:p>
      <w:pPr>
        <w:pStyle w:val="Heading1"/>
        <w:spacing w:after="180" w:before="360"/>
      </w:pPr>
      <w:r>
        <w:rPr>
          <w:rFonts w:ascii="Arial" w:cs="Arial" w:eastAsia="Arial" w:hAnsi="Arial"/>
          <w:b/>
          <w:bCs/>
          <w:color w:val="1e3a5f"/>
          <w:sz w:val="36"/>
          <w:szCs w:val="36"/>
        </w:rPr>
        <w:t xml:space="preserve">1. Project overview</w:t>
      </w:r>
    </w:p>
    <w:p>
      <w:pPr>
        <w:pStyle w:val="Heading2"/>
        <w:spacing w:after="120" w:before="240"/>
      </w:pPr>
      <w:r>
        <w:rPr>
          <w:rFonts w:ascii="Arial" w:cs="Arial" w:eastAsia="Arial" w:hAnsi="Arial"/>
          <w:b/>
          <w:bCs/>
          <w:color w:val="2b6cb0"/>
          <w:sz w:val="28"/>
          <w:szCs w:val="28"/>
        </w:rPr>
        <w:t xml:space="preserve">1.1 Origin</w:t>
      </w:r>
    </w:p>
    <w:p>
      <w:pPr>
        <w:spacing w:after="80" w:before="80" w:line="300"/>
      </w:pPr>
      <w:r>
        <w:rPr>
          <w:rFonts w:ascii="Arial" w:cs="Arial" w:eastAsia="Arial" w:hAnsi="Arial"/>
          <w:color w:val="1a202c"/>
          <w:sz w:val="22"/>
          <w:szCs w:val="22"/>
        </w:rPr>
        <w:t xml:space="preserve">Grant Radar is a commissioning aid for journal editors — primarily Matteo, working on Advanced Intelligent Discovery (AIDI), a Wiley gold open-access journal in the Advanced portfolio that publishes machine learning, computational science, and AI-driven research across discovery and design domains. The editorial problem is well-defined: identify researchers whose recent or active grants suggest forthcoming work in scope, then commission articles before competing journals do.</w:t>
      </w:r>
    </w:p>
    <w:p>
      <w:pPr>
        <w:spacing w:after="80" w:before="80" w:line="300"/>
      </w:pPr>
      <w:r>
        <w:rPr>
          <w:rFonts w:ascii="Arial" w:cs="Arial" w:eastAsia="Arial" w:hAnsi="Arial"/>
          <w:color w:val="1a202c"/>
          <w:sz w:val="22"/>
          <w:szCs w:val="22"/>
        </w:rPr>
        <w:t xml:space="preserve">The tool is one component of a broader suite of OpenAlex-driven editorial tools (journal-overlap, journal-profiler) that share a visual language, repository conventions, and CSV export schema. It is built first for AIDI but the subject-area input means it is reusable for any journal whose editors can articulate scope keywords.</w:t>
      </w:r>
    </w:p>
    <w:p>
      <w:pPr>
        <w:pStyle w:val="Heading2"/>
        <w:spacing w:after="120" w:before="240"/>
      </w:pPr>
      <w:r>
        <w:rPr>
          <w:rFonts w:ascii="Arial" w:cs="Arial" w:eastAsia="Arial" w:hAnsi="Arial"/>
          <w:b/>
          <w:bCs/>
          <w:color w:val="2b6cb0"/>
          <w:sz w:val="28"/>
          <w:szCs w:val="28"/>
        </w:rPr>
        <w:t xml:space="preserve">1.2 What it does</w:t>
      </w:r>
    </w:p>
    <w:p>
      <w:pPr>
        <w:spacing w:after="80" w:before="80" w:line="300"/>
      </w:pPr>
      <w:r>
        <w:rPr>
          <w:rFonts w:ascii="Arial" w:cs="Arial" w:eastAsia="Arial" w:hAnsi="Arial"/>
          <w:color w:val="1a202c"/>
          <w:sz w:val="22"/>
          <w:szCs w:val="22"/>
        </w:rPr>
        <w:t xml:space="preserve">Given a set of subject-area keywords (and optionally a constrained set of OpenAlex Topics for disambiguation), Grant Radar queries OpenAlex Awards and OpenAIRE Graph in parallel. It returns a sortable, filterable list of grants — and by extension, principal investigators — matching the keywords within a user-selected recency window. For each PI, the tool surfaces a work-sample DOI (the most recent paper indexed by OpenAlex with that PI as corresponding author) so editors can click through to the publisher page for contact details.</w:t>
      </w:r>
    </w:p>
    <w:p>
      <w:pPr>
        <w:pStyle w:val="Heading2"/>
        <w:spacing w:after="120" w:before="240"/>
      </w:pPr>
      <w:r>
        <w:rPr>
          <w:rFonts w:ascii="Arial" w:cs="Arial" w:eastAsia="Arial" w:hAnsi="Arial"/>
          <w:b/>
          <w:bCs/>
          <w:color w:val="2b6cb0"/>
          <w:sz w:val="28"/>
          <w:szCs w:val="28"/>
        </w:rPr>
        <w:t xml:space="preserve">1.3 What it explicitly is not</w:t>
      </w:r>
    </w:p>
    <w:p>
      <w:pPr>
        <w:pStyle w:val="ListParagraph"/>
        <w:numPr>
          <w:ilvl w:val="0"/>
          <w:numId w:val="2"/>
        </w:numPr>
        <w:spacing w:after="40" w:before="40" w:line="280"/>
      </w:pPr>
      <w:r>
        <w:rPr>
          <w:rFonts w:ascii="Arial" w:cs="Arial" w:eastAsia="Arial" w:hAnsi="Arial"/>
          <w:color w:val="1a202c"/>
          <w:sz w:val="22"/>
          <w:szCs w:val="22"/>
        </w:rPr>
        <w:t xml:space="preserve">Not a comprehensive global grants database. Coverage is honest about its limits.</w:t>
      </w:r>
    </w:p>
    <w:p>
      <w:pPr>
        <w:pStyle w:val="ListParagraph"/>
        <w:numPr>
          <w:ilvl w:val="0"/>
          <w:numId w:val="2"/>
        </w:numPr>
        <w:spacing w:after="40" w:before="40" w:line="280"/>
      </w:pPr>
      <w:r>
        <w:rPr>
          <w:rFonts w:ascii="Arial" w:cs="Arial" w:eastAsia="Arial" w:hAnsi="Arial"/>
          <w:color w:val="1a202c"/>
          <w:sz w:val="22"/>
          <w:szCs w:val="22"/>
        </w:rPr>
        <w:t xml:space="preserve">Not a tool for ranking researchers. Editors do that themselves; Grant Radar provides sortable columns, not a composite score.</w:t>
      </w:r>
    </w:p>
    <w:p>
      <w:pPr>
        <w:pStyle w:val="ListParagraph"/>
        <w:numPr>
          <w:ilvl w:val="0"/>
          <w:numId w:val="2"/>
        </w:numPr>
        <w:spacing w:after="40" w:before="40" w:line="280"/>
      </w:pPr>
      <w:r>
        <w:rPr>
          <w:rFonts w:ascii="Arial" w:cs="Arial" w:eastAsia="Arial" w:hAnsi="Arial"/>
          <w:color w:val="1a202c"/>
          <w:sz w:val="22"/>
          <w:szCs w:val="22"/>
        </w:rPr>
        <w:t xml:space="preserve">Not a tracker. v1 is stateless. Saved searches and alerts are roadmap-only.</w:t>
      </w:r>
    </w:p>
    <w:p>
      <w:pPr>
        <w:pStyle w:val="ListParagraph"/>
        <w:numPr>
          <w:ilvl w:val="0"/>
          <w:numId w:val="2"/>
        </w:numPr>
        <w:spacing w:after="40" w:before="40" w:line="280"/>
      </w:pPr>
      <w:r>
        <w:rPr>
          <w:rFonts w:ascii="Arial" w:cs="Arial" w:eastAsia="Arial" w:hAnsi="Arial"/>
          <w:color w:val="1a202c"/>
          <w:sz w:val="22"/>
          <w:szCs w:val="22"/>
        </w:rPr>
        <w:t xml:space="preserve">Not an email harvester. The OpenAlex public API does not expose corresponding-author emails; the tool surfaces a DOI for each PI and lets editors retrieve contact details from the publisher page.</w:t>
      </w:r>
    </w:p>
    <w:p>
      <w:pPr>
        <w:pStyle w:val="Heading2"/>
        <w:spacing w:after="120" w:before="240"/>
      </w:pPr>
      <w:r>
        <w:rPr>
          <w:rFonts w:ascii="Arial" w:cs="Arial" w:eastAsia="Arial" w:hAnsi="Arial"/>
          <w:b/>
          <w:bCs/>
          <w:color w:val="2b6cb0"/>
          <w:sz w:val="28"/>
          <w:szCs w:val="28"/>
        </w:rPr>
        <w:t xml:space="preserve">1.4 Tech stack</w:t>
      </w:r>
    </w:p>
    <w:p>
      <w:pPr>
        <w:spacing w:after="80" w:before="80" w:line="300"/>
      </w:pPr>
      <w:r>
        <w:rPr>
          <w:rFonts w:ascii="Arial" w:cs="Arial" w:eastAsia="Arial" w:hAnsi="Arial"/>
          <w:color w:val="1a202c"/>
          <w:sz w:val="22"/>
          <w:szCs w:val="22"/>
        </w:rPr>
        <w:t xml:space="preserve">React 18 + Vite, deployed as a static SPA to GitHub Pages. No backend in v1. Public/anonymous API access only — no secrets to embed, no authentication flows. Inherits dark/light theme tokens, IBM Plex Mono/Sans typography, and component patterns from journal-overlap and journal-profiler.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8"/>
              <w:left w:val="single" w:color="2b6cb0" w:sz="8"/>
              <w:bottom w:val="single" w:color="2b6cb0" w:sz="8"/>
              <w:right w:val="single" w:color="2b6cb0" w:sz="8"/>
            </w:tcBorders>
            <w:shd w:fill="D5E8F0" w:val="clear"/>
            <w:tcMar>
              <w:top w:type="dxa" w:w="160"/>
              <w:left w:type="dxa" w:w="200"/>
              <w:bottom w:type="dxa" w:w="160"/>
              <w:right w:type="dxa" w:w="200"/>
            </w:tcMar>
          </w:tcPr>
          <w:p>
            <w:pPr>
              <w:spacing w:after="80" w:before="0"/>
            </w:pPr>
            <w:r>
              <w:rPr>
                <w:rFonts w:ascii="Arial" w:cs="Arial" w:eastAsia="Arial" w:hAnsi="Arial"/>
                <w:b/>
                <w:bCs/>
                <w:color w:val="2b6cb0"/>
                <w:sz w:val="22"/>
                <w:szCs w:val="22"/>
              </w:rPr>
              <w:t xml:space="preserve">Constraint: client-side only</w:t>
            </w:r>
          </w:p>
          <w:p>
            <w:pPr>
              <w:spacing w:after="60" w:before="0" w:line="280"/>
            </w:pPr>
            <w:r>
              <w:rPr>
                <w:rFonts w:ascii="Arial" w:cs="Arial" w:eastAsia="Arial" w:hAnsi="Arial"/>
                <w:color w:val="1a202c"/>
                <w:sz w:val="22"/>
                <w:szCs w:val="22"/>
              </w:rPr>
              <w:t xml:space="preserve">No backend in v1. Anything that requires a stored secret (e.g. OpenAIRE authenticated rate limits) is deferred to v2 and would require a thin proxy. Static-only architecture is confirmed viable in production after the Q2 2026 CORS spike.</w:t>
            </w:r>
          </w:p>
        </w:tc>
      </w:tr>
    </w:tbl>
    <w:p>
      <w:pPr>
        <w:pStyle w:val="Heading1"/>
        <w:spacing w:after="180" w:before="360"/>
      </w:pPr>
      <w:r>
        <w:rPr>
          <w:rFonts w:ascii="Arial" w:cs="Arial" w:eastAsia="Arial" w:hAnsi="Arial"/>
          <w:b/>
          <w:bCs/>
          <w:color w:val="1e3a5f"/>
          <w:sz w:val="36"/>
          <w:szCs w:val="36"/>
        </w:rPr>
        <w:t xml:space="preserve">2. Phase plan</w:t>
      </w:r>
    </w:p>
    <w:p>
      <w:pPr>
        <w:spacing w:after="80" w:before="80" w:line="300"/>
      </w:pPr>
      <w:r>
        <w:rPr>
          <w:rFonts w:ascii="Arial" w:cs="Arial" w:eastAsia="Arial" w:hAnsi="Arial"/>
          <w:color w:val="1a202c"/>
          <w:sz w:val="22"/>
          <w:szCs w:val="22"/>
        </w:rPr>
        <w:t xml:space="preserve">Full scope is documented here, but only v1 is in build scope. v2 and v3 are documented to inform v1 architecture decisions and to give editorial stakeholders an honest picture of what is currently feasible.</w:t>
      </w:r>
    </w:p>
    <w:p>
      <w:pPr>
        <w:pStyle w:val="Heading2"/>
        <w:spacing w:after="120" w:before="240"/>
      </w:pPr>
      <w:r>
        <w:rPr>
          <w:rFonts w:ascii="Arial" w:cs="Arial" w:eastAsia="Arial" w:hAnsi="Arial"/>
          <w:b/>
          <w:bCs/>
          <w:color w:val="2b6cb0"/>
          <w:sz w:val="28"/>
          <w:szCs w:val="28"/>
        </w:rPr>
        <w:t xml:space="preserve">2.1 Phase scope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Phase</w:t>
            </w:r>
          </w:p>
        </w:tc>
        <w:tc>
          <w:tcPr>
            <w:tcW w:type="dxa" w:w="4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In scope</w:t>
            </w:r>
          </w:p>
        </w:tc>
        <w:tc>
          <w:tcPr>
            <w:tcW w:type="dxa" w:w="3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Deferred</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v1 (built)</w:t>
            </w:r>
          </w:p>
        </w:tc>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OpenAlex /awards + OpenAIRE Graph /graph/v1/projects. Keyword + recency + active filter + funder + size filters. 5 sortable columns. PI work-sample DOI surfaced for editorial outreach. CSV export. Stateless. GitHub Pages.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Asian funder APIs, OpenAIRE topic translation, ORCID auth, alerts, saved searches, email enrichment (not available from public APIs).</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v2 (documented)</w:t>
            </w:r>
          </w:p>
        </w:tc>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KAKEN, NTIS, IGMS adapters. OpenAlex Topic → OpenAIRE FOS subject mapping. ORCID enrichment expansion. Optional thin proxy for authenticated rate limits.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Backend, accounts.</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v3 (roadmap)</w:t>
            </w:r>
          </w:p>
        </w:tc>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Saved searches, email alerts (requires backend). Candid / 360Giving for private/philanthropic funders.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w:t>
            </w:r>
          </w:p>
        </w:tc>
      </w:tr>
    </w:tbl>
    <w:p>
      <w:pPr>
        <w:pStyle w:val="Heading2"/>
        <w:spacing w:after="120" w:before="240"/>
      </w:pPr>
      <w:r>
        <w:rPr>
          <w:rFonts w:ascii="Arial" w:cs="Arial" w:eastAsia="Arial" w:hAnsi="Arial"/>
          <w:b/>
          <w:bCs/>
          <w:color w:val="2b6cb0"/>
          <w:sz w:val="28"/>
          <w:szCs w:val="28"/>
        </w:rPr>
        <w:t xml:space="preserve">2.2 Why this phasing</w:t>
      </w:r>
    </w:p>
    <w:p>
      <w:pPr>
        <w:spacing w:after="80" w:before="80" w:line="300"/>
      </w:pPr>
      <w:r>
        <w:rPr>
          <w:rFonts w:ascii="Arial" w:cs="Arial" w:eastAsia="Arial" w:hAnsi="Arial"/>
          <w:color w:val="1a202c"/>
          <w:sz w:val="22"/>
          <w:szCs w:val="22"/>
        </w:rPr>
        <w:t xml:space="preserve">OpenAlex and OpenAIRE together cover NIH, NSF, UKRI, Horizon Europe and large parts of Asia by aggregation. Building all twelve sources from the original briefing document into v1 is the surest way to ship nothing useful. v1 deliberately accepts a coverage gap for Asian national funders and private foundations because (a) the gap can be addressed in v2 once v1 has demonstrated editorial value, and (b) the OpenAlex Wellcome-funded global funder integration project is actively reducing this gap on the OpenAlex side without our intervention.</w:t>
      </w:r>
    </w:p>
    <w:p>
      <w:pPr>
        <w:pStyle w:val="Heading1"/>
        <w:spacing w:after="180" w:before="360"/>
      </w:pPr>
      <w:r>
        <w:rPr>
          <w:rFonts w:ascii="Arial" w:cs="Arial" w:eastAsia="Arial" w:hAnsi="Arial"/>
          <w:b/>
          <w:bCs/>
          <w:color w:val="1e3a5f"/>
          <w:sz w:val="36"/>
          <w:szCs w:val="36"/>
        </w:rPr>
        <w:t xml:space="preserve">3. Constraints</w:t>
      </w:r>
    </w:p>
    <w:p>
      <w:pPr>
        <w:pStyle w:val="Heading2"/>
        <w:spacing w:after="120" w:before="240"/>
      </w:pPr>
      <w:r>
        <w:rPr>
          <w:rFonts w:ascii="Arial" w:cs="Arial" w:eastAsia="Arial" w:hAnsi="Arial"/>
          <w:b/>
          <w:bCs/>
          <w:color w:val="2b6cb0"/>
          <w:sz w:val="28"/>
          <w:szCs w:val="28"/>
        </w:rPr>
        <w:t xml:space="preserve">3.1 Coverage honesty</w:t>
      </w:r>
    </w:p>
    <w:p>
      <w:pPr>
        <w:spacing w:after="80" w:before="80" w:line="300"/>
      </w:pPr>
      <w:r>
        <w:rPr>
          <w:rFonts w:ascii="Arial" w:cs="Arial" w:eastAsia="Arial" w:hAnsi="Arial"/>
          <w:color w:val="1a202c"/>
          <w:sz w:val="22"/>
          <w:szCs w:val="22"/>
        </w:rPr>
        <w:t xml:space="preserve">The most important non-obvious constraint is that v1 sources under-represent Asian national funders and private/philanthropic funders, AND that within the EU/non-EU axis, OpenAIRE skews heavily toward EU-funded research. Editors using the tool need to know both without having to read the docs. The architecture handles it four ways:</w:t>
      </w:r>
    </w:p>
    <w:p>
      <w:pPr>
        <w:pStyle w:val="ListParagraph"/>
        <w:numPr>
          <w:ilvl w:val="0"/>
          <w:numId w:val="3"/>
        </w:numPr>
        <w:spacing w:after="40" w:before="40" w:line="280"/>
      </w:pPr>
      <w:r>
        <w:rPr>
          <w:rFonts w:ascii="Arial" w:cs="Arial" w:eastAsia="Arial" w:hAnsi="Arial"/>
          <w:color w:val="1a202c"/>
          <w:sz w:val="22"/>
          <w:szCs w:val="22"/>
        </w:rPr>
        <w:t xml:space="preserve">Persistent global coverage banner in the Results view.</w:t>
      </w:r>
    </w:p>
    <w:p>
      <w:pPr>
        <w:pStyle w:val="ListParagraph"/>
        <w:numPr>
          <w:ilvl w:val="0"/>
          <w:numId w:val="3"/>
        </w:numPr>
        <w:spacing w:after="40" w:before="40" w:line="280"/>
      </w:pPr>
      <w:r>
        <w:rPr>
          <w:rFonts w:ascii="Arial" w:cs="Arial" w:eastAsia="Arial" w:hAnsi="Arial"/>
          <w:color w:val="1a202c"/>
          <w:sz w:val="22"/>
          <w:szCs w:val="22"/>
        </w:rPr>
        <w:t xml:space="preserve">Per-query inline source-asymmetry warning when OpenAlex count materially exceeds OpenAIRE count (see §3.4).</w:t>
      </w:r>
    </w:p>
    <w:p>
      <w:pPr>
        <w:pStyle w:val="ListParagraph"/>
        <w:numPr>
          <w:ilvl w:val="0"/>
          <w:numId w:val="3"/>
        </w:numPr>
        <w:spacing w:after="40" w:before="40" w:line="280"/>
      </w:pPr>
      <w:r>
        <w:rPr>
          <w:rFonts w:ascii="Arial" w:cs="Arial" w:eastAsia="Arial" w:hAnsi="Arial"/>
          <w:color w:val="1a202c"/>
          <w:sz w:val="22"/>
          <w:szCs w:val="22"/>
        </w:rPr>
        <w:t xml:space="preserve">Per-row source badge (OpenAlex / OpenAIRE) so the user can see provenance at a glance.</w:t>
      </w:r>
    </w:p>
    <w:p>
      <w:pPr>
        <w:pStyle w:val="ListParagraph"/>
        <w:numPr>
          <w:ilvl w:val="0"/>
          <w:numId w:val="3"/>
        </w:numPr>
        <w:spacing w:after="40" w:before="40" w:line="280"/>
      </w:pPr>
      <w:r>
        <w:rPr>
          <w:rFonts w:ascii="Arial" w:cs="Arial" w:eastAsia="Arial" w:hAnsi="Arial"/>
          <w:color w:val="1a202c"/>
          <w:sz w:val="22"/>
          <w:szCs w:val="22"/>
        </w:rPr>
        <w:t xml:space="preserve">"Sources covered" panel in the About tab, listing what is and is not searched in the current version.</w:t>
      </w:r>
    </w:p>
    <w:p>
      <w:pPr>
        <w:pStyle w:val="Heading2"/>
        <w:spacing w:after="120" w:before="240"/>
      </w:pPr>
      <w:r>
        <w:rPr>
          <w:rFonts w:ascii="Arial" w:cs="Arial" w:eastAsia="Arial" w:hAnsi="Arial"/>
          <w:b/>
          <w:bCs/>
          <w:color w:val="2b6cb0"/>
          <w:sz w:val="28"/>
          <w:szCs w:val="28"/>
        </w:rPr>
        <w:t xml:space="preserve">3.2 Approved vs prohibited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Use</w:t>
            </w:r>
          </w:p>
        </w:tc>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Never use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"Coverage in v1: OpenAlex Awards + OpenAIRE Graph. Asian national funders and private foundations are under-represented."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"Comprehensive global grants database"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"No matching grants found in current sources"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"No grants exist for this query"</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"Data source: OpenAlex" / "Data source: OpenAIRE" badge on every row</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Unattributed merged results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"No public email · Most recent paper: [DOI]"</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Claiming an email is available when none is, or surfacing emails without provenance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"OpenAIRE coverage skews EU; non-EU result counts may reflect indexing gaps, not research activity"</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Silent on the EU-skew</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"Active grant" / "Recently ended grant"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"Funded researcher" (ambiguous between current and historical)</w:t>
            </w:r>
          </w:p>
        </w:tc>
      </w:tr>
    </w:tbl>
    <w:p>
      <w:pPr>
        <w:pStyle w:val="Heading2"/>
        <w:spacing w:after="120" w:before="240"/>
      </w:pPr>
      <w:r>
        <w:rPr>
          <w:rFonts w:ascii="Arial" w:cs="Arial" w:eastAsia="Arial" w:hAnsi="Arial"/>
          <w:b/>
          <w:bCs/>
          <w:color w:val="2b6cb0"/>
          <w:sz w:val="28"/>
          <w:szCs w:val="28"/>
        </w:rPr>
        <w:t xml:space="preserve">3.3 Privacy and PII</w:t>
      </w:r>
    </w:p>
    <w:p>
      <w:pPr>
        <w:spacing w:after="80" w:before="80" w:line="300"/>
      </w:pPr>
      <w:r>
        <w:rPr>
          <w:rFonts w:ascii="Arial" w:cs="Arial" w:eastAsia="Arial" w:hAnsi="Arial"/>
          <w:color w:val="1a202c"/>
          <w:sz w:val="22"/>
          <w:szCs w:val="22"/>
        </w:rPr>
        <w:t xml:space="preserve">Grant Radar surfaces principal investigator names, institutions, and DOIs of their most recent papers. All three are reproduced from already-public sources (funder grant records and published papers). The tool does not scrape institutional pages, does not infer or guess emails, and does not store any user query.</w:t>
      </w:r>
    </w:p>
    <w:p>
      <w:pPr>
        <w:spacing w:after="80" w:before="80" w:line="300"/>
      </w:pPr>
      <w:r>
        <w:rPr>
          <w:rFonts w:ascii="Arial" w:cs="Arial" w:eastAsia="Arial" w:hAnsi="Arial"/>
          <w:color w:val="1a202c"/>
          <w:sz w:val="22"/>
          <w:szCs w:val="22"/>
        </w:rPr>
        <w:t xml:space="preserve">Every DOI shown carries a clear label ("Most recent paper") so editors understand the provenance and the click-through path. If no corresponding-author work is available from OpenAlex, the tool shows "No public-domain DOI available for this PI" rather than guessing or falling back to less reliable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8"/>
              <w:left w:val="single" w:color="94A3B8" w:sz="8"/>
              <w:bottom w:val="single" w:color="94A3B8" w:sz="8"/>
              <w:right w:val="single" w:color="94A3B8" w:sz="8"/>
            </w:tcBorders>
            <w:shd w:fill="F1F5F9" w:val="clear"/>
            <w:tcMar>
              <w:top w:type="dxa" w:w="160"/>
              <w:left w:type="dxa" w:w="200"/>
              <w:bottom w:type="dxa" w:w="160"/>
              <w:right w:type="dxa" w:w="200"/>
            </w:tcMar>
          </w:tcPr>
          <w:p>
            <w:pPr>
              <w:spacing w:after="80" w:before="0"/>
            </w:pPr>
            <w:r>
              <w:rPr>
                <w:rFonts w:ascii="Arial" w:cs="Arial" w:eastAsia="Arial" w:hAnsi="Arial"/>
                <w:b/>
                <w:bCs/>
                <w:color w:val="94A3B8"/>
                <w:sz w:val="22"/>
                <w:szCs w:val="22"/>
              </w:rPr>
              <w:t xml:space="preserve">GDPR posture (informational, not legal advice)</w:t>
            </w:r>
          </w:p>
          <w:p>
            <w:pPr>
              <w:spacing w:after="60" w:before="0" w:line="280"/>
            </w:pPr>
            <w:r>
              <w:rPr>
                <w:rFonts w:ascii="Arial" w:cs="Arial" w:eastAsia="Arial" w:hAnsi="Arial"/>
                <w:color w:val="1a202c"/>
                <w:sz w:val="22"/>
                <w:szCs w:val="22"/>
              </w:rPr>
              <w:t xml:space="preserve">Reuse of already-public publication metadata for editorial outreach is generally a recognised legitimate-interest case in academic publishing. The tool minimises by (a) showing DOIs only with provenance, (b) not storing queries, (c) not exposing bulk-export of PI lists separately from grant context, and (d) not attempting to derive emails the API does not provide.</w:t>
            </w:r>
          </w:p>
        </w:tc>
      </w:tr>
    </w:tbl>
    <w:p>
      <w:pPr>
        <w:pStyle w:val="Heading2"/>
        <w:spacing w:after="120" w:before="240"/>
      </w:pPr>
      <w:r>
        <w:rPr>
          <w:rFonts w:ascii="Arial" w:cs="Arial" w:eastAsia="Arial" w:hAnsi="Arial"/>
          <w:b/>
          <w:bCs/>
          <w:color w:val="2b6cb0"/>
          <w:sz w:val="28"/>
          <w:szCs w:val="28"/>
        </w:rPr>
        <w:t xml:space="preserve">3.4 Mandatory Results-view warning (per-query EU-skew)</w:t>
      </w:r>
    </w:p>
    <w:p>
      <w:pPr>
        <w:spacing w:after="80" w:before="80" w:line="300"/>
      </w:pPr>
      <w:r>
        <w:rPr>
          <w:rFonts w:ascii="Arial" w:cs="Arial" w:eastAsia="Arial" w:hAnsi="Arial"/>
          <w:color w:val="1a202c"/>
          <w:sz w:val="22"/>
          <w:szCs w:val="22"/>
        </w:rPr>
        <w:t xml:space="preserve">In addition to the persistent coverage banner, the Results view must surface a per-query asymmetry warning whenever OpenAlex returns materially more results than OpenAIRE for the same query. The implemented rule of thumb: trigger when OpenAlex count ≥ 5× OpenAIRE count.</w:t>
      </w:r>
    </w:p>
    <w:p>
      <w:pPr>
        <w:spacing w:after="80" w:before="80" w:line="300"/>
      </w:pPr>
      <w:r>
        <w:rPr>
          <w:rFonts w:ascii="Arial" w:cs="Arial" w:eastAsia="Arial" w:hAnsi="Arial"/>
          <w:color w:val="1a202c"/>
          <w:sz w:val="22"/>
          <w:szCs w:val="22"/>
        </w:rPr>
        <w:t xml:space="preserve">The warning sits inline at the top of the Results view, in neutral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8"/>
              <w:left w:val="single" w:color="C05621" w:sz="8"/>
              <w:bottom w:val="single" w:color="C05621" w:sz="8"/>
              <w:right w:val="single" w:color="C05621" w:sz="8"/>
            </w:tcBorders>
            <w:shd w:fill="FFF4E5" w:val="clear"/>
            <w:tcMar>
              <w:top w:type="dxa" w:w="160"/>
              <w:left w:type="dxa" w:w="200"/>
              <w:bottom w:type="dxa" w:w="160"/>
              <w:right w:type="dxa" w:w="200"/>
            </w:tcMar>
          </w:tcPr>
          <w:p>
            <w:pPr>
              <w:spacing w:after="80" w:before="0"/>
            </w:pPr>
            <w:r>
              <w:rPr>
                <w:rFonts w:ascii="Arial" w:cs="Arial" w:eastAsia="Arial" w:hAnsi="Arial"/>
                <w:b/>
                <w:bCs/>
                <w:color w:val="C05621"/>
                <w:sz w:val="22"/>
                <w:szCs w:val="22"/>
              </w:rPr>
              <w:t xml:space="preserve">Suggested copy</w:t>
            </w:r>
          </w:p>
          <w:p>
            <w:pPr>
              <w:spacing w:after="60" w:before="0" w:line="280"/>
            </w:pPr>
            <w:r>
              <w:rPr>
                <w:rFonts w:ascii="Arial" w:cs="Arial" w:eastAsia="Arial" w:hAnsi="Arial"/>
                <w:color w:val="1a202c"/>
                <w:sz w:val="22"/>
                <w:szCs w:val="22"/>
              </w:rPr>
              <w:t xml:space="preserve">"OpenAIRE returned {n} results vs {N} from OpenAlex for this query. OpenAIRE indexes EU-funded research most thoroughly; thin counts here likely reflect indexing gaps for non-EU funders rather than absence of research activity."</w:t>
            </w:r>
          </w:p>
        </w:tc>
      </w:tr>
    </w:tbl>
    <w:p>
      <w:pPr>
        <w:spacing w:after="80" w:before="80" w:line="300"/>
      </w:pPr>
      <w:r>
        <w:rPr>
          <w:rFonts w:ascii="Arial" w:cs="Arial" w:eastAsia="Arial" w:hAnsi="Arial"/>
          <w:color w:val="1a202c"/>
          <w:sz w:val="22"/>
          <w:szCs w:val="22"/>
        </w:rPr>
        <w:t xml:space="preserve">This is separate from the persistent coverage banner. The banner is global ("here is what v1 covers"); this warning is per-query ("here is what this specific query's source split is telling you to be careful about"). Both must be present.</w:t>
      </w:r>
    </w:p>
    <w:p>
      <w:pPr>
        <w:pStyle w:val="Heading2"/>
        <w:spacing w:after="120" w:before="240"/>
      </w:pPr>
      <w:r>
        <w:rPr>
          <w:rFonts w:ascii="Arial" w:cs="Arial" w:eastAsia="Arial" w:hAnsi="Arial"/>
          <w:b/>
          <w:bCs/>
          <w:color w:val="2b6cb0"/>
          <w:sz w:val="28"/>
          <w:szCs w:val="28"/>
        </w:rPr>
        <w:t xml:space="preserve">3.5 Tone &amp; framing</w:t>
      </w:r>
    </w:p>
    <w:p>
      <w:pPr>
        <w:spacing w:after="80" w:before="80" w:line="300"/>
      </w:pPr>
      <w:r>
        <w:rPr>
          <w:rFonts w:ascii="Arial" w:cs="Arial" w:eastAsia="Arial" w:hAnsi="Arial"/>
          <w:color w:val="1a202c"/>
          <w:sz w:val="22"/>
          <w:szCs w:val="22"/>
        </w:rPr>
        <w:t xml:space="preserve">Inheriting the journal-profiler precedent: neutral, editorial register throughout. The tool surfaces information; it does not characterise researchers, predict outputs, or make claims about likelihood-to-publish-in-AIDI. Editors form those judgements.</w:t>
      </w:r>
    </w:p>
    <w:p>
      <w:pPr>
        <w:pStyle w:val="Heading1"/>
        <w:spacing w:after="180" w:before="360"/>
      </w:pPr>
      <w:r>
        <w:rPr>
          <w:rFonts w:ascii="Arial" w:cs="Arial" w:eastAsia="Arial" w:hAnsi="Arial"/>
          <w:b/>
          <w:bCs/>
          <w:color w:val="1e3a5f"/>
          <w:sz w:val="36"/>
          <w:szCs w:val="36"/>
        </w:rPr>
        <w:t xml:space="preserve">4. Feature design</w:t>
      </w:r>
    </w:p>
    <w:p>
      <w:pPr>
        <w:pStyle w:val="Heading2"/>
        <w:spacing w:after="120" w:before="240"/>
      </w:pPr>
      <w:r>
        <w:rPr>
          <w:rFonts w:ascii="Arial" w:cs="Arial" w:eastAsia="Arial" w:hAnsi="Arial"/>
          <w:b/>
          <w:bCs/>
          <w:color w:val="2b6cb0"/>
          <w:sz w:val="28"/>
          <w:szCs w:val="28"/>
        </w:rPr>
        <w:t xml:space="preserve">4.1 Active vs not-active grants</w:t>
      </w:r>
    </w:p>
    <w:p>
      <w:pPr>
        <w:spacing w:after="80" w:before="80" w:line="300"/>
      </w:pPr>
      <w:r>
        <w:rPr>
          <w:rFonts w:ascii="Arial" w:cs="Arial" w:eastAsia="Arial" w:hAnsi="Arial"/>
          <w:color w:val="1a202c"/>
          <w:sz w:val="22"/>
          <w:szCs w:val="22"/>
        </w:rPr>
        <w:t xml:space="preserve">Replacing the original "headline paper" filter with a simpler temporal definition of grant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1F5F9" w:val="clear"/>
            <w:tcMar>
              <w:top w:type="dxa" w:w="120"/>
              <w:left w:type="dxa" w:w="160"/>
              <w:bottom w:type="dxa" w:w="120"/>
              <w:right w:type="dxa" w:w="160"/>
            </w:tcMar>
          </w:tcPr>
          <w:p>
            <w:pPr>
              <w:spacing w:after="0" w:before="0" w:line="240"/>
            </w:pPr>
            <w:r>
              <w:rPr>
                <w:rFonts w:ascii="Consolas" w:cs="Consolas" w:eastAsia="Consolas" w:hAnsi="Consolas"/>
                <w:color w:val="1a202c"/>
                <w:sz w:val="18"/>
                <w:szCs w:val="18"/>
              </w:rPr>
              <w:t xml:space="preserve">active     := today between start_date and end_date (inclusive)</w:t>
            </w:r>
          </w:p>
          <w:p>
            <w:pPr>
              <w:spacing w:after="0" w:before="0" w:line="240"/>
            </w:pPr>
            <w:r>
              <w:rPr>
                <w:rFonts w:ascii="Consolas" w:cs="Consolas" w:eastAsia="Consolas" w:hAnsi="Consolas"/>
                <w:color w:val="1a202c"/>
                <w:sz w:val="18"/>
                <w:szCs w:val="18"/>
              </w:rPr>
              <w:t xml:space="preserve">              OR (end_date missing AND start_date within recency window)</w:t>
            </w:r>
          </w:p>
          <w:p>
            <w:pPr>
              <w:spacing w:after="0" w:before="0" w:line="240"/>
            </w:pPr>
            <w:r>
              <w:rPr>
                <w:rFonts w:ascii="Consolas" w:cs="Consolas" w:eastAsia="Consolas" w:hAnsi="Consolas"/>
                <w:color w:val="1a202c"/>
                <w:sz w:val="18"/>
                <w:szCs w:val="18"/>
              </w:rPr>
              <w:t xml:space="preserve">not_active := end_date in the past</w:t>
            </w:r>
          </w:p>
          <w:p>
            <w:pPr>
              <w:spacing w:after="0" w:before="0" w:line="240"/>
            </w:pPr>
            <w:r>
              <w:rPr>
                <w:rFonts w:ascii="Consolas" w:cs="Consolas" w:eastAsia="Consolas" w:hAnsi="Consolas"/>
                <w:color w:val="1a202c"/>
                <w:sz w:val="18"/>
                <w:szCs w:val="18"/>
              </w:rPr>
              <w:t xml:space="preserve">unknown    := start_date missing</w:t>
            </w:r>
          </w:p>
        </w:tc>
      </w:tr>
    </w:tbl>
    <w:p>
      <w:pPr>
        <w:spacing w:after="80" w:before="80" w:line="300"/>
      </w:pPr>
      <w:r>
        <w:rPr>
          <w:rFonts w:ascii="Arial" w:cs="Arial" w:eastAsia="Arial" w:hAnsi="Arial"/>
          <w:color w:val="1a202c"/>
          <w:sz w:val="22"/>
          <w:szCs w:val="22"/>
        </w:rPr>
        <w:t xml:space="preserve">The UI exposes this as a three-way toggle: "active", "recently ended", "both". Editors often want recently ended grants — those PIs are now writing up. The default is "both" with a 24-month recency window.</w:t>
      </w:r>
    </w:p>
    <w:p>
      <w:pPr>
        <w:pStyle w:val="Heading2"/>
        <w:spacing w:after="120" w:before="240"/>
      </w:pPr>
      <w:r>
        <w:rPr>
          <w:rFonts w:ascii="Arial" w:cs="Arial" w:eastAsia="Arial" w:hAnsi="Arial"/>
          <w:b/>
          <w:bCs/>
          <w:color w:val="2b6cb0"/>
          <w:sz w:val="28"/>
          <w:szCs w:val="28"/>
        </w:rPr>
        <w:t xml:space="preserve">4.2 Recency window</w:t>
      </w:r>
    </w:p>
    <w:p>
      <w:pPr>
        <w:spacing w:after="80" w:before="80" w:line="300"/>
      </w:pPr>
      <w:r>
        <w:rPr>
          <w:rFonts w:ascii="Arial" w:cs="Arial" w:eastAsia="Arial" w:hAnsi="Arial"/>
          <w:color w:val="1a202c"/>
          <w:sz w:val="22"/>
          <w:szCs w:val="22"/>
        </w:rPr>
        <w:t xml:space="preserve">User-selectable: 12, 24, 36, or 48 months. Filter applies to start_date, not end_date — the question being answered is "who started a grant in scope recently".</w:t>
      </w:r>
    </w:p>
    <w:p>
      <w:pPr>
        <w:pStyle w:val="Heading2"/>
        <w:spacing w:after="120" w:before="240"/>
      </w:pPr>
      <w:r>
        <w:rPr>
          <w:rFonts w:ascii="Arial" w:cs="Arial" w:eastAsia="Arial" w:hAnsi="Arial"/>
          <w:b/>
          <w:bCs/>
          <w:color w:val="2b6cb0"/>
          <w:sz w:val="28"/>
          <w:szCs w:val="28"/>
        </w:rPr>
        <w:t xml:space="preserve">4.3 Five sortable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200"/>
        <w:gridCol w:w="55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Column</w:t>
            </w:r>
          </w:p>
        </w:tc>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PI name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First listed PI from source record. Project-coordinator fallback for OpenAIRE when PI not exposed.</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Institution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Includes country code. First listed institution if multiple.</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Funder</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Display name from source. Funder country in tooltip.</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Grant amount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numeric</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Native currency stored, USD-converted shown. Frequently null in OpenAIRE — explicit "n/a", not zero.</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Recency</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months since start_date</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Sorted ascending by default (most recent first).</w:t>
            </w:r>
          </w:p>
        </w:tc>
      </w:tr>
    </w:tbl>
    <w:p>
      <w:pPr>
        <w:spacing w:after="80" w:before="80" w:line="300"/>
      </w:pPr>
      <w:r>
        <w:rPr>
          <w:rFonts w:ascii="Arial" w:cs="Arial" w:eastAsia="Arial" w:hAnsi="Arial"/>
          <w:color w:val="1a202c"/>
          <w:sz w:val="22"/>
          <w:szCs w:val="22"/>
        </w:rPr>
        <w:t xml:space="preserve">Source-specific extras live in expandable row details: work-sample DOI for the PI, OpenAlex Topic IDs, OpenAIRE FOS codes, project URL, abstract snippet, full PI list, full institution list, currency-of-record.</w:t>
      </w:r>
    </w:p>
    <w:p>
      <w:pPr>
        <w:pStyle w:val="Heading2"/>
        <w:spacing w:after="120" w:before="240"/>
      </w:pPr>
      <w:r>
        <w:rPr>
          <w:rFonts w:ascii="Arial" w:cs="Arial" w:eastAsia="Arial" w:hAnsi="Arial"/>
          <w:b/>
          <w:bCs/>
          <w:color w:val="2b6cb0"/>
          <w:sz w:val="28"/>
          <w:szCs w:val="28"/>
        </w:rPr>
        <w:t xml:space="preserve">4.4 Filters (separate from sort)</w:t>
      </w:r>
    </w:p>
    <w:p>
      <w:pPr>
        <w:pStyle w:val="ListParagraph"/>
        <w:numPr>
          <w:ilvl w:val="0"/>
          <w:numId w:val="2"/>
        </w:numPr>
        <w:spacing w:after="40" w:before="40" w:line="280"/>
      </w:pPr>
      <w:r>
        <w:rPr>
          <w:rFonts w:ascii="Arial" w:cs="Arial" w:eastAsia="Arial" w:hAnsi="Arial"/>
          <w:color w:val="1a202c"/>
          <w:sz w:val="22"/>
          <w:szCs w:val="22"/>
        </w:rPr>
        <w:t xml:space="preserve">Funder name — multi-select, populated from current result set</w:t>
      </w:r>
    </w:p>
    <w:p>
      <w:pPr>
        <w:pStyle w:val="ListParagraph"/>
        <w:numPr>
          <w:ilvl w:val="0"/>
          <w:numId w:val="2"/>
        </w:numPr>
        <w:spacing w:after="40" w:before="40" w:line="280"/>
      </w:pPr>
      <w:r>
        <w:rPr>
          <w:rFonts w:ascii="Arial" w:cs="Arial" w:eastAsia="Arial" w:hAnsi="Arial"/>
          <w:color w:val="1a202c"/>
          <w:sz w:val="22"/>
          <w:szCs w:val="22"/>
        </w:rPr>
        <w:t xml:space="preserve">Recency window — 12/24/36/48 months</w:t>
      </w:r>
    </w:p>
    <w:p>
      <w:pPr>
        <w:pStyle w:val="ListParagraph"/>
        <w:numPr>
          <w:ilvl w:val="0"/>
          <w:numId w:val="2"/>
        </w:numPr>
        <w:spacing w:after="40" w:before="40" w:line="280"/>
      </w:pPr>
      <w:r>
        <w:rPr>
          <w:rFonts w:ascii="Arial" w:cs="Arial" w:eastAsia="Arial" w:hAnsi="Arial"/>
          <w:color w:val="1a202c"/>
          <w:sz w:val="22"/>
          <w:szCs w:val="22"/>
        </w:rPr>
        <w:t xml:space="preserve">Active status — active / recently ended / both</w:t>
      </w:r>
    </w:p>
    <w:p>
      <w:pPr>
        <w:pStyle w:val="ListParagraph"/>
        <w:numPr>
          <w:ilvl w:val="0"/>
          <w:numId w:val="2"/>
        </w:numPr>
        <w:spacing w:after="40" w:before="40" w:line="280"/>
      </w:pPr>
      <w:r>
        <w:rPr>
          <w:rFonts w:ascii="Arial" w:cs="Arial" w:eastAsia="Arial" w:hAnsi="Arial"/>
          <w:color w:val="1a202c"/>
          <w:sz w:val="22"/>
          <w:szCs w:val="22"/>
        </w:rPr>
        <w:t xml:space="preserve">Grant size band — &lt;$100k / $100k–$1M / &gt;$1M / unknown</w:t>
      </w:r>
    </w:p>
    <w:p>
      <w:pPr>
        <w:pStyle w:val="ListParagraph"/>
        <w:numPr>
          <w:ilvl w:val="0"/>
          <w:numId w:val="2"/>
        </w:numPr>
        <w:spacing w:after="40" w:before="40" w:line="280"/>
      </w:pPr>
      <w:r>
        <w:rPr>
          <w:rFonts w:ascii="Arial" w:cs="Arial" w:eastAsia="Arial" w:hAnsi="Arial"/>
          <w:color w:val="1a202c"/>
          <w:sz w:val="22"/>
          <w:szCs w:val="22"/>
        </w:rPr>
        <w:t xml:space="preserve">Country — multi-select</w:t>
      </w:r>
    </w:p>
    <w:p>
      <w:pPr>
        <w:pStyle w:val="ListParagraph"/>
        <w:numPr>
          <w:ilvl w:val="0"/>
          <w:numId w:val="2"/>
        </w:numPr>
        <w:spacing w:after="40" w:before="40" w:line="280"/>
      </w:pPr>
      <w:r>
        <w:rPr>
          <w:rFonts w:ascii="Arial" w:cs="Arial" w:eastAsia="Arial" w:hAnsi="Arial"/>
          <w:color w:val="1a202c"/>
          <w:sz w:val="22"/>
          <w:szCs w:val="22"/>
        </w:rPr>
        <w:t xml:space="preserve">Source — OpenAlex / OpenAIRE /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8"/>
              <w:left w:val="single" w:color="9B2C2C" w:sz="8"/>
              <w:bottom w:val="single" w:color="9B2C2C" w:sz="8"/>
              <w:right w:val="single" w:color="9B2C2C" w:sz="8"/>
            </w:tcBorders>
            <w:shd w:fill="FED7D7" w:val="clear"/>
            <w:tcMar>
              <w:top w:type="dxa" w:w="160"/>
              <w:left w:type="dxa" w:w="200"/>
              <w:bottom w:type="dxa" w:w="160"/>
              <w:right w:type="dxa" w:w="200"/>
            </w:tcMar>
          </w:tcPr>
          <w:p>
            <w:pPr>
              <w:spacing w:after="80" w:before="0"/>
            </w:pPr>
            <w:r>
              <w:rPr>
                <w:rFonts w:ascii="Arial" w:cs="Arial" w:eastAsia="Arial" w:hAnsi="Arial"/>
                <w:b/>
                <w:bCs/>
                <w:color w:val="9B2C2C"/>
                <w:sz w:val="22"/>
                <w:szCs w:val="22"/>
              </w:rPr>
              <w:t xml:space="preserve">v1 known issue (April 2026 testing)</w:t>
            </w:r>
          </w:p>
          <w:p>
            <w:pPr>
              <w:spacing w:after="60" w:before="0" w:line="280"/>
            </w:pPr>
            <w:r>
              <w:rPr>
                <w:rFonts w:ascii="Arial" w:cs="Arial" w:eastAsia="Arial" w:hAnsi="Arial"/>
                <w:color w:val="1a202c"/>
                <w:sz w:val="22"/>
                <w:szCs w:val="22"/>
              </w:rPr>
              <w:t xml:space="preserve">Filter controls were observed to not respond to user input during initial manual testing — selecting/deselecting OpenAlex source, changing the recency window. The sort columns work; the filter inputs do not. This is a wiring bug between FilterBar and the useReducer dispatch, not a design defect. Fix in the next Claude Code session before deploy.</w:t>
            </w:r>
          </w:p>
        </w:tc>
      </w:tr>
    </w:tbl>
    <w:p>
      <w:pPr>
        <w:pStyle w:val="Heading2"/>
        <w:spacing w:after="120" w:before="240"/>
      </w:pPr>
      <w:r>
        <w:rPr>
          <w:rFonts w:ascii="Arial" w:cs="Arial" w:eastAsia="Arial" w:hAnsi="Arial"/>
          <w:b/>
          <w:bCs/>
          <w:color w:val="2b6cb0"/>
          <w:sz w:val="28"/>
          <w:szCs w:val="28"/>
        </w:rPr>
        <w:t xml:space="preserve">4.5 Topic disambiguation (OpenAlex-only in v1)</w:t>
      </w:r>
    </w:p>
    <w:p>
      <w:pPr>
        <w:spacing w:after="80" w:before="80" w:line="300"/>
      </w:pPr>
      <w:r>
        <w:rPr>
          <w:rFonts w:ascii="Arial" w:cs="Arial" w:eastAsia="Arial" w:hAnsi="Arial"/>
          <w:color w:val="1a202c"/>
          <w:sz w:val="22"/>
          <w:szCs w:val="22"/>
        </w:rPr>
        <w:t xml:space="preserve">The user enters keywords; before submitting, an optional disambiguation panel suggests OpenAlex Topic IDs that match the keywords. The user can click to constrain the OpenAlex-side query to those Topic IDs. Topic selection narrows (AND with keywords), it does not replace. Panel is collapsed by default. The OpenAIRE side stays keyword-driven in v1.</w:t>
      </w:r>
    </w:p>
    <w:p>
      <w:pPr>
        <w:pStyle w:val="Heading2"/>
        <w:spacing w:after="120" w:before="240"/>
      </w:pPr>
      <w:r>
        <w:rPr>
          <w:rFonts w:ascii="Arial" w:cs="Arial" w:eastAsia="Arial" w:hAnsi="Arial"/>
          <w:b/>
          <w:bCs/>
          <w:color w:val="2b6cb0"/>
          <w:sz w:val="28"/>
          <w:szCs w:val="28"/>
        </w:rPr>
        <w:t xml:space="preserve">4.6 PI editorial outreach (work-sample DOI, NOT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8"/>
              <w:left w:val="single" w:color="9B2C2C" w:sz="8"/>
              <w:bottom w:val="single" w:color="9B2C2C" w:sz="8"/>
              <w:right w:val="single" w:color="9B2C2C" w:sz="8"/>
            </w:tcBorders>
            <w:shd w:fill="FED7D7" w:val="clear"/>
            <w:tcMar>
              <w:top w:type="dxa" w:w="160"/>
              <w:left w:type="dxa" w:w="200"/>
              <w:bottom w:type="dxa" w:w="160"/>
              <w:right w:type="dxa" w:w="200"/>
            </w:tcMar>
          </w:tcPr>
          <w:p>
            <w:pPr>
              <w:spacing w:after="80" w:before="0"/>
            </w:pPr>
            <w:r>
              <w:rPr>
                <w:rFonts w:ascii="Arial" w:cs="Arial" w:eastAsia="Arial" w:hAnsi="Arial"/>
                <w:b/>
                <w:bCs/>
                <w:color w:val="9B2C2C"/>
                <w:sz w:val="22"/>
                <w:szCs w:val="22"/>
              </w:rPr>
              <w:t xml:space="preserve">Important — OpenAlex API limitation</w:t>
            </w:r>
          </w:p>
          <w:p>
            <w:pPr>
              <w:spacing w:after="60" w:before="0" w:line="280"/>
            </w:pPr>
            <w:r>
              <w:rPr>
                <w:rFonts w:ascii="Arial" w:cs="Arial" w:eastAsia="Arial" w:hAnsi="Arial"/>
                <w:color w:val="1a202c"/>
                <w:sz w:val="22"/>
                <w:szCs w:val="22"/>
              </w:rPr>
              <w:t xml:space="preserve">The original brief specified extracting corresponding_author_email from the OpenAlex Works endpoint. This was an error. The public API does NOT expose email addresses — corresponding_author_ids is an array of OpenAlex Author IDs, not email addresses, and Crossref puts emails behind their authenticated Plus tier.</w:t>
            </w:r>
          </w:p>
          <w:p>
            <w:pPr>
              <w:spacing w:after="60" w:before="0" w:line="280"/>
            </w:pPr>
            <w:r>
              <w:rPr>
                <w:rFonts w:ascii="Arial" w:cs="Arial" w:eastAsia="Arial" w:hAnsi="Arial"/>
                <w:color w:val="1a202c"/>
                <w:sz w:val="22"/>
                <w:szCs w:val="22"/>
              </w:rPr>
              <w:t xml:space="preserve">The tool surfaces a work-sample DOI for each PI instead. Editors click through to the publisher page to retrieve contact details from the published article.</w:t>
            </w:r>
          </w:p>
        </w:tc>
      </w:tr>
    </w:tbl>
    <w:p>
      <w:pPr>
        <w:spacing w:after="80" w:before="80" w:line="300"/>
      </w:pPr>
      <w:r>
        <w:rPr>
          <w:rFonts w:ascii="Arial" w:cs="Arial" w:eastAsia="Arial" w:hAnsi="Arial"/>
          <w:color w:val="1a202c"/>
          <w:sz w:val="22"/>
          <w:szCs w:val="22"/>
        </w:rPr>
        <w:t xml:space="preserve">The procedure as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1F5F9" w:val="clear"/>
            <w:tcMar>
              <w:top w:type="dxa" w:w="120"/>
              <w:left w:type="dxa" w:w="160"/>
              <w:bottom w:type="dxa" w:w="120"/>
              <w:right w:type="dxa" w:w="160"/>
            </w:tcMar>
          </w:tcPr>
          <w:p>
            <w:pPr>
              <w:spacing w:after="0" w:before="0" w:line="240"/>
            </w:pPr>
            <w:r>
              <w:rPr>
                <w:rFonts w:ascii="Consolas" w:cs="Consolas" w:eastAsia="Consolas" w:hAnsi="Consolas"/>
                <w:color w:val="1a202c"/>
                <w:sz w:val="18"/>
                <w:szCs w:val="18"/>
              </w:rPr>
              <w:t xml:space="preserve">1. Resolve PI name → OpenAlex Author ID (via /authors?search=)</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2. Fetch most recent corresponding-author paper</w:t>
            </w:r>
          </w:p>
          <w:p>
            <w:pPr>
              <w:spacing w:after="0" w:before="0" w:line="240"/>
            </w:pPr>
            <w:r>
              <w:rPr>
                <w:rFonts w:ascii="Consolas" w:cs="Consolas" w:eastAsia="Consolas" w:hAnsi="Consolas"/>
                <w:color w:val="1a202c"/>
                <w:sz w:val="18"/>
                <w:szCs w:val="18"/>
              </w:rPr>
              <w:t xml:space="preserve">   GET /works?filter=author.id:{id},authorship.is_corresponding:true</w:t>
            </w:r>
          </w:p>
          <w:p>
            <w:pPr>
              <w:spacing w:after="0" w:before="0" w:line="240"/>
            </w:pPr>
            <w:r>
              <w:rPr>
                <w:rFonts w:ascii="Consolas" w:cs="Consolas" w:eastAsia="Consolas" w:hAnsi="Consolas"/>
                <w:color w:val="1a202c"/>
                <w:sz w:val="18"/>
                <w:szCs w:val="18"/>
              </w:rPr>
              <w:t xml:space="preserve">       &amp;sort=publication_date:desc&amp;per_page=1</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3. Extract the DOI from the work record (no email is available)</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4. Display in expandable row:</w:t>
            </w:r>
          </w:p>
          <w:p>
            <w:pPr>
              <w:spacing w:after="0" w:before="0" w:line="240"/>
            </w:pPr>
            <w:r>
              <w:rPr>
                <w:rFonts w:ascii="Consolas" w:cs="Consolas" w:eastAsia="Consolas" w:hAnsi="Consolas"/>
                <w:color w:val="1a202c"/>
                <w:sz w:val="18"/>
                <w:szCs w:val="18"/>
              </w:rPr>
              <w:t xml:space="preserve">   "No public email · Most recent paper: [DOI as link]"</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5. Tooltip: "OpenAlex public API does not expose corresponding-author emails.</w:t>
            </w:r>
          </w:p>
          <w:p>
            <w:pPr>
              <w:spacing w:after="0" w:before="0" w:line="240"/>
            </w:pPr>
            <w:r>
              <w:rPr>
                <w:rFonts w:ascii="Consolas" w:cs="Consolas" w:eastAsia="Consolas" w:hAnsi="Consolas"/>
                <w:color w:val="1a202c"/>
                <w:sz w:val="18"/>
                <w:szCs w:val="18"/>
              </w:rPr>
              <w:t xml:space="preserve">   Click the DOI to get contact details from the publisher page."</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6. If no corresponding-author work found:</w:t>
            </w:r>
          </w:p>
          <w:p>
            <w:pPr>
              <w:spacing w:after="0" w:before="0" w:line="240"/>
            </w:pPr>
            <w:r>
              <w:rPr>
                <w:rFonts w:ascii="Consolas" w:cs="Consolas" w:eastAsia="Consolas" w:hAnsi="Consolas"/>
                <w:color w:val="1a202c"/>
                <w:sz w:val="18"/>
                <w:szCs w:val="18"/>
              </w:rPr>
              <w:t xml:space="preserve">   "No public-domain DOI available for this PI"</w:t>
            </w:r>
          </w:p>
          <w:p>
            <w:pPr>
              <w:spacing w:after="0" w:before="0" w:line="240"/>
            </w:pPr>
            <w:r>
              <w:rPr>
                <w:rFonts w:ascii="Consolas" w:cs="Consolas" w:eastAsia="Consolas" w:hAnsi="Consolas"/>
                <w:color w:val="1a202c"/>
                <w:sz w:val="18"/>
                <w:szCs w:val="18"/>
              </w:rPr>
              <w:t xml:space="preserve">   (Do NOT scrape institutional pages. Do NOT guess emails.)</w:t>
            </w:r>
          </w:p>
        </w:tc>
      </w:tr>
    </w:tbl>
    <w:p>
      <w:pPr>
        <w:spacing w:after="80" w:before="80" w:line="300"/>
      </w:pPr>
      <w:r>
        <w:rPr>
          <w:rFonts w:ascii="Arial" w:cs="Arial" w:eastAsia="Arial" w:hAnsi="Arial"/>
          <w:color w:val="1a202c"/>
          <w:sz w:val="22"/>
          <w:szCs w:val="22"/>
        </w:rPr>
        <w:t xml:space="preserve">Enrichment fires lazily on row expand — never eagerly on table load. Per-row state: loading | loaded | unavailable. The unavailable state must be visible to editors (small grey indicator), not silently absent.</w:t>
      </w:r>
    </w:p>
    <w:p>
      <w:pPr>
        <w:pStyle w:val="Heading2"/>
        <w:spacing w:after="120" w:before="240"/>
      </w:pPr>
      <w:r>
        <w:rPr>
          <w:rFonts w:ascii="Arial" w:cs="Arial" w:eastAsia="Arial" w:hAnsi="Arial"/>
          <w:b/>
          <w:bCs/>
          <w:color w:val="2b6cb0"/>
          <w:sz w:val="28"/>
          <w:szCs w:val="28"/>
        </w:rPr>
        <w:t xml:space="preserve">4.7 CSV export</w:t>
      </w:r>
    </w:p>
    <w:p>
      <w:pPr>
        <w:spacing w:after="80" w:before="80" w:line="300"/>
      </w:pPr>
      <w:r>
        <w:rPr>
          <w:rFonts w:ascii="Arial" w:cs="Arial" w:eastAsia="Arial" w:hAnsi="Arial"/>
          <w:color w:val="1a202c"/>
          <w:sz w:val="22"/>
          <w:szCs w:val="22"/>
        </w:rPr>
        <w:t xml:space="preserve">The CSV schema reuses the suite-shared format established by journal-overlap and journal-profiler. The shipped schema has 23 columns, with a coverage disclaimer in a Note column on every row so the file remains honest about its provenance after it leaves the tool. Where columns do not apply to grant records (citation counts, journal identity), they are included but left empty rather than omitted, so downstream tooling that expects the canonical schema does not break.</w:t>
      </w:r>
    </w:p>
    <w:p>
      <w:pPr>
        <w:pStyle w:val="Heading1"/>
        <w:spacing w:after="180" w:before="360"/>
      </w:pPr>
      <w:r>
        <w:rPr>
          <w:rFonts w:ascii="Arial" w:cs="Arial" w:eastAsia="Arial" w:hAnsi="Arial"/>
          <w:b/>
          <w:bCs/>
          <w:color w:val="1e3a5f"/>
          <w:sz w:val="36"/>
          <w:szCs w:val="36"/>
        </w:rPr>
        <w:t xml:space="preserve">5. Architecture &amp; data pipeline</w:t>
      </w:r>
    </w:p>
    <w:p>
      <w:pPr>
        <w:pStyle w:val="Heading2"/>
        <w:spacing w:after="120" w:before="240"/>
      </w:pPr>
      <w:r>
        <w:rPr>
          <w:rFonts w:ascii="Arial" w:cs="Arial" w:eastAsia="Arial" w:hAnsi="Arial"/>
          <w:b/>
          <w:bCs/>
          <w:color w:val="2b6cb0"/>
          <w:sz w:val="28"/>
          <w:szCs w:val="28"/>
        </w:rPr>
        <w:t xml:space="preserve">5.1 High-level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1F5F9" w:val="clear"/>
            <w:tcMar>
              <w:top w:type="dxa" w:w="120"/>
              <w:left w:type="dxa" w:w="160"/>
              <w:bottom w:type="dxa" w:w="120"/>
              <w:right w:type="dxa" w:w="160"/>
            </w:tcMar>
          </w:tcPr>
          <w:p>
            <w:pPr>
              <w:spacing w:after="0" w:before="0" w:line="240"/>
            </w:pPr>
            <w:r>
              <w:rPr>
                <w:rFonts w:ascii="Consolas" w:cs="Consolas" w:eastAsia="Consolas" w:hAnsi="Consolas"/>
                <w:color w:val="1a202c"/>
                <w:sz w:val="18"/>
                <w:szCs w:val="18"/>
              </w:rPr>
              <w:t xml:space="preserve">User submits query (keywords [+ optional topic IDs] + filters)</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 OpenAlex /awards adapter (api/openalex.js)</w:t>
            </w:r>
          </w:p>
          <w:p>
            <w:pPr>
              <w:spacing w:after="0" w:before="0" w:line="240"/>
            </w:pPr>
            <w:r>
              <w:rPr>
                <w:rFonts w:ascii="Consolas" w:cs="Consolas" w:eastAsia="Consolas" w:hAnsi="Consolas"/>
                <w:color w:val="1a202c"/>
                <w:sz w:val="18"/>
                <w:szCs w:val="18"/>
              </w:rPr>
              <w:t xml:space="preserve">         │           paginates, applies select=, normalises to CanonicalGrant</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 OpenAIRE /graph/v1/projects adapter (api/openaire.js)</w:t>
            </w:r>
          </w:p>
          <w:p>
            <w:pPr>
              <w:spacing w:after="0" w:before="0" w:line="240"/>
            </w:pPr>
            <w:r>
              <w:rPr>
                <w:rFonts w:ascii="Consolas" w:cs="Consolas" w:eastAsia="Consolas" w:hAnsi="Consolas"/>
                <w:color w:val="1a202c"/>
                <w:sz w:val="18"/>
                <w:szCs w:val="18"/>
              </w:rPr>
              <w:t xml:space="preserve">                     paginates, returns CanonicalGrant</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useSearch hook (Promise.allSettled, AbortController)</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analytics.mergeAndDedupe(grants)</w:t>
            </w:r>
          </w:p>
          <w:p>
            <w:pPr>
              <w:spacing w:after="0" w:before="0" w:line="240"/>
            </w:pPr>
            <w:r>
              <w:rPr>
                <w:rFonts w:ascii="Consolas" w:cs="Consolas" w:eastAsia="Consolas" w:hAnsi="Consolas"/>
                <w:color w:val="1a202c"/>
                <w:sz w:val="18"/>
                <w:szCs w:val="18"/>
              </w:rPr>
              <w:t xml:space="preserve">       v1: source-badged duplicates kept; no fuzzy merging</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analytics.classifyActive(grant, today)</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analytics.toUSD(amount, currency)  [static FX table v1]</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   ResultsTable renders sorted+filtered view</w:t>
            </w:r>
          </w:p>
          <w:p>
            <w:pPr>
              <w:spacing w:after="0" w:before="0" w:line="240"/>
            </w:pPr>
            <w:r>
              <w:rPr>
                <w:rFonts w:ascii="Consolas" w:cs="Consolas" w:eastAsia="Consolas" w:hAnsi="Consolas"/>
                <w:color w:val="1a202c"/>
                <w:sz w:val="18"/>
                <w:szCs w:val="18"/>
              </w:rPr>
              <w:t xml:space="preserve">   On row expand: enrichment.fetchPIWorkSampleDOI(pi)</w:t>
            </w:r>
          </w:p>
          <w:p>
            <w:pPr>
              <w:spacing w:after="0" w:before="0" w:line="240"/>
            </w:pPr>
            <w:r>
              <w:rPr>
                <w:rFonts w:ascii="Consolas" w:cs="Consolas" w:eastAsia="Consolas" w:hAnsi="Consolas"/>
                <w:color w:val="1a202c"/>
                <w:sz w:val="18"/>
                <w:szCs w:val="18"/>
              </w:rPr>
              <w:t xml:space="preserve">   CSV export writes the same view</w:t>
            </w:r>
          </w:p>
        </w:tc>
      </w:tr>
    </w:tbl>
    <w:p>
      <w:pPr>
        <w:pStyle w:val="Heading2"/>
        <w:spacing w:after="120" w:before="240"/>
      </w:pPr>
      <w:r>
        <w:rPr>
          <w:rFonts w:ascii="Arial" w:cs="Arial" w:eastAsia="Arial" w:hAnsi="Arial"/>
          <w:b/>
          <w:bCs/>
          <w:color w:val="2b6cb0"/>
          <w:sz w:val="28"/>
          <w:szCs w:val="28"/>
        </w:rPr>
        <w:t xml:space="preserve">5.2 Computation location</w:t>
      </w:r>
    </w:p>
    <w:p>
      <w:pPr>
        <w:spacing w:after="80" w:before="80" w:line="300"/>
      </w:pPr>
      <w:r>
        <w:rPr>
          <w:rFonts w:ascii="Arial" w:cs="Arial" w:eastAsia="Arial" w:hAnsi="Arial"/>
          <w:color w:val="1a202c"/>
          <w:sz w:val="22"/>
          <w:szCs w:val="22"/>
        </w:rPr>
        <w:t xml:space="preserve">All computation runs client-side. CORS confirmed on both APIs in the Q2 2026 spike. Static FX rates are hard-coded in constants.js from a snapshot at build time; live FX is a v2 concern.</w:t>
      </w:r>
    </w:p>
    <w:p>
      <w:pPr>
        <w:pStyle w:val="Heading1"/>
        <w:spacing w:after="180" w:before="360"/>
      </w:pPr>
      <w:r>
        <w:rPr>
          <w:rFonts w:ascii="Arial" w:cs="Arial" w:eastAsia="Arial" w:hAnsi="Arial"/>
          <w:b/>
          <w:bCs/>
          <w:color w:val="1e3a5f"/>
          <w:sz w:val="36"/>
          <w:szCs w:val="36"/>
        </w:rPr>
        <w:t xml:space="preserve">6. API &amp; data source reference</w:t>
      </w:r>
    </w:p>
    <w:p>
      <w:pPr>
        <w:pStyle w:val="Heading2"/>
        <w:spacing w:after="120" w:before="240"/>
      </w:pPr>
      <w:r>
        <w:rPr>
          <w:rFonts w:ascii="Arial" w:cs="Arial" w:eastAsia="Arial" w:hAnsi="Arial"/>
          <w:b/>
          <w:bCs/>
          <w:color w:val="2b6cb0"/>
          <w:sz w:val="28"/>
          <w:szCs w:val="28"/>
        </w:rPr>
        <w:t xml:space="preserve">6.1 OpenAlex</w:t>
      </w:r>
    </w:p>
    <w:p>
      <w:pPr>
        <w:spacing w:after="80" w:before="80" w:line="300"/>
      </w:pPr>
      <w:r>
        <w:rPr>
          <w:rFonts w:ascii="Arial" w:cs="Arial" w:eastAsia="Arial" w:hAnsi="Arial"/>
          <w:color w:val="1a202c"/>
          <w:sz w:val="22"/>
          <w:szCs w:val="22"/>
        </w:rPr>
        <w:t xml:space="preserve">OpenAlex made awards a first-class entity in Q1 2026 with the Walden release. The previous grants property on Works is deprecated and replaced by the funders + awards properties. Grant Radar builds against the new /awards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Endpoint</w:t>
            </w:r>
          </w:p>
        </w:tc>
        <w:tc>
          <w:tcPr>
            <w:tcW w:type="dxa" w:w="58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Use</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/awards?search={q}&amp;filter=...</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Primary award search. Filterable by funder ID, country, start date.</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/awards/{id}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Single award detail.</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/funders?search={name}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Resolve funder name to OpenAlex funder ID before filtering. Never filter by free-text funder name.</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/funders/{id}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Funder detail (homepage, country, alt names) for tooltips.</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/authors?search={name}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PI name → OpenAlex Author ID. First step in DOI lookup chain.</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/works?filter=author.id:{id},authorship.is_corresponding:true&amp;sort=publication_date:desc&amp;per_page=1</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Most recent corresponding-author paper. Returns DOI; does NOT return email.</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/topics?search={q}</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Optional topic disambiguation panel.</w:t>
            </w:r>
          </w:p>
        </w:tc>
      </w:tr>
    </w:tbl>
    <w:p>
      <w:pPr>
        <w:spacing w:after="80" w:before="80" w:line="300"/>
      </w:pPr>
      <w:r>
        <w:rPr>
          <w:rFonts w:ascii="Arial" w:cs="Arial" w:eastAsia="Arial" w:hAnsi="Arial"/>
          <w:color w:val="1a202c"/>
          <w:sz w:val="22"/>
          <w:szCs w:val="22"/>
        </w:rPr>
        <w:t xml:space="preserve">Conventions: per_page=200 for paged endpoints, mailto=mcavalleri@wiley.com query parameter for the Polite Pool, 60ms delay between paginated requests, select= to reduce response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8"/>
              <w:left w:val="single" w:color="C05621" w:sz="8"/>
              <w:bottom w:val="single" w:color="C05621" w:sz="8"/>
              <w:right w:val="single" w:color="C05621" w:sz="8"/>
            </w:tcBorders>
            <w:shd w:fill="FFF4E5" w:val="clear"/>
            <w:tcMar>
              <w:top w:type="dxa" w:w="160"/>
              <w:left w:type="dxa" w:w="200"/>
              <w:bottom w:type="dxa" w:w="160"/>
              <w:right w:type="dxa" w:w="200"/>
            </w:tcMar>
          </w:tcPr>
          <w:p>
            <w:pPr>
              <w:spacing w:after="80" w:before="0"/>
            </w:pPr>
            <w:r>
              <w:rPr>
                <w:rFonts w:ascii="Arial" w:cs="Arial" w:eastAsia="Arial" w:hAnsi="Arial"/>
                <w:b/>
                <w:bCs/>
                <w:color w:val="C05621"/>
                <w:sz w:val="22"/>
                <w:szCs w:val="22"/>
              </w:rPr>
              <w:t xml:space="preserve">OpenAlex caveats</w:t>
            </w:r>
          </w:p>
          <w:p>
            <w:pPr>
              <w:spacing w:after="60" w:before="0" w:line="280"/>
            </w:pPr>
            <w:r>
              <w:rPr>
                <w:rFonts w:ascii="Arial" w:cs="Arial" w:eastAsia="Arial" w:hAnsi="Arial"/>
                <w:color w:val="1a202c"/>
                <w:sz w:val="22"/>
                <w:szCs w:val="22"/>
              </w:rPr>
              <w:t xml:space="preserve">• /awards is brand new (Q1 2026) — wrap in adapter so any schema shift is a one-file change.</w:t>
            </w:r>
          </w:p>
          <w:p>
            <w:pPr>
              <w:spacing w:after="60" w:before="0" w:line="280"/>
            </w:pPr>
            <w:r>
              <w:rPr>
                <w:rFonts w:ascii="Arial" w:cs="Arial" w:eastAsia="Arial" w:hAnsi="Arial"/>
                <w:color w:val="1a202c"/>
                <w:sz w:val="22"/>
                <w:szCs w:val="22"/>
              </w:rPr>
              <w:t xml:space="preserve">• Funder coverage skews heavily to Crossref-registered funders — predominantly US and EU.</w:t>
            </w:r>
          </w:p>
          <w:p>
            <w:pPr>
              <w:spacing w:after="60" w:before="0" w:line="280"/>
            </w:pPr>
            <w:r>
              <w:rPr>
                <w:rFonts w:ascii="Arial" w:cs="Arial" w:eastAsia="Arial" w:hAnsi="Arial"/>
                <w:color w:val="1a202c"/>
                <w:sz w:val="22"/>
                <w:szCs w:val="22"/>
              </w:rPr>
              <w:t xml:space="preserve">• 27M of the funder→work links are extracted from full-text PDFs by OpenAlex and are probabilistic.</w:t>
            </w:r>
          </w:p>
          <w:p>
            <w:pPr>
              <w:spacing w:after="60" w:before="0" w:line="280"/>
            </w:pPr>
            <w:r>
              <w:rPr>
                <w:rFonts w:ascii="Arial" w:cs="Arial" w:eastAsia="Arial" w:hAnsi="Arial"/>
                <w:color w:val="1a202c"/>
                <w:sz w:val="22"/>
                <w:szCs w:val="22"/>
              </w:rPr>
              <w:t xml:space="preserve">• The public API does NOT expose corresponding-author emails. corresponding_author_ids is an array of OpenAlex Author IDs (not email addresses). Do not attempt to extract email from the API response. Surface the work-sample DOI and let editors get contact details from the publisher page.</w:t>
            </w:r>
          </w:p>
        </w:tc>
      </w:tr>
    </w:tbl>
    <w:p>
      <w:pPr>
        <w:pStyle w:val="Heading2"/>
        <w:spacing w:after="120" w:before="240"/>
      </w:pPr>
      <w:r>
        <w:rPr>
          <w:rFonts w:ascii="Arial" w:cs="Arial" w:eastAsia="Arial" w:hAnsi="Arial"/>
          <w:b/>
          <w:bCs/>
          <w:color w:val="2b6cb0"/>
          <w:sz w:val="28"/>
          <w:szCs w:val="28"/>
        </w:rPr>
        <w:t xml:space="preserve">6.2 OpenAIRE Graph API</w:t>
      </w:r>
    </w:p>
    <w:p>
      <w:pPr>
        <w:spacing w:after="80" w:before="80" w:line="300"/>
      </w:pPr>
      <w:r>
        <w:rPr>
          <w:rFonts w:ascii="Arial" w:cs="Arial" w:eastAsia="Arial" w:hAnsi="Arial"/>
          <w:color w:val="1a202c"/>
          <w:sz w:val="22"/>
          <w:szCs w:val="22"/>
        </w:rPr>
        <w:t xml:space="preserve">OpenAIRE's old Search API (api.openaire.eu/search/projects) is being phased out on May 31, 2026. Grant Radar builds against the new Graph API at api.openaire.eu/graph/v1.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8"/>
              <w:left w:val="single" w:color="9B2C2C" w:sz="8"/>
              <w:bottom w:val="single" w:color="9B2C2C" w:sz="8"/>
              <w:right w:val="single" w:color="9B2C2C" w:sz="8"/>
            </w:tcBorders>
            <w:shd w:fill="FED7D7" w:val="clear"/>
            <w:tcMar>
              <w:top w:type="dxa" w:w="160"/>
              <w:left w:type="dxa" w:w="200"/>
              <w:bottom w:type="dxa" w:w="160"/>
              <w:right w:type="dxa" w:w="200"/>
            </w:tcMar>
          </w:tcPr>
          <w:p>
            <w:pPr>
              <w:spacing w:after="80" w:before="0"/>
            </w:pPr>
            <w:r>
              <w:rPr>
                <w:rFonts w:ascii="Arial" w:cs="Arial" w:eastAsia="Arial" w:hAnsi="Arial"/>
                <w:b/>
                <w:bCs/>
                <w:color w:val="9B2C2C"/>
                <w:sz w:val="22"/>
                <w:szCs w:val="22"/>
              </w:rPr>
              <w:t xml:space="preserve">Path correction</w:t>
            </w:r>
          </w:p>
          <w:p>
            <w:pPr>
              <w:spacing w:after="60" w:before="0" w:line="280"/>
            </w:pPr>
            <w:r>
              <w:rPr>
                <w:rFonts w:ascii="Arial" w:cs="Arial" w:eastAsia="Arial" w:hAnsi="Arial"/>
                <w:color w:val="1a202c"/>
                <w:sz w:val="22"/>
                <w:szCs w:val="22"/>
              </w:rPr>
              <w:t xml:space="preserve">The original brief specified api.openaire.eu/graph/projects. The actual production path is api.openaire.eu/graph/v1/projects. The path without /v1/ returns HTTP 405. Do not omit the version segment.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Endpoint</w:t>
            </w:r>
          </w:p>
        </w:tc>
        <w:tc>
          <w:tcPr>
            <w:tcW w:type="dxa" w:w="58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Use</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/graph/v1/projects?search={q}&amp;page=1&amp;pageSize=50</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Primary project search.</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/graph/v1/projects/{id}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Single project detail.</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/graph/v1/organizations/{id}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Institution lookup for tooltips.</w:t>
            </w:r>
          </w:p>
        </w:tc>
      </w:tr>
    </w:tbl>
    <w:p>
      <w:pPr>
        <w:spacing w:after="80" w:before="80" w:line="300"/>
      </w:pPr>
      <w:r>
        <w:rPr>
          <w:rFonts w:ascii="Arial" w:cs="Arial" w:eastAsia="Arial" w:hAnsi="Arial"/>
          <w:color w:val="1a202c"/>
          <w:sz w:val="22"/>
          <w:szCs w:val="22"/>
        </w:rPr>
        <w:t xml:space="preserve">Public access requires no authentication for v1 use volumes. Authenticated access is available via OAuth client-credentials but requires a stored client_secret and is therefore deferred to v2 with a thin proxy. Hard limit of 10,000 results per traditional paged query; cursor-based access is available for larger pulls but not needed for editorial-scope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8"/>
              <w:left w:val="single" w:color="C05621" w:sz="8"/>
              <w:bottom w:val="single" w:color="C05621" w:sz="8"/>
              <w:right w:val="single" w:color="C05621" w:sz="8"/>
            </w:tcBorders>
            <w:shd w:fill="FFF4E5" w:val="clear"/>
            <w:tcMar>
              <w:top w:type="dxa" w:w="160"/>
              <w:left w:type="dxa" w:w="200"/>
              <w:bottom w:type="dxa" w:w="160"/>
              <w:right w:type="dxa" w:w="200"/>
            </w:tcMar>
          </w:tcPr>
          <w:p>
            <w:pPr>
              <w:spacing w:after="80" w:before="0"/>
            </w:pPr>
            <w:r>
              <w:rPr>
                <w:rFonts w:ascii="Arial" w:cs="Arial" w:eastAsia="Arial" w:hAnsi="Arial"/>
                <w:b/>
                <w:bCs/>
                <w:color w:val="C05621"/>
                <w:sz w:val="22"/>
                <w:szCs w:val="22"/>
              </w:rPr>
              <w:t xml:space="preserve">OpenAIRE coverage caveats</w:t>
            </w:r>
          </w:p>
          <w:p>
            <w:pPr>
              <w:spacing w:after="60" w:before="0" w:line="280"/>
            </w:pPr>
            <w:r>
              <w:rPr>
                <w:rFonts w:ascii="Arial" w:cs="Arial" w:eastAsia="Arial" w:hAnsi="Arial"/>
                <w:color w:val="1a202c"/>
                <w:sz w:val="22"/>
                <w:szCs w:val="22"/>
              </w:rPr>
              <w:t xml:space="preserve">• CORS confirmed in Q2 2026 spike — Access-Control-Allow-Origin: * present. Static-only viable.</w:t>
            </w:r>
          </w:p>
          <w:p>
            <w:pPr>
              <w:spacing w:after="60" w:before="0" w:line="280"/>
            </w:pPr>
            <w:r>
              <w:rPr>
                <w:rFonts w:ascii="Arial" w:cs="Arial" w:eastAsia="Arial" w:hAnsi="Arial"/>
                <w:color w:val="1a202c"/>
                <w:sz w:val="22"/>
                <w:szCs w:val="22"/>
              </w:rPr>
              <w:t xml:space="preserve">• PI is not always exposed on project records — fall back to project coordinator name.</w:t>
            </w:r>
          </w:p>
          <w:p>
            <w:pPr>
              <w:spacing w:after="60" w:before="0" w:line="280"/>
            </w:pPr>
            <w:r>
              <w:rPr>
                <w:rFonts w:ascii="Arial" w:cs="Arial" w:eastAsia="Arial" w:hAnsi="Arial"/>
                <w:color w:val="1a202c"/>
                <w:sz w:val="22"/>
                <w:szCs w:val="22"/>
              </w:rPr>
              <w:t xml:space="preserve">• Grant amount frequently null. Currency varies; capture both native and USD-converted, never silently coerce.</w:t>
            </w:r>
          </w:p>
          <w:p>
            <w:pPr>
              <w:spacing w:after="60" w:before="0" w:line="280"/>
            </w:pPr>
            <w:r>
              <w:rPr>
                <w:rFonts w:ascii="Arial" w:cs="Arial" w:eastAsia="Arial" w:hAnsi="Arial"/>
                <w:color w:val="1a202c"/>
                <w:sz w:val="22"/>
                <w:szCs w:val="22"/>
              </w:rPr>
              <w:t xml:space="preserve">• Subject classification uses FOS (Fields of Science), NOT OpenAlex Topics.</w:t>
            </w:r>
          </w:p>
          <w:p>
            <w:pPr>
              <w:spacing w:after="60" w:before="0" w:line="280"/>
            </w:pPr>
            <w:r>
              <w:rPr>
                <w:rFonts w:ascii="Arial" w:cs="Arial" w:eastAsia="Arial" w:hAnsi="Arial"/>
                <w:color w:val="1a202c"/>
                <w:sz w:val="22"/>
                <w:szCs w:val="22"/>
              </w:rPr>
              <w:t xml:space="preserve">• Coverage skews HEAVILY to EU-funded research (Horizon Europe, ERC, national EU funders). Empirical Q2 2026 numbers for AIDI-relevant queries: "self-driving laboratory" returns 102 OpenAlex / 2 OpenAIRE; "autonomous discovery" returns 441 OpenAlex / 29 OpenAIRE. The Results view MUST surface this asymmetry per §3.4.</w:t>
            </w:r>
          </w:p>
        </w:tc>
      </w:tr>
    </w:tbl>
    <w:p>
      <w:pPr>
        <w:pStyle w:val="Heading2"/>
        <w:spacing w:after="120" w:before="240"/>
      </w:pPr>
      <w:r>
        <w:rPr>
          <w:rFonts w:ascii="Arial" w:cs="Arial" w:eastAsia="Arial" w:hAnsi="Arial"/>
          <w:b/>
          <w:bCs/>
          <w:color w:val="2b6cb0"/>
          <w:sz w:val="28"/>
          <w:szCs w:val="28"/>
        </w:rPr>
        <w:t xml:space="preserve">6.3 Source-merging policy (v1)</w:t>
      </w:r>
    </w:p>
    <w:p>
      <w:pPr>
        <w:spacing w:after="80" w:before="80" w:line="300"/>
      </w:pPr>
      <w:r>
        <w:rPr>
          <w:rFonts w:ascii="Arial" w:cs="Arial" w:eastAsia="Arial" w:hAnsi="Arial"/>
          <w:color w:val="1a202c"/>
          <w:sz w:val="22"/>
          <w:szCs w:val="22"/>
        </w:rPr>
        <w:t xml:space="preserve">OpenAlex and OpenAIRE both cover Horizon Europe, UKRI, and several other major funders, so the same grant can appear in both sources. v1 keeps both with explicit source badges; no fuzzy merging. v2 may add exact-ID dedup on funder + award_id where the two sources expose matching identifiers.</w:t>
      </w:r>
    </w:p>
    <w:p>
      <w:pPr>
        <w:pStyle w:val="Heading1"/>
        <w:spacing w:after="180" w:before="360"/>
      </w:pPr>
      <w:r>
        <w:rPr>
          <w:rFonts w:ascii="Arial" w:cs="Arial" w:eastAsia="Arial" w:hAnsi="Arial"/>
          <w:b/>
          <w:bCs/>
          <w:color w:val="1e3a5f"/>
          <w:sz w:val="36"/>
          <w:szCs w:val="36"/>
        </w:rPr>
        <w:t xml:space="preserve">7. UI structure</w:t>
      </w:r>
    </w:p>
    <w:p>
      <w:pPr>
        <w:pStyle w:val="Heading2"/>
        <w:spacing w:after="120" w:before="240"/>
      </w:pPr>
      <w:r>
        <w:rPr>
          <w:rFonts w:ascii="Arial" w:cs="Arial" w:eastAsia="Arial" w:hAnsi="Arial"/>
          <w:b/>
          <w:bCs/>
          <w:color w:val="2b6cb0"/>
          <w:sz w:val="28"/>
          <w:szCs w:val="28"/>
        </w:rPr>
        <w:t xml:space="preserve">7.1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Tab</w:t>
            </w:r>
          </w:p>
        </w:tc>
        <w:tc>
          <w:tcPr>
            <w:tcW w:type="dxa" w:w="7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pPr>
            <w:r>
              <w:rPr>
                <w:rFonts w:ascii="Arial" w:cs="Arial" w:eastAsia="Arial" w:hAnsi="Arial"/>
                <w:b/>
                <w:bCs/>
                <w:color w:val="1e3a5f"/>
                <w:sz w:val="22"/>
                <w:szCs w:val="22"/>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Search</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Keyword input, filter setup, optional OpenAlex Topic disambiguation panel (collapsed by default), Run/Cancel button, progress bar.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Results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Sortable table (5 columns), filter bar, expandable rows, CSV export, persistent global coverage banner, per-query EU-skew warning (when triggered), data-freshness footer. PRIMARY EDITORIAL WORKING SURFACE.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About</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before="0" w:line="280"/>
            </w:pPr>
            <w:r>
              <w:rPr>
                <w:rFonts w:ascii="Arial" w:cs="Arial" w:eastAsia="Arial" w:hAnsi="Arial"/>
                <w:color w:val="1a202c"/>
                <w:sz w:val="21"/>
                <w:szCs w:val="21"/>
              </w:rPr>
              <w:t xml:space="preserve">Methodology, data sources, limitations, version, link to repo, contact.</w:t>
            </w:r>
          </w:p>
        </w:tc>
      </w:tr>
    </w:tbl>
    <w:p>
      <w:pPr>
        <w:pStyle w:val="Heading2"/>
        <w:spacing w:after="120" w:before="240"/>
      </w:pPr>
      <w:r>
        <w:rPr>
          <w:rFonts w:ascii="Arial" w:cs="Arial" w:eastAsia="Arial" w:hAnsi="Arial"/>
          <w:b/>
          <w:bCs/>
          <w:color w:val="2b6cb0"/>
          <w:sz w:val="28"/>
          <w:szCs w:val="28"/>
        </w:rPr>
        <w:t xml:space="preserve">7.2 Colour tokens (inherited)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1F5F9" w:val="clear"/>
            <w:tcMar>
              <w:top w:type="dxa" w:w="120"/>
              <w:left w:type="dxa" w:w="160"/>
              <w:bottom w:type="dxa" w:w="120"/>
              <w:right w:type="dxa" w:w="160"/>
            </w:tcMar>
          </w:tcPr>
          <w:p>
            <w:pPr>
              <w:spacing w:after="0" w:before="0" w:line="240"/>
            </w:pPr>
            <w:r>
              <w:rPr>
                <w:rFonts w:ascii="Consolas" w:cs="Consolas" w:eastAsia="Consolas" w:hAnsi="Consolas"/>
                <w:color w:val="1a202c"/>
                <w:sz w:val="18"/>
                <w:szCs w:val="18"/>
              </w:rPr>
              <w:t xml:space="preserve">bg:           "#0d111c"</w:t>
            </w:r>
          </w:p>
          <w:p>
            <w:pPr>
              <w:spacing w:after="0" w:before="0" w:line="240"/>
            </w:pPr>
            <w:r>
              <w:rPr>
                <w:rFonts w:ascii="Consolas" w:cs="Consolas" w:eastAsia="Consolas" w:hAnsi="Consolas"/>
                <w:color w:val="1a202c"/>
                <w:sz w:val="18"/>
                <w:szCs w:val="18"/>
              </w:rPr>
              <w:t xml:space="preserve">surface:      "#131826"  (cards, panels)</w:t>
            </w:r>
          </w:p>
          <w:p>
            <w:pPr>
              <w:spacing w:after="0" w:before="0" w:line="240"/>
            </w:pPr>
            <w:r>
              <w:rPr>
                <w:rFonts w:ascii="Consolas" w:cs="Consolas" w:eastAsia="Consolas" w:hAnsi="Consolas"/>
                <w:color w:val="1a202c"/>
                <w:sz w:val="18"/>
                <w:szCs w:val="18"/>
              </w:rPr>
              <w:t xml:space="preserve">surface-2:    "#161b2a"  (raised cards, modal backgrounds)</w:t>
            </w:r>
          </w:p>
          <w:p>
            <w:pPr>
              <w:spacing w:after="0" w:before="0" w:line="240"/>
            </w:pPr>
            <w:r>
              <w:rPr>
                <w:rFonts w:ascii="Consolas" w:cs="Consolas" w:eastAsia="Consolas" w:hAnsi="Consolas"/>
                <w:color w:val="1a202c"/>
                <w:sz w:val="18"/>
                <w:szCs w:val="18"/>
              </w:rPr>
              <w:t xml:space="preserve">border:       "#1e2436"</w:t>
            </w:r>
          </w:p>
          <w:p>
            <w:pPr>
              <w:spacing w:after="0" w:before="0" w:line="240"/>
            </w:pPr>
            <w:r>
              <w:rPr>
                <w:rFonts w:ascii="Consolas" w:cs="Consolas" w:eastAsia="Consolas" w:hAnsi="Consolas"/>
                <w:color w:val="1a202c"/>
                <w:sz w:val="18"/>
                <w:szCs w:val="18"/>
              </w:rPr>
              <w:t xml:space="preserve">border-2:     "#2d3449"</w:t>
            </w:r>
          </w:p>
          <w:p>
            <w:pPr>
              <w:spacing w:after="0" w:before="0" w:line="240"/>
            </w:pPr>
            <w:r>
              <w:rPr>
                <w:rFonts w:ascii="Consolas" w:cs="Consolas" w:eastAsia="Consolas" w:hAnsi="Consolas"/>
                <w:color w:val="1a202c"/>
                <w:sz w:val="18"/>
                <w:szCs w:val="18"/>
              </w:rPr>
              <w:t xml:space="preserve">textPrimary:  "#e2e8f0"</w:t>
            </w:r>
          </w:p>
          <w:p>
            <w:pPr>
              <w:spacing w:after="0" w:before="0" w:line="240"/>
            </w:pPr>
            <w:r>
              <w:rPr>
                <w:rFonts w:ascii="Consolas" w:cs="Consolas" w:eastAsia="Consolas" w:hAnsi="Consolas"/>
                <w:color w:val="1a202c"/>
                <w:sz w:val="18"/>
                <w:szCs w:val="18"/>
              </w:rPr>
              <w:t xml:space="preserve">textMuted:    "#718096"</w:t>
            </w:r>
          </w:p>
          <w:p>
            <w:pPr>
              <w:spacing w:after="0" w:before="0" w:line="240"/>
            </w:pPr>
            <w:r>
              <w:rPr>
                <w:rFonts w:ascii="Consolas" w:cs="Consolas" w:eastAsia="Consolas" w:hAnsi="Consolas"/>
                <w:color w:val="1a202c"/>
                <w:sz w:val="18"/>
                <w:szCs w:val="18"/>
              </w:rPr>
              <w:t xml:space="preserve">blue:         "#63b3ed"  (primary action, links)</w:t>
            </w:r>
          </w:p>
          <w:p>
            <w:pPr>
              <w:spacing w:after="0" w:before="0" w:line="240"/>
            </w:pPr>
            <w:r>
              <w:rPr>
                <w:rFonts w:ascii="Consolas" w:cs="Consolas" w:eastAsia="Consolas" w:hAnsi="Consolas"/>
                <w:color w:val="1a202c"/>
                <w:sz w:val="18"/>
                <w:szCs w:val="18"/>
              </w:rPr>
              <w:t xml:space="preserve">amber:        "#f6ad55"  (caveats, "n/a" indicators, EU-skew warning)</w:t>
            </w:r>
          </w:p>
          <w:p>
            <w:pPr>
              <w:spacing w:after="0" w:before="0" w:line="240"/>
            </w:pPr>
            <w:r>
              <w:rPr>
                <w:rFonts w:ascii="Consolas" w:cs="Consolas" w:eastAsia="Consolas" w:hAnsi="Consolas"/>
                <w:color w:val="1a202c"/>
                <w:sz w:val="18"/>
                <w:szCs w:val="18"/>
              </w:rPr>
              <w:t xml:space="preserve">green:        "#9ae6b4"  (active grant indicator)</w:t>
            </w:r>
          </w:p>
          <w:p>
            <w:pPr>
              <w:spacing w:after="0" w:before="0" w:line="240"/>
            </w:pPr>
            <w:r>
              <w:rPr>
                <w:rFonts w:ascii="Consolas" w:cs="Consolas" w:eastAsia="Consolas" w:hAnsi="Consolas"/>
                <w:color w:val="1a202c"/>
                <w:sz w:val="18"/>
                <w:szCs w:val="18"/>
              </w:rPr>
              <w:t xml:space="preserve"> </w:t>
            </w:r>
          </w:p>
          <w:p>
            <w:pPr>
              <w:spacing w:after="0" w:before="0" w:line="240"/>
            </w:pPr>
            <w:r>
              <w:rPr>
                <w:rFonts w:ascii="Consolas" w:cs="Consolas" w:eastAsia="Consolas" w:hAnsi="Consolas"/>
                <w:color w:val="1a202c"/>
                <w:sz w:val="18"/>
                <w:szCs w:val="18"/>
              </w:rPr>
              <w:t xml:space="preserve">fonts:</w:t>
            </w:r>
          </w:p>
          <w:p>
            <w:pPr>
              <w:spacing w:after="0" w:before="0" w:line="240"/>
            </w:pPr>
            <w:r>
              <w:rPr>
                <w:rFonts w:ascii="Consolas" w:cs="Consolas" w:eastAsia="Consolas" w:hAnsi="Consolas"/>
                <w:color w:val="1a202c"/>
                <w:sz w:val="18"/>
                <w:szCs w:val="18"/>
              </w:rPr>
              <w:t xml:space="preserve">  IBM Plex Mono — UI numbers, IDs, table data</w:t>
            </w:r>
          </w:p>
          <w:p>
            <w:pPr>
              <w:spacing w:after="0" w:before="0" w:line="240"/>
            </w:pPr>
            <w:r>
              <w:rPr>
                <w:rFonts w:ascii="Consolas" w:cs="Consolas" w:eastAsia="Consolas" w:hAnsi="Consolas"/>
                <w:color w:val="1a202c"/>
                <w:sz w:val="18"/>
                <w:szCs w:val="18"/>
              </w:rPr>
              <w:t xml:space="preserve">  IBM Plex Sans — labels, buttons, prose</w:t>
            </w:r>
          </w:p>
        </w:tc>
      </w:tr>
    </w:tbl>
    <w:p>
      <w:pPr>
        <w:pStyle w:val="Heading1"/>
        <w:spacing w:after="180" w:before="360"/>
      </w:pPr>
      <w:r>
        <w:rPr>
          <w:rFonts w:ascii="Arial" w:cs="Arial" w:eastAsia="Arial" w:hAnsi="Arial"/>
          <w:b/>
          <w:bCs/>
          <w:color w:val="1e3a5f"/>
          <w:sz w:val="36"/>
          <w:szCs w:val="36"/>
        </w:rPr>
        <w:t xml:space="preserve">8. Implementation notes</w:t>
      </w:r>
    </w:p>
    <w:p>
      <w:pPr>
        <w:pStyle w:val="Heading2"/>
        <w:spacing w:after="120" w:before="240"/>
      </w:pPr>
      <w:r>
        <w:rPr>
          <w:rFonts w:ascii="Arial" w:cs="Arial" w:eastAsia="Arial" w:hAnsi="Arial"/>
          <w:b/>
          <w:bCs/>
          <w:color w:val="2b6cb0"/>
          <w:sz w:val="28"/>
          <w:szCs w:val="28"/>
        </w:rPr>
        <w:t xml:space="preserve">8.1 Repo structure (as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1F5F9" w:val="clear"/>
            <w:tcMar>
              <w:top w:type="dxa" w:w="120"/>
              <w:left w:type="dxa" w:w="160"/>
              <w:bottom w:type="dxa" w:w="120"/>
              <w:right w:type="dxa" w:w="160"/>
            </w:tcMar>
          </w:tcPr>
          <w:p>
            <w:pPr>
              <w:spacing w:after="0" w:before="0" w:line="240"/>
            </w:pPr>
            <w:r>
              <w:rPr>
                <w:rFonts w:ascii="Consolas" w:cs="Consolas" w:eastAsia="Consolas" w:hAnsi="Consolas"/>
                <w:color w:val="1a202c"/>
                <w:sz w:val="18"/>
                <w:szCs w:val="18"/>
              </w:rPr>
              <w:t xml:space="preserve">src/</w:t>
            </w:r>
          </w:p>
          <w:p>
            <w:pPr>
              <w:spacing w:after="0" w:before="0" w:line="240"/>
            </w:pPr>
            <w:r>
              <w:rPr>
                <w:rFonts w:ascii="Consolas" w:cs="Consolas" w:eastAsia="Consolas" w:hAnsi="Consolas"/>
                <w:color w:val="1a202c"/>
                <w:sz w:val="18"/>
                <w:szCs w:val="18"/>
              </w:rPr>
              <w:t xml:space="preserve">  App.jsx</w:t>
            </w:r>
          </w:p>
          <w:p>
            <w:pPr>
              <w:spacing w:after="0" w:before="0" w:line="240"/>
            </w:pPr>
            <w:r>
              <w:rPr>
                <w:rFonts w:ascii="Consolas" w:cs="Consolas" w:eastAsia="Consolas" w:hAnsi="Consolas"/>
                <w:color w:val="1a202c"/>
                <w:sz w:val="18"/>
                <w:szCs w:val="18"/>
              </w:rPr>
              <w:t xml:space="preserve">  constants.js              ← FX rates, filter options, recency choices</w:t>
            </w:r>
          </w:p>
          <w:p>
            <w:pPr>
              <w:spacing w:after="0" w:before="0" w:line="240"/>
            </w:pPr>
            <w:r>
              <w:rPr>
                <w:rFonts w:ascii="Consolas" w:cs="Consolas" w:eastAsia="Consolas" w:hAnsi="Consolas"/>
                <w:color w:val="1a202c"/>
                <w:sz w:val="18"/>
                <w:szCs w:val="18"/>
              </w:rPr>
              <w:t xml:space="preserve">  hooks/</w:t>
            </w:r>
          </w:p>
          <w:p>
            <w:pPr>
              <w:spacing w:after="0" w:before="0" w:line="240"/>
            </w:pPr>
            <w:r>
              <w:rPr>
                <w:rFonts w:ascii="Consolas" w:cs="Consolas" w:eastAsia="Consolas" w:hAnsi="Consolas"/>
                <w:color w:val="1a202c"/>
                <w:sz w:val="18"/>
                <w:szCs w:val="18"/>
              </w:rPr>
              <w:t xml:space="preserve">    useSearch.js            ← AbortController, parallel fetch, useReducer</w:t>
            </w:r>
          </w:p>
          <w:p>
            <w:pPr>
              <w:spacing w:after="0" w:before="0" w:line="240"/>
            </w:pPr>
            <w:r>
              <w:rPr>
                <w:rFonts w:ascii="Consolas" w:cs="Consolas" w:eastAsia="Consolas" w:hAnsi="Consolas"/>
                <w:color w:val="1a202c"/>
                <w:sz w:val="18"/>
                <w:szCs w:val="18"/>
              </w:rPr>
              <w:t xml:space="preserve">  api/</w:t>
            </w:r>
          </w:p>
          <w:p>
            <w:pPr>
              <w:spacing w:after="0" w:before="0" w:line="240"/>
            </w:pPr>
            <w:r>
              <w:rPr>
                <w:rFonts w:ascii="Consolas" w:cs="Consolas" w:eastAsia="Consolas" w:hAnsi="Consolas"/>
                <w:color w:val="1a202c"/>
                <w:sz w:val="18"/>
                <w:szCs w:val="18"/>
              </w:rPr>
              <w:t xml:space="preserve">    config.js               ← base URLs (incl. /graph/v1/), mailto, headers</w:t>
            </w:r>
          </w:p>
          <w:p>
            <w:pPr>
              <w:spacing w:after="0" w:before="0" w:line="240"/>
            </w:pPr>
            <w:r>
              <w:rPr>
                <w:rFonts w:ascii="Consolas" w:cs="Consolas" w:eastAsia="Consolas" w:hAnsi="Consolas"/>
                <w:color w:val="1a202c"/>
                <w:sz w:val="18"/>
                <w:szCs w:val="18"/>
              </w:rPr>
              <w:t xml:space="preserve">    openalex.js             ← single { search, fetchOne } adapter</w:t>
            </w:r>
          </w:p>
          <w:p>
            <w:pPr>
              <w:spacing w:after="0" w:before="0" w:line="240"/>
            </w:pPr>
            <w:r>
              <w:rPr>
                <w:rFonts w:ascii="Consolas" w:cs="Consolas" w:eastAsia="Consolas" w:hAnsi="Consolas"/>
                <w:color w:val="1a202c"/>
                <w:sz w:val="18"/>
                <w:szCs w:val="18"/>
              </w:rPr>
              <w:t xml:space="preserve">    openaire.js             ← single { search, fetchOne } adapter</w:t>
            </w:r>
          </w:p>
          <w:p>
            <w:pPr>
              <w:spacing w:after="0" w:before="0" w:line="240"/>
            </w:pPr>
            <w:r>
              <w:rPr>
                <w:rFonts w:ascii="Consolas" w:cs="Consolas" w:eastAsia="Consolas" w:hAnsi="Consolas"/>
                <w:color w:val="1a202c"/>
                <w:sz w:val="18"/>
                <w:szCs w:val="18"/>
              </w:rPr>
              <w:t xml:space="preserve">    enrichment.js           ← PI work-sample DOI lookup (NO email)</w:t>
            </w:r>
          </w:p>
          <w:p>
            <w:pPr>
              <w:spacing w:after="0" w:before="0" w:line="240"/>
            </w:pPr>
            <w:r>
              <w:rPr>
                <w:rFonts w:ascii="Consolas" w:cs="Consolas" w:eastAsia="Consolas" w:hAnsi="Consolas"/>
                <w:color w:val="1a202c"/>
                <w:sz w:val="18"/>
                <w:szCs w:val="18"/>
              </w:rPr>
              <w:t xml:space="preserve">  analytics.js              ← pure normalisation/merging</w:t>
            </w:r>
          </w:p>
          <w:p>
            <w:pPr>
              <w:spacing w:after="0" w:before="0" w:line="240"/>
            </w:pPr>
            <w:r>
              <w:rPr>
                <w:rFonts w:ascii="Consolas" w:cs="Consolas" w:eastAsia="Consolas" w:hAnsi="Consolas"/>
                <w:color w:val="1a202c"/>
                <w:sz w:val="18"/>
                <w:szCs w:val="18"/>
              </w:rPr>
              <w:t xml:space="preserve">  csv.js                    ← shared CSV schema (23 cols, suite-coherent)</w:t>
            </w:r>
          </w:p>
          <w:p>
            <w:pPr>
              <w:spacing w:after="0" w:before="0" w:line="240"/>
            </w:pPr>
            <w:r>
              <w:rPr>
                <w:rFonts w:ascii="Consolas" w:cs="Consolas" w:eastAsia="Consolas" w:hAnsi="Consolas"/>
                <w:color w:val="1a202c"/>
                <w:sz w:val="18"/>
                <w:szCs w:val="18"/>
              </w:rPr>
              <w:t xml:space="preserve">  components/</w:t>
            </w:r>
          </w:p>
          <w:p>
            <w:pPr>
              <w:spacing w:after="0" w:before="0" w:line="240"/>
            </w:pPr>
            <w:r>
              <w:rPr>
                <w:rFonts w:ascii="Consolas" w:cs="Consolas" w:eastAsia="Consolas" w:hAnsi="Consolas"/>
                <w:color w:val="1a202c"/>
                <w:sz w:val="18"/>
                <w:szCs w:val="18"/>
              </w:rPr>
              <w:t xml:space="preserve">    SearchPanel.jsx</w:t>
            </w:r>
          </w:p>
          <w:p>
            <w:pPr>
              <w:spacing w:after="0" w:before="0" w:line="240"/>
            </w:pPr>
            <w:r>
              <w:rPr>
                <w:rFonts w:ascii="Consolas" w:cs="Consolas" w:eastAsia="Consolas" w:hAnsi="Consolas"/>
                <w:color w:val="1a202c"/>
                <w:sz w:val="18"/>
                <w:szCs w:val="18"/>
              </w:rPr>
              <w:t xml:space="preserve">    TopicDisambiguator.jsx</w:t>
            </w:r>
          </w:p>
          <w:p>
            <w:pPr>
              <w:spacing w:after="0" w:before="0" w:line="240"/>
            </w:pPr>
            <w:r>
              <w:rPr>
                <w:rFonts w:ascii="Consolas" w:cs="Consolas" w:eastAsia="Consolas" w:hAnsi="Consolas"/>
                <w:color w:val="1a202c"/>
                <w:sz w:val="18"/>
                <w:szCs w:val="18"/>
              </w:rPr>
              <w:t xml:space="preserve">    ResultsTable.jsx</w:t>
            </w:r>
          </w:p>
          <w:p>
            <w:pPr>
              <w:spacing w:after="0" w:before="0" w:line="240"/>
            </w:pPr>
            <w:r>
              <w:rPr>
                <w:rFonts w:ascii="Consolas" w:cs="Consolas" w:eastAsia="Consolas" w:hAnsi="Consolas"/>
                <w:color w:val="1a202c"/>
                <w:sz w:val="18"/>
                <w:szCs w:val="18"/>
              </w:rPr>
              <w:t xml:space="preserve">    SortableHeader.jsx</w:t>
            </w:r>
          </w:p>
          <w:p>
            <w:pPr>
              <w:spacing w:after="0" w:before="0" w:line="240"/>
            </w:pPr>
            <w:r>
              <w:rPr>
                <w:rFonts w:ascii="Consolas" w:cs="Consolas" w:eastAsia="Consolas" w:hAnsi="Consolas"/>
                <w:color w:val="1a202c"/>
                <w:sz w:val="18"/>
                <w:szCs w:val="18"/>
              </w:rPr>
              <w:t xml:space="preserve">    FilterBar.jsx</w:t>
            </w:r>
          </w:p>
          <w:p>
            <w:pPr>
              <w:spacing w:after="0" w:before="0" w:line="240"/>
            </w:pPr>
            <w:r>
              <w:rPr>
                <w:rFonts w:ascii="Consolas" w:cs="Consolas" w:eastAsia="Consolas" w:hAnsi="Consolas"/>
                <w:color w:val="1a202c"/>
                <w:sz w:val="18"/>
                <w:szCs w:val="18"/>
              </w:rPr>
              <w:t xml:space="preserve">    CoverageBanner.jsx           ← persistent, global</w:t>
            </w:r>
          </w:p>
          <w:p>
            <w:pPr>
              <w:spacing w:after="0" w:before="0" w:line="240"/>
            </w:pPr>
            <w:r>
              <w:rPr>
                <w:rFonts w:ascii="Consolas" w:cs="Consolas" w:eastAsia="Consolas" w:hAnsi="Consolas"/>
                <w:color w:val="1a202c"/>
                <w:sz w:val="18"/>
                <w:szCs w:val="18"/>
              </w:rPr>
              <w:t xml:space="preserve">    SourceAsymmetryWarning.jsx   ← per-query, inline</w:t>
            </w:r>
          </w:p>
          <w:p>
            <w:pPr>
              <w:spacing w:after="0" w:before="0" w:line="240"/>
            </w:pPr>
            <w:r>
              <w:rPr>
                <w:rFonts w:ascii="Consolas" w:cs="Consolas" w:eastAsia="Consolas" w:hAnsi="Consolas"/>
                <w:color w:val="1a202c"/>
                <w:sz w:val="18"/>
                <w:szCs w:val="18"/>
              </w:rPr>
              <w:t xml:space="preserve">    DataFreshnessFooter.jsx</w:t>
            </w:r>
          </w:p>
          <w:p>
            <w:pPr>
              <w:spacing w:after="0" w:before="0" w:line="240"/>
            </w:pPr>
            <w:r>
              <w:rPr>
                <w:rFonts w:ascii="Consolas" w:cs="Consolas" w:eastAsia="Consolas" w:hAnsi="Consolas"/>
                <w:color w:val="1a202c"/>
                <w:sz w:val="18"/>
                <w:szCs w:val="18"/>
              </w:rPr>
              <w:t xml:space="preserve">    ExpandableRow.jsx</w:t>
            </w:r>
          </w:p>
          <w:p>
            <w:pPr>
              <w:spacing w:after="0" w:before="0" w:line="240"/>
            </w:pPr>
            <w:r>
              <w:rPr>
                <w:rFonts w:ascii="Consolas" w:cs="Consolas" w:eastAsia="Consolas" w:hAnsi="Consolas"/>
                <w:color w:val="1a202c"/>
                <w:sz w:val="18"/>
                <w:szCs w:val="18"/>
              </w:rPr>
              <w:t xml:space="preserve">    ProgressBar.jsx</w:t>
            </w:r>
          </w:p>
          <w:p>
            <w:pPr>
              <w:spacing w:after="0" w:before="0" w:line="240"/>
            </w:pPr>
            <w:r>
              <w:rPr>
                <w:rFonts w:ascii="Consolas" w:cs="Consolas" w:eastAsia="Consolas" w:hAnsi="Consolas"/>
                <w:color w:val="1a202c"/>
                <w:sz w:val="18"/>
                <w:szCs w:val="18"/>
              </w:rPr>
              <w:t xml:space="preserve">    AboutTab.jsx</w:t>
            </w:r>
          </w:p>
          <w:p>
            <w:pPr>
              <w:spacing w:after="0" w:before="0" w:line="240"/>
            </w:pPr>
            <w:r>
              <w:rPr>
                <w:rFonts w:ascii="Consolas" w:cs="Consolas" w:eastAsia="Consolas" w:hAnsi="Consolas"/>
                <w:color w:val="1a202c"/>
                <w:sz w:val="18"/>
                <w:szCs w:val="18"/>
              </w:rPr>
              <w:t xml:space="preserve">  __tests__/</w:t>
            </w:r>
          </w:p>
          <w:p>
            <w:pPr>
              <w:spacing w:after="0" w:before="0" w:line="240"/>
            </w:pPr>
            <w:r>
              <w:rPr>
                <w:rFonts w:ascii="Consolas" w:cs="Consolas" w:eastAsia="Consolas" w:hAnsi="Consolas"/>
                <w:color w:val="1a202c"/>
                <w:sz w:val="18"/>
                <w:szCs w:val="18"/>
              </w:rPr>
              <w:t xml:space="preserve">    analytics.test.js</w:t>
            </w:r>
          </w:p>
          <w:p>
            <w:pPr>
              <w:spacing w:after="0" w:before="0" w:line="240"/>
            </w:pPr>
            <w:r>
              <w:rPr>
                <w:rFonts w:ascii="Consolas" w:cs="Consolas" w:eastAsia="Consolas" w:hAnsi="Consolas"/>
                <w:color w:val="1a202c"/>
                <w:sz w:val="18"/>
                <w:szCs w:val="18"/>
              </w:rPr>
              <w:t xml:space="preserve">    csv.test.js</w:t>
            </w:r>
          </w:p>
          <w:p>
            <w:pPr>
              <w:spacing w:after="0" w:before="0" w:line="240"/>
            </w:pPr>
            <w:r>
              <w:rPr>
                <w:rFonts w:ascii="Consolas" w:cs="Consolas" w:eastAsia="Consolas" w:hAnsi="Consolas"/>
                <w:color w:val="1a202c"/>
                <w:sz w:val="18"/>
                <w:szCs w:val="18"/>
              </w:rPr>
              <w:t xml:space="preserve">    openalex.normalise.test.js</w:t>
            </w:r>
          </w:p>
          <w:p>
            <w:pPr>
              <w:spacing w:after="0" w:before="0" w:line="240"/>
            </w:pPr>
            <w:r>
              <w:rPr>
                <w:rFonts w:ascii="Consolas" w:cs="Consolas" w:eastAsia="Consolas" w:hAnsi="Consolas"/>
                <w:color w:val="1a202c"/>
                <w:sz w:val="18"/>
                <w:szCs w:val="18"/>
              </w:rPr>
              <w:t xml:space="preserve">    openaire.normalise.test.js</w:t>
            </w:r>
          </w:p>
          <w:p>
            <w:pPr>
              <w:spacing w:after="0" w:before="0" w:line="240"/>
            </w:pPr>
            <w:r>
              <w:rPr>
                <w:rFonts w:ascii="Consolas" w:cs="Consolas" w:eastAsia="Consolas" w:hAnsi="Consolas"/>
                <w:color w:val="1a202c"/>
                <w:sz w:val="18"/>
                <w:szCs w:val="18"/>
              </w:rPr>
              <w:t xml:space="preserve">    fixtures/</w:t>
            </w:r>
          </w:p>
          <w:p>
            <w:pPr>
              <w:spacing w:after="0" w:before="0" w:line="240"/>
            </w:pPr>
            <w:r>
              <w:rPr>
                <w:rFonts w:ascii="Consolas" w:cs="Consolas" w:eastAsia="Consolas" w:hAnsi="Consolas"/>
                <w:color w:val="1a202c"/>
                <w:sz w:val="18"/>
                <w:szCs w:val="18"/>
              </w:rPr>
              <w:t xml:space="preserve">      openalex_award.json</w:t>
            </w:r>
          </w:p>
          <w:p>
            <w:pPr>
              <w:spacing w:after="0" w:before="0" w:line="240"/>
            </w:pPr>
            <w:r>
              <w:rPr>
                <w:rFonts w:ascii="Consolas" w:cs="Consolas" w:eastAsia="Consolas" w:hAnsi="Consolas"/>
                <w:color w:val="1a202c"/>
                <w:sz w:val="18"/>
                <w:szCs w:val="18"/>
              </w:rPr>
              <w:t xml:space="preserve">      openaire_project.json</w:t>
            </w:r>
          </w:p>
          <w:p>
            <w:pPr>
              <w:spacing w:after="0" w:before="0" w:line="240"/>
            </w:pPr>
            <w:r>
              <w:rPr>
                <w:rFonts w:ascii="Consolas" w:cs="Consolas" w:eastAsia="Consolas" w:hAnsi="Consolas"/>
                <w:color w:val="1a202c"/>
                <w:sz w:val="18"/>
                <w:szCs w:val="18"/>
              </w:rPr>
              <w:t xml:space="preserve">      README.md            ← refresh policy: re-capture every 6 months</w:t>
            </w:r>
          </w:p>
          <w:p>
            <w:pPr>
              <w:spacing w:after="0" w:before="0" w:line="240"/>
            </w:pPr>
            <w:r>
              <w:rPr>
                <w:rFonts w:ascii="Consolas" w:cs="Consolas" w:eastAsia="Consolas" w:hAnsi="Consolas"/>
                <w:color w:val="1a202c"/>
                <w:sz w:val="18"/>
                <w:szCs w:val="18"/>
              </w:rPr>
              <w:t xml:space="preserve">public/index.html</w:t>
            </w:r>
          </w:p>
          <w:p>
            <w:pPr>
              <w:spacing w:after="0" w:before="0" w:line="240"/>
            </w:pPr>
            <w:r>
              <w:rPr>
                <w:rFonts w:ascii="Consolas" w:cs="Consolas" w:eastAsia="Consolas" w:hAnsi="Consolas"/>
                <w:color w:val="1a202c"/>
                <w:sz w:val="18"/>
                <w:szCs w:val="18"/>
              </w:rPr>
              <w:t xml:space="preserve">vite.config.js</w:t>
            </w:r>
          </w:p>
          <w:p>
            <w:pPr>
              <w:spacing w:after="0" w:before="0" w:line="240"/>
            </w:pPr>
            <w:r>
              <w:rPr>
                <w:rFonts w:ascii="Consolas" w:cs="Consolas" w:eastAsia="Consolas" w:hAnsi="Consolas"/>
                <w:color w:val="1a202c"/>
                <w:sz w:val="18"/>
                <w:szCs w:val="18"/>
              </w:rPr>
              <w:t xml:space="preserve">.github/workflows/deploy.yml</w:t>
            </w:r>
          </w:p>
        </w:tc>
      </w:tr>
    </w:tbl>
    <w:p>
      <w:pPr>
        <w:pStyle w:val="Heading2"/>
        <w:spacing w:after="120" w:before="240"/>
      </w:pPr>
      <w:r>
        <w:rPr>
          <w:rFonts w:ascii="Arial" w:cs="Arial" w:eastAsia="Arial" w:hAnsi="Arial"/>
          <w:b/>
          <w:bCs/>
          <w:color w:val="2b6cb0"/>
          <w:sz w:val="28"/>
          <w:szCs w:val="28"/>
        </w:rPr>
        <w:t xml:space="preserve">8.2 Key functions in analytics.js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1F5F9" w:val="clear"/>
            <w:tcMar>
              <w:top w:type="dxa" w:w="120"/>
              <w:left w:type="dxa" w:w="160"/>
              <w:bottom w:type="dxa" w:w="120"/>
              <w:right w:type="dxa" w:w="160"/>
            </w:tcMar>
          </w:tcPr>
          <w:p>
            <w:pPr>
              <w:spacing w:after="0" w:before="0" w:line="240"/>
            </w:pPr>
            <w:r>
              <w:rPr>
                <w:rFonts w:ascii="Consolas" w:cs="Consolas" w:eastAsia="Consolas" w:hAnsi="Consolas"/>
                <w:color w:val="1a202c"/>
                <w:sz w:val="18"/>
                <w:szCs w:val="18"/>
              </w:rPr>
              <w:t xml:space="preserve">normaliseAward(rec, source)          → CanonicalGrant</w:t>
            </w:r>
          </w:p>
          <w:p>
            <w:pPr>
              <w:spacing w:after="0" w:before="0" w:line="240"/>
            </w:pPr>
            <w:r>
              <w:rPr>
                <w:rFonts w:ascii="Consolas" w:cs="Consolas" w:eastAsia="Consolas" w:hAnsi="Consolas"/>
                <w:color w:val="1a202c"/>
                <w:sz w:val="18"/>
                <w:szCs w:val="18"/>
              </w:rPr>
              <w:t xml:space="preserve">mergeAndDedupe(grants)               → CanonicalGrant[]</w:t>
            </w:r>
          </w:p>
          <w:p>
            <w:pPr>
              <w:spacing w:after="0" w:before="0" w:line="240"/>
            </w:pPr>
            <w:r>
              <w:rPr>
                <w:rFonts w:ascii="Consolas" w:cs="Consolas" w:eastAsia="Consolas" w:hAnsi="Consolas"/>
                <w:color w:val="1a202c"/>
                <w:sz w:val="18"/>
                <w:szCs w:val="18"/>
              </w:rPr>
              <w:t xml:space="preserve">    // v1: source-badged duplicates kept; no fuzzy merging</w:t>
            </w:r>
          </w:p>
          <w:p>
            <w:pPr>
              <w:spacing w:after="0" w:before="0" w:line="240"/>
            </w:pPr>
            <w:r>
              <w:rPr>
                <w:rFonts w:ascii="Consolas" w:cs="Consolas" w:eastAsia="Consolas" w:hAnsi="Consolas"/>
                <w:color w:val="1a202c"/>
                <w:sz w:val="18"/>
                <w:szCs w:val="18"/>
              </w:rPr>
              <w:t xml:space="preserve">classifyActive(grant, today)         → "active" | "recently_ended" | "unknown"</w:t>
            </w:r>
          </w:p>
          <w:p>
            <w:pPr>
              <w:spacing w:after="0" w:before="0" w:line="240"/>
            </w:pPr>
            <w:r>
              <w:rPr>
                <w:rFonts w:ascii="Consolas" w:cs="Consolas" w:eastAsia="Consolas" w:hAnsi="Consolas"/>
                <w:color w:val="1a202c"/>
                <w:sz w:val="18"/>
                <w:szCs w:val="18"/>
              </w:rPr>
              <w:t xml:space="preserve">monthsSince(dateStr, today)          → number | null</w:t>
            </w:r>
          </w:p>
          <w:p>
            <w:pPr>
              <w:spacing w:after="0" w:before="0" w:line="240"/>
            </w:pPr>
            <w:r>
              <w:rPr>
                <w:rFonts w:ascii="Consolas" w:cs="Consolas" w:eastAsia="Consolas" w:hAnsi="Consolas"/>
                <w:color w:val="1a202c"/>
                <w:sz w:val="18"/>
                <w:szCs w:val="18"/>
              </w:rPr>
              <w:t xml:space="preserve">applyFilters(grants, filterState)    → CanonicalGrant[]</w:t>
            </w:r>
          </w:p>
          <w:p>
            <w:pPr>
              <w:spacing w:after="0" w:before="0" w:line="240"/>
            </w:pPr>
            <w:r>
              <w:rPr>
                <w:rFonts w:ascii="Consolas" w:cs="Consolas" w:eastAsia="Consolas" w:hAnsi="Consolas"/>
                <w:color w:val="1a202c"/>
                <w:sz w:val="18"/>
                <w:szCs w:val="18"/>
              </w:rPr>
              <w:t xml:space="preserve">sortBy(grants, columnKey, direction) → CanonicalGrant[]</w:t>
            </w:r>
          </w:p>
          <w:p>
            <w:pPr>
              <w:spacing w:after="0" w:before="0" w:line="240"/>
            </w:pPr>
            <w:r>
              <w:rPr>
                <w:rFonts w:ascii="Consolas" w:cs="Consolas" w:eastAsia="Consolas" w:hAnsi="Consolas"/>
                <w:color w:val="1a202c"/>
                <w:sz w:val="18"/>
                <w:szCs w:val="18"/>
              </w:rPr>
              <w:t xml:space="preserve">toUSD(amount, currency, fxRates)     → number | null</w:t>
            </w:r>
          </w:p>
        </w:tc>
      </w:tr>
    </w:tbl>
    <w:p>
      <w:pPr>
        <w:pStyle w:val="Heading2"/>
        <w:spacing w:after="120" w:before="240"/>
      </w:pPr>
      <w:r>
        <w:rPr>
          <w:rFonts w:ascii="Arial" w:cs="Arial" w:eastAsia="Arial" w:hAnsi="Arial"/>
          <w:b/>
          <w:bCs/>
          <w:color w:val="2b6cb0"/>
          <w:sz w:val="28"/>
          <w:szCs w:val="28"/>
        </w:rPr>
        <w:t xml:space="preserve">8.3 Canonical grant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1F5F9" w:val="clear"/>
            <w:tcMar>
              <w:top w:type="dxa" w:w="120"/>
              <w:left w:type="dxa" w:w="160"/>
              <w:bottom w:type="dxa" w:w="120"/>
              <w:right w:type="dxa" w:w="160"/>
            </w:tcMar>
          </w:tcPr>
          <w:p>
            <w:pPr>
              <w:spacing w:after="0" w:before="0" w:line="240"/>
            </w:pPr>
            <w:r>
              <w:rPr>
                <w:rFonts w:ascii="Consolas" w:cs="Consolas" w:eastAsia="Consolas" w:hAnsi="Consolas"/>
                <w:color w:val="1a202c"/>
                <w:sz w:val="18"/>
                <w:szCs w:val="18"/>
              </w:rPr>
              <w:t xml:space="preserve">{</w:t>
            </w:r>
          </w:p>
          <w:p>
            <w:pPr>
              <w:spacing w:after="0" w:before="0" w:line="240"/>
            </w:pPr>
            <w:r>
              <w:rPr>
                <w:rFonts w:ascii="Consolas" w:cs="Consolas" w:eastAsia="Consolas" w:hAnsi="Consolas"/>
                <w:color w:val="1a202c"/>
                <w:sz w:val="18"/>
                <w:szCs w:val="18"/>
              </w:rPr>
              <w:t xml:space="preserve">  source:       "openalex" | "openaire",</w:t>
            </w:r>
          </w:p>
          <w:p>
            <w:pPr>
              <w:spacing w:after="0" w:before="0" w:line="240"/>
            </w:pPr>
            <w:r>
              <w:rPr>
                <w:rFonts w:ascii="Consolas" w:cs="Consolas" w:eastAsia="Consolas" w:hAnsi="Consolas"/>
                <w:color w:val="1a202c"/>
                <w:sz w:val="18"/>
                <w:szCs w:val="18"/>
              </w:rPr>
              <w:t xml:space="preserve">  id:           string,</w:t>
            </w:r>
          </w:p>
          <w:p>
            <w:pPr>
              <w:spacing w:after="0" w:before="0" w:line="240"/>
            </w:pPr>
            <w:r>
              <w:rPr>
                <w:rFonts w:ascii="Consolas" w:cs="Consolas" w:eastAsia="Consolas" w:hAnsi="Consolas"/>
                <w:color w:val="1a202c"/>
                <w:sz w:val="18"/>
                <w:szCs w:val="18"/>
              </w:rPr>
              <w:t xml:space="preserve">  sourceIds:    { openalex?: string, openaire?: string },</w:t>
            </w:r>
          </w:p>
          <w:p>
            <w:pPr>
              <w:spacing w:after="0" w:before="0" w:line="240"/>
            </w:pPr>
            <w:r>
              <w:rPr>
                <w:rFonts w:ascii="Consolas" w:cs="Consolas" w:eastAsia="Consolas" w:hAnsi="Consolas"/>
                <w:color w:val="1a202c"/>
                <w:sz w:val="18"/>
                <w:szCs w:val="18"/>
              </w:rPr>
              <w:t xml:space="preserve">  title:        string,</w:t>
            </w:r>
          </w:p>
          <w:p>
            <w:pPr>
              <w:spacing w:after="0" w:before="0" w:line="240"/>
            </w:pPr>
            <w:r>
              <w:rPr>
                <w:rFonts w:ascii="Consolas" w:cs="Consolas" w:eastAsia="Consolas" w:hAnsi="Consolas"/>
                <w:color w:val="1a202c"/>
                <w:sz w:val="18"/>
                <w:szCs w:val="18"/>
              </w:rPr>
              <w:t xml:space="preserve">  funder:       string,</w:t>
            </w:r>
          </w:p>
          <w:p>
            <w:pPr>
              <w:spacing w:after="0" w:before="0" w:line="240"/>
            </w:pPr>
            <w:r>
              <w:rPr>
                <w:rFonts w:ascii="Consolas" w:cs="Consolas" w:eastAsia="Consolas" w:hAnsi="Consolas"/>
                <w:color w:val="1a202c"/>
                <w:sz w:val="18"/>
                <w:szCs w:val="18"/>
              </w:rPr>
              <w:t xml:space="preserve">  funderId:     string,</w:t>
            </w:r>
          </w:p>
          <w:p>
            <w:pPr>
              <w:spacing w:after="0" w:before="0" w:line="240"/>
            </w:pPr>
            <w:r>
              <w:rPr>
                <w:rFonts w:ascii="Consolas" w:cs="Consolas" w:eastAsia="Consolas" w:hAnsi="Consolas"/>
                <w:color w:val="1a202c"/>
                <w:sz w:val="18"/>
                <w:szCs w:val="18"/>
              </w:rPr>
              <w:t xml:space="preserve">  funderCountry:string,</w:t>
            </w:r>
          </w:p>
          <w:p>
            <w:pPr>
              <w:spacing w:after="0" w:before="0" w:line="240"/>
            </w:pPr>
            <w:r>
              <w:rPr>
                <w:rFonts w:ascii="Consolas" w:cs="Consolas" w:eastAsia="Consolas" w:hAnsi="Consolas"/>
                <w:color w:val="1a202c"/>
                <w:sz w:val="18"/>
                <w:szCs w:val="18"/>
              </w:rPr>
              <w:t xml:space="preserve">  pi:           { name, openalexId?, orcid? },</w:t>
            </w:r>
          </w:p>
          <w:p>
            <w:pPr>
              <w:spacing w:after="0" w:before="0" w:line="240"/>
            </w:pPr>
            <w:r>
              <w:rPr>
                <w:rFonts w:ascii="Consolas" w:cs="Consolas" w:eastAsia="Consolas" w:hAnsi="Consolas"/>
                <w:color w:val="1a202c"/>
                <w:sz w:val="18"/>
                <w:szCs w:val="18"/>
              </w:rPr>
              <w:t xml:space="preserve">  institution:  string,</w:t>
            </w:r>
          </w:p>
          <w:p>
            <w:pPr>
              <w:spacing w:after="0" w:before="0" w:line="240"/>
            </w:pPr>
            <w:r>
              <w:rPr>
                <w:rFonts w:ascii="Consolas" w:cs="Consolas" w:eastAsia="Consolas" w:hAnsi="Consolas"/>
                <w:color w:val="1a202c"/>
                <w:sz w:val="18"/>
                <w:szCs w:val="18"/>
              </w:rPr>
              <w:t xml:space="preserve">  institutionCountry: string,</w:t>
            </w:r>
          </w:p>
          <w:p>
            <w:pPr>
              <w:spacing w:after="0" w:before="0" w:line="240"/>
            </w:pPr>
            <w:r>
              <w:rPr>
                <w:rFonts w:ascii="Consolas" w:cs="Consolas" w:eastAsia="Consolas" w:hAnsi="Consolas"/>
                <w:color w:val="1a202c"/>
                <w:sz w:val="18"/>
                <w:szCs w:val="18"/>
              </w:rPr>
              <w:t xml:space="preserve">  amount:       number | null,</w:t>
            </w:r>
          </w:p>
          <w:p>
            <w:pPr>
              <w:spacing w:after="0" w:before="0" w:line="240"/>
            </w:pPr>
            <w:r>
              <w:rPr>
                <w:rFonts w:ascii="Consolas" w:cs="Consolas" w:eastAsia="Consolas" w:hAnsi="Consolas"/>
                <w:color w:val="1a202c"/>
                <w:sz w:val="18"/>
                <w:szCs w:val="18"/>
              </w:rPr>
              <w:t xml:space="preserve">  amountUSD:    number | null,</w:t>
            </w:r>
          </w:p>
          <w:p>
            <w:pPr>
              <w:spacing w:after="0" w:before="0" w:line="240"/>
            </w:pPr>
            <w:r>
              <w:rPr>
                <w:rFonts w:ascii="Consolas" w:cs="Consolas" w:eastAsia="Consolas" w:hAnsi="Consolas"/>
                <w:color w:val="1a202c"/>
                <w:sz w:val="18"/>
                <w:szCs w:val="18"/>
              </w:rPr>
              <w:t xml:space="preserve">  currency:     string | null,</w:t>
            </w:r>
          </w:p>
          <w:p>
            <w:pPr>
              <w:spacing w:after="0" w:before="0" w:line="240"/>
            </w:pPr>
            <w:r>
              <w:rPr>
                <w:rFonts w:ascii="Consolas" w:cs="Consolas" w:eastAsia="Consolas" w:hAnsi="Consolas"/>
                <w:color w:val="1a202c"/>
                <w:sz w:val="18"/>
                <w:szCs w:val="18"/>
              </w:rPr>
              <w:t xml:space="preserve">  startDate:    string,</w:t>
            </w:r>
          </w:p>
          <w:p>
            <w:pPr>
              <w:spacing w:after="0" w:before="0" w:line="240"/>
            </w:pPr>
            <w:r>
              <w:rPr>
                <w:rFonts w:ascii="Consolas" w:cs="Consolas" w:eastAsia="Consolas" w:hAnsi="Consolas"/>
                <w:color w:val="1a202c"/>
                <w:sz w:val="18"/>
                <w:szCs w:val="18"/>
              </w:rPr>
              <w:t xml:space="preserve">  endDate:      string | null,</w:t>
            </w:r>
          </w:p>
          <w:p>
            <w:pPr>
              <w:spacing w:after="0" w:before="0" w:line="240"/>
            </w:pPr>
            <w:r>
              <w:rPr>
                <w:rFonts w:ascii="Consolas" w:cs="Consolas" w:eastAsia="Consolas" w:hAnsi="Consolas"/>
                <w:color w:val="1a202c"/>
                <w:sz w:val="18"/>
                <w:szCs w:val="18"/>
              </w:rPr>
              <w:t xml:space="preserve">  recencyMonths:number,</w:t>
            </w:r>
          </w:p>
          <w:p>
            <w:pPr>
              <w:spacing w:after="0" w:before="0" w:line="240"/>
            </w:pPr>
            <w:r>
              <w:rPr>
                <w:rFonts w:ascii="Consolas" w:cs="Consolas" w:eastAsia="Consolas" w:hAnsi="Consolas"/>
                <w:color w:val="1a202c"/>
                <w:sz w:val="18"/>
                <w:szCs w:val="18"/>
              </w:rPr>
              <w:t xml:space="preserve">  active:       "active" | "recently_ended" | "unknown",</w:t>
            </w:r>
          </w:p>
          <w:p>
            <w:pPr>
              <w:spacing w:after="0" w:before="0" w:line="240"/>
            </w:pPr>
            <w:r>
              <w:rPr>
                <w:rFonts w:ascii="Consolas" w:cs="Consolas" w:eastAsia="Consolas" w:hAnsi="Consolas"/>
                <w:color w:val="1a202c"/>
                <w:sz w:val="18"/>
                <w:szCs w:val="18"/>
              </w:rPr>
              <w:t xml:space="preserve">  topics:       string[],</w:t>
            </w:r>
          </w:p>
          <w:p>
            <w:pPr>
              <w:spacing w:after="0" w:before="0" w:line="240"/>
            </w:pPr>
            <w:r>
              <w:rPr>
                <w:rFonts w:ascii="Consolas" w:cs="Consolas" w:eastAsia="Consolas" w:hAnsi="Consolas"/>
                <w:color w:val="1a202c"/>
                <w:sz w:val="18"/>
                <w:szCs w:val="18"/>
              </w:rPr>
              <w:t xml:space="preserve">  fos:          string[],</w:t>
            </w:r>
          </w:p>
          <w:p>
            <w:pPr>
              <w:spacing w:after="0" w:before="0" w:line="240"/>
            </w:pPr>
            <w:r>
              <w:rPr>
                <w:rFonts w:ascii="Consolas" w:cs="Consolas" w:eastAsia="Consolas" w:hAnsi="Consolas"/>
                <w:color w:val="1a202c"/>
                <w:sz w:val="18"/>
                <w:szCs w:val="18"/>
              </w:rPr>
              <w:t xml:space="preserve">  workSampleDOI:string | null    // for editorial outreach via publisher page</w:t>
            </w:r>
          </w:p>
          <w:p>
            <w:pPr>
              <w:spacing w:after="0" w:before="0" w:line="240"/>
            </w:pPr>
            <w:r>
              <w:rPr>
                <w:rFonts w:ascii="Consolas" w:cs="Consolas" w:eastAsia="Consolas" w:hAnsi="Consolas"/>
                <w:color w:val="1a202c"/>
                <w:sz w:val="18"/>
                <w:szCs w:val="18"/>
              </w:rPr>
              <w:t xml:space="preserve">}</w:t>
            </w:r>
          </w:p>
        </w:tc>
      </w:tr>
    </w:tbl>
    <w:p>
      <w:pPr>
        <w:pStyle w:val="Heading2"/>
        <w:spacing w:after="120" w:before="240"/>
      </w:pPr>
      <w:r>
        <w:rPr>
          <w:rFonts w:ascii="Arial" w:cs="Arial" w:eastAsia="Arial" w:hAnsi="Arial"/>
          <w:b/>
          <w:bCs/>
          <w:color w:val="2b6cb0"/>
          <w:sz w:val="28"/>
          <w:szCs w:val="28"/>
        </w:rPr>
        <w:t xml:space="preserve">8.4 Testing posture</w:t>
      </w:r>
    </w:p>
    <w:p>
      <w:pPr>
        <w:spacing w:after="80" w:before="80" w:line="300"/>
      </w:pPr>
      <w:r>
        <w:rPr>
          <w:rFonts w:ascii="Arial" w:cs="Arial" w:eastAsia="Arial" w:hAnsi="Arial"/>
          <w:color w:val="1a202c"/>
          <w:sz w:val="22"/>
          <w:szCs w:val="22"/>
        </w:rPr>
        <w:t xml:space="preserve">analytics.js, csv.js, and the normalisers in api/* are pure functions and have unit tests against pinned Q2 2026 fixtures. 61 tests passing as of the v1 build. Fixture refresh policy: re-capture from live APIs every 6 months, with a README in __tests__/fixtures/ documenting the procedure.</w:t>
      </w:r>
    </w:p>
    <w:p>
      <w:pPr>
        <w:pStyle w:val="Heading1"/>
        <w:spacing w:after="180" w:before="360"/>
      </w:pPr>
      <w:r>
        <w:rPr>
          <w:rFonts w:ascii="Arial" w:cs="Arial" w:eastAsia="Arial" w:hAnsi="Arial"/>
          <w:b/>
          <w:bCs/>
          <w:color w:val="1e3a5f"/>
          <w:sz w:val="36"/>
          <w:szCs w:val="36"/>
        </w:rPr>
        <w:t xml:space="preserve">9. Risks &amp; open questions</w:t>
      </w:r>
    </w:p>
    <w:p>
      <w:pPr>
        <w:pStyle w:val="Heading2"/>
        <w:spacing w:after="120" w:before="240"/>
      </w:pPr>
      <w:r>
        <w:rPr>
          <w:rFonts w:ascii="Arial" w:cs="Arial" w:eastAsia="Arial" w:hAnsi="Arial"/>
          <w:b/>
          <w:bCs/>
          <w:color w:val="2b6cb0"/>
          <w:sz w:val="28"/>
          <w:szCs w:val="28"/>
        </w:rPr>
        <w:t xml:space="preserve">9.1 Known v1 issues from manual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8"/>
              <w:left w:val="single" w:color="9B2C2C" w:sz="8"/>
              <w:bottom w:val="single" w:color="9B2C2C" w:sz="8"/>
              <w:right w:val="single" w:color="9B2C2C" w:sz="8"/>
            </w:tcBorders>
            <w:shd w:fill="FED7D7" w:val="clear"/>
            <w:tcMar>
              <w:top w:type="dxa" w:w="160"/>
              <w:left w:type="dxa" w:w="200"/>
              <w:bottom w:type="dxa" w:w="160"/>
              <w:right w:type="dxa" w:w="200"/>
            </w:tcMar>
          </w:tcPr>
          <w:p>
            <w:pPr>
              <w:spacing w:after="80" w:before="0"/>
            </w:pPr>
            <w:r>
              <w:rPr>
                <w:rFonts w:ascii="Arial" w:cs="Arial" w:eastAsia="Arial" w:hAnsi="Arial"/>
                <w:b/>
                <w:bCs/>
                <w:color w:val="9B2C2C"/>
                <w:sz w:val="22"/>
                <w:szCs w:val="22"/>
              </w:rPr>
              <w:t xml:space="preserve">Filter controls non-responsive (April 2026 testing)</w:t>
            </w:r>
          </w:p>
          <w:p>
            <w:pPr>
              <w:spacing w:after="60" w:before="0" w:line="280"/>
            </w:pPr>
            <w:r>
              <w:rPr>
                <w:rFonts w:ascii="Arial" w:cs="Arial" w:eastAsia="Arial" w:hAnsi="Arial"/>
                <w:color w:val="1a202c"/>
                <w:sz w:val="22"/>
                <w:szCs w:val="22"/>
              </w:rPr>
              <w:t xml:space="preserve">Source toggle (deselect OpenAlex), recency window picker, and likely other filter inputs do not respond to user clicks in the deployed UI. Sort columns work. Cancel button could not be tested because queries return too quickly.</w:t>
            </w:r>
          </w:p>
          <w:p>
            <w:pPr>
              <w:spacing w:after="60" w:before="0" w:line="280"/>
            </w:pPr>
            <w:r>
              <w:rPr>
                <w:rFonts w:ascii="Arial" w:cs="Arial" w:eastAsia="Arial" w:hAnsi="Arial"/>
                <w:color w:val="1a202c"/>
                <w:sz w:val="22"/>
                <w:szCs w:val="22"/>
              </w:rPr>
              <w:t xml:space="preserve">Diagnosis: wiring bug between FilterBar dispatch and the useReducer in App.jsx. Fix before pushing to GH Pages.</w:t>
            </w:r>
          </w:p>
        </w:tc>
      </w:tr>
    </w:tbl>
    <w:p>
      <w:pPr>
        <w:pStyle w:val="Heading2"/>
        <w:spacing w:after="120" w:before="240"/>
      </w:pPr>
      <w:r>
        <w:rPr>
          <w:rFonts w:ascii="Arial" w:cs="Arial" w:eastAsia="Arial" w:hAnsi="Arial"/>
          <w:b/>
          <w:bCs/>
          <w:color w:val="2b6cb0"/>
          <w:sz w:val="28"/>
          <w:szCs w:val="28"/>
        </w:rPr>
        <w:t xml:space="preserve">9.2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8"/>
              <w:left w:val="single" w:color="C05621" w:sz="8"/>
              <w:bottom w:val="single" w:color="C05621" w:sz="8"/>
              <w:right w:val="single" w:color="C05621" w:sz="8"/>
            </w:tcBorders>
            <w:shd w:fill="FFF4E5" w:val="clear"/>
            <w:tcMar>
              <w:top w:type="dxa" w:w="160"/>
              <w:left w:type="dxa" w:w="200"/>
              <w:bottom w:type="dxa" w:w="160"/>
              <w:right w:type="dxa" w:w="200"/>
            </w:tcMar>
          </w:tcPr>
          <w:p>
            <w:pPr>
              <w:spacing w:after="80" w:before="0"/>
            </w:pPr>
            <w:r>
              <w:rPr>
                <w:rFonts w:ascii="Arial" w:cs="Arial" w:eastAsia="Arial" w:hAnsi="Arial"/>
                <w:b/>
                <w:bCs/>
                <w:color w:val="C05621"/>
                <w:sz w:val="22"/>
                <w:szCs w:val="22"/>
              </w:rPr>
              <w:t xml:space="preserve">OpenAlex /awards endpoint is brand new</w:t>
            </w:r>
          </w:p>
          <w:p>
            <w:pPr>
              <w:spacing w:after="60" w:before="0" w:line="280"/>
            </w:pPr>
            <w:r>
              <w:rPr>
                <w:rFonts w:ascii="Arial" w:cs="Arial" w:eastAsia="Arial" w:hAnsi="Arial"/>
                <w:color w:val="1a202c"/>
                <w:sz w:val="22"/>
                <w:szCs w:val="22"/>
              </w:rPr>
              <w:t xml:space="preserve">Schema may shift through 2026. Adapter pattern + pinned fixtures contain the damage; refresh fixtures every 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8"/>
              <w:left w:val="single" w:color="C05621" w:sz="8"/>
              <w:bottom w:val="single" w:color="C05621" w:sz="8"/>
              <w:right w:val="single" w:color="C05621" w:sz="8"/>
            </w:tcBorders>
            <w:shd w:fill="FFF4E5" w:val="clear"/>
            <w:tcMar>
              <w:top w:type="dxa" w:w="160"/>
              <w:left w:type="dxa" w:w="200"/>
              <w:bottom w:type="dxa" w:w="160"/>
              <w:right w:type="dxa" w:w="200"/>
            </w:tcMar>
          </w:tcPr>
          <w:p>
            <w:pPr>
              <w:spacing w:after="80" w:before="0"/>
            </w:pPr>
            <w:r>
              <w:rPr>
                <w:rFonts w:ascii="Arial" w:cs="Arial" w:eastAsia="Arial" w:hAnsi="Arial"/>
                <w:b/>
                <w:bCs/>
                <w:color w:val="C05621"/>
                <w:sz w:val="22"/>
                <w:szCs w:val="22"/>
              </w:rPr>
              <w:t xml:space="preserve">OpenAIRE migration completes mid-2026</w:t>
            </w:r>
          </w:p>
          <w:p>
            <w:pPr>
              <w:spacing w:after="60" w:before="0" w:line="280"/>
            </w:pPr>
            <w:r>
              <w:rPr>
                <w:rFonts w:ascii="Arial" w:cs="Arial" w:eastAsia="Arial" w:hAnsi="Arial"/>
                <w:color w:val="1a202c"/>
                <w:sz w:val="22"/>
                <w:szCs w:val="22"/>
              </w:rPr>
              <w:t xml:space="preserve">Building on the production new-API is correct, but expect minor churn through Q3 2026. The May 31 deprecation of the old Search API is a hard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8"/>
              <w:left w:val="single" w:color="C05621" w:sz="8"/>
              <w:bottom w:val="single" w:color="C05621" w:sz="8"/>
              <w:right w:val="single" w:color="C05621" w:sz="8"/>
            </w:tcBorders>
            <w:shd w:fill="FFF4E5" w:val="clear"/>
            <w:tcMar>
              <w:top w:type="dxa" w:w="160"/>
              <w:left w:type="dxa" w:w="200"/>
              <w:bottom w:type="dxa" w:w="160"/>
              <w:right w:type="dxa" w:w="200"/>
            </w:tcMar>
          </w:tcPr>
          <w:p>
            <w:pPr>
              <w:spacing w:after="80" w:before="0"/>
            </w:pPr>
            <w:r>
              <w:rPr>
                <w:rFonts w:ascii="Arial" w:cs="Arial" w:eastAsia="Arial" w:hAnsi="Arial"/>
                <w:b/>
                <w:bCs/>
                <w:color w:val="C05621"/>
                <w:sz w:val="22"/>
                <w:szCs w:val="22"/>
              </w:rPr>
              <w:t xml:space="preserve">Asian and private/philanthropic coverage is genuinely weak</w:t>
            </w:r>
          </w:p>
          <w:p>
            <w:pPr>
              <w:spacing w:after="60" w:before="0" w:line="280"/>
            </w:pPr>
            <w:r>
              <w:rPr>
                <w:rFonts w:ascii="Arial" w:cs="Arial" w:eastAsia="Arial" w:hAnsi="Arial"/>
                <w:color w:val="1a202c"/>
                <w:sz w:val="22"/>
                <w:szCs w:val="22"/>
              </w:rPr>
              <w:t xml:space="preserve">Documented explicitly in-product. v2 plan addresses Asian funders. Private foundations remain a gap until v3.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8"/>
              <w:left w:val="single" w:color="C05621" w:sz="8"/>
              <w:bottom w:val="single" w:color="C05621" w:sz="8"/>
              <w:right w:val="single" w:color="C05621" w:sz="8"/>
            </w:tcBorders>
            <w:shd w:fill="FFF4E5" w:val="clear"/>
            <w:tcMar>
              <w:top w:type="dxa" w:w="160"/>
              <w:left w:type="dxa" w:w="200"/>
              <w:bottom w:type="dxa" w:w="160"/>
              <w:right w:type="dxa" w:w="200"/>
            </w:tcMar>
          </w:tcPr>
          <w:p>
            <w:pPr>
              <w:spacing w:after="80" w:before="0"/>
            </w:pPr>
            <w:r>
              <w:rPr>
                <w:rFonts w:ascii="Arial" w:cs="Arial" w:eastAsia="Arial" w:hAnsi="Arial"/>
                <w:b/>
                <w:bCs/>
                <w:color w:val="C05621"/>
                <w:sz w:val="22"/>
                <w:szCs w:val="22"/>
              </w:rPr>
              <w:t xml:space="preserve">FX rate staleness</w:t>
            </w:r>
          </w:p>
          <w:p>
            <w:pPr>
              <w:spacing w:after="60" w:before="0" w:line="280"/>
            </w:pPr>
            <w:r>
              <w:rPr>
                <w:rFonts w:ascii="Arial" w:cs="Arial" w:eastAsia="Arial" w:hAnsi="Arial"/>
                <w:color w:val="1a202c"/>
                <w:sz w:val="22"/>
                <w:szCs w:val="22"/>
              </w:rPr>
              <w:t xml:space="preserve">Static FX table in constants.js. Footer attribution required wherever USD-converted figures appear.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8"/>
              <w:left w:val="single" w:color="C05621" w:sz="8"/>
              <w:bottom w:val="single" w:color="C05621" w:sz="8"/>
              <w:right w:val="single" w:color="C05621" w:sz="8"/>
            </w:tcBorders>
            <w:shd w:fill="FFF4E5" w:val="clear"/>
            <w:tcMar>
              <w:top w:type="dxa" w:w="160"/>
              <w:left w:type="dxa" w:w="200"/>
              <w:bottom w:type="dxa" w:w="160"/>
              <w:right w:type="dxa" w:w="200"/>
            </w:tcMar>
          </w:tcPr>
          <w:p>
            <w:pPr>
              <w:spacing w:after="80" w:before="0"/>
            </w:pPr>
            <w:r>
              <w:rPr>
                <w:rFonts w:ascii="Arial" w:cs="Arial" w:eastAsia="Arial" w:hAnsi="Arial"/>
                <w:b/>
                <w:bCs/>
                <w:color w:val="C05621"/>
                <w:sz w:val="22"/>
                <w:szCs w:val="22"/>
              </w:rPr>
              <w:t xml:space="preserve">Editorial validation pending</w:t>
            </w:r>
          </w:p>
          <w:p>
            <w:pPr>
              <w:spacing w:after="60" w:before="0" w:line="280"/>
            </w:pPr>
            <w:r>
              <w:rPr>
                <w:rFonts w:ascii="Arial" w:cs="Arial" w:eastAsia="Arial" w:hAnsi="Arial"/>
                <w:color w:val="1a202c"/>
                <w:sz w:val="22"/>
                <w:szCs w:val="22"/>
              </w:rPr>
              <w:t xml:space="preserve">Tool ships v1 with 61 passing tests but the editorial-usefulness check has not been done yet. Recommended before a public push: run three real AIDI commissioning queries, expand top results, ask "would I have known these PIs without the tool?"</w:t>
            </w:r>
          </w:p>
        </w:tc>
      </w:tr>
    </w:tbl>
    <w:p>
      <w:pPr>
        <w:pStyle w:val="Heading1"/>
        <w:spacing w:after="180" w:before="360"/>
      </w:pPr>
      <w:r>
        <w:rPr>
          <w:rFonts w:ascii="Arial" w:cs="Arial" w:eastAsia="Arial" w:hAnsi="Arial"/>
          <w:b/>
          <w:bCs/>
          <w:color w:val="1e3a5f"/>
          <w:sz w:val="36"/>
          <w:szCs w:val="36"/>
        </w:rPr>
        <w:t xml:space="preserve">10. References</w:t>
      </w:r>
    </w:p>
    <w:p>
      <w:pPr>
        <w:pStyle w:val="ListParagraph"/>
        <w:numPr>
          <w:ilvl w:val="0"/>
          <w:numId w:val="2"/>
        </w:numPr>
        <w:spacing w:after="40" w:before="40" w:line="280"/>
      </w:pPr>
      <w:r>
        <w:rPr>
          <w:rFonts w:ascii="Arial" w:cs="Arial" w:eastAsia="Arial" w:hAnsi="Arial"/>
          <w:b/>
          <w:bCs/>
          <w:color w:val="1a202c"/>
          <w:sz w:val="22"/>
          <w:szCs w:val="22"/>
        </w:rPr>
        <w:t xml:space="preserve">OpenAlex Awards documentation: </w:t>
      </w:r>
      <w:hyperlink w:history="1" r:id="rIdsyrcjgriadebeyat7cxcv">
        <w:r>
          <w:rPr>
            <w:rFonts w:ascii="Arial" w:cs="Arial" w:eastAsia="Arial" w:hAnsi="Arial"/>
            <w:color w:val="2b6cb0"/>
            <w:sz w:val="22"/>
            <w:szCs w:val="22"/>
            <w:u w:val="single"/>
          </w:rPr>
          <w:t xml:space="preserve">https://docs.openalex.org/api-entities/awards</w:t>
        </w:r>
      </w:hyperlink>
    </w:p>
    <w:p>
      <w:pPr>
        <w:pStyle w:val="ListParagraph"/>
        <w:numPr>
          <w:ilvl w:val="0"/>
          <w:numId w:val="2"/>
        </w:numPr>
        <w:spacing w:after="40" w:before="40" w:line="280"/>
      </w:pPr>
      <w:r>
        <w:rPr>
          <w:rFonts w:ascii="Arial" w:cs="Arial" w:eastAsia="Arial" w:hAnsi="Arial"/>
          <w:b/>
          <w:bCs/>
          <w:color w:val="1a202c"/>
          <w:sz w:val="22"/>
          <w:szCs w:val="22"/>
        </w:rPr>
        <w:t xml:space="preserve">OpenAlex funding metadata project: </w:t>
      </w:r>
      <w:hyperlink w:history="1" r:id="rIdzq_yugjgqygoi0w0ua3fu">
        <w:r>
          <w:rPr>
            <w:rFonts w:ascii="Arial" w:cs="Arial" w:eastAsia="Arial" w:hAnsi="Arial"/>
            <w:color w:val="2b6cb0"/>
            <w:sz w:val="22"/>
            <w:szCs w:val="22"/>
            <w:u w:val="single"/>
          </w:rPr>
          <w:t xml:space="preserve">https://blog.openalex.org/funding-metadata-in-openalex/</w:t>
        </w:r>
      </w:hyperlink>
    </w:p>
    <w:p>
      <w:pPr>
        <w:pStyle w:val="ListParagraph"/>
        <w:numPr>
          <w:ilvl w:val="0"/>
          <w:numId w:val="2"/>
        </w:numPr>
        <w:spacing w:after="40" w:before="40" w:line="280"/>
      </w:pPr>
      <w:r>
        <w:rPr>
          <w:rFonts w:ascii="Arial" w:cs="Arial" w:eastAsia="Arial" w:hAnsi="Arial"/>
          <w:b/>
          <w:bCs/>
          <w:color w:val="1a202c"/>
          <w:sz w:val="22"/>
          <w:szCs w:val="22"/>
        </w:rPr>
        <w:t xml:space="preserve">OpenAlex Funders documentation: </w:t>
      </w:r>
      <w:hyperlink w:history="1" r:id="rId7pcwpfxan0jadnflj32iz">
        <w:r>
          <w:rPr>
            <w:rFonts w:ascii="Arial" w:cs="Arial" w:eastAsia="Arial" w:hAnsi="Arial"/>
            <w:color w:val="2b6cb0"/>
            <w:sz w:val="22"/>
            <w:szCs w:val="22"/>
            <w:u w:val="single"/>
          </w:rPr>
          <w:t xml:space="preserve">https://docs.openalex.org/api-entities/funders</w:t>
        </w:r>
      </w:hyperlink>
    </w:p>
    <w:p>
      <w:pPr>
        <w:pStyle w:val="ListParagraph"/>
        <w:numPr>
          <w:ilvl w:val="0"/>
          <w:numId w:val="2"/>
        </w:numPr>
        <w:spacing w:after="40" w:before="40" w:line="280"/>
      </w:pPr>
      <w:r>
        <w:rPr>
          <w:rFonts w:ascii="Arial" w:cs="Arial" w:eastAsia="Arial" w:hAnsi="Arial"/>
          <w:b/>
          <w:bCs/>
          <w:color w:val="1a202c"/>
          <w:sz w:val="22"/>
          <w:szCs w:val="22"/>
        </w:rPr>
        <w:t xml:space="preserve">OpenAIRE Graph API (v1): </w:t>
      </w:r>
      <w:hyperlink w:history="1" r:id="rIdj5dbxi1_vlxyweryz7kxm">
        <w:r>
          <w:rPr>
            <w:rFonts w:ascii="Arial" w:cs="Arial" w:eastAsia="Arial" w:hAnsi="Arial"/>
            <w:color w:val="2b6cb0"/>
            <w:sz w:val="22"/>
            <w:szCs w:val="22"/>
            <w:u w:val="single"/>
          </w:rPr>
          <w:t xml:space="preserve">https://graph.openaire.eu/docs/apis/graph-api/</w:t>
        </w:r>
      </w:hyperlink>
    </w:p>
    <w:p>
      <w:pPr>
        <w:pStyle w:val="ListParagraph"/>
        <w:numPr>
          <w:ilvl w:val="0"/>
          <w:numId w:val="2"/>
        </w:numPr>
        <w:spacing w:after="40" w:before="40" w:line="280"/>
      </w:pPr>
      <w:r>
        <w:rPr>
          <w:rFonts w:ascii="Arial" w:cs="Arial" w:eastAsia="Arial" w:hAnsi="Arial"/>
          <w:b/>
          <w:bCs/>
          <w:color w:val="1a202c"/>
          <w:sz w:val="22"/>
          <w:szCs w:val="22"/>
        </w:rPr>
        <w:t xml:space="preserve">OpenAIRE Search API deprecation notice: </w:t>
      </w:r>
      <w:hyperlink w:history="1" r:id="rIdshjuvk64sdkhjczehbuis">
        <w:r>
          <w:rPr>
            <w:rFonts w:ascii="Arial" w:cs="Arial" w:eastAsia="Arial" w:hAnsi="Arial"/>
            <w:color w:val="2b6cb0"/>
            <w:sz w:val="22"/>
            <w:szCs w:val="22"/>
            <w:u w:val="single"/>
          </w:rPr>
          <w:t xml:space="preserve">https://graph.openaire.eu/docs/apis/search-api/</w:t>
        </w:r>
      </w:hyperlink>
    </w:p>
    <w:p>
      <w:pPr>
        <w:pStyle w:val="ListParagraph"/>
        <w:numPr>
          <w:ilvl w:val="0"/>
          <w:numId w:val="2"/>
        </w:numPr>
        <w:spacing w:after="40" w:before="40" w:line="280"/>
      </w:pPr>
      <w:r>
        <w:rPr>
          <w:rFonts w:ascii="Arial" w:cs="Arial" w:eastAsia="Arial" w:hAnsi="Arial"/>
          <w:b/>
          <w:bCs/>
          <w:color w:val="1a202c"/>
          <w:sz w:val="22"/>
          <w:szCs w:val="22"/>
        </w:rPr>
        <w:t xml:space="preserve">Advanced Intelligent Discovery (AIDI) journal: </w:t>
      </w:r>
      <w:hyperlink w:history="1" r:id="rIdaod4yvlsa_jah3pd9xtuv">
        <w:r>
          <w:rPr>
            <w:rFonts w:ascii="Arial" w:cs="Arial" w:eastAsia="Arial" w:hAnsi="Arial"/>
            <w:color w:val="2b6cb0"/>
            <w:sz w:val="22"/>
            <w:szCs w:val="22"/>
            <w:u w:val="single"/>
          </w:rPr>
          <w:t xml:space="preserve">https://advanced.onlinelibrary.wiley.com/journal/29439981</w:t>
        </w:r>
      </w:hyperlink>
    </w:p>
    <w:p>
      <w:pPr>
        <w:pStyle w:val="ListParagraph"/>
        <w:numPr>
          <w:ilvl w:val="0"/>
          <w:numId w:val="2"/>
        </w:numPr>
        <w:spacing w:after="40" w:before="40" w:line="280"/>
      </w:pPr>
      <w:r>
        <w:rPr>
          <w:rFonts w:ascii="Arial" w:cs="Arial" w:eastAsia="Arial" w:hAnsi="Arial"/>
          <w:b/>
          <w:bCs/>
          <w:color w:val="1a202c"/>
          <w:sz w:val="22"/>
          <w:szCs w:val="22"/>
        </w:rPr>
        <w:t xml:space="preserve">Parent project — journal-overlap: </w:t>
      </w:r>
      <w:hyperlink w:history="1" r:id="rIdm-tr0-k5rrpiewi4f9bkk">
        <w:r>
          <w:rPr>
            <w:rFonts w:ascii="Arial" w:cs="Arial" w:eastAsia="Arial" w:hAnsi="Arial"/>
            <w:color w:val="2b6cb0"/>
            <w:sz w:val="22"/>
            <w:szCs w:val="22"/>
            <w:u w:val="single"/>
          </w:rPr>
          <w:t xml:space="preserve">https://github.com/teowaits/journal-overlap</w:t>
        </w:r>
      </w:hyperlink>
    </w:p>
    <w:p>
      <w:pPr>
        <w:pStyle w:val="ListParagraph"/>
        <w:numPr>
          <w:ilvl w:val="0"/>
          <w:numId w:val="2"/>
        </w:numPr>
        <w:spacing w:after="40" w:before="40" w:line="280"/>
      </w:pPr>
      <w:r>
        <w:rPr>
          <w:rFonts w:ascii="Arial" w:cs="Arial" w:eastAsia="Arial" w:hAnsi="Arial"/>
          <w:b/>
          <w:bCs/>
          <w:color w:val="1a202c"/>
          <w:sz w:val="22"/>
          <w:szCs w:val="22"/>
        </w:rPr>
        <w:t xml:space="preserve">Parent project — journal-profiler: </w:t>
      </w:r>
      <w:hyperlink w:history="1" r:id="rId5o__uxej7khaxjalwjaca">
        <w:r>
          <w:rPr>
            <w:rFonts w:ascii="Arial" w:cs="Arial" w:eastAsia="Arial" w:hAnsi="Arial"/>
            <w:color w:val="2b6cb0"/>
            <w:sz w:val="22"/>
            <w:szCs w:val="22"/>
            <w:u w:val="single"/>
          </w:rPr>
          <w:t xml:space="preserve">https://github.com/teowaits/journal-profiler</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6" w:space="1"/>
      </w:pBdr>
      <w:jc w:val="right"/>
    </w:pPr>
    <w:r>
      <w:rPr>
        <w:rFonts w:ascii="Arial" w:cs="Arial" w:eastAsia="Arial" w:hAnsi="Arial"/>
        <w:i/>
        <w:iCs/>
        <w:color w:val="4a5568"/>
        <w:sz w:val="18"/>
        <w:szCs w:val="18"/>
      </w:rPr>
      <w:t xml:space="preserve">Grant Radar — Project Brief (Rev.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b6cb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yrcjgriadebeyat7cxcv" Type="http://schemas.openxmlformats.org/officeDocument/2006/relationships/hyperlink" Target="https://docs.openalex.org/api-entities/awards" TargetMode="External"/><Relationship Id="rIdzq_yugjgqygoi0w0ua3fu" Type="http://schemas.openxmlformats.org/officeDocument/2006/relationships/hyperlink" Target="https://blog.openalex.org/funding-metadata-in-openalex/" TargetMode="External"/><Relationship Id="rId7pcwpfxan0jadnflj32iz" Type="http://schemas.openxmlformats.org/officeDocument/2006/relationships/hyperlink" Target="https://docs.openalex.org/api-entities/funders" TargetMode="External"/><Relationship Id="rIdj5dbxi1_vlxyweryz7kxm" Type="http://schemas.openxmlformats.org/officeDocument/2006/relationships/hyperlink" Target="https://graph.openaire.eu/docs/apis/graph-api/" TargetMode="External"/><Relationship Id="rIdshjuvk64sdkhjczehbuis" Type="http://schemas.openxmlformats.org/officeDocument/2006/relationships/hyperlink" Target="https://graph.openaire.eu/docs/apis/search-api/" TargetMode="External"/><Relationship Id="rIdaod4yvlsa_jah3pd9xtuv" Type="http://schemas.openxmlformats.org/officeDocument/2006/relationships/hyperlink" Target="https://advanced.onlinelibrary.wiley.com/journal/29439981" TargetMode="External"/><Relationship Id="rIdm-tr0-k5rrpiewi4f9bkk" Type="http://schemas.openxmlformats.org/officeDocument/2006/relationships/hyperlink" Target="https://github.com/teowaits/journal-overlap" TargetMode="External"/><Relationship Id="rId5o__uxej7khaxjalwjaca" Type="http://schemas.openxmlformats.org/officeDocument/2006/relationships/hyperlink" Target="https://github.com/teowaits/journal-profile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Radar — Project Brief (Rev. April 2026)</dc:title>
  <dc:creator>Matteo Cavalleri (teowaits)</dc:creator>
  <dc:description>Design documentation for Grant Radar — editorial commissioning radar for active and recent research grants.</dc:description>
  <cp:lastModifiedBy>Un-named</cp:lastModifiedBy>
  <cp:revision>1</cp:revision>
  <dcterms:created xsi:type="dcterms:W3CDTF">2026-04-26T01:56:31.011Z</dcterms:created>
  <dcterms:modified xsi:type="dcterms:W3CDTF">2026-04-26T01:56:31.012Z</dcterms:modified>
</cp:coreProperties>
</file>

<file path=docProps/custom.xml><?xml version="1.0" encoding="utf-8"?>
<Properties xmlns="http://schemas.openxmlformats.org/officeDocument/2006/custom-properties" xmlns:vt="http://schemas.openxmlformats.org/officeDocument/2006/docPropsVTypes"/>
</file>