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120"/>
        <w:jc w:val="center"/>
      </w:pPr>
      <w:r>
        <w:rPr>
          <w:rFonts w:ascii="Arial" w:cs="Arial" w:eastAsia="Arial" w:hAnsi="Arial"/>
          <w:b/>
          <w:bCs/>
          <w:caps/>
          <w:color w:val="718096"/>
          <w:spacing w:val="80"/>
          <w:sz w:val="18"/>
          <w:szCs w:val="18"/>
        </w:rPr>
        <w:t xml:space="preserve">CLAUDE.md</w:t>
      </w:r>
    </w:p>
    <w:p>
      <w:pPr>
        <w:spacing w:before="0" w:after="200"/>
        <w:jc w:val="center"/>
      </w:pPr>
      <w:r>
        <w:rPr>
          <w:rFonts w:ascii="Arial" w:cs="Arial" w:eastAsia="Arial" w:hAnsi="Arial"/>
          <w:b/>
          <w:bCs/>
          <w:color w:val="1e3a5f"/>
          <w:sz w:val="44"/>
          <w:szCs w:val="44"/>
        </w:rPr>
        <w:t xml:space="preserve">Journal Publishing Profile Analyser</w:t>
      </w:r>
    </w:p>
    <w:p>
      <w:pPr>
        <w:spacing w:before="0" w:after="80"/>
        <w:jc w:val="center"/>
      </w:pPr>
      <w:r>
        <w:rPr>
          <w:rFonts w:ascii="Arial" w:cs="Arial" w:eastAsia="Arial" w:hAnsi="Arial"/>
          <w:color w:val="2b6cb0"/>
          <w:sz w:val="26"/>
          <w:szCs w:val="26"/>
        </w:rPr>
        <w:t xml:space="preserve">Project Documentation &amp; Coding Brief</w:t>
      </w:r>
    </w:p>
    <w:p>
      <w:pPr>
        <w:spacing w:before="0" w:after="600"/>
        <w:jc w:val="center"/>
      </w:pPr>
      <w:r>
        <w:rPr>
          <w:rFonts w:ascii="Arial" w:cs="Arial" w:eastAsia="Arial" w:hAnsi="Arial"/>
          <w:i/>
          <w:iCs/>
          <w:color w:val="718096"/>
          <w:sz w:val="20"/>
          <w:szCs w:val="20"/>
        </w:rPr>
        <w:t xml:space="preserve">For use with Claude Code — Planning &amp; Implementation</w:t>
      </w:r>
    </w:p>
    <w:p>
      <w:pPr>
        <w:pBdr>
          <w:top w:val="single" w:color="CBD5E0" w:sz="2" w:space="12"/>
          <w:bottom w:val="single" w:color="CBD5E0" w:sz="2" w:space="12"/>
        </w:pBdr>
        <w:spacing w:before="120" w:after="120"/>
        <w:jc w:val="center"/>
      </w:pPr>
      <w:r>
        <w:rPr>
          <w:rFonts w:ascii="Arial" w:cs="Arial" w:eastAsia="Arial" w:hAnsi="Arial"/>
          <w:color w:val="718096"/>
          <w:sz w:val="19"/>
          <w:szCs w:val="19"/>
        </w:rPr>
        <w:t xml:space="preserve">Author: teowaits  ·  March 2026  ·  MIT License</w:t>
      </w:r>
    </w:p>
    <w:p>
      <w:r>
        <w:br w:type="page"/>
      </w:r>
    </w:p>
    <w:p>
      <w:pPr>
        <w:pStyle w:val="Heading1"/>
        <w:pBdr>
          <w:bottom w:val="single" w:color="2b6cb0" w:sz="4" w:space="6"/>
        </w:pBdr>
        <w:spacing w:before="320" w:after="120"/>
      </w:pPr>
      <w:r>
        <w:rPr>
          <w:rFonts w:ascii="Arial" w:cs="Arial" w:eastAsia="Arial" w:hAnsi="Arial"/>
          <w:b/>
          <w:bCs/>
          <w:color w:val="1e3a5f"/>
          <w:sz w:val="30"/>
          <w:szCs w:val="30"/>
        </w:rPr>
        <w:t xml:space="preserve">1. Project Overview</w:t>
      </w:r>
    </w:p>
    <w:p>
      <w:pPr>
        <w:spacing w:before="60" w:after="80"/>
      </w:pPr>
      <w:r>
        <w:rPr>
          <w:rFonts w:ascii="Arial" w:cs="Arial" w:eastAsia="Arial" w:hAnsi="Arial"/>
          <w:color w:val="1a202c"/>
          <w:sz w:val="21"/>
          <w:szCs w:val="21"/>
        </w:rPr>
        <w:t xml:space="preserve">This document records the design decisions, intent, architecture, and stylistic conventions for a new tool: the Journal Publishing Profile Analyser. It is intended to bootstrap a Claude Code session with full context, eliminating the need to reconstruct reasoning from scratch.</w:t>
      </w:r>
    </w:p>
    <w:p>
      <w:pPr>
        <w:spacing w:before="80" w:after="0"/>
      </w:pPr>
      <w:r>
        <w:t xml:space="preserve"/>
      </w:r>
    </w:p>
    <w:p>
      <w:pPr>
        <w:pStyle w:val="Heading2"/>
        <w:spacing w:before="240" w:after="80"/>
      </w:pPr>
      <w:r>
        <w:rPr>
          <w:rFonts w:ascii="Arial" w:cs="Arial" w:eastAsia="Arial" w:hAnsi="Arial"/>
          <w:b/>
          <w:bCs/>
          <w:color w:val="2b6cb0"/>
          <w:sz w:val="24"/>
          <w:szCs w:val="24"/>
        </w:rPr>
        <w:t xml:space="preserve">1.1 Working Title</w:t>
      </w:r>
    </w:p>
    <w:p>
      <w:pPr>
        <w:spacing w:before="60" w:after="80"/>
      </w:pPr>
      <w:r>
        <w:rPr>
          <w:rFonts w:ascii="Arial" w:cs="Arial" w:eastAsia="Arial" w:hAnsi="Arial"/>
          <w:color w:val="1a202c"/>
          <w:sz w:val="21"/>
          <w:szCs w:val="21"/>
        </w:rPr>
        <w:t xml:space="preserve">The tool is provisionally named </w:t>
      </w:r>
      <w:r>
        <w:rPr>
          <w:rFonts w:ascii="Arial" w:cs="Arial" w:eastAsia="Arial" w:hAnsi="Arial"/>
          <w:b/>
          <w:bCs/>
          <w:color w:val="1a202c"/>
          <w:sz w:val="21"/>
          <w:szCs w:val="21"/>
        </w:rPr>
        <w:t xml:space="preserve">Journal Publishing Profile Analyser</w:t>
      </w:r>
      <w:r>
        <w:rPr>
          <w:rFonts w:ascii="Arial" w:cs="Arial" w:eastAsia="Arial" w:hAnsi="Arial"/>
          <w:color w:val="1a202c"/>
          <w:sz w:val="21"/>
          <w:szCs w:val="21"/>
        </w:rPr>
        <w:t xml:space="preserve">. Final branding is pending. The name should remain neutral and descriptive — see §3 on language policy.</w:t>
      </w:r>
    </w:p>
    <w:p>
      <w:pPr>
        <w:spacing w:before="80" w:after="0"/>
      </w:pPr>
      <w:r>
        <w:t xml:space="preserve"/>
      </w:r>
    </w:p>
    <w:p>
      <w:pPr>
        <w:pStyle w:val="Heading2"/>
        <w:spacing w:before="240" w:after="80"/>
      </w:pPr>
      <w:r>
        <w:rPr>
          <w:rFonts w:ascii="Arial" w:cs="Arial" w:eastAsia="Arial" w:hAnsi="Arial"/>
          <w:b/>
          <w:bCs/>
          <w:color w:val="2b6cb0"/>
          <w:sz w:val="24"/>
          <w:szCs w:val="24"/>
        </w:rPr>
        <w:t xml:space="preserve">1.2 Origin</w:t>
      </w:r>
    </w:p>
    <w:p>
      <w:pPr>
        <w:spacing w:before="60" w:after="80"/>
      </w:pPr>
      <w:r>
        <w:rPr>
          <w:rFonts w:ascii="Arial" w:cs="Arial" w:eastAsia="Arial" w:hAnsi="Arial"/>
          <w:color w:val="1a202c"/>
          <w:sz w:val="21"/>
          <w:szCs w:val="21"/>
        </w:rPr>
        <w:t xml:space="preserve">The tool emerged from a consulting engagement for a publisher conducting an internal review of a specific journal. The same codebase is intended to be released publicly on GitHub after the consulting engagement concludes, following the same open-source pattern established by the Journal Overlap Finder (teowaits/journal-overlap).</w:t>
      </w:r>
    </w:p>
    <w:p>
      <w:pPr>
        <w:spacing w:before="80" w:after="0"/>
      </w:pPr>
      <w:r>
        <w:t xml:space="preserve"/>
      </w:r>
    </w:p>
    <w:p>
      <w:pPr>
        <w:pStyle w:val="Heading2"/>
        <w:spacing w:before="240" w:after="80"/>
      </w:pPr>
      <w:r>
        <w:rPr>
          <w:rFonts w:ascii="Arial" w:cs="Arial" w:eastAsia="Arial" w:hAnsi="Arial"/>
          <w:b/>
          <w:bCs/>
          <w:color w:val="2b6cb0"/>
          <w:sz w:val="24"/>
          <w:szCs w:val="24"/>
        </w:rPr>
        <w:t xml:space="preserve">1.3 Dual-use design constraint</w:t>
      </w:r>
    </w:p>
    <w:p>
      <w:pPr>
        <w:pBdr>
          <w:left w:val="single" w:color="2b6cb0" w:sz="12" w:space="8"/>
        </w:pBdr>
        <w:shd w:fill="ebf4ff" w:val="clear"/>
        <w:spacing w:before="80" w:after="80"/>
        <w:ind w:left="360" w:right="360"/>
      </w:pPr>
      <w:r>
        <w:rPr>
          <w:rFonts w:ascii="Arial" w:cs="Arial" w:eastAsia="Arial" w:hAnsi="Arial"/>
          <w:i w:val="false"/>
          <w:iCs w:val="false"/>
          <w:color w:val="1e3a5f"/>
          <w:sz w:val="20"/>
          <w:szCs w:val="20"/>
        </w:rPr>
        <w:t xml:space="preserve">The internal consulting use and the public release have partially conflicting requirements. The internal use involves a specific journal with contextual knowledge and hand-tuned thresholds. The public release will be applied by unknown users without that context. Both versions share the same core principle: surface signals, never render verdicts.</w:t>
      </w:r>
    </w:p>
    <w:p>
      <w:pPr>
        <w:spacing w:before="80" w:after="0"/>
      </w:pPr>
      <w:r>
        <w:t xml:space="preserve"/>
      </w:r>
    </w:p>
    <w:p>
      <w:pPr>
        <w:pStyle w:val="Heading2"/>
        <w:spacing w:before="240" w:after="80"/>
      </w:pPr>
      <w:r>
        <w:rPr>
          <w:rFonts w:ascii="Arial" w:cs="Arial" w:eastAsia="Arial" w:hAnsi="Arial"/>
          <w:b/>
          <w:bCs/>
          <w:color w:val="2b6cb0"/>
          <w:sz w:val="24"/>
          <w:szCs w:val="24"/>
        </w:rPr>
        <w:t xml:space="preserve">1.4 Technology stack</w:t>
      </w:r>
    </w:p>
    <w:p>
      <w:pPr>
        <w:spacing w:before="60" w:after="80"/>
      </w:pPr>
      <w:r>
        <w:rPr>
          <w:rFonts w:ascii="Arial" w:cs="Arial" w:eastAsia="Arial" w:hAnsi="Arial"/>
          <w:color w:val="1a202c"/>
          <w:sz w:val="21"/>
          <w:szCs w:val="21"/>
        </w:rPr>
        <w:t xml:space="preserve">Consistent with the Journal Overlap Finder:</w:t>
      </w:r>
    </w:p>
    <w:p>
      <w:pPr>
        <w:pStyle w:val="ListParagraph"/>
        <w:numPr>
          <w:ilvl w:val="0"/>
          <w:numId w:val="2"/>
        </w:numPr>
        <w:spacing w:before="40" w:after="40"/>
      </w:pPr>
      <w:r>
        <w:rPr>
          <w:rFonts w:ascii="Arial" w:cs="Arial" w:eastAsia="Arial" w:hAnsi="Arial"/>
          <w:b/>
          <w:bCs/>
          <w:color w:val="1a202c"/>
          <w:sz w:val="21"/>
          <w:szCs w:val="21"/>
        </w:rPr>
        <w:t xml:space="preserve">React 18</w:t>
      </w:r>
      <w:r>
        <w:rPr>
          <w:rFonts w:ascii="Arial" w:cs="Arial" w:eastAsia="Arial" w:hAnsi="Arial"/>
          <w:color w:val="1a202c"/>
          <w:sz w:val="21"/>
          <w:szCs w:val="21"/>
        </w:rPr>
        <w:t xml:space="preserve"> + Vite — single-page app, no backend</w:t>
      </w:r>
    </w:p>
    <w:p>
      <w:pPr>
        <w:pStyle w:val="ListParagraph"/>
        <w:numPr>
          <w:ilvl w:val="0"/>
          <w:numId w:val="2"/>
        </w:numPr>
        <w:spacing w:before="40" w:after="40"/>
      </w:pPr>
      <w:r>
        <w:rPr>
          <w:rFonts w:ascii="Arial" w:cs="Arial" w:eastAsia="Arial" w:hAnsi="Arial"/>
          <w:b/>
          <w:bCs/>
          <w:color w:val="1a202c"/>
          <w:sz w:val="21"/>
          <w:szCs w:val="21"/>
        </w:rPr>
        <w:t xml:space="preserve">OpenAlex API</w:t>
      </w:r>
      <w:r>
        <w:rPr>
          <w:rFonts w:ascii="Arial" w:cs="Arial" w:eastAsia="Arial" w:hAnsi="Arial"/>
          <w:color w:val="1a202c"/>
          <w:sz w:val="21"/>
          <w:szCs w:val="21"/>
        </w:rPr>
        <w:t xml:space="preserve"> (free, open, no auth required for basic use)</w:t>
      </w:r>
    </w:p>
    <w:p>
      <w:pPr>
        <w:pStyle w:val="ListParagraph"/>
        <w:numPr>
          <w:ilvl w:val="0"/>
          <w:numId w:val="2"/>
        </w:numPr>
        <w:spacing w:before="40" w:after="40"/>
      </w:pPr>
      <w:r>
        <w:rPr>
          <w:rFonts w:ascii="Arial" w:cs="Arial" w:eastAsia="Arial" w:hAnsi="Arial"/>
          <w:color w:val="1a202c"/>
          <w:sz w:val="21"/>
          <w:szCs w:val="21"/>
        </w:rPr>
        <w:t xml:space="preserve">All computation client-side — no server, no database</w:t>
      </w:r>
    </w:p>
    <w:p>
      <w:pPr>
        <w:pStyle w:val="ListParagraph"/>
        <w:numPr>
          <w:ilvl w:val="0"/>
          <w:numId w:val="2"/>
        </w:numPr>
        <w:spacing w:before="40" w:after="40"/>
      </w:pPr>
      <w:r>
        <w:rPr>
          <w:rFonts w:ascii="Arial" w:cs="Arial" w:eastAsia="Arial" w:hAnsi="Arial"/>
          <w:color w:val="1a202c"/>
          <w:sz w:val="21"/>
          <w:szCs w:val="21"/>
        </w:rPr>
        <w:t xml:space="preserve">Plain CSS-in-JS styling — no external UI libraries</w:t>
      </w:r>
    </w:p>
    <w:p>
      <w:pPr>
        <w:pStyle w:val="ListParagraph"/>
        <w:numPr>
          <w:ilvl w:val="0"/>
          <w:numId w:val="2"/>
        </w:numPr>
        <w:spacing w:before="40" w:after="40"/>
      </w:pPr>
      <w:r>
        <w:rPr>
          <w:rFonts w:ascii="Arial" w:cs="Arial" w:eastAsia="Arial" w:hAnsi="Arial"/>
          <w:color w:val="1a202c"/>
          <w:sz w:val="21"/>
          <w:szCs w:val="21"/>
        </w:rPr>
        <w:t xml:space="preserve">GitHub Pages compatible static build</w:t>
      </w:r>
    </w:p>
    <w:p>
      <w:pPr>
        <w:spacing w:before="80" w:after="0"/>
      </w:pPr>
      <w:r>
        <w:t xml:space="preserve"/>
      </w:r>
    </w:p>
    <w:p>
      <w:pPr>
        <w:pStyle w:val="Heading1"/>
        <w:pBdr>
          <w:bottom w:val="single" w:color="2b6cb0" w:sz="4" w:space="6"/>
        </w:pBdr>
        <w:spacing w:before="320" w:after="120"/>
      </w:pPr>
      <w:r>
        <w:rPr>
          <w:rFonts w:ascii="Arial" w:cs="Arial" w:eastAsia="Arial" w:hAnsi="Arial"/>
          <w:b/>
          <w:bCs/>
          <w:color w:val="1e3a5f"/>
          <w:sz w:val="30"/>
          <w:szCs w:val="30"/>
        </w:rPr>
        <w:t xml:space="preserve">2. Analytical Signals</w:t>
      </w:r>
    </w:p>
    <w:p>
      <w:pPr>
        <w:spacing w:before="60" w:after="80"/>
      </w:pPr>
      <w:r>
        <w:rPr>
          <w:rFonts w:ascii="Arial" w:cs="Arial" w:eastAsia="Arial" w:hAnsi="Arial"/>
          <w:color w:val="1a202c"/>
          <w:sz w:val="21"/>
          <w:szCs w:val="21"/>
        </w:rPr>
        <w:t xml:space="preserve">The tool computes a set of independent, descriptive signals about a journal's publishing profile. No single signal constitutes a finding. Subject matter experts review the signals and make all judgments.</w:t>
      </w:r>
    </w:p>
    <w:p>
      <w:pPr>
        <w:spacing w:before="80" w:after="0"/>
      </w:pPr>
      <w:r>
        <w:t xml:space="preserve"/>
      </w:r>
    </w:p>
    <w:p>
      <w:pPr>
        <w:pStyle w:val="Heading2"/>
        <w:spacing w:before="240" w:after="80"/>
      </w:pPr>
      <w:r>
        <w:rPr>
          <w:rFonts w:ascii="Arial" w:cs="Arial" w:eastAsia="Arial" w:hAnsi="Arial"/>
          <w:b/>
          <w:bCs/>
          <w:color w:val="2b6cb0"/>
          <w:sz w:val="24"/>
          <w:szCs w:val="24"/>
        </w:rPr>
        <w:t xml:space="preserve">2.1 Signals in scope (prioritised)</w:t>
      </w:r>
    </w:p>
    <w:p>
      <w:pPr>
        <w:pStyle w:val="Heading3"/>
        <w:spacing w:before="180" w:after="60"/>
      </w:pPr>
      <w:r>
        <w:rPr>
          <w:rFonts w:ascii="Arial" w:cs="Arial" w:eastAsia="Arial" w:hAnsi="Arial"/>
          <w:b/>
          <w:bCs/>
          <w:color w:val="1a202c"/>
          <w:sz w:val="22"/>
          <w:szCs w:val="22"/>
        </w:rPr>
        <w:t xml:space="preserve">Signal 1 — Temporal topic drift</w:t>
      </w:r>
    </w:p>
    <w:p>
      <w:pPr>
        <w:spacing w:before="60" w:after="80"/>
      </w:pPr>
      <w:r>
        <w:rPr>
          <w:rFonts w:ascii="Arial" w:cs="Arial" w:eastAsia="Arial" w:hAnsi="Arial"/>
          <w:color w:val="1a202c"/>
          <w:sz w:val="21"/>
          <w:szCs w:val="21"/>
        </w:rPr>
        <w:t xml:space="preserve">Compares the </w:t>
      </w:r>
      <w:r>
        <w:rPr>
          <w:rFonts w:ascii="Arial" w:cs="Arial" w:eastAsia="Arial" w:hAnsi="Arial"/>
          <w:b/>
          <w:bCs/>
          <w:color w:val="1a202c"/>
          <w:sz w:val="21"/>
          <w:szCs w:val="21"/>
        </w:rPr>
        <w:t xml:space="preserve">topic distribution</w:t>
      </w:r>
      <w:r>
        <w:rPr>
          <w:rFonts w:ascii="Arial" w:cs="Arial" w:eastAsia="Arial" w:hAnsi="Arial"/>
          <w:color w:val="1a202c"/>
          <w:sz w:val="21"/>
          <w:szCs w:val="21"/>
        </w:rPr>
        <w:t xml:space="preserve"> of articles published in the journal across three time windows (e.g. 5 years ago, 3 years ago, last year). Measures distributional shift using Jensen-Shannon divergence or similar metric. A sudden shift in one period relative to a stable baseline is a noteworthy pattern.</w:t>
      </w:r>
    </w:p>
    <w:p>
      <w:pPr>
        <w:spacing w:before="60" w:after="80"/>
      </w:pPr>
      <w:r>
        <w:rPr>
          <w:rFonts w:ascii="Arial" w:cs="Arial" w:eastAsia="Arial" w:hAnsi="Arial"/>
          <w:b/>
          <w:bCs/>
          <w:color w:val="1a202c"/>
          <w:sz w:val="21"/>
          <w:szCs w:val="21"/>
        </w:rPr>
        <w:t xml:space="preserve">Rationale:</w:t>
      </w:r>
      <w:r>
        <w:rPr>
          <w:rFonts w:ascii="Arial" w:cs="Arial" w:eastAsia="Arial" w:hAnsi="Arial"/>
          <w:color w:val="1a202c"/>
          <w:sz w:val="21"/>
          <w:szCs w:val="21"/>
        </w:rPr>
        <w:t xml:space="preserve"> Strongest and most legible signal for non-technical stakeholders. Clean narrative: 'here is what the journal published in 2020, here is 2024, here is the shift.'</w:t>
      </w:r>
    </w:p>
    <w:p>
      <w:pPr>
        <w:spacing w:before="60" w:after="80"/>
      </w:pPr>
      <w:r>
        <w:rPr>
          <w:rFonts w:ascii="Arial" w:cs="Arial" w:eastAsia="Arial" w:hAnsi="Arial"/>
          <w:b/>
          <w:bCs/>
          <w:color w:val="1a202c"/>
          <w:sz w:val="21"/>
          <w:szCs w:val="21"/>
        </w:rPr>
        <w:t xml:space="preserve">Key limitation:</w:t>
      </w:r>
      <w:r>
        <w:rPr>
          <w:rFonts w:ascii="Arial" w:cs="Arial" w:eastAsia="Arial" w:hAnsi="Arial"/>
          <w:color w:val="1a202c"/>
          <w:sz w:val="21"/>
          <w:szCs w:val="21"/>
        </w:rPr>
        <w:t xml:space="preserve"> Must distinguish organic editorial evolution from abrupt unexplained change. Requires a baseline drift rate from comparable peer journals for calibration.</w:t>
      </w:r>
    </w:p>
    <w:p>
      <w:pPr>
        <w:spacing w:before="60" w:after="0"/>
      </w:pPr>
      <w:r>
        <w:t xml:space="preserve"/>
      </w:r>
    </w:p>
    <w:p>
      <w:pPr>
        <w:pStyle w:val="Heading3"/>
        <w:spacing w:before="180" w:after="60"/>
      </w:pPr>
      <w:r>
        <w:rPr>
          <w:rFonts w:ascii="Arial" w:cs="Arial" w:eastAsia="Arial" w:hAnsi="Arial"/>
          <w:b/>
          <w:bCs/>
          <w:color w:val="1a202c"/>
          <w:sz w:val="22"/>
          <w:szCs w:val="22"/>
        </w:rPr>
        <w:t xml:space="preserve">Signal 2 — Reference field alignment</w:t>
      </w:r>
    </w:p>
    <w:p>
      <w:pPr>
        <w:spacing w:before="60" w:after="80"/>
      </w:pPr>
      <w:r>
        <w:rPr>
          <w:rFonts w:ascii="Arial" w:cs="Arial" w:eastAsia="Arial" w:hAnsi="Arial"/>
          <w:color w:val="1a202c"/>
          <w:sz w:val="21"/>
          <w:szCs w:val="21"/>
        </w:rPr>
        <w:t xml:space="preserve">Compares the topic distribution of </w:t>
      </w:r>
      <w:r>
        <w:rPr>
          <w:rFonts w:ascii="Arial" w:cs="Arial" w:eastAsia="Arial" w:hAnsi="Arial"/>
          <w:b/>
          <w:bCs/>
          <w:color w:val="1a202c"/>
          <w:sz w:val="21"/>
          <w:szCs w:val="21"/>
        </w:rPr>
        <w:t xml:space="preserve">articles published</w:t>
      </w:r>
      <w:r>
        <w:rPr>
          <w:rFonts w:ascii="Arial" w:cs="Arial" w:eastAsia="Arial" w:hAnsi="Arial"/>
          <w:color w:val="1a202c"/>
          <w:sz w:val="21"/>
          <w:szCs w:val="21"/>
        </w:rPr>
        <w:t xml:space="preserve"> in the journal against the topic distribution of </w:t>
      </w:r>
      <w:r>
        <w:rPr>
          <w:rFonts w:ascii="Arial" w:cs="Arial" w:eastAsia="Arial" w:hAnsi="Arial"/>
          <w:b/>
          <w:bCs/>
          <w:color w:val="1a202c"/>
          <w:sz w:val="21"/>
          <w:szCs w:val="21"/>
        </w:rPr>
        <w:t xml:space="preserve">their references</w:t>
      </w:r>
      <w:r>
        <w:rPr>
          <w:rFonts w:ascii="Arial" w:cs="Arial" w:eastAsia="Arial" w:hAnsi="Arial"/>
          <w:color w:val="1a202c"/>
          <w:sz w:val="21"/>
          <w:szCs w:val="21"/>
        </w:rPr>
        <w:t xml:space="preserve">. If papers appear in a journal whose reference lists are overwhelmingly in a different field, that is a noteworthy pattern.</w:t>
      </w:r>
    </w:p>
    <w:p>
      <w:pPr>
        <w:spacing w:before="60" w:after="80"/>
      </w:pPr>
      <w:r>
        <w:rPr>
          <w:rFonts w:ascii="Arial" w:cs="Arial" w:eastAsia="Arial" w:hAnsi="Arial"/>
          <w:b/>
          <w:bCs/>
          <w:color w:val="1a202c"/>
          <w:sz w:val="21"/>
          <w:szCs w:val="21"/>
        </w:rPr>
        <w:t xml:space="preserve">Rationale:</w:t>
      </w:r>
      <w:r>
        <w:rPr>
          <w:rFonts w:ascii="Arial" w:cs="Arial" w:eastAsia="Arial" w:hAnsi="Arial"/>
          <w:color w:val="1a202c"/>
          <w:sz w:val="21"/>
          <w:szCs w:val="21"/>
        </w:rPr>
        <w:t xml:space="preserve"> Corroborating evidence. Organic work in a field tends to cite that field. Misalignment may indicate content that did not originate from the journal's community.</w:t>
      </w:r>
    </w:p>
    <w:p>
      <w:pPr>
        <w:spacing w:before="60" w:after="80"/>
      </w:pPr>
      <w:r>
        <w:rPr>
          <w:rFonts w:ascii="Arial" w:cs="Arial" w:eastAsia="Arial" w:hAnsi="Arial"/>
          <w:b/>
          <w:bCs/>
          <w:color w:val="1a202c"/>
          <w:sz w:val="21"/>
          <w:szCs w:val="21"/>
        </w:rPr>
        <w:t xml:space="preserve">Key limitation:</w:t>
      </w:r>
      <w:r>
        <w:rPr>
          <w:rFonts w:ascii="Arial" w:cs="Arial" w:eastAsia="Arial" w:hAnsi="Arial"/>
          <w:color w:val="1a202c"/>
          <w:sz w:val="21"/>
          <w:szCs w:val="21"/>
        </w:rPr>
        <w:t xml:space="preserve"> OpenAlex reference coverage is incomplete. Will produce false positives for genuinely interdisciplinary work. Use as secondary, not primary, signal.</w:t>
      </w:r>
    </w:p>
    <w:p>
      <w:pPr>
        <w:spacing w:before="60" w:after="0"/>
      </w:pPr>
      <w:r>
        <w:t xml:space="preserve"/>
      </w:r>
    </w:p>
    <w:p>
      <w:pPr>
        <w:pStyle w:val="Heading3"/>
        <w:spacing w:before="180" w:after="60"/>
      </w:pPr>
      <w:r>
        <w:rPr>
          <w:rFonts w:ascii="Arial" w:cs="Arial" w:eastAsia="Arial" w:hAnsi="Arial"/>
          <w:b/>
          <w:bCs/>
          <w:color w:val="1a202c"/>
          <w:sz w:val="22"/>
          <w:szCs w:val="22"/>
        </w:rPr>
        <w:t xml:space="preserve">Signal 3 — Author institutional profile</w:t>
      </w:r>
    </w:p>
    <w:p>
      <w:pPr>
        <w:spacing w:before="60" w:after="80"/>
      </w:pPr>
      <w:r>
        <w:rPr>
          <w:rFonts w:ascii="Arial" w:cs="Arial" w:eastAsia="Arial" w:hAnsi="Arial"/>
          <w:color w:val="1a202c"/>
          <w:sz w:val="21"/>
          <w:szCs w:val="21"/>
        </w:rPr>
        <w:t xml:space="preserve">Tracks the </w:t>
      </w:r>
      <w:r>
        <w:rPr>
          <w:rFonts w:ascii="Arial" w:cs="Arial" w:eastAsia="Arial" w:hAnsi="Arial"/>
          <w:b/>
          <w:bCs/>
          <w:color w:val="1a202c"/>
          <w:sz w:val="21"/>
          <w:szCs w:val="21"/>
        </w:rPr>
        <w:t xml:space="preserve">institutional and geographic diversity</w:t>
      </w:r>
      <w:r>
        <w:rPr>
          <w:rFonts w:ascii="Arial" w:cs="Arial" w:eastAsia="Arial" w:hAnsi="Arial"/>
          <w:color w:val="1a202c"/>
          <w:sz w:val="21"/>
          <w:szCs w:val="21"/>
        </w:rPr>
        <w:t xml:space="preserve"> of authors over time. A sudden concentration of papers from a narrow set of institutions or countries not historically represented in the journal is a noteworthy pattern.</w:t>
      </w:r>
    </w:p>
    <w:p>
      <w:pPr>
        <w:spacing w:before="60" w:after="80"/>
      </w:pPr>
      <w:r>
        <w:rPr>
          <w:rFonts w:ascii="Arial" w:cs="Arial" w:eastAsia="Arial" w:hAnsi="Arial"/>
          <w:b/>
          <w:bCs/>
          <w:color w:val="1a202c"/>
          <w:sz w:val="21"/>
          <w:szCs w:val="21"/>
        </w:rPr>
        <w:t xml:space="preserve">Rationale:</w:t>
      </w:r>
      <w:r>
        <w:rPr>
          <w:rFonts w:ascii="Arial" w:cs="Arial" w:eastAsia="Arial" w:hAnsi="Arial"/>
          <w:color w:val="1a202c"/>
          <w:sz w:val="21"/>
          <w:szCs w:val="21"/>
        </w:rPr>
        <w:t xml:space="preserve"> Potentially more specific to integrity concerns than topic drift. Often easier to compute and explain. OpenAlex provides full authorship and institution data.</w:t>
      </w:r>
    </w:p>
    <w:p>
      <w:pPr>
        <w:spacing w:before="60" w:after="80"/>
      </w:pPr>
      <w:r>
        <w:rPr>
          <w:rFonts w:ascii="Arial" w:cs="Arial" w:eastAsia="Arial" w:hAnsi="Arial"/>
          <w:b/>
          <w:bCs/>
          <w:color w:val="1a202c"/>
          <w:sz w:val="21"/>
          <w:szCs w:val="21"/>
        </w:rPr>
        <w:t xml:space="preserve">Implementation note:</w:t>
      </w:r>
      <w:r>
        <w:rPr>
          <w:rFonts w:ascii="Arial" w:cs="Arial" w:eastAsia="Arial" w:hAnsi="Arial"/>
          <w:color w:val="1a202c"/>
          <w:sz w:val="21"/>
          <w:szCs w:val="21"/>
        </w:rPr>
        <w:t xml:space="preserve"> Compute Herfindahl index on institution/country distribution per year. Flag years where HHI exceeds 2× the journal's own 5-year baseline.</w:t>
      </w:r>
    </w:p>
    <w:p>
      <w:pPr>
        <w:spacing w:before="60" w:after="0"/>
      </w:pPr>
      <w:r>
        <w:t xml:space="preserve"/>
      </w:r>
    </w:p>
    <w:p>
      <w:pPr>
        <w:pStyle w:val="Heading3"/>
        <w:spacing w:before="180" w:after="60"/>
      </w:pPr>
      <w:r>
        <w:rPr>
          <w:rFonts w:ascii="Arial" w:cs="Arial" w:eastAsia="Arial" w:hAnsi="Arial"/>
          <w:b/>
          <w:bCs/>
          <w:color w:val="1a202c"/>
          <w:sz w:val="22"/>
          <w:szCs w:val="22"/>
        </w:rPr>
        <w:t xml:space="preserve">Signal 4 — Intra-journal citation density</w:t>
      </w:r>
    </w:p>
    <w:p>
      <w:pPr>
        <w:spacing w:before="60" w:after="80"/>
      </w:pPr>
      <w:r>
        <w:rPr>
          <w:rFonts w:ascii="Arial" w:cs="Arial" w:eastAsia="Arial" w:hAnsi="Arial"/>
          <w:color w:val="1a202c"/>
          <w:sz w:val="21"/>
          <w:szCs w:val="21"/>
        </w:rPr>
        <w:t xml:space="preserve">Measures the proportion of references in journal articles that </w:t>
      </w:r>
      <w:r>
        <w:rPr>
          <w:rFonts w:ascii="Arial" w:cs="Arial" w:eastAsia="Arial" w:hAnsi="Arial"/>
          <w:b/>
          <w:bCs/>
          <w:color w:val="1a202c"/>
          <w:sz w:val="21"/>
          <w:szCs w:val="21"/>
        </w:rPr>
        <w:t xml:space="preserve">cite other articles in the same journal</w:t>
      </w:r>
      <w:r>
        <w:rPr>
          <w:rFonts w:ascii="Arial" w:cs="Arial" w:eastAsia="Arial" w:hAnsi="Arial"/>
          <w:color w:val="1a202c"/>
          <w:sz w:val="21"/>
          <w:szCs w:val="21"/>
        </w:rPr>
        <w:t xml:space="preserve">, tracked over time. A spike in self-citation density suggests a closed citation ecosystem forming.</w:t>
      </w:r>
    </w:p>
    <w:p>
      <w:pPr>
        <w:spacing w:before="60" w:after="80"/>
      </w:pPr>
      <w:r>
        <w:rPr>
          <w:rFonts w:ascii="Arial" w:cs="Arial" w:eastAsia="Arial" w:hAnsi="Arial"/>
          <w:b/>
          <w:bCs/>
          <w:color w:val="1a202c"/>
          <w:sz w:val="21"/>
          <w:szCs w:val="21"/>
        </w:rPr>
        <w:t xml:space="preserve">Rationale:</w:t>
      </w:r>
      <w:r>
        <w:rPr>
          <w:rFonts w:ascii="Arial" w:cs="Arial" w:eastAsia="Arial" w:hAnsi="Arial"/>
          <w:color w:val="1a202c"/>
          <w:sz w:val="21"/>
          <w:szCs w:val="21"/>
        </w:rPr>
        <w:t xml:space="preserve"> Independent of topic classification quality. Measurable from OpenAlex referenced_works and primary_location fields. Complements topic signals.</w:t>
      </w:r>
    </w:p>
    <w:p>
      <w:pPr>
        <w:spacing w:before="60" w:after="0"/>
      </w:pPr>
      <w:r>
        <w:t xml:space="preserve"/>
      </w:r>
    </w:p>
    <w:p>
      <w:pPr>
        <w:pStyle w:val="Heading3"/>
        <w:spacing w:before="180" w:after="60"/>
      </w:pPr>
      <w:r>
        <w:rPr>
          <w:rFonts w:ascii="Arial" w:cs="Arial" w:eastAsia="Arial" w:hAnsi="Arial"/>
          <w:b/>
          <w:bCs/>
          <w:color w:val="1a202c"/>
          <w:sz w:val="22"/>
          <w:szCs w:val="22"/>
        </w:rPr>
        <w:t xml:space="preserve">Signal 5 — Peer journal comparison</w:t>
      </w:r>
    </w:p>
    <w:p>
      <w:pPr>
        <w:spacing w:before="60" w:after="80"/>
      </w:pPr>
      <w:r>
        <w:rPr>
          <w:rFonts w:ascii="Arial" w:cs="Arial" w:eastAsia="Arial" w:hAnsi="Arial"/>
          <w:color w:val="1a202c"/>
          <w:sz w:val="21"/>
          <w:szCs w:val="21"/>
        </w:rPr>
        <w:t xml:space="preserve">Compares the journal's topic distribution against a defined cluster of peer journals. Divergence from the peer cluster centroid over time is a noteworthy pattern.</w:t>
      </w:r>
    </w:p>
    <w:p>
      <w:pPr>
        <w:spacing w:before="60" w:after="80"/>
      </w:pPr>
      <w:r>
        <w:rPr>
          <w:rFonts w:ascii="Arial" w:cs="Arial" w:eastAsia="Arial" w:hAnsi="Arial"/>
          <w:b/>
          <w:bCs/>
          <w:color w:val="1a202c"/>
          <w:sz w:val="21"/>
          <w:szCs w:val="21"/>
        </w:rPr>
        <w:t xml:space="preserve">Key methodological constraint:</w:t>
      </w:r>
      <w:r>
        <w:rPr>
          <w:rFonts w:ascii="Arial" w:cs="Arial" w:eastAsia="Arial" w:hAnsi="Arial"/>
          <w:color w:val="1a202c"/>
          <w:sz w:val="21"/>
          <w:szCs w:val="21"/>
        </w:rPr>
        <w:t xml:space="preserve"> Peer journals must be defined using an external criterion (e.g. same ASJC code, same publisher, same Scimago category) — not topic similarity, which would create circular reasoning.</w:t>
      </w:r>
    </w:p>
    <w:p>
      <w:pPr>
        <w:spacing w:before="80" w:after="0"/>
      </w:pPr>
      <w:r>
        <w:t xml:space="preserve"/>
      </w:r>
    </w:p>
    <w:p>
      <w:pPr>
        <w:pStyle w:val="Heading2"/>
        <w:spacing w:before="240" w:after="80"/>
      </w:pPr>
      <w:r>
        <w:rPr>
          <w:rFonts w:ascii="Arial" w:cs="Arial" w:eastAsia="Arial" w:hAnsi="Arial"/>
          <w:b/>
          <w:bCs/>
          <w:color w:val="2b6cb0"/>
          <w:sz w:val="24"/>
          <w:szCs w:val="24"/>
        </w:rPr>
        <w:t xml:space="preserve">2.2 Signals deferred (future consideration)</w:t>
      </w:r>
    </w:p>
    <w:p>
      <w:pPr>
        <w:pStyle w:val="ListParagraph"/>
        <w:numPr>
          <w:ilvl w:val="0"/>
          <w:numId w:val="2"/>
        </w:numPr>
        <w:spacing w:before="40" w:after="40"/>
      </w:pPr>
      <w:r>
        <w:rPr>
          <w:rFonts w:ascii="Arial" w:cs="Arial" w:eastAsia="Arial" w:hAnsi="Arial"/>
          <w:b/>
          <w:bCs/>
          <w:color w:val="1a202c"/>
          <w:sz w:val="21"/>
          <w:szCs w:val="21"/>
        </w:rPr>
        <w:t xml:space="preserve">Declared scope mapping</w:t>
      </w:r>
      <w:r>
        <w:rPr>
          <w:rFonts w:ascii="Arial" w:cs="Arial" w:eastAsia="Arial" w:hAnsi="Arial"/>
          <w:color w:val="1a202c"/>
          <w:sz w:val="21"/>
          <w:szCs w:val="21"/>
        </w:rPr>
        <w:t xml:space="preserve"> — Parsing journal scope statements and mapping to OpenAlex topic IDs via LLM. Conceptually strong but practically complex. Requires NLP pipeline and introduces mapping error.</w:t>
      </w:r>
    </w:p>
    <w:p>
      <w:pPr>
        <w:pStyle w:val="ListParagraph"/>
        <w:numPr>
          <w:ilvl w:val="0"/>
          <w:numId w:val="2"/>
        </w:numPr>
        <w:spacing w:before="40" w:after="40"/>
      </w:pPr>
      <w:r>
        <w:rPr>
          <w:rFonts w:ascii="Arial" w:cs="Arial" w:eastAsia="Arial" w:hAnsi="Arial"/>
          <w:b/>
          <w:bCs/>
          <w:color w:val="1a202c"/>
          <w:sz w:val="21"/>
          <w:szCs w:val="21"/>
        </w:rPr>
        <w:t xml:space="preserve">Citation ring detection</w:t>
      </w:r>
      <w:r>
        <w:rPr>
          <w:rFonts w:ascii="Arial" w:cs="Arial" w:eastAsia="Arial" w:hAnsi="Arial"/>
          <w:color w:val="1a202c"/>
          <w:sz w:val="21"/>
          <w:szCs w:val="21"/>
        </w:rPr>
        <w:t xml:space="preserve"> — Graph-level analysis of citation clusters. Powerful but computationally expensive client-side and harder to explain to non-technical reviewers.</w:t>
      </w:r>
    </w:p>
    <w:p>
      <w:pPr>
        <w:spacing w:before="80" w:after="0"/>
      </w:pPr>
      <w:r>
        <w:t xml:space="preserve"/>
      </w:r>
    </w:p>
    <w:p>
      <w:pPr>
        <w:pStyle w:val="Heading2"/>
        <w:spacing w:before="240" w:after="80"/>
      </w:pPr>
      <w:r>
        <w:rPr>
          <w:rFonts w:ascii="Arial" w:cs="Arial" w:eastAsia="Arial" w:hAnsi="Arial"/>
          <w:b/>
          <w:bCs/>
          <w:color w:val="2b6cb0"/>
          <w:sz w:val="24"/>
          <w:szCs w:val="24"/>
        </w:rPr>
        <w:t xml:space="preserve">2.3 Composite profile</w:t>
      </w:r>
    </w:p>
    <w:p>
      <w:pPr>
        <w:spacing w:before="60" w:after="80"/>
      </w:pPr>
      <w:r>
        <w:rPr>
          <w:rFonts w:ascii="Arial" w:cs="Arial" w:eastAsia="Arial" w:hAnsi="Arial"/>
          <w:color w:val="1a202c"/>
          <w:sz w:val="21"/>
          <w:szCs w:val="21"/>
        </w:rPr>
        <w:t xml:space="preserve">Rather than a single 'divergence score' (which implies a verdict), the tool surfaces a profile per journal-year with multiple descriptive dimensions: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BD5E0" w:sz="1"/>
              <w:left w:val="single" w:color="CBD5E0" w:sz="1"/>
              <w:bottom w:val="single" w:color="CBD5E0" w:sz="1"/>
              <w:right w:val="single" w:color="CBD5E0"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Dimension</w:t>
            </w:r>
          </w:p>
        </w:tc>
        <w:tc>
          <w:tcPr>
            <w:tcW w:type="dxa" w:w="6480"/>
            <w:tcBorders>
              <w:top w:val="single" w:color="CBD5E0" w:sz="1"/>
              <w:left w:val="single" w:color="CBD5E0" w:sz="1"/>
              <w:bottom w:val="single" w:color="CBD5E0" w:sz="1"/>
              <w:right w:val="single" w:color="CBD5E0"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Categories</w:t>
            </w:r>
          </w:p>
        </w:tc>
      </w:tr>
      <w:tr>
        <w:tc>
          <w:tcPr>
            <w:tcW w:type="dxa" w:w="2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Topic alignment to 3-year journal profile</w:t>
            </w:r>
          </w:p>
        </w:tc>
        <w:tc>
          <w:tcPr>
            <w:tcW w:type="dxa" w:w="6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Within typical range / Moderate shift / Notable shift</w:t>
            </w:r>
          </w:p>
        </w:tc>
      </w:tr>
      <w:tr>
        <w:tc>
          <w:tcPr>
            <w:tcW w:type="dxa" w:w="288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Reference field alignment</w:t>
            </w:r>
          </w:p>
        </w:tc>
        <w:tc>
          <w:tcPr>
            <w:tcW w:type="dxa" w:w="648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High / Moderate / Low</w:t>
            </w:r>
          </w:p>
        </w:tc>
      </w:tr>
      <w:tr>
        <w:tc>
          <w:tcPr>
            <w:tcW w:type="dxa" w:w="2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Author institutional profile</w:t>
            </w:r>
          </w:p>
        </w:tc>
        <w:tc>
          <w:tcPr>
            <w:tcW w:type="dxa" w:w="6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Within typical range / Outside typical range</w:t>
            </w:r>
          </w:p>
        </w:tc>
      </w:tr>
      <w:tr>
        <w:tc>
          <w:tcPr>
            <w:tcW w:type="dxa" w:w="288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Intra-citation density</w:t>
            </w:r>
          </w:p>
        </w:tc>
        <w:tc>
          <w:tcPr>
            <w:tcW w:type="dxa" w:w="648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Within typical range / Elevated / Notably elevated</w:t>
            </w:r>
          </w:p>
        </w:tc>
      </w:tr>
    </w:tbl>
    <w:p>
      <w:pPr>
        <w:spacing w:before="80" w:after="0"/>
      </w:pPr>
      <w:r>
        <w:t xml:space="preserve"/>
      </w:r>
    </w:p>
    <w:p>
      <w:pPr>
        <w:spacing w:before="60" w:after="80"/>
      </w:pPr>
      <w:r>
        <w:rPr>
          <w:rFonts w:ascii="Arial" w:cs="Arial" w:eastAsia="Arial" w:hAnsi="Arial"/>
          <w:color w:val="1a202c"/>
          <w:sz w:val="21"/>
          <w:szCs w:val="21"/>
        </w:rPr>
        <w:t xml:space="preserve">Experts decide whether a combination warrants further review. The tool provides the map; experts determine the destination.</w:t>
      </w:r>
    </w:p>
    <w:p>
      <w:pPr>
        <w:spacing w:before="80" w:after="0"/>
      </w:pPr>
      <w:r>
        <w:t xml:space="preserve"/>
      </w:r>
    </w:p>
    <w:p>
      <w:pPr>
        <w:pStyle w:val="Heading1"/>
        <w:pBdr>
          <w:bottom w:val="single" w:color="2b6cb0" w:sz="4" w:space="6"/>
        </w:pBdr>
        <w:spacing w:before="320" w:after="120"/>
      </w:pPr>
      <w:r>
        <w:rPr>
          <w:rFonts w:ascii="Arial" w:cs="Arial" w:eastAsia="Arial" w:hAnsi="Arial"/>
          <w:b/>
          <w:bCs/>
          <w:color w:val="1e3a5f"/>
          <w:sz w:val="30"/>
          <w:szCs w:val="30"/>
        </w:rPr>
        <w:t xml:space="preserve">3. Language &amp; Framing Policy</w:t>
      </w:r>
    </w:p>
    <w:p>
      <w:pPr>
        <w:pBdr>
          <w:left w:val="single" w:color="2b6cb0" w:sz="12" w:space="8"/>
        </w:pBdr>
        <w:shd w:fill="ebf4ff" w:val="clear"/>
        <w:spacing w:before="80" w:after="80"/>
        <w:ind w:left="360" w:right="360"/>
      </w:pPr>
      <w:r>
        <w:rPr>
          <w:rFonts w:ascii="Arial" w:cs="Arial" w:eastAsia="Arial" w:hAnsi="Arial"/>
          <w:i w:val="false"/>
          <w:iCs w:val="false"/>
          <w:color w:val="1e3a5f"/>
          <w:sz w:val="20"/>
          <w:szCs w:val="20"/>
        </w:rPr>
        <w:t xml:space="preserve">This is the most important non-technical constraint. It applies to every string in the UI — labels, tooltips, column headers, help text, and code comments that surface in the interface.</w:t>
      </w:r>
    </w:p>
    <w:p>
      <w:pPr>
        <w:spacing w:before="80" w:after="0"/>
      </w:pPr>
      <w:r>
        <w:t xml:space="preserve"/>
      </w:r>
    </w:p>
    <w:p>
      <w:pPr>
        <w:pStyle w:val="Heading2"/>
        <w:spacing w:before="240" w:after="80"/>
      </w:pPr>
      <w:r>
        <w:rPr>
          <w:rFonts w:ascii="Arial" w:cs="Arial" w:eastAsia="Arial" w:hAnsi="Arial"/>
          <w:b/>
          <w:bCs/>
          <w:color w:val="2b6cb0"/>
          <w:sz w:val="24"/>
          <w:szCs w:val="24"/>
        </w:rPr>
        <w:t xml:space="preserve">3.1 Core principle</w:t>
      </w:r>
    </w:p>
    <w:p>
      <w:pPr>
        <w:spacing w:before="60" w:after="80"/>
      </w:pPr>
      <w:r>
        <w:rPr>
          <w:rFonts w:ascii="Arial" w:cs="Arial" w:eastAsia="Arial" w:hAnsi="Arial"/>
          <w:color w:val="1a202c"/>
          <w:sz w:val="21"/>
          <w:szCs w:val="21"/>
        </w:rPr>
        <w:t xml:space="preserve">The tool must not imply wrongdoing, misconduct, manipulation, or any ethical judgment of any kind. Even though it may be used to assess publishing ethics concerns, the tool itself makes no reference to that use. It is a bibliometric characterisation instrument.</w:t>
      </w:r>
    </w:p>
    <w:p>
      <w:pPr>
        <w:spacing w:before="80" w:after="0"/>
      </w:pPr>
      <w:r>
        <w:t xml:space="preserve"/>
      </w:r>
    </w:p>
    <w:p>
      <w:pPr>
        <w:pStyle w:val="Heading2"/>
        <w:spacing w:before="240" w:after="80"/>
      </w:pPr>
      <w:r>
        <w:rPr>
          <w:rFonts w:ascii="Arial" w:cs="Arial" w:eastAsia="Arial" w:hAnsi="Arial"/>
          <w:b/>
          <w:bCs/>
          <w:color w:val="2b6cb0"/>
          <w:sz w:val="24"/>
          <w:szCs w:val="24"/>
        </w:rPr>
        <w:t xml:space="preserve">3.2 Approved and prohibited vocabulary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BD5E0" w:sz="1"/>
              <w:left w:val="single" w:color="CBD5E0" w:sz="1"/>
              <w:bottom w:val="single" w:color="CBD5E0" w:sz="1"/>
              <w:right w:val="single" w:color="CBD5E0"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Use this</w:t>
            </w:r>
          </w:p>
        </w:tc>
        <w:tc>
          <w:tcPr>
            <w:tcW w:type="dxa" w:w="6120"/>
            <w:tcBorders>
              <w:top w:val="single" w:color="CBD5E0" w:sz="1"/>
              <w:left w:val="single" w:color="CBD5E0" w:sz="1"/>
              <w:bottom w:val="single" w:color="CBD5E0" w:sz="1"/>
              <w:right w:val="single" w:color="CBD5E0"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Not this</w:t>
            </w:r>
          </w:p>
        </w:tc>
      </w:tr>
      <w:tr>
        <w:tc>
          <w:tcPr>
            <w:tcW w:type="dxa" w:w="3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Topic distribution shift</w:t>
            </w:r>
          </w:p>
        </w:tc>
        <w:tc>
          <w:tcPr>
            <w:tcW w:type="dxa" w:w="6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Scope deviation / Scope violation</w:t>
            </w:r>
          </w:p>
        </w:tc>
      </w:tr>
      <w:tr>
        <w:tc>
          <w:tcPr>
            <w:tcW w:type="dxa" w:w="324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Reference field alignment</w:t>
            </w:r>
          </w:p>
        </w:tc>
        <w:tc>
          <w:tcPr>
            <w:tcW w:type="dxa" w:w="612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Citation manipulation indicator</w:t>
            </w:r>
          </w:p>
        </w:tc>
      </w:tr>
      <w:tr>
        <w:tc>
          <w:tcPr>
            <w:tcW w:type="dxa" w:w="3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Publishing profile</w:t>
            </w:r>
          </w:p>
        </w:tc>
        <w:tc>
          <w:tcPr>
            <w:tcW w:type="dxa" w:w="6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Declared vs. actual scope</w:t>
            </w:r>
          </w:p>
        </w:tc>
      </w:tr>
      <w:tr>
        <w:tc>
          <w:tcPr>
            <w:tcW w:type="dxa" w:w="324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Divergent articles</w:t>
            </w:r>
          </w:p>
        </w:tc>
        <w:tc>
          <w:tcPr>
            <w:tcW w:type="dxa" w:w="612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Out-of-scope articles / Problematic articles</w:t>
            </w:r>
          </w:p>
        </w:tc>
      </w:tr>
      <w:tr>
        <w:tc>
          <w:tcPr>
            <w:tcW w:type="dxa" w:w="3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Notable / Atypical</w:t>
            </w:r>
          </w:p>
        </w:tc>
        <w:tc>
          <w:tcPr>
            <w:tcW w:type="dxa" w:w="6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Suspicious / Anomalous / Flagged</w:t>
            </w:r>
          </w:p>
        </w:tc>
      </w:tr>
      <w:tr>
        <w:tc>
          <w:tcPr>
            <w:tcW w:type="dxa" w:w="324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Outside typical range</w:t>
            </w:r>
          </w:p>
        </w:tc>
        <w:tc>
          <w:tcPr>
            <w:tcW w:type="dxa" w:w="612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Abnormal / Irregular</w:t>
            </w:r>
          </w:p>
        </w:tc>
      </w:tr>
      <w:tr>
        <w:tc>
          <w:tcPr>
            <w:tcW w:type="dxa" w:w="3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Warrants closer review</w:t>
            </w:r>
          </w:p>
        </w:tc>
        <w:tc>
          <w:tcPr>
            <w:tcW w:type="dxa" w:w="6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Indicates misconduct / Red flag</w:t>
            </w:r>
          </w:p>
        </w:tc>
      </w:tr>
      <w:tr>
        <w:tc>
          <w:tcPr>
            <w:tcW w:type="dxa" w:w="324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Author institutional profile</w:t>
            </w:r>
          </w:p>
        </w:tc>
        <w:tc>
          <w:tcPr>
            <w:tcW w:type="dxa" w:w="612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Author fraud indicator</w:t>
            </w:r>
          </w:p>
        </w:tc>
      </w:tr>
      <w:tr>
        <w:tc>
          <w:tcPr>
            <w:tcW w:type="dxa" w:w="3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Intra-citation density</w:t>
            </w:r>
          </w:p>
        </w:tc>
        <w:tc>
          <w:tcPr>
            <w:tcW w:type="dxa" w:w="6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Citation ring / Self-citation manipulation</w:t>
            </w:r>
          </w:p>
        </w:tc>
      </w:tr>
      <w:tr>
        <w:tc>
          <w:tcPr>
            <w:tcW w:type="dxa" w:w="324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Publishing profile analysis</w:t>
            </w:r>
          </w:p>
        </w:tc>
        <w:tc>
          <w:tcPr>
            <w:tcW w:type="dxa" w:w="612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Integrity audit / Ethics check</w:t>
            </w:r>
          </w:p>
        </w:tc>
      </w:tr>
    </w:tbl>
    <w:p>
      <w:pPr>
        <w:spacing w:before="80" w:after="0"/>
      </w:pPr>
      <w:r>
        <w:t xml:space="preserve"/>
      </w:r>
    </w:p>
    <w:p>
      <w:pPr>
        <w:pStyle w:val="Heading2"/>
        <w:spacing w:before="240" w:after="80"/>
      </w:pPr>
      <w:r>
        <w:rPr>
          <w:rFonts w:ascii="Arial" w:cs="Arial" w:eastAsia="Arial" w:hAnsi="Arial"/>
          <w:b/>
          <w:bCs/>
          <w:color w:val="2b6cb0"/>
          <w:sz w:val="24"/>
          <w:szCs w:val="24"/>
        </w:rPr>
        <w:t xml:space="preserve">3.3 Output framing</w:t>
      </w:r>
    </w:p>
    <w:p>
      <w:pPr>
        <w:spacing w:before="60" w:after="80"/>
      </w:pPr>
      <w:r>
        <w:rPr>
          <w:rFonts w:ascii="Arial" w:cs="Arial" w:eastAsia="Arial" w:hAnsi="Arial"/>
          <w:color w:val="1a202c"/>
          <w:sz w:val="21"/>
          <w:szCs w:val="21"/>
        </w:rPr>
        <w:t xml:space="preserve">All outputs use this register:</w:t>
      </w:r>
    </w:p>
    <w:p>
      <w:pPr>
        <w:pStyle w:val="ListParagraph"/>
        <w:numPr>
          <w:ilvl w:val="0"/>
          <w:numId w:val="2"/>
        </w:numPr>
        <w:spacing w:before="40" w:after="40"/>
      </w:pPr>
      <w:r>
        <w:rPr>
          <w:rFonts w:ascii="Arial" w:cs="Arial" w:eastAsia="Arial" w:hAnsi="Arial"/>
          <w:color w:val="1a202c"/>
          <w:sz w:val="21"/>
          <w:szCs w:val="21"/>
        </w:rPr>
        <w:t xml:space="preserve">"This journal shows a notable shift in topic distribution between 2021 and 2023, warranting closer review."</w:t>
      </w:r>
    </w:p>
    <w:p>
      <w:pPr>
        <w:pStyle w:val="ListParagraph"/>
        <w:numPr>
          <w:ilvl w:val="0"/>
          <w:numId w:val="2"/>
        </w:numPr>
        <w:spacing w:before="40" w:after="40"/>
      </w:pPr>
      <w:r>
        <w:rPr>
          <w:rFonts w:ascii="Arial" w:cs="Arial" w:eastAsia="Arial" w:hAnsi="Arial"/>
          <w:color w:val="1a202c"/>
          <w:sz w:val="21"/>
          <w:szCs w:val="21"/>
        </w:rPr>
        <w:t xml:space="preserve">"Reference field alignment for this article is low relative to the journal's 3-year publishing profile."</w:t>
      </w:r>
    </w:p>
    <w:p>
      <w:pPr>
        <w:pStyle w:val="ListParagraph"/>
        <w:numPr>
          <w:ilvl w:val="0"/>
          <w:numId w:val="2"/>
        </w:numPr>
        <w:spacing w:before="40" w:after="40"/>
      </w:pPr>
      <w:r>
        <w:rPr>
          <w:rFonts w:ascii="Arial" w:cs="Arial" w:eastAsia="Arial" w:hAnsi="Arial"/>
          <w:color w:val="1a202c"/>
          <w:sz w:val="21"/>
          <w:szCs w:val="21"/>
        </w:rPr>
        <w:t xml:space="preserve">"Author institutional concentration is outside the journal's typical range for this period."</w:t>
      </w:r>
    </w:p>
    <w:p>
      <w:pPr>
        <w:spacing w:before="80" w:after="0"/>
      </w:pPr>
      <w:r>
        <w:t xml:space="preserve"/>
      </w:r>
    </w:p>
    <w:p>
      <w:pPr>
        <w:spacing w:before="60" w:after="80"/>
      </w:pPr>
      <w:r>
        <w:rPr>
          <w:rFonts w:ascii="Arial" w:cs="Arial" w:eastAsia="Arial" w:hAnsi="Arial"/>
          <w:color w:val="1a202c"/>
          <w:sz w:val="21"/>
          <w:szCs w:val="21"/>
        </w:rPr>
        <w:t xml:space="preserve">Never:</w:t>
      </w:r>
    </w:p>
    <w:p>
      <w:pPr>
        <w:pStyle w:val="ListParagraph"/>
        <w:numPr>
          <w:ilvl w:val="0"/>
          <w:numId w:val="2"/>
        </w:numPr>
        <w:spacing w:before="40" w:after="40"/>
      </w:pPr>
      <w:r>
        <w:rPr>
          <w:rFonts w:ascii="Arial" w:cs="Arial" w:eastAsia="Arial" w:hAnsi="Arial"/>
          <w:color w:val="1a202c"/>
          <w:sz w:val="21"/>
          <w:szCs w:val="21"/>
        </w:rPr>
        <w:t xml:space="preserve">"Suspicious topic drift detected."</w:t>
      </w:r>
    </w:p>
    <w:p>
      <w:pPr>
        <w:pStyle w:val="ListParagraph"/>
        <w:numPr>
          <w:ilvl w:val="0"/>
          <w:numId w:val="2"/>
        </w:numPr>
        <w:spacing w:before="40" w:after="40"/>
      </w:pPr>
      <w:r>
        <w:rPr>
          <w:rFonts w:ascii="Arial" w:cs="Arial" w:eastAsia="Arial" w:hAnsi="Arial"/>
          <w:color w:val="1a202c"/>
          <w:sz w:val="21"/>
          <w:szCs w:val="21"/>
        </w:rPr>
        <w:t xml:space="preserve">"This article may be out of scope — possible paper mill content."</w:t>
      </w:r>
    </w:p>
    <w:p>
      <w:pPr>
        <w:pStyle w:val="ListParagraph"/>
        <w:numPr>
          <w:ilvl w:val="0"/>
          <w:numId w:val="2"/>
        </w:numPr>
        <w:spacing w:before="40" w:after="40"/>
      </w:pPr>
      <w:r>
        <w:rPr>
          <w:rFonts w:ascii="Arial" w:cs="Arial" w:eastAsia="Arial" w:hAnsi="Arial"/>
          <w:color w:val="1a202c"/>
          <w:sz w:val="21"/>
          <w:szCs w:val="21"/>
        </w:rPr>
        <w:t xml:space="preserve">"Journal integrity score: HIGH RISK."</w:t>
      </w:r>
    </w:p>
    <w:p>
      <w:pPr>
        <w:spacing w:before="80" w:after="0"/>
      </w:pPr>
      <w:r>
        <w:t xml:space="preserve"/>
      </w:r>
    </w:p>
    <w:p>
      <w:pPr>
        <w:pStyle w:val="Heading2"/>
        <w:spacing w:before="240" w:after="80"/>
      </w:pPr>
      <w:r>
        <w:rPr>
          <w:rFonts w:ascii="Arial" w:cs="Arial" w:eastAsia="Arial" w:hAnsi="Arial"/>
          <w:b/>
          <w:bCs/>
          <w:color w:val="2b6cb0"/>
          <w:sz w:val="24"/>
          <w:szCs w:val="24"/>
        </w:rPr>
        <w:t xml:space="preserve">3.4 Public README framing</w:t>
      </w:r>
    </w:p>
    <w:p>
      <w:pPr>
        <w:spacing w:before="60" w:after="80"/>
      </w:pPr>
      <w:r>
        <w:rPr>
          <w:rFonts w:ascii="Arial" w:cs="Arial" w:eastAsia="Arial" w:hAnsi="Arial"/>
          <w:color w:val="1a202c"/>
          <w:sz w:val="21"/>
          <w:szCs w:val="21"/>
        </w:rPr>
        <w:t xml:space="preserve">The GitHub README describes the tool as: </w:t>
      </w:r>
      <w:r>
        <w:rPr>
          <w:rFonts w:ascii="Arial" w:cs="Arial" w:eastAsia="Arial" w:hAnsi="Arial"/>
          <w:b/>
          <w:bCs/>
          <w:color w:val="1a202c"/>
          <w:sz w:val="21"/>
          <w:szCs w:val="21"/>
        </w:rPr>
        <w:t xml:space="preserve">"a bibliometric analysis tool for characterising the publishing profile of academic journals over time"</w:t>
      </w:r>
      <w:r>
        <w:rPr>
          <w:rFonts w:ascii="Arial" w:cs="Arial" w:eastAsia="Arial" w:hAnsi="Arial"/>
          <w:color w:val="1a202c"/>
          <w:sz w:val="21"/>
          <w:szCs w:val="21"/>
        </w:rPr>
        <w:t xml:space="preserve">. No mention of integrity, ethics, or misconduct in the top-level description. Users who understand the use case will recognise it. Users who do not will find legitimate alternative uses (editors reviewing their own journal, librarians evaluating titles, researchers mapping a field).</w:t>
      </w:r>
    </w:p>
    <w:p>
      <w:pPr>
        <w:spacing w:before="80" w:after="0"/>
      </w:pPr>
      <w:r>
        <w:t xml:space="preserve"/>
      </w:r>
    </w:p>
    <w:p>
      <w:pPr>
        <w:pStyle w:val="Heading1"/>
        <w:pBdr>
          <w:bottom w:val="single" w:color="2b6cb0" w:sz="4" w:space="6"/>
        </w:pBdr>
        <w:spacing w:before="320" w:after="120"/>
      </w:pPr>
      <w:r>
        <w:rPr>
          <w:rFonts w:ascii="Arial" w:cs="Arial" w:eastAsia="Arial" w:hAnsi="Arial"/>
          <w:b/>
          <w:bCs/>
          <w:color w:val="1e3a5f"/>
          <w:sz w:val="30"/>
          <w:szCs w:val="30"/>
        </w:rPr>
        <w:t xml:space="preserve">4. Architecture &amp; Data Pipeline</w:t>
      </w:r>
    </w:p>
    <w:p>
      <w:pPr>
        <w:spacing w:before="80" w:after="0"/>
      </w:pPr>
      <w:r>
        <w:t xml:space="preserve"/>
      </w:r>
    </w:p>
    <w:p>
      <w:pPr>
        <w:pStyle w:val="Heading2"/>
        <w:spacing w:before="240" w:after="80"/>
      </w:pPr>
      <w:r>
        <w:rPr>
          <w:rFonts w:ascii="Arial" w:cs="Arial" w:eastAsia="Arial" w:hAnsi="Arial"/>
          <w:b/>
          <w:bCs/>
          <w:color w:val="2b6cb0"/>
          <w:sz w:val="24"/>
          <w:szCs w:val="24"/>
        </w:rPr>
        <w:t xml:space="preserve">4.1 Two-view structure</w:t>
      </w:r>
    </w:p>
    <w:p>
      <w:pPr>
        <w:spacing w:before="60" w:after="80"/>
      </w:pPr>
      <w:r>
        <w:rPr>
          <w:rFonts w:ascii="Arial" w:cs="Arial" w:eastAsia="Arial" w:hAnsi="Arial"/>
          <w:color w:val="1a202c"/>
          <w:sz w:val="21"/>
          <w:szCs w:val="21"/>
        </w:rPr>
        <w:t xml:space="preserve">The tool maintains a clear separation between two views:</w:t>
      </w:r>
    </w:p>
    <w:p>
      <w:pPr>
        <w:pStyle w:val="ListParagraph"/>
        <w:numPr>
          <w:ilvl w:val="0"/>
          <w:numId w:val="2"/>
        </w:numPr>
        <w:spacing w:before="40" w:after="40"/>
      </w:pPr>
      <w:r>
        <w:rPr>
          <w:rFonts w:ascii="Arial" w:cs="Arial" w:eastAsia="Arial" w:hAnsi="Arial"/>
          <w:b/>
          <w:bCs/>
          <w:color w:val="1a202c"/>
          <w:sz w:val="21"/>
          <w:szCs w:val="21"/>
        </w:rPr>
        <w:t xml:space="preserve">Journal view</w:t>
      </w:r>
      <w:r>
        <w:rPr>
          <w:rFonts w:ascii="Arial" w:cs="Arial" w:eastAsia="Arial" w:hAnsi="Arial"/>
          <w:color w:val="1a202c"/>
          <w:sz w:val="21"/>
          <w:szCs w:val="21"/>
        </w:rPr>
        <w:t xml:space="preserve"> — trends over time (when did something shift?). Charts and time series.</w:t>
      </w:r>
    </w:p>
    <w:p>
      <w:pPr>
        <w:pStyle w:val="ListParagraph"/>
        <w:numPr>
          <w:ilvl w:val="0"/>
          <w:numId w:val="2"/>
        </w:numPr>
        <w:spacing w:before="40" w:after="40"/>
      </w:pPr>
      <w:r>
        <w:rPr>
          <w:rFonts w:ascii="Arial" w:cs="Arial" w:eastAsia="Arial" w:hAnsi="Arial"/>
          <w:b/>
          <w:bCs/>
          <w:color w:val="1a202c"/>
          <w:sz w:val="21"/>
          <w:szCs w:val="21"/>
        </w:rPr>
        <w:t xml:space="preserve">Article view</w:t>
      </w:r>
      <w:r>
        <w:rPr>
          <w:rFonts w:ascii="Arial" w:cs="Arial" w:eastAsia="Arial" w:hAnsi="Arial"/>
          <w:color w:val="1a202c"/>
          <w:sz w:val="21"/>
          <w:szCs w:val="21"/>
        </w:rPr>
        <w:t xml:space="preserve"> — drill-down into specific articles that diverge from the journal's profile (what specifically looks different?). This is the primary working surface for subject matter experts.</w:t>
      </w:r>
    </w:p>
    <w:p>
      <w:pPr>
        <w:spacing w:before="60" w:after="80"/>
      </w:pPr>
      <w:r>
        <w:rPr>
          <w:rFonts w:ascii="Arial" w:cs="Arial" w:eastAsia="Arial" w:hAnsi="Arial"/>
          <w:color w:val="1a202c"/>
          <w:sz w:val="21"/>
          <w:szCs w:val="21"/>
        </w:rPr>
        <w:t xml:space="preserve">There is no 'verdict screen'. The architecture enforces the signals-not-verdicts principle structurally.</w:t>
      </w:r>
    </w:p>
    <w:p>
      <w:pPr>
        <w:spacing w:before="80" w:after="0"/>
      </w:pPr>
      <w:r>
        <w:t xml:space="preserve"/>
      </w:r>
    </w:p>
    <w:p>
      <w:pPr>
        <w:pStyle w:val="Heading2"/>
        <w:spacing w:before="240" w:after="80"/>
      </w:pPr>
      <w:r>
        <w:rPr>
          <w:rFonts w:ascii="Arial" w:cs="Arial" w:eastAsia="Arial" w:hAnsi="Arial"/>
          <w:b/>
          <w:bCs/>
          <w:color w:val="2b6cb0"/>
          <w:sz w:val="24"/>
          <w:szCs w:val="24"/>
        </w:rPr>
        <w:t xml:space="preserve">4.2 OpenAlex data pipeline</w:t>
      </w:r>
    </w:p>
    <w:p>
      <w:pPr>
        <w:spacing w:before="60" w:after="80"/>
      </w:pPr>
      <w:r>
        <w:rPr>
          <w:rFonts w:ascii="Arial" w:cs="Arial" w:eastAsia="Arial" w:hAnsi="Arial"/>
          <w:color w:val="1a202c"/>
          <w:sz w:val="21"/>
          <w:szCs w:val="21"/>
        </w:rPr>
        <w:t xml:space="preserve">All data is fetched from the OpenAlex API. No backend. No database. State lives in React.</w:t>
      </w:r>
    </w:p>
    <w:p>
      <w:pPr>
        <w:spacing w:before="40" w:after="0"/>
      </w:pPr>
      <w:r>
        <w:t xml:space="preserve"/>
      </w:r>
    </w:p>
    <w:p>
      <w:pPr>
        <w:pBdr>
          <w:top w:val="single" w:color="CBD5E0" w:sz="1"/>
        </w:pBdr>
        <w:shd w:fill="f1f5f9" w:val="clear"/>
        <w:spacing w:before="80" w:after="0"/>
        <w:ind w:left="360"/>
      </w:pPr>
      <w:r>
        <w:rPr>
          <w:rFonts w:ascii="Courier New" w:cs="Courier New" w:eastAsia="Courier New" w:hAnsi="Courier New"/>
          <w:color w:val="2d3748"/>
          <w:sz w:val="18"/>
          <w:szCs w:val="18"/>
        </w:rPr>
        <w:t xml:space="preserve">Step 1 — Journal resolution</w:t>
      </w:r>
    </w:p>
    <w:p>
      <w:pPr>
        <w:shd w:fill="f1f5f9" w:val="clear"/>
        <w:spacing w:before="0" w:after="0"/>
        <w:ind w:left="360"/>
      </w:pPr>
      <w:r>
        <w:rPr>
          <w:rFonts w:ascii="Courier New" w:cs="Courier New" w:eastAsia="Courier New" w:hAnsi="Courier New"/>
          <w:color w:val="2d3748"/>
          <w:sz w:val="18"/>
          <w:szCs w:val="18"/>
        </w:rPr>
        <w:t xml:space="preserve">  Input journal name → /sources?search={name}</w:t>
      </w:r>
    </w:p>
    <w:p>
      <w:pPr>
        <w:shd w:fill="f1f5f9" w:val="clear"/>
        <w:spacing w:before="0" w:after="0"/>
        <w:ind w:left="360"/>
      </w:pPr>
      <w:r>
        <w:rPr>
          <w:rFonts w:ascii="Courier New" w:cs="Courier New" w:eastAsia="Courier New" w:hAnsi="Courier New"/>
          <w:color w:val="2d3748"/>
          <w:sz w:val="18"/>
          <w:szCs w:val="18"/>
        </w:rPr>
        <w:t xml:space="preserve">  Resolve to OpenAlex Source ID (S-prefix)</w:t>
      </w:r>
    </w:p>
    <w:p>
      <w:pPr>
        <w:shd w:fill="f1f5f9" w:val="clear"/>
        <w:spacing w:before="0" w:after="0"/>
        <w:ind w:left="360"/>
      </w:pPr>
      <w:r>
        <w:rPr>
          <w:rFonts w:ascii="Courier New" w:cs="Courier New" w:eastAsia="Courier New" w:hAnsi="Courier New"/>
          <w:color w:val="2d3748"/>
          <w:sz w:val="18"/>
          <w:szCs w:val="18"/>
        </w:rPr>
        <w:t xml:space="preserve">  Two-step lookup: never filter by name directly</w:t>
      </w:r>
    </w:p>
    <w:p>
      <w:pPr>
        <w:shd w:fill="f1f5f9" w:val="clear"/>
        <w:spacing w:before="0" w:after="0"/>
        <w:ind w:left="360"/>
      </w:pPr>
      <w:r>
        <w:rPr>
          <w:rFonts w:ascii="Courier New" w:cs="Courier New" w:eastAsia="Courier New" w:hAnsi="Courier New"/>
          <w:color w:val="2d3748"/>
          <w:sz w:val="18"/>
          <w:szCs w:val="18"/>
        </w:rPr>
        <w:t xml:space="preserve"> </w:t>
      </w:r>
    </w:p>
    <w:p>
      <w:pPr>
        <w:shd w:fill="f1f5f9" w:val="clear"/>
        <w:spacing w:before="0" w:after="0"/>
        <w:ind w:left="360"/>
      </w:pPr>
      <w:r>
        <w:rPr>
          <w:rFonts w:ascii="Courier New" w:cs="Courier New" w:eastAsia="Courier New" w:hAnsi="Courier New"/>
          <w:color w:val="2d3748"/>
          <w:sz w:val="18"/>
          <w:szCs w:val="18"/>
        </w:rPr>
        <w:t xml:space="preserve">Step 2 — Works fetch (per year, paginated)</w:t>
      </w:r>
    </w:p>
    <w:p>
      <w:pPr>
        <w:shd w:fill="f1f5f9" w:val="clear"/>
        <w:spacing w:before="0" w:after="0"/>
        <w:ind w:left="360"/>
      </w:pPr>
      <w:r>
        <w:rPr>
          <w:rFonts w:ascii="Courier New" w:cs="Courier New" w:eastAsia="Courier New" w:hAnsi="Courier New"/>
          <w:color w:val="2d3748"/>
          <w:sz w:val="18"/>
          <w:szCs w:val="18"/>
        </w:rPr>
        <w:t xml:space="preserve">  /works?filter=primary_location.source.id:{id}</w:t>
      </w:r>
    </w:p>
    <w:p>
      <w:pPr>
        <w:shd w:fill="f1f5f9" w:val="clear"/>
        <w:spacing w:before="0" w:after="0"/>
        <w:ind w:left="360"/>
      </w:pPr>
      <w:r>
        <w:rPr>
          <w:rFonts w:ascii="Courier New" w:cs="Courier New" w:eastAsia="Courier New" w:hAnsi="Courier New"/>
          <w:color w:val="2d3748"/>
          <w:sz w:val="18"/>
          <w:szCs w:val="18"/>
        </w:rPr>
        <w:t xml:space="preserve">         ,publication_year:{year},type:article</w:t>
      </w:r>
    </w:p>
    <w:p>
      <w:pPr>
        <w:shd w:fill="f1f5f9" w:val="clear"/>
        <w:spacing w:before="0" w:after="0"/>
        <w:ind w:left="360"/>
      </w:pPr>
      <w:r>
        <w:rPr>
          <w:rFonts w:ascii="Courier New" w:cs="Courier New" w:eastAsia="Courier New" w:hAnsi="Courier New"/>
          <w:color w:val="2d3748"/>
          <w:sz w:val="18"/>
          <w:szCs w:val="18"/>
        </w:rPr>
        <w:t xml:space="preserve">  &amp;per_page=200&amp;page={n}</w:t>
      </w:r>
    </w:p>
    <w:p>
      <w:pPr>
        <w:shd w:fill="f1f5f9" w:val="clear"/>
        <w:spacing w:before="0" w:after="0"/>
        <w:ind w:left="360"/>
      </w:pPr>
      <w:r>
        <w:rPr>
          <w:rFonts w:ascii="Courier New" w:cs="Courier New" w:eastAsia="Courier New" w:hAnsi="Courier New"/>
          <w:color w:val="2d3748"/>
          <w:sz w:val="18"/>
          <w:szCs w:val="18"/>
        </w:rPr>
        <w:t xml:space="preserve">  &amp;select=id,title,doi,authorships,publication_year,</w:t>
      </w:r>
    </w:p>
    <w:p>
      <w:pPr>
        <w:shd w:fill="f1f5f9" w:val="clear"/>
        <w:spacing w:before="0" w:after="0"/>
        <w:ind w:left="360"/>
      </w:pPr>
      <w:r>
        <w:rPr>
          <w:rFonts w:ascii="Courier New" w:cs="Courier New" w:eastAsia="Courier New" w:hAnsi="Courier New"/>
          <w:color w:val="2d3748"/>
          <w:sz w:val="18"/>
          <w:szCs w:val="18"/>
        </w:rPr>
        <w:t xml:space="preserve">          primary_location,primary_topic,referenced_works</w:t>
      </w:r>
    </w:p>
    <w:p>
      <w:pPr>
        <w:shd w:fill="f1f5f9" w:val="clear"/>
        <w:spacing w:before="0" w:after="0"/>
        <w:ind w:left="360"/>
      </w:pPr>
      <w:r>
        <w:rPr>
          <w:rFonts w:ascii="Courier New" w:cs="Courier New" w:eastAsia="Courier New" w:hAnsi="Courier New"/>
          <w:color w:val="2d3748"/>
          <w:sz w:val="18"/>
          <w:szCs w:val="18"/>
        </w:rPr>
        <w:t xml:space="preserve">  Cap: 50 pages (10,000 works) per source per year</w:t>
      </w:r>
    </w:p>
    <w:p>
      <w:pPr>
        <w:shd w:fill="f1f5f9" w:val="clear"/>
        <w:spacing w:before="0" w:after="0"/>
        <w:ind w:left="360"/>
      </w:pPr>
      <w:r>
        <w:rPr>
          <w:rFonts w:ascii="Courier New" w:cs="Courier New" w:eastAsia="Courier New" w:hAnsi="Courier New"/>
          <w:color w:val="2d3748"/>
          <w:sz w:val="18"/>
          <w:szCs w:val="18"/>
        </w:rPr>
        <w:t xml:space="preserve">  Delay: 60ms between pages</w:t>
      </w:r>
    </w:p>
    <w:p>
      <w:pPr>
        <w:shd w:fill="f1f5f9" w:val="clear"/>
        <w:spacing w:before="0" w:after="0"/>
        <w:ind w:left="360"/>
      </w:pPr>
      <w:r>
        <w:rPr>
          <w:rFonts w:ascii="Courier New" w:cs="Courier New" w:eastAsia="Courier New" w:hAnsi="Courier New"/>
          <w:color w:val="2d3748"/>
          <w:sz w:val="18"/>
          <w:szCs w:val="18"/>
        </w:rPr>
        <w:t xml:space="preserve"> </w:t>
      </w:r>
    </w:p>
    <w:p>
      <w:pPr>
        <w:shd w:fill="f1f5f9" w:val="clear"/>
        <w:spacing w:before="0" w:after="0"/>
        <w:ind w:left="360"/>
      </w:pPr>
      <w:r>
        <w:rPr>
          <w:rFonts w:ascii="Courier New" w:cs="Courier New" w:eastAsia="Courier New" w:hAnsi="Courier New"/>
          <w:color w:val="2d3748"/>
          <w:sz w:val="18"/>
          <w:szCs w:val="18"/>
        </w:rPr>
        <w:t xml:space="preserve">Step 3 — Analytics (client-side, no extra API calls)</w:t>
      </w:r>
    </w:p>
    <w:p>
      <w:pPr>
        <w:shd w:fill="f1f5f9" w:val="clear"/>
        <w:spacing w:before="0" w:after="0"/>
        <w:ind w:left="360"/>
      </w:pPr>
      <w:r>
        <w:rPr>
          <w:rFonts w:ascii="Courier New" w:cs="Courier New" w:eastAsia="Courier New" w:hAnsi="Courier New"/>
          <w:color w:val="2d3748"/>
          <w:sz w:val="18"/>
          <w:szCs w:val="18"/>
        </w:rPr>
        <w:t xml:space="preserve">  Topic distribution per year</w:t>
      </w:r>
    </w:p>
    <w:p>
      <w:pPr>
        <w:shd w:fill="f1f5f9" w:val="clear"/>
        <w:spacing w:before="0" w:after="0"/>
        <w:ind w:left="360"/>
      </w:pPr>
      <w:r>
        <w:rPr>
          <w:rFonts w:ascii="Courier New" w:cs="Courier New" w:eastAsia="Courier New" w:hAnsi="Courier New"/>
          <w:color w:val="2d3748"/>
          <w:sz w:val="18"/>
          <w:szCs w:val="18"/>
        </w:rPr>
        <w:t xml:space="preserve">  Reference topic alignment (using primary_topic of referenced works</w:t>
      </w:r>
    </w:p>
    <w:p>
      <w:pPr>
        <w:shd w:fill="f1f5f9" w:val="clear"/>
        <w:spacing w:before="0" w:after="0"/>
        <w:ind w:left="360"/>
      </w:pPr>
      <w:r>
        <w:rPr>
          <w:rFonts w:ascii="Courier New" w:cs="Courier New" w:eastAsia="Courier New" w:hAnsi="Courier New"/>
          <w:color w:val="2d3748"/>
          <w:sz w:val="18"/>
          <w:szCs w:val="18"/>
        </w:rPr>
        <w:t xml:space="preserve">    — requires enrichment step, see §4.3)</w:t>
      </w:r>
    </w:p>
    <w:p>
      <w:pPr>
        <w:shd w:fill="f1f5f9" w:val="clear"/>
        <w:spacing w:before="0" w:after="0"/>
        <w:ind w:left="360"/>
      </w:pPr>
      <w:r>
        <w:rPr>
          <w:rFonts w:ascii="Courier New" w:cs="Courier New" w:eastAsia="Courier New" w:hAnsi="Courier New"/>
          <w:color w:val="2d3748"/>
          <w:sz w:val="18"/>
          <w:szCs w:val="18"/>
        </w:rPr>
        <w:t xml:space="preserve">  Author institution Herfindahl index per year</w:t>
      </w:r>
    </w:p>
    <w:p>
      <w:pPr>
        <w:shd w:fill="f1f5f9" w:val="clear"/>
        <w:spacing w:before="0" w:after="0"/>
        <w:ind w:left="360"/>
      </w:pPr>
      <w:r>
        <w:rPr>
          <w:rFonts w:ascii="Courier New" w:cs="Courier New" w:eastAsia="Courier New" w:hAnsi="Courier New"/>
          <w:color w:val="2d3748"/>
          <w:sz w:val="18"/>
          <w:szCs w:val="18"/>
        </w:rPr>
        <w:t xml:space="preserve">  Intra-citation density per year</w:t>
      </w:r>
    </w:p>
    <w:p>
      <w:pPr>
        <w:shd w:fill="f1f5f9" w:val="clear"/>
        <w:spacing w:before="0" w:after="0"/>
        <w:ind w:left="360"/>
      </w:pPr>
      <w:r>
        <w:rPr>
          <w:rFonts w:ascii="Courier New" w:cs="Courier New" w:eastAsia="Courier New" w:hAnsi="Courier New"/>
          <w:color w:val="2d3748"/>
          <w:sz w:val="18"/>
          <w:szCs w:val="18"/>
        </w:rPr>
        <w:t xml:space="preserve"> </w:t>
      </w:r>
    </w:p>
    <w:p>
      <w:pPr>
        <w:shd w:fill="f1f5f9" w:val="clear"/>
        <w:spacing w:before="0" w:after="0"/>
        <w:ind w:left="360"/>
      </w:pPr>
      <w:r>
        <w:rPr>
          <w:rFonts w:ascii="Courier New" w:cs="Courier New" w:eastAsia="Courier New" w:hAnsi="Courier New"/>
          <w:color w:val="2d3748"/>
          <w:sz w:val="18"/>
          <w:szCs w:val="18"/>
        </w:rPr>
        <w:t xml:space="preserve">Step 4 — Article-level divergence scoring</w:t>
      </w:r>
    </w:p>
    <w:p>
      <w:pPr>
        <w:shd w:fill="f1f5f9" w:val="clear"/>
        <w:spacing w:before="0" w:after="0"/>
        <w:ind w:left="360"/>
      </w:pPr>
      <w:r>
        <w:rPr>
          <w:rFonts w:ascii="Courier New" w:cs="Courier New" w:eastAsia="Courier New" w:hAnsi="Courier New"/>
          <w:color w:val="2d3748"/>
          <w:sz w:val="18"/>
          <w:szCs w:val="18"/>
        </w:rPr>
        <w:t xml:space="preserve">  For each article: compute alignment to journal's</w:t>
      </w:r>
    </w:p>
    <w:p>
      <w:pPr>
        <w:shd w:fill="f1f5f9" w:val="clear"/>
        <w:spacing w:before="0" w:after="0"/>
        <w:ind w:left="360"/>
      </w:pPr>
      <w:r>
        <w:rPr>
          <w:rFonts w:ascii="Courier New" w:cs="Courier New" w:eastAsia="Courier New" w:hAnsi="Courier New"/>
          <w:color w:val="2d3748"/>
          <w:sz w:val="18"/>
          <w:szCs w:val="18"/>
        </w:rPr>
        <w:t xml:space="preserve">  rolling 3-year topic profile</w:t>
      </w:r>
    </w:p>
    <w:p>
      <w:pPr>
        <w:pBdr>
          <w:bottom w:val="single" w:color="CBD5E0" w:sz="1"/>
        </w:pBdr>
        <w:shd w:fill="f1f5f9" w:val="clear"/>
        <w:spacing w:before="0" w:after="80"/>
        <w:ind w:left="360"/>
      </w:pPr>
      <w:r>
        <w:rPr>
          <w:rFonts w:ascii="Courier New" w:cs="Courier New" w:eastAsia="Courier New" w:hAnsi="Courier New"/>
          <w:color w:val="2d3748"/>
          <w:sz w:val="18"/>
          <w:szCs w:val="18"/>
        </w:rPr>
        <w:t xml:space="preserve">  Surface lowest-alignment articles in article view</w:t>
      </w:r>
    </w:p>
    <w:p>
      <w:pPr>
        <w:spacing w:before="80" w:after="0"/>
      </w:pPr>
      <w:r>
        <w:t xml:space="preserve"/>
      </w:r>
    </w:p>
    <w:p>
      <w:pPr>
        <w:pStyle w:val="Heading2"/>
        <w:spacing w:before="240" w:after="80"/>
      </w:pPr>
      <w:r>
        <w:rPr>
          <w:rFonts w:ascii="Arial" w:cs="Arial" w:eastAsia="Arial" w:hAnsi="Arial"/>
          <w:b/>
          <w:bCs/>
          <w:color w:val="2b6cb0"/>
          <w:sz w:val="24"/>
          <w:szCs w:val="24"/>
        </w:rPr>
        <w:t xml:space="preserve">4.3 Reference topic enrichment (Signal 2 only)</w:t>
      </w:r>
    </w:p>
    <w:p>
      <w:pPr>
        <w:pBdr>
          <w:left w:val="single" w:color="d97706" w:sz="12" w:space="8"/>
        </w:pBdr>
        <w:shd w:fill="fffbeb" w:val="clear"/>
        <w:spacing w:before="80" w:after="80"/>
        <w:ind w:left="360" w:right="360"/>
      </w:pPr>
      <w:r>
        <w:rPr>
          <w:rFonts w:ascii="Arial" w:cs="Arial" w:eastAsia="Arial" w:hAnsi="Arial"/>
          <w:color w:val="7b4a00"/>
          <w:sz w:val="20"/>
          <w:szCs w:val="20"/>
        </w:rPr>
        <w:t xml:space="preserve">This step requires additional API calls and significantly increases run time. It should be optional and user-initiated, not automatic.</w:t>
      </w:r>
    </w:p>
    <w:p>
      <w:pPr>
        <w:spacing w:before="60" w:after="0"/>
      </w:pPr>
      <w:r>
        <w:t xml:space="preserve"/>
      </w:r>
    </w:p>
    <w:p>
      <w:pPr>
        <w:spacing w:before="60" w:after="80"/>
      </w:pPr>
      <w:r>
        <w:rPr>
          <w:rFonts w:ascii="Arial" w:cs="Arial" w:eastAsia="Arial" w:hAnsi="Arial"/>
          <w:color w:val="1a202c"/>
          <w:sz w:val="21"/>
          <w:szCs w:val="21"/>
        </w:rPr>
        <w:t xml:space="preserve">For each article in the target year, </w:t>
      </w:r>
      <w:r>
        <w:rPr>
          <w:rFonts w:ascii="Arial" w:cs="Arial" w:eastAsia="Arial" w:hAnsi="Arial"/>
          <w:b/>
          <w:bCs/>
          <w:color w:val="1a202c"/>
          <w:sz w:val="21"/>
          <w:szCs w:val="21"/>
        </w:rPr>
        <w:t xml:space="preserve">referenced_works</w:t>
      </w:r>
      <w:r>
        <w:rPr>
          <w:rFonts w:ascii="Arial" w:cs="Arial" w:eastAsia="Arial" w:hAnsi="Arial"/>
          <w:color w:val="1a202c"/>
          <w:sz w:val="21"/>
          <w:szCs w:val="21"/>
        </w:rPr>
        <w:t xml:space="preserve"> returns a list of OpenAlex Work IDs. To get the topic of each referenced work, batch-fetch via:</w:t>
      </w:r>
    </w:p>
    <w:p>
      <w:pPr>
        <w:pBdr>
          <w:top w:val="single" w:color="CBD5E0" w:sz="1"/>
        </w:pBdr>
        <w:shd w:fill="f1f5f9" w:val="clear"/>
        <w:spacing w:before="80" w:after="0"/>
        <w:ind w:left="360"/>
      </w:pPr>
      <w:r>
        <w:rPr>
          <w:rFonts w:ascii="Courier New" w:cs="Courier New" w:eastAsia="Courier New" w:hAnsi="Courier New"/>
          <w:color w:val="2d3748"/>
          <w:sz w:val="18"/>
          <w:szCs w:val="18"/>
        </w:rPr>
        <w:t xml:space="preserve">/works?filter=openalex_id:{id1}|{id2}|...{id100}</w:t>
      </w:r>
    </w:p>
    <w:p>
      <w:pPr>
        <w:shd w:fill="f1f5f9" w:val="clear"/>
        <w:spacing w:before="0" w:after="0"/>
        <w:ind w:left="360"/>
      </w:pPr>
      <w:r>
        <w:rPr>
          <w:rFonts w:ascii="Courier New" w:cs="Courier New" w:eastAsia="Courier New" w:hAnsi="Courier New"/>
          <w:color w:val="2d3748"/>
          <w:sz w:val="18"/>
          <w:szCs w:val="18"/>
        </w:rPr>
        <w:t xml:space="preserve">&amp;per_page=100</w:t>
      </w:r>
    </w:p>
    <w:p>
      <w:pPr>
        <w:pBdr>
          <w:bottom w:val="single" w:color="CBD5E0" w:sz="1"/>
        </w:pBdr>
        <w:shd w:fill="f1f5f9" w:val="clear"/>
        <w:spacing w:before="0" w:after="80"/>
        <w:ind w:left="360"/>
      </w:pPr>
      <w:r>
        <w:rPr>
          <w:rFonts w:ascii="Courier New" w:cs="Courier New" w:eastAsia="Courier New" w:hAnsi="Courier New"/>
          <w:color w:val="2d3748"/>
          <w:sz w:val="18"/>
          <w:szCs w:val="18"/>
        </w:rPr>
        <w:t xml:space="preserve">&amp;select=id,primary_topic</w:t>
      </w:r>
    </w:p>
    <w:p>
      <w:pPr>
        <w:spacing w:before="60" w:after="80"/>
      </w:pPr>
      <w:r>
        <w:rPr>
          <w:rFonts w:ascii="Arial" w:cs="Arial" w:eastAsia="Arial" w:hAnsi="Arial"/>
          <w:color w:val="1a202c"/>
          <w:sz w:val="21"/>
          <w:szCs w:val="21"/>
        </w:rPr>
        <w:t xml:space="preserve">Batch up to 100 IDs per request. Aggregate primary_topic across all references to build the reference topic distribution. Compare to published topic distribution.</w:t>
      </w:r>
    </w:p>
    <w:p>
      <w:pPr>
        <w:spacing w:before="80" w:after="0"/>
      </w:pPr>
      <w:r>
        <w:t xml:space="preserve"/>
      </w:r>
    </w:p>
    <w:p>
      <w:pPr>
        <w:pStyle w:val="Heading2"/>
        <w:spacing w:before="240" w:after="80"/>
      </w:pPr>
      <w:r>
        <w:rPr>
          <w:rFonts w:ascii="Arial" w:cs="Arial" w:eastAsia="Arial" w:hAnsi="Arial"/>
          <w:b/>
          <w:bCs/>
          <w:color w:val="2b6cb0"/>
          <w:sz w:val="24"/>
          <w:szCs w:val="24"/>
        </w:rPr>
        <w:t xml:space="preserve">4.4 Article divergence score (for article view)</w:t>
      </w:r>
    </w:p>
    <w:p>
      <w:pPr>
        <w:spacing w:before="60" w:after="80"/>
      </w:pPr>
      <w:r>
        <w:rPr>
          <w:rFonts w:ascii="Arial" w:cs="Arial" w:eastAsia="Arial" w:hAnsi="Arial"/>
          <w:color w:val="1a202c"/>
          <w:sz w:val="21"/>
          <w:szCs w:val="21"/>
        </w:rPr>
        <w:t xml:space="preserve">Each article's divergence from the journal profile is computed as:</w:t>
      </w:r>
    </w:p>
    <w:p>
      <w:pPr>
        <w:pStyle w:val="ListParagraph"/>
        <w:numPr>
          <w:ilvl w:val="0"/>
          <w:numId w:val="2"/>
        </w:numPr>
        <w:spacing w:before="40" w:after="40"/>
      </w:pPr>
      <w:r>
        <w:rPr>
          <w:rFonts w:ascii="Arial" w:cs="Arial" w:eastAsia="Arial" w:hAnsi="Arial"/>
          <w:color w:val="1a202c"/>
          <w:sz w:val="21"/>
          <w:szCs w:val="21"/>
        </w:rPr>
        <w:t xml:space="preserve">Fetch the journal's 3-year topic distribution (window ending 1 year before the article's publication year) — this is the </w:t>
      </w:r>
      <w:r>
        <w:rPr>
          <w:rFonts w:ascii="Arial" w:cs="Arial" w:eastAsia="Arial" w:hAnsi="Arial"/>
          <w:b/>
          <w:bCs/>
          <w:color w:val="1a202c"/>
          <w:sz w:val="21"/>
          <w:szCs w:val="21"/>
        </w:rPr>
        <w:t xml:space="preserve">baseline profile</w:t>
      </w:r>
    </w:p>
    <w:p>
      <w:pPr>
        <w:pStyle w:val="ListParagraph"/>
        <w:numPr>
          <w:ilvl w:val="0"/>
          <w:numId w:val="2"/>
        </w:numPr>
        <w:spacing w:before="40" w:after="40"/>
      </w:pPr>
      <w:r>
        <w:rPr>
          <w:rFonts w:ascii="Arial" w:cs="Arial" w:eastAsia="Arial" w:hAnsi="Arial"/>
          <w:color w:val="1a202c"/>
          <w:sz w:val="21"/>
          <w:szCs w:val="21"/>
        </w:rPr>
        <w:t xml:space="preserve">The article has a </w:t>
      </w:r>
      <w:r>
        <w:rPr>
          <w:rFonts w:ascii="Arial" w:cs="Arial" w:eastAsia="Arial" w:hAnsi="Arial"/>
          <w:b/>
          <w:bCs/>
          <w:color w:val="1a202c"/>
          <w:sz w:val="21"/>
          <w:szCs w:val="21"/>
        </w:rPr>
        <w:t xml:space="preserve">primary_topic</w:t>
      </w:r>
      <w:r>
        <w:rPr>
          <w:rFonts w:ascii="Arial" w:cs="Arial" w:eastAsia="Arial" w:hAnsi="Arial"/>
          <w:color w:val="1a202c"/>
          <w:sz w:val="21"/>
          <w:szCs w:val="21"/>
        </w:rPr>
        <w:t xml:space="preserve"> assigned by OpenAlex</w:t>
      </w:r>
    </w:p>
    <w:p>
      <w:pPr>
        <w:pStyle w:val="ListParagraph"/>
        <w:numPr>
          <w:ilvl w:val="0"/>
          <w:numId w:val="2"/>
        </w:numPr>
        <w:spacing w:before="40" w:after="40"/>
      </w:pPr>
      <w:r>
        <w:rPr>
          <w:rFonts w:ascii="Arial" w:cs="Arial" w:eastAsia="Arial" w:hAnsi="Arial"/>
          <w:color w:val="1a202c"/>
          <w:sz w:val="21"/>
          <w:szCs w:val="21"/>
        </w:rPr>
        <w:t xml:space="preserve">Compute rank of that topic within the baseline profile — low rank = high divergence</w:t>
      </w:r>
    </w:p>
    <w:p>
      <w:pPr>
        <w:pStyle w:val="ListParagraph"/>
        <w:numPr>
          <w:ilvl w:val="0"/>
          <w:numId w:val="2"/>
        </w:numPr>
        <w:spacing w:before="40" w:after="40"/>
      </w:pPr>
      <w:r>
        <w:rPr>
          <w:rFonts w:ascii="Arial" w:cs="Arial" w:eastAsia="Arial" w:hAnsi="Arial"/>
          <w:color w:val="1a202c"/>
          <w:sz w:val="21"/>
          <w:szCs w:val="21"/>
        </w:rPr>
        <w:t xml:space="preserve">Optionally: use topic field/subfield distance as a soft metric for topics not present in baseline</w:t>
      </w:r>
    </w:p>
    <w:p>
      <w:pPr>
        <w:spacing w:before="60" w:after="80"/>
      </w:pPr>
      <w:r>
        <w:rPr>
          <w:rFonts w:ascii="Arial" w:cs="Arial" w:eastAsia="Arial" w:hAnsi="Arial"/>
          <w:color w:val="1a202c"/>
          <w:sz w:val="21"/>
          <w:szCs w:val="21"/>
        </w:rPr>
        <w:t xml:space="preserve">Display the N most divergent articles in descending order. Subject matter experts validate each.</w:t>
      </w:r>
    </w:p>
    <w:p>
      <w:pPr>
        <w:spacing w:before="80" w:after="0"/>
      </w:pPr>
      <w:r>
        <w:t xml:space="preserve"/>
      </w:r>
    </w:p>
    <w:p>
      <w:pPr>
        <w:pStyle w:val="Heading2"/>
        <w:spacing w:before="240" w:after="80"/>
      </w:pPr>
      <w:r>
        <w:rPr>
          <w:rFonts w:ascii="Arial" w:cs="Arial" w:eastAsia="Arial" w:hAnsi="Arial"/>
          <w:b/>
          <w:bCs/>
          <w:color w:val="2b6cb0"/>
          <w:sz w:val="24"/>
          <w:szCs w:val="24"/>
        </w:rPr>
        <w:t xml:space="preserve">4.5 Peer journal comparison (Signal 5)</w:t>
      </w:r>
    </w:p>
    <w:p>
      <w:pPr>
        <w:spacing w:before="60" w:after="80"/>
      </w:pPr>
      <w:r>
        <w:rPr>
          <w:rFonts w:ascii="Arial" w:cs="Arial" w:eastAsia="Arial" w:hAnsi="Arial"/>
          <w:color w:val="1a202c"/>
          <w:sz w:val="21"/>
          <w:szCs w:val="21"/>
        </w:rPr>
        <w:t xml:space="preserve">Peers must be defined externally. Implementation options in order of preference:</w:t>
      </w:r>
    </w:p>
    <w:p>
      <w:pPr>
        <w:pStyle w:val="ListParagraph"/>
        <w:numPr>
          <w:ilvl w:val="0"/>
          <w:numId w:val="3"/>
        </w:numPr>
        <w:spacing w:before="40" w:after="40"/>
      </w:pPr>
      <w:r>
        <w:rPr>
          <w:rFonts w:ascii="Arial" w:cs="Arial" w:eastAsia="Arial" w:hAnsi="Arial"/>
          <w:color w:val="1a202c"/>
          <w:sz w:val="21"/>
          <w:szCs w:val="21"/>
        </w:rPr>
        <w:t xml:space="preserve">User-supplied list (paste journal names, same UX as Journal Overlap Finder)</w:t>
      </w:r>
    </w:p>
    <w:p>
      <w:pPr>
        <w:pStyle w:val="ListParagraph"/>
        <w:numPr>
          <w:ilvl w:val="0"/>
          <w:numId w:val="3"/>
        </w:numPr>
        <w:spacing w:before="40" w:after="40"/>
      </w:pPr>
      <w:r>
        <w:rPr>
          <w:rFonts w:ascii="Arial" w:cs="Arial" w:eastAsia="Arial" w:hAnsi="Arial"/>
          <w:color w:val="1a202c"/>
          <w:sz w:val="21"/>
          <w:szCs w:val="21"/>
        </w:rPr>
        <w:t xml:space="preserve">ASJC code filter: </w:t>
      </w:r>
      <w:r>
        <w:rPr>
          <w:rFonts w:ascii="Courier New" w:cs="Courier New" w:eastAsia="Courier New" w:hAnsi="Courier New"/>
          <w:color w:val="2d3748"/>
          <w:sz w:val="19"/>
          <w:szCs w:val="19"/>
          <w:shd w:fill="f7fafc" w:val="clear"/>
        </w:rPr>
        <w:t xml:space="preserve">/sources?filter=asjc_codes:{code}</w:t>
      </w:r>
      <w:r>
        <w:rPr>
          <w:rFonts w:ascii="Arial" w:cs="Arial" w:eastAsia="Arial" w:hAnsi="Arial"/>
          <w:color w:val="1a202c"/>
          <w:sz w:val="21"/>
          <w:szCs w:val="21"/>
        </w:rPr>
        <w:t xml:space="preserve"> — pulls journals sharing the same subject category</w:t>
      </w:r>
    </w:p>
    <w:p>
      <w:pPr>
        <w:pStyle w:val="ListParagraph"/>
        <w:numPr>
          <w:ilvl w:val="0"/>
          <w:numId w:val="3"/>
        </w:numPr>
        <w:spacing w:before="40" w:after="40"/>
      </w:pPr>
      <w:r>
        <w:rPr>
          <w:rFonts w:ascii="Arial" w:cs="Arial" w:eastAsia="Arial" w:hAnsi="Arial"/>
          <w:color w:val="1a202c"/>
          <w:sz w:val="21"/>
          <w:szCs w:val="21"/>
        </w:rPr>
        <w:t xml:space="preserve">Scimago quartile + category (requires separate data source outside OpenAlex)</w:t>
      </w:r>
    </w:p>
    <w:p>
      <w:pPr>
        <w:spacing w:before="60" w:after="80"/>
      </w:pPr>
      <w:r>
        <w:rPr>
          <w:rFonts w:ascii="Arial" w:cs="Arial" w:eastAsia="Arial" w:hAnsi="Arial"/>
          <w:color w:val="1a202c"/>
          <w:sz w:val="21"/>
          <w:szCs w:val="21"/>
        </w:rPr>
        <w:t xml:space="preserve">Compute centroid topic distribution across peer set. Display journal's divergence from centroid over time.</w:t>
      </w:r>
    </w:p>
    <w:p>
      <w:pPr>
        <w:spacing w:before="80" w:after="0"/>
      </w:pPr>
      <w:r>
        <w:t xml:space="preserve"/>
      </w:r>
    </w:p>
    <w:p>
      <w:pPr>
        <w:pStyle w:val="Heading1"/>
        <w:pBdr>
          <w:bottom w:val="single" w:color="2b6cb0" w:sz="4" w:space="6"/>
        </w:pBdr>
        <w:spacing w:before="320" w:after="120"/>
      </w:pPr>
      <w:r>
        <w:rPr>
          <w:rFonts w:ascii="Arial" w:cs="Arial" w:eastAsia="Arial" w:hAnsi="Arial"/>
          <w:b/>
          <w:bCs/>
          <w:color w:val="1e3a5f"/>
          <w:sz w:val="30"/>
          <w:szCs w:val="30"/>
        </w:rPr>
        <w:t xml:space="preserve">5. UI Structure &amp; Design Language</w:t>
      </w:r>
    </w:p>
    <w:p>
      <w:pPr>
        <w:spacing w:before="80" w:after="0"/>
      </w:pPr>
      <w:r>
        <w:t xml:space="preserve"/>
      </w:r>
    </w:p>
    <w:p>
      <w:pPr>
        <w:pStyle w:val="Heading2"/>
        <w:spacing w:before="240" w:after="80"/>
      </w:pPr>
      <w:r>
        <w:rPr>
          <w:rFonts w:ascii="Arial" w:cs="Arial" w:eastAsia="Arial" w:hAnsi="Arial"/>
          <w:b/>
          <w:bCs/>
          <w:color w:val="2b6cb0"/>
          <w:sz w:val="24"/>
          <w:szCs w:val="24"/>
        </w:rPr>
        <w:t xml:space="preserve">5.1 Visual identity</w:t>
      </w:r>
    </w:p>
    <w:p>
      <w:pPr>
        <w:spacing w:before="60" w:after="80"/>
      </w:pPr>
      <w:r>
        <w:rPr>
          <w:rFonts w:ascii="Arial" w:cs="Arial" w:eastAsia="Arial" w:hAnsi="Arial"/>
          <w:color w:val="1a202c"/>
          <w:sz w:val="21"/>
          <w:szCs w:val="21"/>
        </w:rPr>
        <w:t xml:space="preserve">Inherit the dark-theme aesthetic from Journal Overlap Finder: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BD5E0" w:sz="1"/>
              <w:left w:val="single" w:color="CBD5E0" w:sz="1"/>
              <w:bottom w:val="single" w:color="CBD5E0" w:sz="1"/>
              <w:right w:val="single" w:color="CBD5E0"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Token</w:t>
            </w:r>
          </w:p>
        </w:tc>
        <w:tc>
          <w:tcPr>
            <w:tcW w:type="dxa" w:w="6480"/>
            <w:tcBorders>
              <w:top w:val="single" w:color="CBD5E0" w:sz="1"/>
              <w:left w:val="single" w:color="CBD5E0" w:sz="1"/>
              <w:bottom w:val="single" w:color="CBD5E0" w:sz="1"/>
              <w:right w:val="single" w:color="CBD5E0"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Value</w:t>
            </w:r>
          </w:p>
        </w:tc>
      </w:tr>
      <w:tr>
        <w:tc>
          <w:tcPr>
            <w:tcW w:type="dxa" w:w="2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Background</w:t>
            </w:r>
          </w:p>
        </w:tc>
        <w:tc>
          <w:tcPr>
            <w:tcW w:type="dxa" w:w="6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#0d111c</w:t>
            </w:r>
          </w:p>
        </w:tc>
      </w:tr>
      <w:tr>
        <w:tc>
          <w:tcPr>
            <w:tcW w:type="dxa" w:w="288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Surface</w:t>
            </w:r>
          </w:p>
        </w:tc>
        <w:tc>
          <w:tcPr>
            <w:tcW w:type="dxa" w:w="648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#131826 / #161b2a</w:t>
            </w:r>
          </w:p>
        </w:tc>
      </w:tr>
      <w:tr>
        <w:tc>
          <w:tcPr>
            <w:tcW w:type="dxa" w:w="2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Border</w:t>
            </w:r>
          </w:p>
        </w:tc>
        <w:tc>
          <w:tcPr>
            <w:tcW w:type="dxa" w:w="6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#1e2436 / #2d3449</w:t>
            </w:r>
          </w:p>
        </w:tc>
      </w:tr>
      <w:tr>
        <w:tc>
          <w:tcPr>
            <w:tcW w:type="dxa" w:w="288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Text primary</w:t>
            </w:r>
          </w:p>
        </w:tc>
        <w:tc>
          <w:tcPr>
            <w:tcW w:type="dxa" w:w="648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#e2e8f0</w:t>
            </w:r>
          </w:p>
        </w:tc>
      </w:tr>
      <w:tr>
        <w:tc>
          <w:tcPr>
            <w:tcW w:type="dxa" w:w="2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Text muted</w:t>
            </w:r>
          </w:p>
        </w:tc>
        <w:tc>
          <w:tcPr>
            <w:tcW w:type="dxa" w:w="6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#718096 / #4a5568</w:t>
            </w:r>
          </w:p>
        </w:tc>
      </w:tr>
      <w:tr>
        <w:tc>
          <w:tcPr>
            <w:tcW w:type="dxa" w:w="288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Blue accent (Set A / data)</w:t>
            </w:r>
          </w:p>
        </w:tc>
        <w:tc>
          <w:tcPr>
            <w:tcW w:type="dxa" w:w="648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#63b3ed / #90cdf4</w:t>
            </w:r>
          </w:p>
        </w:tc>
      </w:tr>
      <w:tr>
        <w:tc>
          <w:tcPr>
            <w:tcW w:type="dxa" w:w="2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Amber accent (Set B / alerts)</w:t>
            </w:r>
          </w:p>
        </w:tc>
        <w:tc>
          <w:tcPr>
            <w:tcW w:type="dxa" w:w="6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#f6ad55 / #fbd38d</w:t>
            </w:r>
          </w:p>
        </w:tc>
      </w:tr>
      <w:tr>
        <w:tc>
          <w:tcPr>
            <w:tcW w:type="dxa" w:w="288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Green accent (overlap / positive)</w:t>
            </w:r>
          </w:p>
        </w:tc>
        <w:tc>
          <w:tcPr>
            <w:tcW w:type="dxa" w:w="648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#9ae6b4</w:t>
            </w:r>
          </w:p>
        </w:tc>
      </w:tr>
      <w:tr>
        <w:tc>
          <w:tcPr>
            <w:tcW w:type="dxa" w:w="2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Font</w:t>
            </w:r>
          </w:p>
        </w:tc>
        <w:tc>
          <w:tcPr>
            <w:tcW w:type="dxa" w:w="6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IBM Plex Mono (UI) + IBM Plex Sans (labels, prose)</w:t>
            </w:r>
          </w:p>
        </w:tc>
      </w:tr>
    </w:tbl>
    <w:p>
      <w:pPr>
        <w:spacing w:before="80" w:after="0"/>
      </w:pPr>
      <w:r>
        <w:t xml:space="preserve"/>
      </w:r>
    </w:p>
    <w:p>
      <w:pPr>
        <w:pStyle w:val="Heading2"/>
        <w:spacing w:before="240" w:after="80"/>
      </w:pPr>
      <w:r>
        <w:rPr>
          <w:rFonts w:ascii="Arial" w:cs="Arial" w:eastAsia="Arial" w:hAnsi="Arial"/>
          <w:b/>
          <w:bCs/>
          <w:color w:val="2b6cb0"/>
          <w:sz w:val="24"/>
          <w:szCs w:val="24"/>
        </w:rPr>
        <w:t xml:space="preserve">5.2 Page/tab structure</w:t>
      </w:r>
    </w:p>
    <w:p>
      <w:pPr>
        <w:spacing w:before="60" w:after="80"/>
      </w:pPr>
      <w:r>
        <w:rPr>
          <w:rFonts w:ascii="Arial" w:cs="Arial" w:eastAsia="Arial" w:hAnsi="Arial"/>
          <w:color w:val="1a202c"/>
          <w:sz w:val="21"/>
          <w:szCs w:val="21"/>
        </w:rPr>
        <w:t xml:space="preserve">Four tabs, mirroring the Journal Overlap Finder pattern: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BD5E0" w:sz="1"/>
              <w:left w:val="single" w:color="CBD5E0" w:sz="1"/>
              <w:bottom w:val="single" w:color="CBD5E0" w:sz="1"/>
              <w:right w:val="single" w:color="CBD5E0"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Tab</w:t>
            </w:r>
          </w:p>
        </w:tc>
        <w:tc>
          <w:tcPr>
            <w:tcW w:type="dxa" w:w="7200"/>
            <w:tcBorders>
              <w:top w:val="single" w:color="CBD5E0" w:sz="1"/>
              <w:left w:val="single" w:color="CBD5E0" w:sz="1"/>
              <w:bottom w:val="single" w:color="CBD5E0" w:sz="1"/>
              <w:right w:val="single" w:color="CBD5E0"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Content</w:t>
            </w:r>
          </w:p>
        </w:tc>
      </w:tr>
      <w:tr>
        <w:tc>
          <w:tcPr>
            <w:tcW w:type="dxa" w:w="2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Overview</w:t>
            </w:r>
          </w:p>
        </w:tc>
        <w:tc>
          <w:tcPr>
            <w:tcW w:type="dxa" w:w="7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Journal identity, time range selector, run button, progress, composite profile summary</w:t>
            </w:r>
          </w:p>
        </w:tc>
      </w:tr>
      <w:tr>
        <w:tc>
          <w:tcPr>
            <w:tcW w:type="dxa" w:w="216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Topic Profile</w:t>
            </w:r>
          </w:p>
        </w:tc>
        <w:tc>
          <w:tcPr>
            <w:tcW w:type="dxa" w:w="720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Year-over-year topic distribution (stacked area or bar), drift metric, word clouds at subfield/topic level</w:t>
            </w:r>
          </w:p>
        </w:tc>
      </w:tr>
      <w:tr>
        <w:tc>
          <w:tcPr>
            <w:tcW w:type="dxa" w:w="2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Articles</w:t>
            </w:r>
          </w:p>
        </w:tc>
        <w:tc>
          <w:tcPr>
            <w:tcW w:type="dxa" w:w="7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Sortable table of articles ranked by divergence from journal profile — primary expert working surface</w:t>
            </w:r>
          </w:p>
        </w:tc>
      </w:tr>
      <w:tr>
        <w:tc>
          <w:tcPr>
            <w:tcW w:type="dxa" w:w="216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Peer Comparison</w:t>
            </w:r>
          </w:p>
        </w:tc>
        <w:tc>
          <w:tcPr>
            <w:tcW w:type="dxa" w:w="720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Journal vs. peer cluster topic distributions (optional, user-supplied peers)</w:t>
            </w:r>
          </w:p>
        </w:tc>
      </w:tr>
    </w:tbl>
    <w:p>
      <w:pPr>
        <w:spacing w:before="80" w:after="0"/>
      </w:pPr>
      <w:r>
        <w:t xml:space="preserve"/>
      </w:r>
    </w:p>
    <w:p>
      <w:pPr>
        <w:pStyle w:val="Heading2"/>
        <w:spacing w:before="240" w:after="80"/>
      </w:pPr>
      <w:r>
        <w:rPr>
          <w:rFonts w:ascii="Arial" w:cs="Arial" w:eastAsia="Arial" w:hAnsi="Arial"/>
          <w:b/>
          <w:bCs/>
          <w:color w:val="2b6cb0"/>
          <w:sz w:val="24"/>
          <w:szCs w:val="24"/>
        </w:rPr>
        <w:t xml:space="preserve">5.3 Article view — required columns</w:t>
      </w:r>
    </w:p>
    <w:p>
      <w:pPr>
        <w:spacing w:before="60" w:after="80"/>
      </w:pPr>
      <w:r>
        <w:rPr>
          <w:rFonts w:ascii="Arial" w:cs="Arial" w:eastAsia="Arial" w:hAnsi="Arial"/>
          <w:color w:val="1a202c"/>
          <w:sz w:val="21"/>
          <w:szCs w:val="21"/>
        </w:rPr>
        <w:t xml:space="preserve">This is the primary deliverable for subject matter experts. Must include:</w:t>
      </w:r>
    </w:p>
    <w:p>
      <w:pPr>
        <w:pStyle w:val="ListParagraph"/>
        <w:numPr>
          <w:ilvl w:val="0"/>
          <w:numId w:val="2"/>
        </w:numPr>
        <w:spacing w:before="40" w:after="40"/>
      </w:pPr>
      <w:r>
        <w:rPr>
          <w:rFonts w:ascii="Arial" w:cs="Arial" w:eastAsia="Arial" w:hAnsi="Arial"/>
          <w:color w:val="1a202c"/>
          <w:sz w:val="21"/>
          <w:szCs w:val="21"/>
        </w:rPr>
        <w:t xml:space="preserve">Title (linked to DOI if available, OpenAlex link as fallback)</w:t>
      </w:r>
    </w:p>
    <w:p>
      <w:pPr>
        <w:pStyle w:val="ListParagraph"/>
        <w:numPr>
          <w:ilvl w:val="0"/>
          <w:numId w:val="2"/>
        </w:numPr>
        <w:spacing w:before="40" w:after="40"/>
      </w:pPr>
      <w:r>
        <w:rPr>
          <w:rFonts w:ascii="Arial" w:cs="Arial" w:eastAsia="Arial" w:hAnsi="Arial"/>
          <w:color w:val="1a202c"/>
          <w:sz w:val="21"/>
          <w:szCs w:val="21"/>
        </w:rPr>
        <w:t xml:space="preserve">Authors + primary institution</w:t>
      </w:r>
    </w:p>
    <w:p>
      <w:pPr>
        <w:pStyle w:val="ListParagraph"/>
        <w:numPr>
          <w:ilvl w:val="0"/>
          <w:numId w:val="2"/>
        </w:numPr>
        <w:spacing w:before="40" w:after="40"/>
      </w:pPr>
      <w:r>
        <w:rPr>
          <w:rFonts w:ascii="Arial" w:cs="Arial" w:eastAsia="Arial" w:hAnsi="Arial"/>
          <w:color w:val="1a202c"/>
          <w:sz w:val="21"/>
          <w:szCs w:val="21"/>
        </w:rPr>
        <w:t xml:space="preserve">Publication year</w:t>
      </w:r>
    </w:p>
    <w:p>
      <w:pPr>
        <w:pStyle w:val="ListParagraph"/>
        <w:numPr>
          <w:ilvl w:val="0"/>
          <w:numId w:val="2"/>
        </w:numPr>
        <w:spacing w:before="40" w:after="40"/>
      </w:pPr>
      <w:r>
        <w:rPr>
          <w:rFonts w:ascii="Arial" w:cs="Arial" w:eastAsia="Arial" w:hAnsi="Arial"/>
          <w:color w:val="1a202c"/>
          <w:sz w:val="21"/>
          <w:szCs w:val="21"/>
        </w:rPr>
        <w:t xml:space="preserve">Assigned topic (</w:t>
      </w:r>
      <w:r>
        <w:rPr>
          <w:rFonts w:ascii="Courier New" w:cs="Courier New" w:eastAsia="Courier New" w:hAnsi="Courier New"/>
          <w:color w:val="2d3748"/>
          <w:sz w:val="19"/>
          <w:szCs w:val="19"/>
          <w:shd w:fill="f7fafc" w:val="clear"/>
        </w:rPr>
        <w:t xml:space="preserve">primary_topic.display_name</w:t>
      </w:r>
      <w:r>
        <w:rPr>
          <w:rFonts w:ascii="Arial" w:cs="Arial" w:eastAsia="Arial" w:hAnsi="Arial"/>
          <w:color w:val="1a202c"/>
          <w:sz w:val="21"/>
          <w:szCs w:val="21"/>
        </w:rPr>
        <w:t xml:space="preserve">) + field + domain</w:t>
      </w:r>
    </w:p>
    <w:p>
      <w:pPr>
        <w:pStyle w:val="ListParagraph"/>
        <w:numPr>
          <w:ilvl w:val="0"/>
          <w:numId w:val="2"/>
        </w:numPr>
        <w:spacing w:before="40" w:after="40"/>
      </w:pPr>
      <w:r>
        <w:rPr>
          <w:rFonts w:ascii="Arial" w:cs="Arial" w:eastAsia="Arial" w:hAnsi="Arial"/>
          <w:color w:val="1a202c"/>
          <w:sz w:val="21"/>
          <w:szCs w:val="21"/>
        </w:rPr>
        <w:t xml:space="preserve">Topic alignment indicator: Within profile / Moderate shift / Notable shift</w:t>
      </w:r>
    </w:p>
    <w:p>
      <w:pPr>
        <w:pStyle w:val="ListParagraph"/>
        <w:numPr>
          <w:ilvl w:val="0"/>
          <w:numId w:val="2"/>
        </w:numPr>
        <w:spacing w:before="40" w:after="40"/>
      </w:pPr>
      <w:r>
        <w:rPr>
          <w:rFonts w:ascii="Arial" w:cs="Arial" w:eastAsia="Arial" w:hAnsi="Arial"/>
          <w:color w:val="1a202c"/>
          <w:sz w:val="21"/>
          <w:szCs w:val="21"/>
        </w:rPr>
        <w:t xml:space="preserve">Reference field alignment (if enrichment has been run): High / Moderate / Low</w:t>
      </w:r>
    </w:p>
    <w:p>
      <w:pPr>
        <w:pStyle w:val="ListParagraph"/>
        <w:numPr>
          <w:ilvl w:val="0"/>
          <w:numId w:val="2"/>
        </w:numPr>
        <w:spacing w:before="40" w:after="40"/>
      </w:pPr>
      <w:r>
        <w:rPr>
          <w:rFonts w:ascii="Arial" w:cs="Arial" w:eastAsia="Arial" w:hAnsi="Arial"/>
          <w:color w:val="1a202c"/>
          <w:sz w:val="21"/>
          <w:szCs w:val="21"/>
        </w:rPr>
        <w:t xml:space="preserve">Direct link to OpenAlex record</w:t>
      </w:r>
    </w:p>
    <w:p>
      <w:pPr>
        <w:spacing w:before="80" w:after="0"/>
      </w:pPr>
      <w:r>
        <w:t xml:space="preserve"/>
      </w:r>
    </w:p>
    <w:p>
      <w:pPr>
        <w:pStyle w:val="Heading2"/>
        <w:spacing w:before="240" w:after="80"/>
      </w:pPr>
      <w:r>
        <w:rPr>
          <w:rFonts w:ascii="Arial" w:cs="Arial" w:eastAsia="Arial" w:hAnsi="Arial"/>
          <w:b/>
          <w:bCs/>
          <w:color w:val="2b6cb0"/>
          <w:sz w:val="24"/>
          <w:szCs w:val="24"/>
        </w:rPr>
        <w:t xml:space="preserve">5.4 Word clouds</w:t>
      </w:r>
    </w:p>
    <w:p>
      <w:pPr>
        <w:spacing w:before="60" w:after="80"/>
      </w:pPr>
      <w:r>
        <w:rPr>
          <w:rFonts w:ascii="Arial" w:cs="Arial" w:eastAsia="Arial" w:hAnsi="Arial"/>
          <w:color w:val="1a202c"/>
          <w:sz w:val="21"/>
          <w:szCs w:val="21"/>
        </w:rPr>
        <w:t xml:space="preserve">Apply the same word cloud pattern developed for Journal Overlap Finder:</w:t>
      </w:r>
    </w:p>
    <w:p>
      <w:pPr>
        <w:pStyle w:val="ListParagraph"/>
        <w:numPr>
          <w:ilvl w:val="0"/>
          <w:numId w:val="2"/>
        </w:numPr>
        <w:spacing w:before="40" w:after="40"/>
      </w:pPr>
      <w:r>
        <w:rPr>
          <w:rFonts w:ascii="Arial" w:cs="Arial" w:eastAsia="Arial" w:hAnsi="Arial"/>
          <w:color w:val="1a202c"/>
          <w:sz w:val="21"/>
          <w:szCs w:val="21"/>
        </w:rPr>
        <w:t xml:space="preserve">Size = article count (or author count) for that topic</w:t>
      </w:r>
    </w:p>
    <w:p>
      <w:pPr>
        <w:pStyle w:val="ListParagraph"/>
        <w:numPr>
          <w:ilvl w:val="0"/>
          <w:numId w:val="2"/>
        </w:numPr>
        <w:spacing w:before="40" w:after="40"/>
      </w:pPr>
      <w:r>
        <w:rPr>
          <w:rFonts w:ascii="Arial" w:cs="Arial" w:eastAsia="Arial" w:hAnsi="Arial"/>
          <w:color w:val="1a202c"/>
          <w:sz w:val="21"/>
          <w:szCs w:val="21"/>
        </w:rPr>
        <w:t xml:space="preserve">Colour encodes distribution lean (blue = more recent, amber = older, green = stable)</w:t>
      </w:r>
    </w:p>
    <w:p>
      <w:pPr>
        <w:pStyle w:val="ListParagraph"/>
        <w:numPr>
          <w:ilvl w:val="0"/>
          <w:numId w:val="2"/>
        </w:numPr>
        <w:spacing w:before="40" w:after="40"/>
      </w:pPr>
      <w:r>
        <w:rPr>
          <w:rFonts w:ascii="Arial" w:cs="Arial" w:eastAsia="Arial" w:hAnsi="Arial"/>
          <w:color w:val="1a202c"/>
          <w:sz w:val="21"/>
          <w:szCs w:val="21"/>
        </w:rPr>
        <w:t xml:space="preserve">Show at Subfield and Topic granularity only (Domain and Field have too few entries)</w:t>
      </w:r>
    </w:p>
    <w:p>
      <w:pPr>
        <w:pStyle w:val="ListParagraph"/>
        <w:numPr>
          <w:ilvl w:val="0"/>
          <w:numId w:val="2"/>
        </w:numPr>
        <w:spacing w:before="40" w:after="40"/>
      </w:pPr>
      <w:r>
        <w:rPr>
          <w:rFonts w:ascii="Arial" w:cs="Arial" w:eastAsia="Arial" w:hAnsi="Arial"/>
          <w:color w:val="1a202c"/>
          <w:sz w:val="21"/>
          <w:szCs w:val="21"/>
        </w:rPr>
        <w:t xml:space="preserve">Hover tooltip shows counts</w:t>
      </w:r>
    </w:p>
    <w:p>
      <w:pPr>
        <w:pStyle w:val="ListParagraph"/>
        <w:numPr>
          <w:ilvl w:val="0"/>
          <w:numId w:val="2"/>
        </w:numPr>
        <w:spacing w:before="40" w:after="40"/>
      </w:pPr>
      <w:r>
        <w:rPr>
          <w:rFonts w:ascii="Arial" w:cs="Arial" w:eastAsia="Arial" w:hAnsi="Arial"/>
          <w:color w:val="1a202c"/>
          <w:sz w:val="21"/>
          <w:szCs w:val="21"/>
        </w:rPr>
        <w:t xml:space="preserve">No external library — pure flexbox wrap layout</w:t>
      </w:r>
    </w:p>
    <w:p>
      <w:pPr>
        <w:spacing w:before="80" w:after="0"/>
      </w:pPr>
      <w:r>
        <w:t xml:space="preserve"/>
      </w:r>
    </w:p>
    <w:p>
      <w:pPr>
        <w:pStyle w:val="Heading2"/>
        <w:spacing w:before="240" w:after="80"/>
      </w:pPr>
      <w:r>
        <w:rPr>
          <w:rFonts w:ascii="Arial" w:cs="Arial" w:eastAsia="Arial" w:hAnsi="Arial"/>
          <w:b/>
          <w:bCs/>
          <w:color w:val="2b6cb0"/>
          <w:sz w:val="24"/>
          <w:szCs w:val="24"/>
        </w:rPr>
        <w:t xml:space="preserve">5.5 Charts</w:t>
      </w:r>
    </w:p>
    <w:p>
      <w:pPr>
        <w:spacing w:before="60" w:after="80"/>
      </w:pPr>
      <w:r>
        <w:rPr>
          <w:rFonts w:ascii="Arial" w:cs="Arial" w:eastAsia="Arial" w:hAnsi="Arial"/>
          <w:color w:val="1a202c"/>
          <w:sz w:val="21"/>
          <w:szCs w:val="21"/>
        </w:rPr>
        <w:t xml:space="preserve">No charting library. Use the same CSS/SVG approach as the existing app:</w:t>
      </w:r>
    </w:p>
    <w:p>
      <w:pPr>
        <w:pStyle w:val="ListParagraph"/>
        <w:numPr>
          <w:ilvl w:val="0"/>
          <w:numId w:val="2"/>
        </w:numPr>
        <w:spacing w:before="40" w:after="40"/>
      </w:pPr>
      <w:r>
        <w:rPr>
          <w:rFonts w:ascii="Arial" w:cs="Arial" w:eastAsia="Arial" w:hAnsi="Arial"/>
          <w:color w:val="1a202c"/>
          <w:sz w:val="21"/>
          <w:szCs w:val="21"/>
        </w:rPr>
        <w:t xml:space="preserve">Stacked horizontal bar charts for topic distributions</w:t>
      </w:r>
    </w:p>
    <w:p>
      <w:pPr>
        <w:pStyle w:val="ListParagraph"/>
        <w:numPr>
          <w:ilvl w:val="0"/>
          <w:numId w:val="2"/>
        </w:numPr>
        <w:spacing w:before="40" w:after="40"/>
      </w:pPr>
      <w:r>
        <w:rPr>
          <w:rFonts w:ascii="Arial" w:cs="Arial" w:eastAsia="Arial" w:hAnsi="Arial"/>
          <w:color w:val="1a202c"/>
          <w:sz w:val="21"/>
          <w:szCs w:val="21"/>
        </w:rPr>
        <w:t xml:space="preserve">Gradient fills for time-series context</w:t>
      </w:r>
    </w:p>
    <w:p>
      <w:pPr>
        <w:pStyle w:val="ListParagraph"/>
        <w:numPr>
          <w:ilvl w:val="0"/>
          <w:numId w:val="2"/>
        </w:numPr>
        <w:spacing w:before="40" w:after="40"/>
      </w:pPr>
      <w:r>
        <w:rPr>
          <w:rFonts w:ascii="Arial" w:cs="Arial" w:eastAsia="Arial" w:hAnsi="Arial"/>
          <w:color w:val="1a202c"/>
          <w:sz w:val="21"/>
          <w:szCs w:val="21"/>
        </w:rPr>
        <w:t xml:space="preserve">All charts labelled in neutral descriptive language (see §3)</w:t>
      </w:r>
    </w:p>
    <w:p>
      <w:pPr>
        <w:spacing w:before="80" w:after="0"/>
      </w:pPr>
      <w:r>
        <w:t xml:space="preserve"/>
      </w:r>
    </w:p>
    <w:p>
      <w:pPr>
        <w:pStyle w:val="Heading1"/>
        <w:pBdr>
          <w:bottom w:val="single" w:color="2b6cb0" w:sz="4" w:space="6"/>
        </w:pBdr>
        <w:spacing w:before="320" w:after="120"/>
      </w:pPr>
      <w:r>
        <w:rPr>
          <w:rFonts w:ascii="Arial" w:cs="Arial" w:eastAsia="Arial" w:hAnsi="Arial"/>
          <w:b/>
          <w:bCs/>
          <w:color w:val="1e3a5f"/>
          <w:sz w:val="30"/>
          <w:szCs w:val="30"/>
        </w:rPr>
        <w:t xml:space="preserve">6. OpenAlex API Reference</w:t>
      </w:r>
    </w:p>
    <w:p>
      <w:pPr>
        <w:spacing w:before="60" w:after="80"/>
      </w:pPr>
      <w:r>
        <w:rPr>
          <w:rFonts w:ascii="Arial" w:cs="Arial" w:eastAsia="Arial" w:hAnsi="Arial"/>
          <w:color w:val="1a202c"/>
          <w:sz w:val="21"/>
          <w:szCs w:val="21"/>
        </w:rPr>
        <w:t xml:space="preserve">Full documentation: </w:t>
      </w:r>
      <w:hyperlink w:history="1" r:id="rIdsxweqhvihfjtt9-xldygl">
        <w:r>
          <w:rPr>
            <w:rFonts w:ascii="Arial" w:cs="Arial" w:eastAsia="Arial" w:hAnsi="Arial"/>
            <w:color w:val="2b6cb0"/>
            <w:sz w:val="21"/>
            <w:szCs w:val="21"/>
            <w:u w:val="single"/>
          </w:rPr>
          <w:t xml:space="preserve">docs.openalex.org</w:t>
        </w:r>
      </w:hyperlink>
      <w:r>
        <w:rPr>
          <w:rFonts w:ascii="Arial" w:cs="Arial" w:eastAsia="Arial" w:hAnsi="Arial"/>
          <w:color w:val="1a202c"/>
          <w:sz w:val="21"/>
          <w:szCs w:val="21"/>
        </w:rPr>
        <w:t xml:space="preserve"> · LLM reference: </w:t>
      </w:r>
      <w:hyperlink w:history="1" r:id="rIdqqsk-2d1hmoahfls8iisg">
        <w:r>
          <w:rPr>
            <w:rFonts w:ascii="Arial" w:cs="Arial" w:eastAsia="Arial" w:hAnsi="Arial"/>
            <w:color w:val="2b6cb0"/>
            <w:sz w:val="21"/>
            <w:szCs w:val="21"/>
            <w:u w:val="single"/>
          </w:rPr>
          <w:t xml:space="preserve">developers.openalex.org/guides/llm-quick-reference</w:t>
        </w:r>
      </w:hyperlink>
    </w:p>
    <w:p>
      <w:pPr>
        <w:spacing w:before="80" w:after="0"/>
      </w:pPr>
      <w:r>
        <w:t xml:space="preserve"/>
      </w:r>
    </w:p>
    <w:p>
      <w:pPr>
        <w:pStyle w:val="Heading2"/>
        <w:spacing w:before="240" w:after="80"/>
      </w:pPr>
      <w:r>
        <w:rPr>
          <w:rFonts w:ascii="Arial" w:cs="Arial" w:eastAsia="Arial" w:hAnsi="Arial"/>
          <w:b/>
          <w:bCs/>
          <w:color w:val="2b6cb0"/>
          <w:sz w:val="24"/>
          <w:szCs w:val="24"/>
        </w:rPr>
        <w:t xml:space="preserve">6.1 Key endpoints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BD5E0" w:sz="1"/>
              <w:left w:val="single" w:color="CBD5E0" w:sz="1"/>
              <w:bottom w:val="single" w:color="CBD5E0" w:sz="1"/>
              <w:right w:val="single" w:color="CBD5E0"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Endpoint</w:t>
            </w:r>
          </w:p>
        </w:tc>
        <w:tc>
          <w:tcPr>
            <w:tcW w:type="dxa" w:w="6120"/>
            <w:tcBorders>
              <w:top w:val="single" w:color="CBD5E0" w:sz="1"/>
              <w:left w:val="single" w:color="CBD5E0" w:sz="1"/>
              <w:bottom w:val="single" w:color="CBD5E0" w:sz="1"/>
              <w:right w:val="single" w:color="CBD5E0"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Use in this tool</w:t>
            </w:r>
          </w:p>
        </w:tc>
      </w:tr>
      <w:tr>
        <w:tc>
          <w:tcPr>
            <w:tcW w:type="dxa" w:w="3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/sources?search={name}</w:t>
            </w:r>
          </w:p>
        </w:tc>
        <w:tc>
          <w:tcPr>
            <w:tcW w:type="dxa" w:w="6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Resolve journal name → Source ID</w:t>
            </w:r>
          </w:p>
        </w:tc>
      </w:tr>
      <w:tr>
        <w:tc>
          <w:tcPr>
            <w:tcW w:type="dxa" w:w="324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/works?filter=primary_location.source.id:{id},publication_year:{y}</w:t>
            </w:r>
          </w:p>
        </w:tc>
        <w:tc>
          <w:tcPr>
            <w:tcW w:type="dxa" w:w="612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Fetch articles per journal per year</w:t>
            </w:r>
          </w:p>
        </w:tc>
      </w:tr>
      <w:tr>
        <w:tc>
          <w:tcPr>
            <w:tcW w:type="dxa" w:w="3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/works?filter=openalex_id:{id1}|{id2}|...</w:t>
            </w:r>
          </w:p>
        </w:tc>
        <w:tc>
          <w:tcPr>
            <w:tcW w:type="dxa" w:w="6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Batch-fetch referenced works for Signal 2</w:t>
            </w:r>
          </w:p>
        </w:tc>
      </w:tr>
      <w:tr>
        <w:tc>
          <w:tcPr>
            <w:tcW w:type="dxa" w:w="324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/works?filter=primary_location.source.id:{id}&amp;group_by=primary_topic.id</w:t>
            </w:r>
          </w:p>
        </w:tc>
        <w:tc>
          <w:tcPr>
            <w:tcW w:type="dxa" w:w="612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val="false"/>
                <w:bCs w:val="false"/>
                <w:color w:val="1a202c"/>
                <w:sz w:val="20"/>
                <w:szCs w:val="20"/>
              </w:rPr>
              <w:t xml:space="preserve">Fast topic distribution without paging (optional)</w:t>
            </w:r>
          </w:p>
        </w:tc>
      </w:tr>
      <w:tr>
        <w:tc>
          <w:tcPr>
            <w:tcW w:type="dxa" w:w="3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/sources?filter=asjc_codes:{code}</w:t>
            </w:r>
          </w:p>
        </w:tc>
        <w:tc>
          <w:tcPr>
            <w:tcW w:type="dxa" w:w="6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Find peer journals by subject category</w:t>
            </w:r>
          </w:p>
        </w:tc>
      </w:tr>
    </w:tbl>
    <w:p>
      <w:pPr>
        <w:spacing w:before="80" w:after="0"/>
      </w:pPr>
      <w:r>
        <w:t xml:space="preserve"/>
      </w:r>
    </w:p>
    <w:p>
      <w:pPr>
        <w:pStyle w:val="Heading2"/>
        <w:spacing w:before="240" w:after="80"/>
      </w:pPr>
      <w:r>
        <w:rPr>
          <w:rFonts w:ascii="Arial" w:cs="Arial" w:eastAsia="Arial" w:hAnsi="Arial"/>
          <w:b/>
          <w:bCs/>
          <w:color w:val="2b6cb0"/>
          <w:sz w:val="24"/>
          <w:szCs w:val="24"/>
        </w:rPr>
        <w:t xml:space="preserve">6.2 Work object — fields used</w:t>
      </w:r>
    </w:p>
    <w:p>
      <w:pPr>
        <w:pBdr>
          <w:top w:val="single" w:color="CBD5E0" w:sz="1"/>
        </w:pBdr>
        <w:shd w:fill="f1f5f9" w:val="clear"/>
        <w:spacing w:before="80" w:after="0"/>
        <w:ind w:left="360"/>
      </w:pPr>
      <w:r>
        <w:rPr>
          <w:rFonts w:ascii="Courier New" w:cs="Courier New" w:eastAsia="Courier New" w:hAnsi="Courier New"/>
          <w:color w:val="2d3748"/>
          <w:sz w:val="18"/>
          <w:szCs w:val="18"/>
        </w:rPr>
        <w:t xml:space="preserve">id                              — OpenAlex Work ID</w:t>
      </w:r>
    </w:p>
    <w:p>
      <w:pPr>
        <w:shd w:fill="f1f5f9" w:val="clear"/>
        <w:spacing w:before="0" w:after="0"/>
        <w:ind w:left="360"/>
      </w:pPr>
      <w:r>
        <w:rPr>
          <w:rFonts w:ascii="Courier New" w:cs="Courier New" w:eastAsia="Courier New" w:hAnsi="Courier New"/>
          <w:color w:val="2d3748"/>
          <w:sz w:val="18"/>
          <w:szCs w:val="18"/>
        </w:rPr>
        <w:t xml:space="preserve">title / display_name            — Article title</w:t>
      </w:r>
    </w:p>
    <w:p>
      <w:pPr>
        <w:shd w:fill="f1f5f9" w:val="clear"/>
        <w:spacing w:before="0" w:after="0"/>
        <w:ind w:left="360"/>
      </w:pPr>
      <w:r>
        <w:rPr>
          <w:rFonts w:ascii="Courier New" w:cs="Courier New" w:eastAsia="Courier New" w:hAnsi="Courier New"/>
          <w:color w:val="2d3748"/>
          <w:sz w:val="18"/>
          <w:szCs w:val="18"/>
        </w:rPr>
        <w:t xml:space="preserve">doi                             — DOI URI</w:t>
      </w:r>
    </w:p>
    <w:p>
      <w:pPr>
        <w:shd w:fill="f1f5f9" w:val="clear"/>
        <w:spacing w:before="0" w:after="0"/>
        <w:ind w:left="360"/>
      </w:pPr>
      <w:r>
        <w:rPr>
          <w:rFonts w:ascii="Courier New" w:cs="Courier New" w:eastAsia="Courier New" w:hAnsi="Courier New"/>
          <w:color w:val="2d3748"/>
          <w:sz w:val="18"/>
          <w:szCs w:val="18"/>
        </w:rPr>
        <w:t xml:space="preserve">publication_year                — Integer year</w:t>
      </w:r>
    </w:p>
    <w:p>
      <w:pPr>
        <w:shd w:fill="f1f5f9" w:val="clear"/>
        <w:spacing w:before="0" w:after="0"/>
        <w:ind w:left="360"/>
      </w:pPr>
      <w:r>
        <w:rPr>
          <w:rFonts w:ascii="Courier New" w:cs="Courier New" w:eastAsia="Courier New" w:hAnsi="Courier New"/>
          <w:color w:val="2d3748"/>
          <w:sz w:val="18"/>
          <w:szCs w:val="18"/>
        </w:rPr>
        <w:t xml:space="preserve">authorships[].author.id         — Author IDs</w:t>
      </w:r>
    </w:p>
    <w:p>
      <w:pPr>
        <w:shd w:fill="f1f5f9" w:val="clear"/>
        <w:spacing w:before="0" w:after="0"/>
        <w:ind w:left="360"/>
      </w:pPr>
      <w:r>
        <w:rPr>
          <w:rFonts w:ascii="Courier New" w:cs="Courier New" w:eastAsia="Courier New" w:hAnsi="Courier New"/>
          <w:color w:val="2d3748"/>
          <w:sz w:val="18"/>
          <w:szCs w:val="18"/>
        </w:rPr>
        <w:t xml:space="preserve">authorships[].institutions[]    — Institution names + IDs</w:t>
      </w:r>
    </w:p>
    <w:p>
      <w:pPr>
        <w:shd w:fill="f1f5f9" w:val="clear"/>
        <w:spacing w:before="0" w:after="0"/>
        <w:ind w:left="360"/>
      </w:pPr>
      <w:r>
        <w:rPr>
          <w:rFonts w:ascii="Courier New" w:cs="Courier New" w:eastAsia="Courier New" w:hAnsi="Courier New"/>
          <w:color w:val="2d3748"/>
          <w:sz w:val="18"/>
          <w:szCs w:val="18"/>
        </w:rPr>
        <w:t xml:space="preserve">primary_location.source.id      — Journal Source ID</w:t>
      </w:r>
    </w:p>
    <w:p>
      <w:pPr>
        <w:shd w:fill="f1f5f9" w:val="clear"/>
        <w:spacing w:before="0" w:after="0"/>
        <w:ind w:left="360"/>
      </w:pPr>
      <w:r>
        <w:rPr>
          <w:rFonts w:ascii="Courier New" w:cs="Courier New" w:eastAsia="Courier New" w:hAnsi="Courier New"/>
          <w:color w:val="2d3748"/>
          <w:sz w:val="18"/>
          <w:szCs w:val="18"/>
        </w:rPr>
        <w:t xml:space="preserve">primary_location.source.display_name</w:t>
      </w:r>
    </w:p>
    <w:p>
      <w:pPr>
        <w:shd w:fill="f1f5f9" w:val="clear"/>
        <w:spacing w:before="0" w:after="0"/>
        <w:ind w:left="360"/>
      </w:pPr>
      <w:r>
        <w:rPr>
          <w:rFonts w:ascii="Courier New" w:cs="Courier New" w:eastAsia="Courier New" w:hAnsi="Courier New"/>
          <w:color w:val="2d3748"/>
          <w:sz w:val="18"/>
          <w:szCs w:val="18"/>
        </w:rPr>
        <w:t xml:space="preserve">primary_topic.id / .display_name — Top assigned topic</w:t>
      </w:r>
    </w:p>
    <w:p>
      <w:pPr>
        <w:shd w:fill="f1f5f9" w:val="clear"/>
        <w:spacing w:before="0" w:after="0"/>
        <w:ind w:left="360"/>
      </w:pPr>
      <w:r>
        <w:rPr>
          <w:rFonts w:ascii="Courier New" w:cs="Courier New" w:eastAsia="Courier New" w:hAnsi="Courier New"/>
          <w:color w:val="2d3748"/>
          <w:sz w:val="18"/>
          <w:szCs w:val="18"/>
        </w:rPr>
        <w:t xml:space="preserve">primary_topic.subfield          — { id, display_name }</w:t>
      </w:r>
    </w:p>
    <w:p>
      <w:pPr>
        <w:shd w:fill="f1f5f9" w:val="clear"/>
        <w:spacing w:before="0" w:after="0"/>
        <w:ind w:left="360"/>
      </w:pPr>
      <w:r>
        <w:rPr>
          <w:rFonts w:ascii="Courier New" w:cs="Courier New" w:eastAsia="Courier New" w:hAnsi="Courier New"/>
          <w:color w:val="2d3748"/>
          <w:sz w:val="18"/>
          <w:szCs w:val="18"/>
        </w:rPr>
        <w:t xml:space="preserve">primary_topic.field             — { id, display_name }</w:t>
      </w:r>
    </w:p>
    <w:p>
      <w:pPr>
        <w:shd w:fill="f1f5f9" w:val="clear"/>
        <w:spacing w:before="0" w:after="0"/>
        <w:ind w:left="360"/>
      </w:pPr>
      <w:r>
        <w:rPr>
          <w:rFonts w:ascii="Courier New" w:cs="Courier New" w:eastAsia="Courier New" w:hAnsi="Courier New"/>
          <w:color w:val="2d3748"/>
          <w:sz w:val="18"/>
          <w:szCs w:val="18"/>
        </w:rPr>
        <w:t xml:space="preserve">primary_topic.domain            — { id, display_name }</w:t>
      </w:r>
    </w:p>
    <w:p>
      <w:pPr>
        <w:pBdr>
          <w:bottom w:val="single" w:color="CBD5E0" w:sz="1"/>
        </w:pBdr>
        <w:shd w:fill="f1f5f9" w:val="clear"/>
        <w:spacing w:before="0" w:after="80"/>
        <w:ind w:left="360"/>
      </w:pPr>
      <w:r>
        <w:rPr>
          <w:rFonts w:ascii="Courier New" w:cs="Courier New" w:eastAsia="Courier New" w:hAnsi="Courier New"/>
          <w:color w:val="2d3748"/>
          <w:sz w:val="18"/>
          <w:szCs w:val="18"/>
        </w:rPr>
        <w:t xml:space="preserve">referenced_works[]              — List of Work IDs cited</w:t>
      </w:r>
    </w:p>
    <w:p>
      <w:pPr>
        <w:spacing w:before="80" w:after="0"/>
      </w:pPr>
      <w:r>
        <w:t xml:space="preserve"/>
      </w:r>
    </w:p>
    <w:p>
      <w:pPr>
        <w:pStyle w:val="Heading2"/>
        <w:spacing w:before="240" w:after="80"/>
      </w:pPr>
      <w:r>
        <w:rPr>
          <w:rFonts w:ascii="Arial" w:cs="Arial" w:eastAsia="Arial" w:hAnsi="Arial"/>
          <w:b/>
          <w:bCs/>
          <w:color w:val="2b6cb0"/>
          <w:sz w:val="24"/>
          <w:szCs w:val="24"/>
        </w:rPr>
        <w:t xml:space="preserve">6.3 Topic hierarchy</w:t>
      </w:r>
    </w:p>
    <w:p>
      <w:pPr>
        <w:spacing w:before="60" w:after="80"/>
      </w:pPr>
      <w:r>
        <w:rPr>
          <w:rFonts w:ascii="Arial" w:cs="Arial" w:eastAsia="Arial" w:hAnsi="Arial"/>
          <w:color w:val="1a202c"/>
          <w:sz w:val="21"/>
          <w:szCs w:val="21"/>
        </w:rPr>
        <w:t xml:space="preserve">OpenAlex uses a 4-level hierarchy for classifying works:</w:t>
      </w:r>
    </w:p>
    <w:p>
      <w:pPr>
        <w:pBdr>
          <w:top w:val="single" w:color="CBD5E0" w:sz="1"/>
        </w:pBdr>
        <w:shd w:fill="f1f5f9" w:val="clear"/>
        <w:spacing w:before="80" w:after="0"/>
        <w:ind w:left="360"/>
      </w:pPr>
      <w:r>
        <w:rPr>
          <w:rFonts w:ascii="Courier New" w:cs="Courier New" w:eastAsia="Courier New" w:hAnsi="Courier New"/>
          <w:color w:val="2d3748"/>
          <w:sz w:val="18"/>
          <w:szCs w:val="18"/>
        </w:rPr>
        <w:t xml:space="preserve">Domain (4 total)     e.g. Health Sciences</w:t>
      </w:r>
    </w:p>
    <w:p>
      <w:pPr>
        <w:shd w:fill="f1f5f9" w:val="clear"/>
        <w:spacing w:before="0" w:after="0"/>
        <w:ind w:left="360"/>
      </w:pPr>
      <w:r>
        <w:rPr>
          <w:rFonts w:ascii="Courier New" w:cs="Courier New" w:eastAsia="Courier New" w:hAnsi="Courier New"/>
          <w:color w:val="2d3748"/>
          <w:sz w:val="18"/>
          <w:szCs w:val="18"/>
        </w:rPr>
        <w:t xml:space="preserve">  └─ Field (~25)     e.g. Medicine</w:t>
      </w:r>
    </w:p>
    <w:p>
      <w:pPr>
        <w:shd w:fill="f1f5f9" w:val="clear"/>
        <w:spacing w:before="0" w:after="0"/>
        <w:ind w:left="360"/>
      </w:pPr>
      <w:r>
        <w:rPr>
          <w:rFonts w:ascii="Courier New" w:cs="Courier New" w:eastAsia="Courier New" w:hAnsi="Courier New"/>
          <w:color w:val="2d3748"/>
          <w:sz w:val="18"/>
          <w:szCs w:val="18"/>
        </w:rPr>
        <w:t xml:space="preserve">       └─ Subfield (~250)  e.g. Pulmonary Medicine</w:t>
      </w:r>
    </w:p>
    <w:p>
      <w:pPr>
        <w:pBdr>
          <w:bottom w:val="single" w:color="CBD5E0" w:sz="1"/>
        </w:pBdr>
        <w:shd w:fill="f1f5f9" w:val="clear"/>
        <w:spacing w:before="0" w:after="80"/>
        <w:ind w:left="360"/>
      </w:pPr>
      <w:r>
        <w:rPr>
          <w:rFonts w:ascii="Courier New" w:cs="Courier New" w:eastAsia="Courier New" w:hAnsi="Courier New"/>
          <w:color w:val="2d3748"/>
          <w:sz w:val="18"/>
          <w:szCs w:val="18"/>
        </w:rPr>
        <w:t xml:space="preserve">            └─ Topic (~4,500)  e.g. Analysis of Cardiac Sounds</w:t>
      </w:r>
    </w:p>
    <w:p>
      <w:pPr>
        <w:spacing w:before="60" w:after="80"/>
      </w:pPr>
      <w:r>
        <w:rPr>
          <w:rFonts w:ascii="Arial" w:cs="Arial" w:eastAsia="Arial" w:hAnsi="Arial"/>
          <w:color w:val="1a202c"/>
          <w:sz w:val="21"/>
          <w:szCs w:val="21"/>
        </w:rPr>
        <w:t xml:space="preserve">Each work has a </w:t>
      </w:r>
      <w:r>
        <w:rPr>
          <w:rFonts w:ascii="Courier New" w:cs="Courier New" w:eastAsia="Courier New" w:hAnsi="Courier New"/>
          <w:color w:val="2d3748"/>
          <w:sz w:val="19"/>
          <w:szCs w:val="19"/>
          <w:shd w:fill="f7fafc" w:val="clear"/>
        </w:rPr>
        <w:t xml:space="preserve">primary_topic</w:t>
      </w:r>
      <w:r>
        <w:rPr>
          <w:rFonts w:ascii="Arial" w:cs="Arial" w:eastAsia="Arial" w:hAnsi="Arial"/>
          <w:color w:val="1a202c"/>
          <w:sz w:val="21"/>
          <w:szCs w:val="21"/>
        </w:rPr>
        <w:t xml:space="preserve"> (highest-scoring) plus up to 2 additional topics in </w:t>
      </w:r>
      <w:r>
        <w:rPr>
          <w:rFonts w:ascii="Courier New" w:cs="Courier New" w:eastAsia="Courier New" w:hAnsi="Courier New"/>
          <w:color w:val="2d3748"/>
          <w:sz w:val="19"/>
          <w:szCs w:val="19"/>
          <w:shd w:fill="f7fafc" w:val="clear"/>
        </w:rPr>
        <w:t xml:space="preserve">topics[]</w:t>
      </w:r>
      <w:r>
        <w:rPr>
          <w:rFonts w:ascii="Arial" w:cs="Arial" w:eastAsia="Arial" w:hAnsi="Arial"/>
          <w:color w:val="1a202c"/>
          <w:sz w:val="21"/>
          <w:szCs w:val="21"/>
        </w:rPr>
        <w:t xml:space="preserve">. Use </w:t>
      </w:r>
      <w:r>
        <w:rPr>
          <w:rFonts w:ascii="Courier New" w:cs="Courier New" w:eastAsia="Courier New" w:hAnsi="Courier New"/>
          <w:color w:val="2d3748"/>
          <w:sz w:val="19"/>
          <w:szCs w:val="19"/>
          <w:shd w:fill="f7fafc" w:val="clear"/>
        </w:rPr>
        <w:t xml:space="preserve">primary_topic</w:t>
      </w:r>
      <w:r>
        <w:rPr>
          <w:rFonts w:ascii="Arial" w:cs="Arial" w:eastAsia="Arial" w:hAnsi="Arial"/>
          <w:color w:val="1a202c"/>
          <w:sz w:val="21"/>
          <w:szCs w:val="21"/>
        </w:rPr>
        <w:t xml:space="preserve"> for this tool — it is the single best classification signal and keeps the logic tractable.</w:t>
      </w:r>
    </w:p>
    <w:p>
      <w:pPr>
        <w:spacing w:before="80" w:after="0"/>
      </w:pPr>
      <w:r>
        <w:t xml:space="preserve"/>
      </w:r>
    </w:p>
    <w:p>
      <w:pPr>
        <w:pStyle w:val="Heading2"/>
        <w:spacing w:before="240" w:after="80"/>
      </w:pPr>
      <w:r>
        <w:rPr>
          <w:rFonts w:ascii="Arial" w:cs="Arial" w:eastAsia="Arial" w:hAnsi="Arial"/>
          <w:b/>
          <w:bCs/>
          <w:color w:val="2b6cb0"/>
          <w:sz w:val="24"/>
          <w:szCs w:val="24"/>
        </w:rPr>
        <w:t xml:space="preserve">6.4 Rate limiting &amp; best practices</w:t>
      </w:r>
    </w:p>
    <w:p>
      <w:pPr>
        <w:pStyle w:val="ListParagraph"/>
        <w:numPr>
          <w:ilvl w:val="0"/>
          <w:numId w:val="2"/>
        </w:numPr>
        <w:spacing w:before="40" w:after="40"/>
      </w:pPr>
      <w:r>
        <w:rPr>
          <w:rFonts w:ascii="Arial" w:cs="Arial" w:eastAsia="Arial" w:hAnsi="Arial"/>
          <w:color w:val="1a202c"/>
          <w:sz w:val="21"/>
          <w:szCs w:val="21"/>
        </w:rPr>
        <w:t xml:space="preserve">Max </w:t>
      </w:r>
      <w:r>
        <w:rPr>
          <w:rFonts w:ascii="Arial" w:cs="Arial" w:eastAsia="Arial" w:hAnsi="Arial"/>
          <w:b/>
          <w:bCs/>
          <w:color w:val="1a202c"/>
          <w:sz w:val="21"/>
          <w:szCs w:val="21"/>
        </w:rPr>
        <w:t xml:space="preserve">200 results per page</w:t>
      </w:r>
      <w:r>
        <w:rPr>
          <w:rFonts w:ascii="Arial" w:cs="Arial" w:eastAsia="Arial" w:hAnsi="Arial"/>
          <w:color w:val="1a202c"/>
          <w:sz w:val="21"/>
          <w:szCs w:val="21"/>
        </w:rPr>
        <w:t xml:space="preserve"> for /works (use </w:t>
      </w:r>
      <w:r>
        <w:rPr>
          <w:rFonts w:ascii="Courier New" w:cs="Courier New" w:eastAsia="Courier New" w:hAnsi="Courier New"/>
          <w:color w:val="2d3748"/>
          <w:sz w:val="19"/>
          <w:szCs w:val="19"/>
          <w:shd w:fill="f7fafc" w:val="clear"/>
        </w:rPr>
        <w:t xml:space="preserve">per_page=200</w:t>
      </w:r>
      <w:r>
        <w:rPr>
          <w:rFonts w:ascii="Arial" w:cs="Arial" w:eastAsia="Arial" w:hAnsi="Arial"/>
          <w:color w:val="1a202c"/>
          <w:sz w:val="21"/>
          <w:szCs w:val="21"/>
        </w:rPr>
        <w:t xml:space="preserve">)</w:t>
      </w:r>
    </w:p>
    <w:p>
      <w:pPr>
        <w:pStyle w:val="ListParagraph"/>
        <w:numPr>
          <w:ilvl w:val="0"/>
          <w:numId w:val="2"/>
        </w:numPr>
        <w:spacing w:before="40" w:after="40"/>
      </w:pPr>
      <w:r>
        <w:rPr>
          <w:rFonts w:ascii="Arial" w:cs="Arial" w:eastAsia="Arial" w:hAnsi="Arial"/>
          <w:color w:val="1a202c"/>
          <w:sz w:val="21"/>
          <w:szCs w:val="21"/>
        </w:rPr>
        <w:t xml:space="preserve">Max </w:t>
      </w:r>
      <w:r>
        <w:rPr>
          <w:rFonts w:ascii="Arial" w:cs="Arial" w:eastAsia="Arial" w:hAnsi="Arial"/>
          <w:b/>
          <w:bCs/>
          <w:color w:val="1a202c"/>
          <w:sz w:val="21"/>
          <w:szCs w:val="21"/>
        </w:rPr>
        <w:t xml:space="preserve">10,000 results</w:t>
      </w:r>
      <w:r>
        <w:rPr>
          <w:rFonts w:ascii="Arial" w:cs="Arial" w:eastAsia="Arial" w:hAnsi="Arial"/>
          <w:color w:val="1a202c"/>
          <w:sz w:val="21"/>
          <w:szCs w:val="21"/>
        </w:rPr>
        <w:t xml:space="preserve"> via basic pagination (50 pages × 200). For larger journals, filter by year.</w:t>
      </w:r>
    </w:p>
    <w:p>
      <w:pPr>
        <w:pStyle w:val="ListParagraph"/>
        <w:numPr>
          <w:ilvl w:val="0"/>
          <w:numId w:val="2"/>
        </w:numPr>
        <w:spacing w:before="40" w:after="40"/>
      </w:pPr>
      <w:r>
        <w:rPr>
          <w:rFonts w:ascii="Arial" w:cs="Arial" w:eastAsia="Arial" w:hAnsi="Arial"/>
          <w:color w:val="1a202c"/>
          <w:sz w:val="21"/>
          <w:szCs w:val="21"/>
        </w:rPr>
        <w:t xml:space="preserve">Batch OR lookups: up to </w:t>
      </w:r>
      <w:r>
        <w:rPr>
          <w:rFonts w:ascii="Arial" w:cs="Arial" w:eastAsia="Arial" w:hAnsi="Arial"/>
          <w:b/>
          <w:bCs/>
          <w:color w:val="1a202c"/>
          <w:sz w:val="21"/>
          <w:szCs w:val="21"/>
        </w:rPr>
        <w:t xml:space="preserve">100 values</w:t>
      </w:r>
      <w:r>
        <w:rPr>
          <w:rFonts w:ascii="Arial" w:cs="Arial" w:eastAsia="Arial" w:hAnsi="Arial"/>
          <w:color w:val="1a202c"/>
          <w:sz w:val="21"/>
          <w:szCs w:val="21"/>
        </w:rPr>
        <w:t xml:space="preserve"> per filter, e.g. </w:t>
      </w:r>
      <w:r>
        <w:rPr>
          <w:rFonts w:ascii="Courier New" w:cs="Courier New" w:eastAsia="Courier New" w:hAnsi="Courier New"/>
          <w:color w:val="2d3748"/>
          <w:sz w:val="19"/>
          <w:szCs w:val="19"/>
          <w:shd w:fill="f7fafc" w:val="clear"/>
        </w:rPr>
        <w:t xml:space="preserve">openalex_id:W1|W2|...|W100</w:t>
      </w:r>
    </w:p>
    <w:p>
      <w:pPr>
        <w:pStyle w:val="ListParagraph"/>
        <w:numPr>
          <w:ilvl w:val="0"/>
          <w:numId w:val="2"/>
        </w:numPr>
        <w:spacing w:before="40" w:after="40"/>
      </w:pPr>
      <w:r>
        <w:rPr>
          <w:rFonts w:ascii="Arial" w:cs="Arial" w:eastAsia="Arial" w:hAnsi="Arial"/>
          <w:color w:val="1a202c"/>
          <w:sz w:val="21"/>
          <w:szCs w:val="21"/>
        </w:rPr>
        <w:t xml:space="preserve">Add </w:t>
      </w:r>
      <w:r>
        <w:rPr>
          <w:rFonts w:ascii="Arial" w:cs="Arial" w:eastAsia="Arial" w:hAnsi="Arial"/>
          <w:b/>
          <w:bCs/>
          <w:color w:val="1a202c"/>
          <w:sz w:val="21"/>
          <w:szCs w:val="21"/>
        </w:rPr>
        <w:t xml:space="preserve">60ms delay</w:t>
      </w:r>
      <w:r>
        <w:rPr>
          <w:rFonts w:ascii="Arial" w:cs="Arial" w:eastAsia="Arial" w:hAnsi="Arial"/>
          <w:color w:val="1a202c"/>
          <w:sz w:val="21"/>
          <w:szCs w:val="21"/>
        </w:rPr>
        <w:t xml:space="preserve"> between paginated requests</w:t>
      </w:r>
    </w:p>
    <w:p>
      <w:pPr>
        <w:pStyle w:val="ListParagraph"/>
        <w:numPr>
          <w:ilvl w:val="0"/>
          <w:numId w:val="2"/>
        </w:numPr>
        <w:spacing w:before="40" w:after="40"/>
      </w:pPr>
      <w:r>
        <w:rPr>
          <w:rFonts w:ascii="Arial" w:cs="Arial" w:eastAsia="Arial" w:hAnsi="Arial"/>
          <w:color w:val="1a202c"/>
          <w:sz w:val="21"/>
          <w:szCs w:val="21"/>
        </w:rPr>
        <w:t xml:space="preserve">Use </w:t>
      </w:r>
      <w:r>
        <w:rPr>
          <w:rFonts w:ascii="Courier New" w:cs="Courier New" w:eastAsia="Courier New" w:hAnsi="Courier New"/>
          <w:color w:val="2d3748"/>
          <w:sz w:val="19"/>
          <w:szCs w:val="19"/>
          <w:shd w:fill="f7fafc" w:val="clear"/>
        </w:rPr>
        <w:t xml:space="preserve">select=</w:t>
      </w:r>
      <w:r>
        <w:rPr>
          <w:rFonts w:ascii="Arial" w:cs="Arial" w:eastAsia="Arial" w:hAnsi="Arial"/>
          <w:color w:val="1a202c"/>
          <w:sz w:val="21"/>
          <w:szCs w:val="21"/>
        </w:rPr>
        <w:t xml:space="preserve"> to minimise payload — never fetch all fields</w:t>
      </w:r>
    </w:p>
    <w:p>
      <w:pPr>
        <w:pStyle w:val="ListParagraph"/>
        <w:numPr>
          <w:ilvl w:val="0"/>
          <w:numId w:val="2"/>
        </w:numPr>
        <w:spacing w:before="40" w:after="40"/>
      </w:pPr>
      <w:r>
        <w:rPr>
          <w:rFonts w:ascii="Arial" w:cs="Arial" w:eastAsia="Arial" w:hAnsi="Arial"/>
          <w:color w:val="1a202c"/>
          <w:sz w:val="21"/>
          <w:szCs w:val="21"/>
        </w:rPr>
        <w:t xml:space="preserve">Two-step ID resolution: </w:t>
      </w:r>
      <w:r>
        <w:rPr>
          <w:rFonts w:ascii="Arial" w:cs="Arial" w:eastAsia="Arial" w:hAnsi="Arial"/>
          <w:b/>
          <w:bCs/>
          <w:color w:val="1a202c"/>
          <w:sz w:val="21"/>
          <w:szCs w:val="21"/>
        </w:rPr>
        <w:t xml:space="preserve">never filter by name</w:t>
      </w:r>
      <w:r>
        <w:rPr>
          <w:rFonts w:ascii="Arial" w:cs="Arial" w:eastAsia="Arial" w:hAnsi="Arial"/>
          <w:color w:val="1a202c"/>
          <w:sz w:val="21"/>
          <w:szCs w:val="21"/>
        </w:rPr>
        <w:t xml:space="preserve"> — always resolve to ID first</w:t>
      </w:r>
    </w:p>
    <w:p>
      <w:pPr>
        <w:pStyle w:val="ListParagraph"/>
        <w:numPr>
          <w:ilvl w:val="0"/>
          <w:numId w:val="2"/>
        </w:numPr>
        <w:spacing w:before="40" w:after="40"/>
      </w:pPr>
      <w:r>
        <w:rPr>
          <w:rFonts w:ascii="Arial" w:cs="Arial" w:eastAsia="Arial" w:hAnsi="Arial"/>
          <w:color w:val="1a202c"/>
          <w:sz w:val="21"/>
          <w:szCs w:val="21"/>
        </w:rPr>
        <w:t xml:space="preserve">Deprecated: </w:t>
      </w:r>
      <w:r>
        <w:rPr>
          <w:rFonts w:ascii="Courier New" w:cs="Courier New" w:eastAsia="Courier New" w:hAnsi="Courier New"/>
          <w:color w:val="2d3748"/>
          <w:sz w:val="19"/>
          <w:szCs w:val="19"/>
          <w:shd w:fill="f7fafc" w:val="clear"/>
        </w:rPr>
        <w:t xml:space="preserve">concepts</w:t>
      </w:r>
      <w:r>
        <w:rPr>
          <w:rFonts w:ascii="Arial" w:cs="Arial" w:eastAsia="Arial" w:hAnsi="Arial"/>
          <w:color w:val="1a202c"/>
          <w:sz w:val="21"/>
          <w:szCs w:val="21"/>
        </w:rPr>
        <w:t xml:space="preserve"> (use </w:t>
      </w:r>
      <w:r>
        <w:rPr>
          <w:rFonts w:ascii="Courier New" w:cs="Courier New" w:eastAsia="Courier New" w:hAnsi="Courier New"/>
          <w:color w:val="2d3748"/>
          <w:sz w:val="19"/>
          <w:szCs w:val="19"/>
          <w:shd w:fill="f7fafc" w:val="clear"/>
        </w:rPr>
        <w:t xml:space="preserve">topics</w:t>
      </w:r>
      <w:r>
        <w:rPr>
          <w:rFonts w:ascii="Arial" w:cs="Arial" w:eastAsia="Arial" w:hAnsi="Arial"/>
          <w:color w:val="1a202c"/>
          <w:sz w:val="21"/>
          <w:szCs w:val="21"/>
        </w:rPr>
        <w:t xml:space="preserve">), </w:t>
      </w:r>
      <w:r>
        <w:rPr>
          <w:rFonts w:ascii="Courier New" w:cs="Courier New" w:eastAsia="Courier New" w:hAnsi="Courier New"/>
          <w:color w:val="2d3748"/>
          <w:sz w:val="19"/>
          <w:szCs w:val="19"/>
          <w:shd w:fill="f7fafc" w:val="clear"/>
        </w:rPr>
        <w:t xml:space="preserve">host_venue</w:t>
      </w:r>
      <w:r>
        <w:rPr>
          <w:rFonts w:ascii="Arial" w:cs="Arial" w:eastAsia="Arial" w:hAnsi="Arial"/>
          <w:color w:val="1a202c"/>
          <w:sz w:val="21"/>
          <w:szCs w:val="21"/>
        </w:rPr>
        <w:t xml:space="preserve"> (use </w:t>
      </w:r>
      <w:r>
        <w:rPr>
          <w:rFonts w:ascii="Courier New" w:cs="Courier New" w:eastAsia="Courier New" w:hAnsi="Courier New"/>
          <w:color w:val="2d3748"/>
          <w:sz w:val="19"/>
          <w:szCs w:val="19"/>
          <w:shd w:fill="f7fafc" w:val="clear"/>
        </w:rPr>
        <w:t xml:space="preserve">primary_location</w:t>
      </w:r>
      <w:r>
        <w:rPr>
          <w:rFonts w:ascii="Arial" w:cs="Arial" w:eastAsia="Arial" w:hAnsi="Arial"/>
          <w:color w:val="1a202c"/>
          <w:sz w:val="21"/>
          <w:szCs w:val="21"/>
        </w:rPr>
        <w:t xml:space="preserve">)</w:t>
      </w:r>
    </w:p>
    <w:p>
      <w:pPr>
        <w:spacing w:before="80" w:after="0"/>
      </w:pPr>
      <w:r>
        <w:t xml:space="preserve"/>
      </w:r>
    </w:p>
    <w:p>
      <w:pPr>
        <w:pStyle w:val="Heading2"/>
        <w:spacing w:before="240" w:after="80"/>
      </w:pPr>
      <w:r>
        <w:rPr>
          <w:rFonts w:ascii="Arial" w:cs="Arial" w:eastAsia="Arial" w:hAnsi="Arial"/>
          <w:b/>
          <w:bCs/>
          <w:color w:val="2b6cb0"/>
          <w:sz w:val="24"/>
          <w:szCs w:val="24"/>
        </w:rPr>
        <w:t xml:space="preserve">6.5 group_by shortcut for topic distributions</w:t>
      </w:r>
    </w:p>
    <w:p>
      <w:pPr>
        <w:spacing w:before="60" w:after="80"/>
      </w:pPr>
      <w:r>
        <w:rPr>
          <w:rFonts w:ascii="Arial" w:cs="Arial" w:eastAsia="Arial" w:hAnsi="Arial"/>
          <w:color w:val="1a202c"/>
          <w:sz w:val="21"/>
          <w:szCs w:val="21"/>
        </w:rPr>
        <w:t xml:space="preserve">Instead of paginating through all works and computing topic distributions client-side, you can use the </w:t>
      </w:r>
      <w:r>
        <w:rPr>
          <w:rFonts w:ascii="Courier New" w:cs="Courier New" w:eastAsia="Courier New" w:hAnsi="Courier New"/>
          <w:color w:val="2d3748"/>
          <w:sz w:val="19"/>
          <w:szCs w:val="19"/>
          <w:shd w:fill="f7fafc" w:val="clear"/>
        </w:rPr>
        <w:t xml:space="preserve">group_by</w:t>
      </w:r>
      <w:r>
        <w:rPr>
          <w:rFonts w:ascii="Arial" w:cs="Arial" w:eastAsia="Arial" w:hAnsi="Arial"/>
          <w:color w:val="1a202c"/>
          <w:sz w:val="21"/>
          <w:szCs w:val="21"/>
        </w:rPr>
        <w:t xml:space="preserve"> endpoint for a fast approximation:</w:t>
      </w:r>
    </w:p>
    <w:p>
      <w:pPr>
        <w:pBdr>
          <w:top w:val="single" w:color="CBD5E0" w:sz="1"/>
        </w:pBdr>
        <w:shd w:fill="f1f5f9" w:val="clear"/>
        <w:spacing w:before="80" w:after="0"/>
        <w:ind w:left="360"/>
      </w:pPr>
      <w:r>
        <w:rPr>
          <w:rFonts w:ascii="Courier New" w:cs="Courier New" w:eastAsia="Courier New" w:hAnsi="Courier New"/>
          <w:color w:val="2d3748"/>
          <w:sz w:val="18"/>
          <w:szCs w:val="18"/>
        </w:rPr>
        <w:t xml:space="preserve">/works?filter=primary_location.source.id:{id}</w:t>
      </w:r>
    </w:p>
    <w:p>
      <w:pPr>
        <w:shd w:fill="f1f5f9" w:val="clear"/>
        <w:spacing w:before="0" w:after="0"/>
        <w:ind w:left="360"/>
      </w:pPr>
      <w:r>
        <w:rPr>
          <w:rFonts w:ascii="Courier New" w:cs="Courier New" w:eastAsia="Courier New" w:hAnsi="Courier New"/>
          <w:color w:val="2d3748"/>
          <w:sz w:val="18"/>
          <w:szCs w:val="18"/>
        </w:rPr>
        <w:t xml:space="preserve">      ,publication_year:{year},type:article</w:t>
      </w:r>
    </w:p>
    <w:p>
      <w:pPr>
        <w:shd w:fill="f1f5f9" w:val="clear"/>
        <w:spacing w:before="0" w:after="0"/>
        <w:ind w:left="360"/>
      </w:pPr>
      <w:r>
        <w:rPr>
          <w:rFonts w:ascii="Courier New" w:cs="Courier New" w:eastAsia="Courier New" w:hAnsi="Courier New"/>
          <w:color w:val="2d3748"/>
          <w:sz w:val="18"/>
          <w:szCs w:val="18"/>
        </w:rPr>
        <w:t xml:space="preserve">&amp;group_by=primary_topic.id</w:t>
      </w:r>
    </w:p>
    <w:p>
      <w:pPr>
        <w:pBdr>
          <w:bottom w:val="single" w:color="CBD5E0" w:sz="1"/>
        </w:pBdr>
        <w:shd w:fill="f1f5f9" w:val="clear"/>
        <w:spacing w:before="0" w:after="80"/>
        <w:ind w:left="360"/>
      </w:pPr>
      <w:r>
        <w:rPr>
          <w:rFonts w:ascii="Courier New" w:cs="Courier New" w:eastAsia="Courier New" w:hAnsi="Courier New"/>
          <w:color w:val="2d3748"/>
          <w:sz w:val="18"/>
          <w:szCs w:val="18"/>
        </w:rPr>
        <w:t xml:space="preserve">&amp;per_page=200</w:t>
      </w:r>
    </w:p>
    <w:p>
      <w:pPr>
        <w:spacing w:before="60" w:after="80"/>
      </w:pPr>
      <w:r>
        <w:rPr>
          <w:rFonts w:ascii="Arial" w:cs="Arial" w:eastAsia="Arial" w:hAnsi="Arial"/>
          <w:color w:val="1a202c"/>
          <w:sz w:val="21"/>
          <w:szCs w:val="21"/>
        </w:rPr>
        <w:t xml:space="preserve">Returns a list of topic IDs with counts — no pagination needed, single request. </w:t>
      </w:r>
      <w:r>
        <w:rPr>
          <w:rFonts w:ascii="Arial" w:cs="Arial" w:eastAsia="Arial" w:hAnsi="Arial"/>
          <w:b/>
          <w:bCs/>
          <w:color w:val="1a202c"/>
          <w:sz w:val="21"/>
          <w:szCs w:val="21"/>
        </w:rPr>
        <w:t xml:space="preserve">Limitation:</w:t>
      </w:r>
      <w:r>
        <w:rPr>
          <w:rFonts w:ascii="Arial" w:cs="Arial" w:eastAsia="Arial" w:hAnsi="Arial"/>
          <w:color w:val="1a202c"/>
          <w:sz w:val="21"/>
          <w:szCs w:val="21"/>
        </w:rPr>
        <w:t xml:space="preserve"> returns topic IDs only, not display names. You need to join against </w:t>
      </w:r>
      <w:r>
        <w:rPr>
          <w:rFonts w:ascii="Courier New" w:cs="Courier New" w:eastAsia="Courier New" w:hAnsi="Courier New"/>
          <w:color w:val="2d3748"/>
          <w:sz w:val="19"/>
          <w:szCs w:val="19"/>
          <w:shd w:fill="f7fafc" w:val="clear"/>
        </w:rPr>
        <w:t xml:space="preserve">/topics/{id}</w:t>
      </w:r>
      <w:r>
        <w:rPr>
          <w:rFonts w:ascii="Arial" w:cs="Arial" w:eastAsia="Arial" w:hAnsi="Arial"/>
          <w:color w:val="1a202c"/>
          <w:sz w:val="21"/>
          <w:szCs w:val="21"/>
        </w:rPr>
        <w:t xml:space="preserve"> or maintain a topic ID → name lookup. Useful for the Overview tab; full pagination needed for the Article view.</w:t>
      </w:r>
    </w:p>
    <w:p>
      <w:pPr>
        <w:spacing w:before="80" w:after="0"/>
      </w:pPr>
      <w:r>
        <w:t xml:space="preserve"/>
      </w:r>
    </w:p>
    <w:p>
      <w:pPr>
        <w:pStyle w:val="Heading1"/>
        <w:pBdr>
          <w:bottom w:val="single" w:color="2b6cb0" w:sz="4" w:space="6"/>
        </w:pBdr>
        <w:spacing w:before="320" w:after="120"/>
      </w:pPr>
      <w:r>
        <w:rPr>
          <w:rFonts w:ascii="Arial" w:cs="Arial" w:eastAsia="Arial" w:hAnsi="Arial"/>
          <w:b/>
          <w:bCs/>
          <w:color w:val="1e3a5f"/>
          <w:sz w:val="30"/>
          <w:szCs w:val="30"/>
        </w:rPr>
        <w:t xml:space="preserve">7. Implementation Notes for Claude Code</w:t>
      </w:r>
    </w:p>
    <w:p>
      <w:pPr>
        <w:spacing w:before="80" w:after="0"/>
      </w:pPr>
      <w:r>
        <w:t xml:space="preserve"/>
      </w:r>
    </w:p>
    <w:p>
      <w:pPr>
        <w:pStyle w:val="Heading2"/>
        <w:spacing w:before="240" w:after="80"/>
      </w:pPr>
      <w:r>
        <w:rPr>
          <w:rFonts w:ascii="Arial" w:cs="Arial" w:eastAsia="Arial" w:hAnsi="Arial"/>
          <w:b/>
          <w:bCs/>
          <w:color w:val="2b6cb0"/>
          <w:sz w:val="24"/>
          <w:szCs w:val="24"/>
        </w:rPr>
        <w:t xml:space="preserve">7.1 Repo structure</w:t>
      </w:r>
    </w:p>
    <w:p>
      <w:pPr>
        <w:pBdr>
          <w:top w:val="single" w:color="CBD5E0" w:sz="1"/>
        </w:pBdr>
        <w:shd w:fill="f1f5f9" w:val="clear"/>
        <w:spacing w:before="80" w:after="0"/>
        <w:ind w:left="360"/>
      </w:pPr>
      <w:r>
        <w:rPr>
          <w:rFonts w:ascii="Courier New" w:cs="Courier New" w:eastAsia="Courier New" w:hAnsi="Courier New"/>
          <w:color w:val="2d3748"/>
          <w:sz w:val="18"/>
          <w:szCs w:val="18"/>
        </w:rPr>
        <w:t xml:space="preserve">journal-profile-analyser/</w:t>
      </w:r>
    </w:p>
    <w:p>
      <w:pPr>
        <w:shd w:fill="f1f5f9" w:val="clear"/>
        <w:spacing w:before="0" w:after="0"/>
        <w:ind w:left="360"/>
      </w:pPr>
      <w:r>
        <w:rPr>
          <w:rFonts w:ascii="Courier New" w:cs="Courier New" w:eastAsia="Courier New" w:hAnsi="Courier New"/>
          <w:color w:val="2d3748"/>
          <w:sz w:val="18"/>
          <w:szCs w:val="18"/>
        </w:rPr>
        <w:t xml:space="preserve">  src/</w:t>
      </w:r>
    </w:p>
    <w:p>
      <w:pPr>
        <w:shd w:fill="f1f5f9" w:val="clear"/>
        <w:spacing w:before="0" w:after="0"/>
        <w:ind w:left="360"/>
      </w:pPr>
      <w:r>
        <w:rPr>
          <w:rFonts w:ascii="Courier New" w:cs="Courier New" w:eastAsia="Courier New" w:hAnsi="Courier New"/>
          <w:color w:val="2d3748"/>
          <w:sz w:val="18"/>
          <w:szCs w:val="18"/>
        </w:rPr>
        <w:t xml:space="preserve">    App.jsx          — main app, tab routing</w:t>
      </w:r>
    </w:p>
    <w:p>
      <w:pPr>
        <w:shd w:fill="f1f5f9" w:val="clear"/>
        <w:spacing w:before="0" w:after="0"/>
        <w:ind w:left="360"/>
      </w:pPr>
      <w:r>
        <w:rPr>
          <w:rFonts w:ascii="Courier New" w:cs="Courier New" w:eastAsia="Courier New" w:hAnsi="Courier New"/>
          <w:color w:val="2d3748"/>
          <w:sz w:val="18"/>
          <w:szCs w:val="18"/>
        </w:rPr>
        <w:t xml:space="preserve">    api.js           — all OpenAlex fetch logic</w:t>
      </w:r>
    </w:p>
    <w:p>
      <w:pPr>
        <w:shd w:fill="f1f5f9" w:val="clear"/>
        <w:spacing w:before="0" w:after="0"/>
        <w:ind w:left="360"/>
      </w:pPr>
      <w:r>
        <w:rPr>
          <w:rFonts w:ascii="Courier New" w:cs="Courier New" w:eastAsia="Courier New" w:hAnsi="Courier New"/>
          <w:color w:val="2d3748"/>
          <w:sz w:val="18"/>
          <w:szCs w:val="18"/>
        </w:rPr>
        <w:t xml:space="preserve">    analytics.js     — signal computation (pure functions)</w:t>
      </w:r>
    </w:p>
    <w:p>
      <w:pPr>
        <w:shd w:fill="f1f5f9" w:val="clear"/>
        <w:spacing w:before="0" w:after="0"/>
        <w:ind w:left="360"/>
      </w:pPr>
      <w:r>
        <w:rPr>
          <w:rFonts w:ascii="Courier New" w:cs="Courier New" w:eastAsia="Courier New" w:hAnsi="Courier New"/>
          <w:color w:val="2d3748"/>
          <w:sz w:val="18"/>
          <w:szCs w:val="18"/>
        </w:rPr>
        <w:t xml:space="preserve">    components/</w:t>
      </w:r>
    </w:p>
    <w:p>
      <w:pPr>
        <w:shd w:fill="f1f5f9" w:val="clear"/>
        <w:spacing w:before="0" w:after="0"/>
        <w:ind w:left="360"/>
      </w:pPr>
      <w:r>
        <w:rPr>
          <w:rFonts w:ascii="Courier New" w:cs="Courier New" w:eastAsia="Courier New" w:hAnsi="Courier New"/>
          <w:color w:val="2d3748"/>
          <w:sz w:val="18"/>
          <w:szCs w:val="18"/>
        </w:rPr>
        <w:t xml:space="preserve">      JournalSearch.jsx</w:t>
      </w:r>
    </w:p>
    <w:p>
      <w:pPr>
        <w:shd w:fill="f1f5f9" w:val="clear"/>
        <w:spacing w:before="0" w:after="0"/>
        <w:ind w:left="360"/>
      </w:pPr>
      <w:r>
        <w:rPr>
          <w:rFonts w:ascii="Courier New" w:cs="Courier New" w:eastAsia="Courier New" w:hAnsi="Courier New"/>
          <w:color w:val="2d3748"/>
          <w:sz w:val="18"/>
          <w:szCs w:val="18"/>
        </w:rPr>
        <w:t xml:space="preserve">      OverviewTab.jsx</w:t>
      </w:r>
    </w:p>
    <w:p>
      <w:pPr>
        <w:shd w:fill="f1f5f9" w:val="clear"/>
        <w:spacing w:before="0" w:after="0"/>
        <w:ind w:left="360"/>
      </w:pPr>
      <w:r>
        <w:rPr>
          <w:rFonts w:ascii="Courier New" w:cs="Courier New" w:eastAsia="Courier New" w:hAnsi="Courier New"/>
          <w:color w:val="2d3748"/>
          <w:sz w:val="18"/>
          <w:szCs w:val="18"/>
        </w:rPr>
        <w:t xml:space="preserve">      TopicProfileTab.jsx</w:t>
      </w:r>
    </w:p>
    <w:p>
      <w:pPr>
        <w:shd w:fill="f1f5f9" w:val="clear"/>
        <w:spacing w:before="0" w:after="0"/>
        <w:ind w:left="360"/>
      </w:pPr>
      <w:r>
        <w:rPr>
          <w:rFonts w:ascii="Courier New" w:cs="Courier New" w:eastAsia="Courier New" w:hAnsi="Courier New"/>
          <w:color w:val="2d3748"/>
          <w:sz w:val="18"/>
          <w:szCs w:val="18"/>
        </w:rPr>
        <w:t xml:space="preserve">      ArticleTab.jsx</w:t>
      </w:r>
    </w:p>
    <w:p>
      <w:pPr>
        <w:shd w:fill="f1f5f9" w:val="clear"/>
        <w:spacing w:before="0" w:after="0"/>
        <w:ind w:left="360"/>
      </w:pPr>
      <w:r>
        <w:rPr>
          <w:rFonts w:ascii="Courier New" w:cs="Courier New" w:eastAsia="Courier New" w:hAnsi="Courier New"/>
          <w:color w:val="2d3748"/>
          <w:sz w:val="18"/>
          <w:szCs w:val="18"/>
        </w:rPr>
        <w:t xml:space="preserve">      PeerCompareTab.jsx</w:t>
      </w:r>
    </w:p>
    <w:p>
      <w:pPr>
        <w:shd w:fill="f1f5f9" w:val="clear"/>
        <w:spacing w:before="0" w:after="0"/>
        <w:ind w:left="360"/>
      </w:pPr>
      <w:r>
        <w:rPr>
          <w:rFonts w:ascii="Courier New" w:cs="Courier New" w:eastAsia="Courier New" w:hAnsi="Courier New"/>
          <w:color w:val="2d3748"/>
          <w:sz w:val="18"/>
          <w:szCs w:val="18"/>
        </w:rPr>
        <w:t xml:space="preserve">      WordCloud.jsx    — reusable, parameterised</w:t>
      </w:r>
    </w:p>
    <w:p>
      <w:pPr>
        <w:shd w:fill="f1f5f9" w:val="clear"/>
        <w:spacing w:before="0" w:after="0"/>
        <w:ind w:left="360"/>
      </w:pPr>
      <w:r>
        <w:rPr>
          <w:rFonts w:ascii="Courier New" w:cs="Courier New" w:eastAsia="Courier New" w:hAnsi="Courier New"/>
          <w:color w:val="2d3748"/>
          <w:sz w:val="18"/>
          <w:szCs w:val="18"/>
        </w:rPr>
        <w:t xml:space="preserve">      BarChart.jsx     — reusable horizontal stacked bar</w:t>
      </w:r>
    </w:p>
    <w:p>
      <w:pPr>
        <w:shd w:fill="f1f5f9" w:val="clear"/>
        <w:spacing w:before="0" w:after="0"/>
        <w:ind w:left="360"/>
      </w:pPr>
      <w:r>
        <w:rPr>
          <w:rFonts w:ascii="Courier New" w:cs="Courier New" w:eastAsia="Courier New" w:hAnsi="Courier New"/>
          <w:color w:val="2d3748"/>
          <w:sz w:val="18"/>
          <w:szCs w:val="18"/>
        </w:rPr>
        <w:t xml:space="preserve">  index.html</w:t>
      </w:r>
    </w:p>
    <w:p>
      <w:pPr>
        <w:shd w:fill="f1f5f9" w:val="clear"/>
        <w:spacing w:before="0" w:after="0"/>
        <w:ind w:left="360"/>
      </w:pPr>
      <w:r>
        <w:rPr>
          <w:rFonts w:ascii="Courier New" w:cs="Courier New" w:eastAsia="Courier New" w:hAnsi="Courier New"/>
          <w:color w:val="2d3748"/>
          <w:sz w:val="18"/>
          <w:szCs w:val="18"/>
        </w:rPr>
        <w:t xml:space="preserve">  vite.config.js</w:t>
      </w:r>
    </w:p>
    <w:p>
      <w:pPr>
        <w:shd w:fill="f1f5f9" w:val="clear"/>
        <w:spacing w:before="0" w:after="0"/>
        <w:ind w:left="360"/>
      </w:pPr>
      <w:r>
        <w:rPr>
          <w:rFonts w:ascii="Courier New" w:cs="Courier New" w:eastAsia="Courier New" w:hAnsi="Courier New"/>
          <w:color w:val="2d3748"/>
          <w:sz w:val="18"/>
          <w:szCs w:val="18"/>
        </w:rPr>
        <w:t xml:space="preserve">  package.json</w:t>
      </w:r>
    </w:p>
    <w:p>
      <w:pPr>
        <w:shd w:fill="f1f5f9" w:val="clear"/>
        <w:spacing w:before="0" w:after="0"/>
        <w:ind w:left="360"/>
      </w:pPr>
      <w:r>
        <w:rPr>
          <w:rFonts w:ascii="Courier New" w:cs="Courier New" w:eastAsia="Courier New" w:hAnsi="Courier New"/>
          <w:color w:val="2d3748"/>
          <w:sz w:val="18"/>
          <w:szCs w:val="18"/>
        </w:rPr>
        <w:t xml:space="preserve">  README.md</w:t>
      </w:r>
    </w:p>
    <w:p>
      <w:pPr>
        <w:shd w:fill="f1f5f9" w:val="clear"/>
        <w:spacing w:before="0" w:after="0"/>
        <w:ind w:left="360"/>
      </w:pPr>
      <w:r>
        <w:rPr>
          <w:rFonts w:ascii="Courier New" w:cs="Courier New" w:eastAsia="Courier New" w:hAnsi="Courier New"/>
          <w:color w:val="2d3748"/>
          <w:sz w:val="18"/>
          <w:szCs w:val="18"/>
        </w:rPr>
        <w:t xml:space="preserve">  LICENSE            — MIT</w:t>
      </w:r>
    </w:p>
    <w:p>
      <w:pPr>
        <w:pBdr>
          <w:bottom w:val="single" w:color="CBD5E0" w:sz="1"/>
        </w:pBdr>
        <w:shd w:fill="f1f5f9" w:val="clear"/>
        <w:spacing w:before="0" w:after="80"/>
        <w:ind w:left="360"/>
      </w:pPr>
      <w:r>
        <w:rPr>
          <w:rFonts w:ascii="Courier New" w:cs="Courier New" w:eastAsia="Courier New" w:hAnsi="Courier New"/>
          <w:color w:val="2d3748"/>
          <w:sz w:val="18"/>
          <w:szCs w:val="18"/>
        </w:rPr>
        <w:t xml:space="preserve">  CLAUDE.md          — this document</w:t>
      </w:r>
    </w:p>
    <w:p>
      <w:pPr>
        <w:spacing w:before="80" w:after="0"/>
      </w:pPr>
      <w:r>
        <w:t xml:space="preserve"/>
      </w:r>
    </w:p>
    <w:p>
      <w:pPr>
        <w:pStyle w:val="Heading2"/>
        <w:spacing w:before="240" w:after="80"/>
      </w:pPr>
      <w:r>
        <w:rPr>
          <w:rFonts w:ascii="Arial" w:cs="Arial" w:eastAsia="Arial" w:hAnsi="Arial"/>
          <w:b/>
          <w:bCs/>
          <w:color w:val="2b6cb0"/>
          <w:sz w:val="24"/>
          <w:szCs w:val="24"/>
        </w:rPr>
        <w:t xml:space="preserve">7.2 Separation of concerns</w:t>
      </w:r>
    </w:p>
    <w:p>
      <w:pPr>
        <w:spacing w:before="60" w:after="80"/>
      </w:pPr>
      <w:r>
        <w:rPr>
          <w:rFonts w:ascii="Arial" w:cs="Arial" w:eastAsia="Arial" w:hAnsi="Arial"/>
          <w:b/>
          <w:bCs/>
          <w:color w:val="1a202c"/>
          <w:sz w:val="21"/>
          <w:szCs w:val="21"/>
        </w:rPr>
        <w:t xml:space="preserve">api.js</w:t>
      </w:r>
      <w:r>
        <w:rPr>
          <w:rFonts w:ascii="Arial" w:cs="Arial" w:eastAsia="Arial" w:hAnsi="Arial"/>
          <w:color w:val="1a202c"/>
          <w:sz w:val="21"/>
          <w:szCs w:val="21"/>
        </w:rPr>
        <w:t xml:space="preserve"> contains only fetch logic — no UI, no analytics. Functions return raw OpenAlex response shapes.</w:t>
      </w:r>
    </w:p>
    <w:p>
      <w:pPr>
        <w:spacing w:before="60" w:after="80"/>
      </w:pPr>
      <w:r>
        <w:rPr>
          <w:rFonts w:ascii="Arial" w:cs="Arial" w:eastAsia="Arial" w:hAnsi="Arial"/>
          <w:b/>
          <w:bCs/>
          <w:color w:val="1a202c"/>
          <w:sz w:val="21"/>
          <w:szCs w:val="21"/>
        </w:rPr>
        <w:t xml:space="preserve">analytics.js</w:t>
      </w:r>
      <w:r>
        <w:rPr>
          <w:rFonts w:ascii="Arial" w:cs="Arial" w:eastAsia="Arial" w:hAnsi="Arial"/>
          <w:color w:val="1a202c"/>
          <w:sz w:val="21"/>
          <w:szCs w:val="21"/>
        </w:rPr>
        <w:t xml:space="preserve"> contains only pure computation functions — no fetch, no UI. Input: raw API data. Output: derived metrics. This makes the analytics independently testable.</w:t>
      </w:r>
    </w:p>
    <w:p>
      <w:pPr>
        <w:spacing w:before="60" w:after="80"/>
      </w:pPr>
      <w:r>
        <w:rPr>
          <w:rFonts w:ascii="Arial" w:cs="Arial" w:eastAsia="Arial" w:hAnsi="Arial"/>
          <w:b/>
          <w:bCs/>
          <w:color w:val="1a202c"/>
          <w:sz w:val="21"/>
          <w:szCs w:val="21"/>
        </w:rPr>
        <w:t xml:space="preserve">App.jsx</w:t>
      </w:r>
      <w:r>
        <w:rPr>
          <w:rFonts w:ascii="Arial" w:cs="Arial" w:eastAsia="Arial" w:hAnsi="Arial"/>
          <w:color w:val="1a202c"/>
          <w:sz w:val="21"/>
          <w:szCs w:val="21"/>
        </w:rPr>
        <w:t xml:space="preserve"> orchestrates state, triggers fetches, passes data to tabs.</w:t>
      </w:r>
    </w:p>
    <w:p>
      <w:pPr>
        <w:spacing w:before="60" w:after="80"/>
      </w:pPr>
      <w:r>
        <w:rPr>
          <w:rFonts w:ascii="Arial" w:cs="Arial" w:eastAsia="Arial" w:hAnsi="Arial"/>
          <w:color w:val="1a202c"/>
          <w:sz w:val="21"/>
          <w:szCs w:val="21"/>
        </w:rPr>
        <w:t xml:space="preserve">Components are display-only — they receive data as props and render it.</w:t>
      </w:r>
    </w:p>
    <w:p>
      <w:pPr>
        <w:spacing w:before="80" w:after="0"/>
      </w:pPr>
      <w:r>
        <w:t xml:space="preserve"/>
      </w:r>
    </w:p>
    <w:p>
      <w:pPr>
        <w:pStyle w:val="Heading2"/>
        <w:spacing w:before="240" w:after="80"/>
      </w:pPr>
      <w:r>
        <w:rPr>
          <w:rFonts w:ascii="Arial" w:cs="Arial" w:eastAsia="Arial" w:hAnsi="Arial"/>
          <w:b/>
          <w:bCs/>
          <w:color w:val="2b6cb0"/>
          <w:sz w:val="24"/>
          <w:szCs w:val="24"/>
        </w:rPr>
        <w:t xml:space="preserve">7.3 State shape</w:t>
      </w:r>
    </w:p>
    <w:p>
      <w:pPr>
        <w:pBdr>
          <w:top w:val="single" w:color="CBD5E0" w:sz="1"/>
        </w:pBdr>
        <w:shd w:fill="f1f5f9" w:val="clear"/>
        <w:spacing w:before="80" w:after="0"/>
        <w:ind w:left="360"/>
      </w:pPr>
      <w:r>
        <w:rPr>
          <w:rFonts w:ascii="Courier New" w:cs="Courier New" w:eastAsia="Courier New" w:hAnsi="Courier New"/>
          <w:color w:val="2d3748"/>
          <w:sz w:val="18"/>
          <w:szCs w:val="18"/>
        </w:rPr>
        <w:t xml:space="preserve">app state: {</w:t>
      </w:r>
    </w:p>
    <w:p>
      <w:pPr>
        <w:shd w:fill="f1f5f9" w:val="clear"/>
        <w:spacing w:before="0" w:after="0"/>
        <w:ind w:left="360"/>
      </w:pPr>
      <w:r>
        <w:rPr>
          <w:rFonts w:ascii="Courier New" w:cs="Courier New" w:eastAsia="Courier New" w:hAnsi="Courier New"/>
          <w:color w:val="2d3748"/>
          <w:sz w:val="18"/>
          <w:szCs w:val="18"/>
        </w:rPr>
        <w:t xml:space="preserve">  journal: { id, display_name, issn, works_count }</w:t>
      </w:r>
    </w:p>
    <w:p>
      <w:pPr>
        <w:shd w:fill="f1f5f9" w:val="clear"/>
        <w:spacing w:before="0" w:after="0"/>
        <w:ind w:left="360"/>
      </w:pPr>
      <w:r>
        <w:rPr>
          <w:rFonts w:ascii="Courier New" w:cs="Courier New" w:eastAsia="Courier New" w:hAnsi="Courier New"/>
          <w:color w:val="2d3748"/>
          <w:sz w:val="18"/>
          <w:szCs w:val="18"/>
        </w:rPr>
        <w:t xml:space="preserve">  yearRange: { from: int, to: int }</w:t>
      </w:r>
    </w:p>
    <w:p>
      <w:pPr>
        <w:shd w:fill="f1f5f9" w:val="clear"/>
        <w:spacing w:before="0" w:after="0"/>
        <w:ind w:left="360"/>
      </w:pPr>
      <w:r>
        <w:rPr>
          <w:rFonts w:ascii="Courier New" w:cs="Courier New" w:eastAsia="Courier New" w:hAnsi="Courier New"/>
          <w:color w:val="2d3748"/>
          <w:sz w:val="18"/>
          <w:szCs w:val="18"/>
        </w:rPr>
        <w:t xml:space="preserve">  phase: 'idle' | 'running' | 'done' | 'error'</w:t>
      </w:r>
    </w:p>
    <w:p>
      <w:pPr>
        <w:shd w:fill="f1f5f9" w:val="clear"/>
        <w:spacing w:before="0" w:after="0"/>
        <w:ind w:left="360"/>
      </w:pPr>
      <w:r>
        <w:rPr>
          <w:rFonts w:ascii="Courier New" w:cs="Courier New" w:eastAsia="Courier New" w:hAnsi="Courier New"/>
          <w:color w:val="2d3748"/>
          <w:sz w:val="18"/>
          <w:szCs w:val="18"/>
        </w:rPr>
        <w:t xml:space="preserve">  worksPerYear: Map&lt;year, Work[]&gt;</w:t>
      </w:r>
    </w:p>
    <w:p>
      <w:pPr>
        <w:shd w:fill="f1f5f9" w:val="clear"/>
        <w:spacing w:before="0" w:after="0"/>
        <w:ind w:left="360"/>
      </w:pPr>
      <w:r>
        <w:rPr>
          <w:rFonts w:ascii="Courier New" w:cs="Courier New" w:eastAsia="Courier New" w:hAnsi="Courier New"/>
          <w:color w:val="2d3748"/>
          <w:sz w:val="18"/>
          <w:szCs w:val="18"/>
        </w:rPr>
        <w:t xml:space="preserve">  topicProfilePerYear: Map&lt;year, Map&lt;topicId, { name, field, domain, count }&gt;&gt;</w:t>
      </w:r>
    </w:p>
    <w:p>
      <w:pPr>
        <w:shd w:fill="f1f5f9" w:val="clear"/>
        <w:spacing w:before="0" w:after="0"/>
        <w:ind w:left="360"/>
      </w:pPr>
      <w:r>
        <w:rPr>
          <w:rFonts w:ascii="Courier New" w:cs="Courier New" w:eastAsia="Courier New" w:hAnsi="Courier New"/>
          <w:color w:val="2d3748"/>
          <w:sz w:val="18"/>
          <w:szCs w:val="18"/>
        </w:rPr>
        <w:t xml:space="preserve">  referenceAlignmentPerYear: Map&lt;year, { aligned: int, total: int }&gt;  // optional</w:t>
      </w:r>
    </w:p>
    <w:p>
      <w:pPr>
        <w:shd w:fill="f1f5f9" w:val="clear"/>
        <w:spacing w:before="0" w:after="0"/>
        <w:ind w:left="360"/>
      </w:pPr>
      <w:r>
        <w:rPr>
          <w:rFonts w:ascii="Courier New" w:cs="Courier New" w:eastAsia="Courier New" w:hAnsi="Courier New"/>
          <w:color w:val="2d3748"/>
          <w:sz w:val="18"/>
          <w:szCs w:val="18"/>
        </w:rPr>
        <w:t xml:space="preserve">  authorProfilePerYear: Map&lt;year, { hhi: float, countries: Map, institutions: Map }&gt;</w:t>
      </w:r>
    </w:p>
    <w:p>
      <w:pPr>
        <w:shd w:fill="f1f5f9" w:val="clear"/>
        <w:spacing w:before="0" w:after="0"/>
        <w:ind w:left="360"/>
      </w:pPr>
      <w:r>
        <w:rPr>
          <w:rFonts w:ascii="Courier New" w:cs="Courier New" w:eastAsia="Courier New" w:hAnsi="Courier New"/>
          <w:color w:val="2d3748"/>
          <w:sz w:val="18"/>
          <w:szCs w:val="18"/>
        </w:rPr>
        <w:t xml:space="preserve">  intraCitationDensityPerYear: Map&lt;year, { density: float, total: int }&gt;</w:t>
      </w:r>
    </w:p>
    <w:p>
      <w:pPr>
        <w:shd w:fill="f1f5f9" w:val="clear"/>
        <w:spacing w:before="0" w:after="0"/>
        <w:ind w:left="360"/>
      </w:pPr>
      <w:r>
        <w:rPr>
          <w:rFonts w:ascii="Courier New" w:cs="Courier New" w:eastAsia="Courier New" w:hAnsi="Courier New"/>
          <w:color w:val="2d3748"/>
          <w:sz w:val="18"/>
          <w:szCs w:val="18"/>
        </w:rPr>
        <w:t xml:space="preserve">  divergentArticles: Article[]  // sorted descending by divergence</w:t>
      </w:r>
    </w:p>
    <w:p>
      <w:pPr>
        <w:shd w:fill="f1f5f9" w:val="clear"/>
        <w:spacing w:before="0" w:after="0"/>
        <w:ind w:left="360"/>
      </w:pPr>
      <w:r>
        <w:rPr>
          <w:rFonts w:ascii="Courier New" w:cs="Courier New" w:eastAsia="Courier New" w:hAnsi="Courier New"/>
          <w:color w:val="2d3748"/>
          <w:sz w:val="18"/>
          <w:szCs w:val="18"/>
        </w:rPr>
        <w:t xml:space="preserve">  peers: Source[]  // optional, user-supplied</w:t>
      </w:r>
    </w:p>
    <w:p>
      <w:pPr>
        <w:pBdr>
          <w:bottom w:val="single" w:color="CBD5E0" w:sz="1"/>
        </w:pBdr>
        <w:shd w:fill="f1f5f9" w:val="clear"/>
        <w:spacing w:before="0" w:after="80"/>
        <w:ind w:left="360"/>
      </w:pPr>
      <w:r>
        <w:rPr>
          <w:rFonts w:ascii="Courier New" w:cs="Courier New" w:eastAsia="Courier New" w:hAnsi="Courier New"/>
          <w:color w:val="2d3748"/>
          <w:sz w:val="18"/>
          <w:szCs w:val="18"/>
        </w:rPr>
        <w:t xml:space="preserve">}</w:t>
      </w:r>
    </w:p>
    <w:p>
      <w:pPr>
        <w:spacing w:before="80" w:after="0"/>
      </w:pPr>
      <w:r>
        <w:t xml:space="preserve"/>
      </w:r>
    </w:p>
    <w:p>
      <w:pPr>
        <w:pStyle w:val="Heading2"/>
        <w:spacing w:before="240" w:after="80"/>
      </w:pPr>
      <w:r>
        <w:rPr>
          <w:rFonts w:ascii="Arial" w:cs="Arial" w:eastAsia="Arial" w:hAnsi="Arial"/>
          <w:b/>
          <w:bCs/>
          <w:color w:val="2b6cb0"/>
          <w:sz w:val="24"/>
          <w:szCs w:val="24"/>
        </w:rPr>
        <w:t xml:space="preserve">7.4 Key functions to implement in analytics.js</w:t>
      </w:r>
    </w:p>
    <w:p>
      <w:pPr>
        <w:pStyle w:val="ListParagraph"/>
        <w:numPr>
          <w:ilvl w:val="0"/>
          <w:numId w:val="2"/>
        </w:numPr>
        <w:spacing w:before="40" w:after="40"/>
      </w:pPr>
      <w:r>
        <w:rPr>
          <w:rFonts w:ascii="Courier New" w:cs="Courier New" w:eastAsia="Courier New" w:hAnsi="Courier New"/>
          <w:color w:val="2d3748"/>
          <w:sz w:val="19"/>
          <w:szCs w:val="19"/>
          <w:shd w:fill="f7fafc" w:val="clear"/>
        </w:rPr>
        <w:t xml:space="preserve">computeTopicDistribution(works)</w:t>
      </w:r>
      <w:r>
        <w:rPr>
          <w:rFonts w:ascii="Arial" w:cs="Arial" w:eastAsia="Arial" w:hAnsi="Arial"/>
          <w:color w:val="1a202c"/>
          <w:sz w:val="21"/>
          <w:szCs w:val="21"/>
        </w:rPr>
        <w:t xml:space="preserve"> → Map&lt;topicId, { name, field, domain, count, pct }&gt;</w:t>
      </w:r>
    </w:p>
    <w:p>
      <w:pPr>
        <w:pStyle w:val="ListParagraph"/>
        <w:numPr>
          <w:ilvl w:val="0"/>
          <w:numId w:val="2"/>
        </w:numPr>
        <w:spacing w:before="40" w:after="40"/>
      </w:pPr>
      <w:r>
        <w:rPr>
          <w:rFonts w:ascii="Courier New" w:cs="Courier New" w:eastAsia="Courier New" w:hAnsi="Courier New"/>
          <w:color w:val="2d3748"/>
          <w:sz w:val="19"/>
          <w:szCs w:val="19"/>
          <w:shd w:fill="f7fafc" w:val="clear"/>
        </w:rPr>
        <w:t xml:space="preserve">computeJSDivergence(distA, distB)</w:t>
      </w:r>
      <w:r>
        <w:rPr>
          <w:rFonts w:ascii="Arial" w:cs="Arial" w:eastAsia="Arial" w:hAnsi="Arial"/>
          <w:color w:val="1a202c"/>
          <w:sz w:val="21"/>
          <w:szCs w:val="21"/>
        </w:rPr>
        <w:t xml:space="preserve"> → float — Jensen-Shannon divergence between two topic distributions</w:t>
      </w:r>
    </w:p>
    <w:p>
      <w:pPr>
        <w:pStyle w:val="ListParagraph"/>
        <w:numPr>
          <w:ilvl w:val="0"/>
          <w:numId w:val="2"/>
        </w:numPr>
        <w:spacing w:before="40" w:after="40"/>
      </w:pPr>
      <w:r>
        <w:rPr>
          <w:rFonts w:ascii="Courier New" w:cs="Courier New" w:eastAsia="Courier New" w:hAnsi="Courier New"/>
          <w:color w:val="2d3748"/>
          <w:sz w:val="19"/>
          <w:szCs w:val="19"/>
          <w:shd w:fill="f7fafc" w:val="clear"/>
        </w:rPr>
        <w:t xml:space="preserve">computeHHI(works)</w:t>
      </w:r>
      <w:r>
        <w:rPr>
          <w:rFonts w:ascii="Arial" w:cs="Arial" w:eastAsia="Arial" w:hAnsi="Arial"/>
          <w:color w:val="1a202c"/>
          <w:sz w:val="21"/>
          <w:szCs w:val="21"/>
        </w:rPr>
        <w:t xml:space="preserve"> → float — Herfindahl index on institution or country concentration</w:t>
      </w:r>
    </w:p>
    <w:p>
      <w:pPr>
        <w:pStyle w:val="ListParagraph"/>
        <w:numPr>
          <w:ilvl w:val="0"/>
          <w:numId w:val="2"/>
        </w:numPr>
        <w:spacing w:before="40" w:after="40"/>
      </w:pPr>
      <w:r>
        <w:rPr>
          <w:rFonts w:ascii="Courier New" w:cs="Courier New" w:eastAsia="Courier New" w:hAnsi="Courier New"/>
          <w:color w:val="2d3748"/>
          <w:sz w:val="19"/>
          <w:szCs w:val="19"/>
          <w:shd w:fill="f7fafc" w:val="clear"/>
        </w:rPr>
        <w:t xml:space="preserve">computeIntraCitationDensity(works, sourceId)</w:t>
      </w:r>
      <w:r>
        <w:rPr>
          <w:rFonts w:ascii="Arial" w:cs="Arial" w:eastAsia="Arial" w:hAnsi="Arial"/>
          <w:color w:val="1a202c"/>
          <w:sz w:val="21"/>
          <w:szCs w:val="21"/>
        </w:rPr>
        <w:t xml:space="preserve"> → { density, selfCites, total }</w:t>
      </w:r>
    </w:p>
    <w:p>
      <w:pPr>
        <w:pStyle w:val="ListParagraph"/>
        <w:numPr>
          <w:ilvl w:val="0"/>
          <w:numId w:val="2"/>
        </w:numPr>
        <w:spacing w:before="40" w:after="40"/>
      </w:pPr>
      <w:r>
        <w:rPr>
          <w:rFonts w:ascii="Courier New" w:cs="Courier New" w:eastAsia="Courier New" w:hAnsi="Courier New"/>
          <w:color w:val="2d3748"/>
          <w:sz w:val="19"/>
          <w:szCs w:val="19"/>
          <w:shd w:fill="f7fafc" w:val="clear"/>
        </w:rPr>
        <w:t xml:space="preserve">computeArticleDivergence(article, baselineProfile)</w:t>
      </w:r>
      <w:r>
        <w:rPr>
          <w:rFonts w:ascii="Arial" w:cs="Arial" w:eastAsia="Arial" w:hAnsi="Arial"/>
          <w:color w:val="1a202c"/>
          <w:sz w:val="21"/>
          <w:szCs w:val="21"/>
        </w:rPr>
        <w:t xml:space="preserve"> → { score, topicRank, fieldMatch }</w:t>
      </w:r>
    </w:p>
    <w:p>
      <w:pPr>
        <w:pStyle w:val="ListParagraph"/>
        <w:numPr>
          <w:ilvl w:val="0"/>
          <w:numId w:val="2"/>
        </w:numPr>
        <w:spacing w:before="40" w:after="40"/>
      </w:pPr>
      <w:r>
        <w:rPr>
          <w:rFonts w:ascii="Courier New" w:cs="Courier New" w:eastAsia="Courier New" w:hAnsi="Courier New"/>
          <w:color w:val="2d3748"/>
          <w:sz w:val="19"/>
          <w:szCs w:val="19"/>
          <w:shd w:fill="f7fafc" w:val="clear"/>
        </w:rPr>
        <w:t xml:space="preserve">computeDriftOverTime(worksPerYear)</w:t>
      </w:r>
      <w:r>
        <w:rPr>
          <w:rFonts w:ascii="Arial" w:cs="Arial" w:eastAsia="Arial" w:hAnsi="Arial"/>
          <w:color w:val="1a202c"/>
          <w:sz w:val="21"/>
          <w:szCs w:val="21"/>
        </w:rPr>
        <w:t xml:space="preserve"> → Array&lt;{ year, jsd, topicProfile }&gt;</w:t>
      </w:r>
    </w:p>
    <w:p>
      <w:pPr>
        <w:spacing w:before="80" w:after="0"/>
      </w:pPr>
      <w:r>
        <w:t xml:space="preserve"/>
      </w:r>
    </w:p>
    <w:p>
      <w:pPr>
        <w:pStyle w:val="Heading2"/>
        <w:spacing w:before="240" w:after="80"/>
      </w:pPr>
      <w:r>
        <w:rPr>
          <w:rFonts w:ascii="Arial" w:cs="Arial" w:eastAsia="Arial" w:hAnsi="Arial"/>
          <w:b/>
          <w:bCs/>
          <w:color w:val="2b6cb0"/>
          <w:sz w:val="24"/>
          <w:szCs w:val="24"/>
        </w:rPr>
        <w:t xml:space="preserve">7.5 Inherited patterns from Journal Overlap Finder</w:t>
      </w:r>
    </w:p>
    <w:p>
      <w:pPr>
        <w:spacing w:before="60" w:after="80"/>
      </w:pPr>
      <w:r>
        <w:rPr>
          <w:rFonts w:ascii="Arial" w:cs="Arial" w:eastAsia="Arial" w:hAnsi="Arial"/>
          <w:color w:val="1a202c"/>
          <w:sz w:val="21"/>
          <w:szCs w:val="21"/>
        </w:rPr>
        <w:t xml:space="preserve">The following patterns are established and should be carried over unchanged:</w:t>
      </w:r>
    </w:p>
    <w:p>
      <w:pPr>
        <w:pStyle w:val="ListParagraph"/>
        <w:numPr>
          <w:ilvl w:val="0"/>
          <w:numId w:val="2"/>
        </w:numPr>
        <w:spacing w:before="40" w:after="40"/>
      </w:pPr>
      <w:r>
        <w:rPr>
          <w:rFonts w:ascii="Arial" w:cs="Arial" w:eastAsia="Arial" w:hAnsi="Arial"/>
          <w:color w:val="1a202c"/>
          <w:sz w:val="21"/>
          <w:szCs w:val="21"/>
        </w:rPr>
        <w:t xml:space="preserve">Journal search-and-click input with 400ms debounce</w:t>
      </w:r>
    </w:p>
    <w:p>
      <w:pPr>
        <w:pStyle w:val="ListParagraph"/>
        <w:numPr>
          <w:ilvl w:val="0"/>
          <w:numId w:val="2"/>
        </w:numPr>
        <w:spacing w:before="40" w:after="40"/>
      </w:pPr>
      <w:r>
        <w:rPr>
          <w:rFonts w:ascii="Arial" w:cs="Arial" w:eastAsia="Arial" w:hAnsi="Arial"/>
          <w:color w:val="1a202c"/>
          <w:sz w:val="21"/>
          <w:szCs w:val="21"/>
        </w:rPr>
        <w:t xml:space="preserve">Paste modal for bulk journal entry (for peer comparison tab)</w:t>
      </w:r>
    </w:p>
    <w:p>
      <w:pPr>
        <w:pStyle w:val="ListParagraph"/>
        <w:numPr>
          <w:ilvl w:val="0"/>
          <w:numId w:val="2"/>
        </w:numPr>
        <w:spacing w:before="40" w:after="40"/>
      </w:pPr>
      <w:r>
        <w:rPr>
          <w:rFonts w:ascii="Arial" w:cs="Arial" w:eastAsia="Arial" w:hAnsi="Arial"/>
          <w:color w:val="1a202c"/>
          <w:sz w:val="21"/>
          <w:szCs w:val="21"/>
        </w:rPr>
        <w:t xml:space="preserve">AbortController for cancellation</w:t>
      </w:r>
    </w:p>
    <w:p>
      <w:pPr>
        <w:pStyle w:val="ListParagraph"/>
        <w:numPr>
          <w:ilvl w:val="0"/>
          <w:numId w:val="2"/>
        </w:numPr>
        <w:spacing w:before="40" w:after="40"/>
      </w:pPr>
      <w:r>
        <w:rPr>
          <w:rFonts w:ascii="Arial" w:cs="Arial" w:eastAsia="Arial" w:hAnsi="Arial"/>
          <w:color w:val="1a202c"/>
          <w:sz w:val="21"/>
          <w:szCs w:val="21"/>
        </w:rPr>
        <w:t xml:space="preserve">Three progress bars with live log line</w:t>
      </w:r>
    </w:p>
    <w:p>
      <w:pPr>
        <w:pStyle w:val="ListParagraph"/>
        <w:numPr>
          <w:ilvl w:val="0"/>
          <w:numId w:val="2"/>
        </w:numPr>
        <w:spacing w:before="40" w:after="40"/>
      </w:pPr>
      <w:r>
        <w:rPr>
          <w:rFonts w:ascii="Arial" w:cs="Arial" w:eastAsia="Arial" w:hAnsi="Arial"/>
          <w:color w:val="1a202c"/>
          <w:sz w:val="21"/>
          <w:szCs w:val="21"/>
        </w:rPr>
        <w:t xml:space="preserve">Expandable rows in article table</w:t>
      </w:r>
    </w:p>
    <w:p>
      <w:pPr>
        <w:pStyle w:val="ListParagraph"/>
        <w:numPr>
          <w:ilvl w:val="0"/>
          <w:numId w:val="2"/>
        </w:numPr>
        <w:spacing w:before="40" w:after="40"/>
      </w:pPr>
      <w:r>
        <w:rPr>
          <w:rFonts w:ascii="Arial" w:cs="Arial" w:eastAsia="Arial" w:hAnsi="Arial"/>
          <w:color w:val="1a202c"/>
          <w:sz w:val="21"/>
          <w:szCs w:val="21"/>
        </w:rPr>
        <w:t xml:space="preserve">Word cloud: flexbox wrap, font size interpolated from min/max, hover scale(1.1), shuffle for visual spread</w:t>
      </w:r>
    </w:p>
    <w:p>
      <w:pPr>
        <w:pStyle w:val="ListParagraph"/>
        <w:numPr>
          <w:ilvl w:val="0"/>
          <w:numId w:val="2"/>
        </w:numPr>
        <w:spacing w:before="40" w:after="40"/>
      </w:pPr>
      <w:r>
        <w:rPr>
          <w:rFonts w:ascii="Arial" w:cs="Arial" w:eastAsia="Arial" w:hAnsi="Arial"/>
          <w:color w:val="1a202c"/>
          <w:sz w:val="21"/>
          <w:szCs w:val="21"/>
        </w:rPr>
        <w:t xml:space="preserve">Dark theme colour tokens (exact hex values in §5.1)</w:t>
      </w:r>
    </w:p>
    <w:p>
      <w:pPr>
        <w:pStyle w:val="ListParagraph"/>
        <w:numPr>
          <w:ilvl w:val="0"/>
          <w:numId w:val="2"/>
        </w:numPr>
        <w:spacing w:before="40" w:after="40"/>
      </w:pPr>
      <w:r>
        <w:rPr>
          <w:rFonts w:ascii="Arial" w:cs="Arial" w:eastAsia="Arial" w:hAnsi="Arial"/>
          <w:color w:val="1a202c"/>
          <w:sz w:val="21"/>
          <w:szCs w:val="21"/>
        </w:rPr>
        <w:t xml:space="preserve">Footer: Created by teowaits · Data from OpenAlex API (CC0) · MIT License</w:t>
      </w:r>
    </w:p>
    <w:p>
      <w:pPr>
        <w:spacing w:before="80" w:after="0"/>
      </w:pPr>
      <w:r>
        <w:t xml:space="preserve"/>
      </w:r>
    </w:p>
    <w:p>
      <w:pPr>
        <w:pStyle w:val="Heading2"/>
        <w:spacing w:before="240" w:after="80"/>
      </w:pPr>
      <w:r>
        <w:rPr>
          <w:rFonts w:ascii="Arial" w:cs="Arial" w:eastAsia="Arial" w:hAnsi="Arial"/>
          <w:b/>
          <w:bCs/>
          <w:color w:val="2b6cb0"/>
          <w:sz w:val="24"/>
          <w:szCs w:val="24"/>
        </w:rPr>
        <w:t xml:space="preserve">7.6 What NOT to carry over</w:t>
      </w:r>
    </w:p>
    <w:p>
      <w:pPr>
        <w:pStyle w:val="ListParagraph"/>
        <w:numPr>
          <w:ilvl w:val="0"/>
          <w:numId w:val="2"/>
        </w:numPr>
        <w:spacing w:before="40" w:after="40"/>
      </w:pPr>
      <w:r>
        <w:rPr>
          <w:rFonts w:ascii="Arial" w:cs="Arial" w:eastAsia="Arial" w:hAnsi="Arial"/>
          <w:color w:val="1a202c"/>
          <w:sz w:val="21"/>
          <w:szCs w:val="21"/>
        </w:rPr>
        <w:t xml:space="preserve">The Set A / Set B two-journal-set pattern — this tool analyses a single journal over time</w:t>
      </w:r>
    </w:p>
    <w:p>
      <w:pPr>
        <w:pStyle w:val="ListParagraph"/>
        <w:numPr>
          <w:ilvl w:val="0"/>
          <w:numId w:val="2"/>
        </w:numPr>
        <w:spacing w:before="40" w:after="40"/>
      </w:pPr>
      <w:r>
        <w:rPr>
          <w:rFonts w:ascii="Arial" w:cs="Arial" w:eastAsia="Arial" w:hAnsi="Arial"/>
          <w:color w:val="1a202c"/>
          <w:sz w:val="21"/>
          <w:szCs w:val="21"/>
        </w:rPr>
        <w:t xml:space="preserve">The intersection/overlap computation — replaced by temporal drift computation</w:t>
      </w:r>
    </w:p>
    <w:p>
      <w:pPr>
        <w:pStyle w:val="ListParagraph"/>
        <w:numPr>
          <w:ilvl w:val="0"/>
          <w:numId w:val="2"/>
        </w:numPr>
        <w:spacing w:before="40" w:after="40"/>
      </w:pPr>
      <w:r>
        <w:rPr>
          <w:rFonts w:ascii="Arial" w:cs="Arial" w:eastAsia="Arial" w:hAnsi="Arial"/>
          <w:color w:val="1a202c"/>
          <w:sz w:val="21"/>
          <w:szCs w:val="21"/>
        </w:rPr>
        <w:t xml:space="preserve">Author enrichment via /authors endpoint — not needed for this tool</w:t>
      </w:r>
    </w:p>
    <w:p>
      <w:pPr>
        <w:spacing w:before="80" w:after="0"/>
      </w:pPr>
      <w:r>
        <w:t xml:space="preserve"/>
      </w:r>
    </w:p>
    <w:p>
      <w:pPr>
        <w:pStyle w:val="Heading1"/>
        <w:pBdr>
          <w:bottom w:val="single" w:color="2b6cb0" w:sz="4" w:space="6"/>
        </w:pBdr>
        <w:spacing w:before="320" w:after="120"/>
      </w:pPr>
      <w:r>
        <w:rPr>
          <w:rFonts w:ascii="Arial" w:cs="Arial" w:eastAsia="Arial" w:hAnsi="Arial"/>
          <w:b/>
          <w:bCs/>
          <w:color w:val="1e3a5f"/>
          <w:sz w:val="30"/>
          <w:szCs w:val="30"/>
        </w:rPr>
        <w:t xml:space="preserve">8. Consulting Engagement Notes</w:t>
      </w:r>
    </w:p>
    <w:p>
      <w:pPr>
        <w:pBdr>
          <w:left w:val="single" w:color="d97706" w:sz="12" w:space="8"/>
        </w:pBdr>
        <w:shd w:fill="fffbeb" w:val="clear"/>
        <w:spacing w:before="80" w:after="80"/>
        <w:ind w:left="360" w:right="360"/>
      </w:pPr>
      <w:r>
        <w:rPr>
          <w:rFonts w:ascii="Arial" w:cs="Arial" w:eastAsia="Arial" w:hAnsi="Arial"/>
          <w:color w:val="7b4a00"/>
          <w:sz w:val="20"/>
          <w:szCs w:val="20"/>
        </w:rPr>
        <w:t xml:space="preserve">This section records decisions specific to the internal consulting use. These do not necessarily apply to the public release.</w:t>
      </w:r>
    </w:p>
    <w:p>
      <w:pPr>
        <w:spacing w:before="80" w:after="0"/>
      </w:pPr>
      <w:r>
        <w:t xml:space="preserve"/>
      </w:r>
    </w:p>
    <w:p>
      <w:pPr>
        <w:pStyle w:val="Heading2"/>
        <w:spacing w:before="240" w:after="80"/>
      </w:pPr>
      <w:r>
        <w:rPr>
          <w:rFonts w:ascii="Arial" w:cs="Arial" w:eastAsia="Arial" w:hAnsi="Arial"/>
          <w:b/>
          <w:bCs/>
          <w:color w:val="2b6cb0"/>
          <w:sz w:val="24"/>
          <w:szCs w:val="24"/>
        </w:rPr>
        <w:t xml:space="preserve">8.1 Evidentiary standard</w:t>
      </w:r>
    </w:p>
    <w:p>
      <w:pPr>
        <w:spacing w:before="60" w:after="80"/>
      </w:pPr>
      <w:r>
        <w:rPr>
          <w:rFonts w:ascii="Arial" w:cs="Arial" w:eastAsia="Arial" w:hAnsi="Arial"/>
          <w:color w:val="1a202c"/>
          <w:sz w:val="21"/>
          <w:szCs w:val="21"/>
        </w:rPr>
        <w:t xml:space="preserve">The tool's output will be reviewed by a publisher and potentially by an editorial board. This means:</w:t>
      </w:r>
    </w:p>
    <w:p>
      <w:pPr>
        <w:pStyle w:val="ListParagraph"/>
        <w:numPr>
          <w:ilvl w:val="0"/>
          <w:numId w:val="2"/>
        </w:numPr>
        <w:spacing w:before="40" w:after="40"/>
      </w:pPr>
      <w:r>
        <w:rPr>
          <w:rFonts w:ascii="Arial" w:cs="Arial" w:eastAsia="Arial" w:hAnsi="Arial"/>
          <w:color w:val="1a202c"/>
          <w:sz w:val="21"/>
          <w:szCs w:val="21"/>
        </w:rPr>
        <w:t xml:space="preserve">All claims must be traceable to specific data points</w:t>
      </w:r>
    </w:p>
    <w:p>
      <w:pPr>
        <w:pStyle w:val="ListParagraph"/>
        <w:numPr>
          <w:ilvl w:val="0"/>
          <w:numId w:val="2"/>
        </w:numPr>
        <w:spacing w:before="40" w:after="40"/>
      </w:pPr>
      <w:r>
        <w:rPr>
          <w:rFonts w:ascii="Arial" w:cs="Arial" w:eastAsia="Arial" w:hAnsi="Arial"/>
          <w:color w:val="1a202c"/>
          <w:sz w:val="21"/>
          <w:szCs w:val="21"/>
        </w:rPr>
        <w:t xml:space="preserve">Thresholds must be documented and justified, not arbitrary</w:t>
      </w:r>
    </w:p>
    <w:p>
      <w:pPr>
        <w:pStyle w:val="ListParagraph"/>
        <w:numPr>
          <w:ilvl w:val="0"/>
          <w:numId w:val="2"/>
        </w:numPr>
        <w:spacing w:before="40" w:after="40"/>
      </w:pPr>
      <w:r>
        <w:rPr>
          <w:rFonts w:ascii="Arial" w:cs="Arial" w:eastAsia="Arial" w:hAnsi="Arial"/>
          <w:color w:val="1a202c"/>
          <w:sz w:val="21"/>
          <w:szCs w:val="21"/>
        </w:rPr>
        <w:t xml:space="preserve">The article list is the primary deliverable — charts and metrics support it but experts work from articles</w:t>
      </w:r>
    </w:p>
    <w:p>
      <w:pPr>
        <w:pStyle w:val="ListParagraph"/>
        <w:numPr>
          <w:ilvl w:val="0"/>
          <w:numId w:val="2"/>
        </w:numPr>
        <w:spacing w:before="40" w:after="40"/>
      </w:pPr>
      <w:r>
        <w:rPr>
          <w:rFonts w:ascii="Arial" w:cs="Arial" w:eastAsia="Arial" w:hAnsi="Arial"/>
          <w:color w:val="1a202c"/>
          <w:sz w:val="21"/>
          <w:szCs w:val="21"/>
        </w:rPr>
        <w:t xml:space="preserve">Manual validation of a sample of flagged articles against actual content is required before any conclusions</w:t>
      </w:r>
    </w:p>
    <w:p>
      <w:pPr>
        <w:spacing w:before="80" w:after="0"/>
      </w:pPr>
      <w:r>
        <w:t xml:space="preserve"/>
      </w:r>
    </w:p>
    <w:p>
      <w:pPr>
        <w:pStyle w:val="Heading2"/>
        <w:spacing w:before="240" w:after="80"/>
      </w:pPr>
      <w:r>
        <w:rPr>
          <w:rFonts w:ascii="Arial" w:cs="Arial" w:eastAsia="Arial" w:hAnsi="Arial"/>
          <w:b/>
          <w:bCs/>
          <w:color w:val="2b6cb0"/>
          <w:sz w:val="24"/>
          <w:szCs w:val="24"/>
        </w:rPr>
        <w:t xml:space="preserve">8.2 Recommended methodology for the consulting report</w:t>
      </w:r>
    </w:p>
    <w:p>
      <w:pPr>
        <w:pStyle w:val="ListParagraph"/>
        <w:numPr>
          <w:ilvl w:val="0"/>
          <w:numId w:val="3"/>
        </w:numPr>
        <w:spacing w:before="40" w:after="40"/>
      </w:pPr>
      <w:r>
        <w:rPr>
          <w:rFonts w:ascii="Arial" w:cs="Arial" w:eastAsia="Arial" w:hAnsi="Arial"/>
          <w:color w:val="1a202c"/>
          <w:sz w:val="21"/>
          <w:szCs w:val="21"/>
        </w:rPr>
        <w:t xml:space="preserve">Define the journal's baseline period (e.g. 2018–2021)</w:t>
      </w:r>
    </w:p>
    <w:p>
      <w:pPr>
        <w:pStyle w:val="ListParagraph"/>
        <w:numPr>
          <w:ilvl w:val="0"/>
          <w:numId w:val="3"/>
        </w:numPr>
        <w:spacing w:before="40" w:after="40"/>
      </w:pPr>
      <w:r>
        <w:rPr>
          <w:rFonts w:ascii="Arial" w:cs="Arial" w:eastAsia="Arial" w:hAnsi="Arial"/>
          <w:color w:val="1a202c"/>
          <w:sz w:val="21"/>
          <w:szCs w:val="21"/>
        </w:rPr>
        <w:t xml:space="preserve">Compute topic distribution for each year 2018–present</w:t>
      </w:r>
    </w:p>
    <w:p>
      <w:pPr>
        <w:pStyle w:val="ListParagraph"/>
        <w:numPr>
          <w:ilvl w:val="0"/>
          <w:numId w:val="3"/>
        </w:numPr>
        <w:spacing w:before="40" w:after="40"/>
      </w:pPr>
      <w:r>
        <w:rPr>
          <w:rFonts w:ascii="Arial" w:cs="Arial" w:eastAsia="Arial" w:hAnsi="Arial"/>
          <w:color w:val="1a202c"/>
          <w:sz w:val="21"/>
          <w:szCs w:val="21"/>
        </w:rPr>
        <w:t xml:space="preserve">Measure Jensen-Shannon divergence year-over-year</w:t>
      </w:r>
    </w:p>
    <w:p>
      <w:pPr>
        <w:pStyle w:val="ListParagraph"/>
        <w:numPr>
          <w:ilvl w:val="0"/>
          <w:numId w:val="3"/>
        </w:numPr>
        <w:spacing w:before="40" w:after="40"/>
      </w:pPr>
      <w:r>
        <w:rPr>
          <w:rFonts w:ascii="Arial" w:cs="Arial" w:eastAsia="Arial" w:hAnsi="Arial"/>
          <w:color w:val="1a202c"/>
          <w:sz w:val="21"/>
          <w:szCs w:val="21"/>
        </w:rPr>
        <w:t xml:space="preserve">Flag years where JSD exceeds 2× the mean of the baseline period divergences</w:t>
      </w:r>
    </w:p>
    <w:p>
      <w:pPr>
        <w:pStyle w:val="ListParagraph"/>
        <w:numPr>
          <w:ilvl w:val="0"/>
          <w:numId w:val="3"/>
        </w:numPr>
        <w:spacing w:before="40" w:after="40"/>
      </w:pPr>
      <w:r>
        <w:rPr>
          <w:rFonts w:ascii="Arial" w:cs="Arial" w:eastAsia="Arial" w:hAnsi="Arial"/>
          <w:color w:val="1a202c"/>
          <w:sz w:val="21"/>
          <w:szCs w:val="21"/>
        </w:rPr>
        <w:t xml:space="preserve">For flagged years: extract articles with lowest topic alignment to baseline profile</w:t>
      </w:r>
    </w:p>
    <w:p>
      <w:pPr>
        <w:pStyle w:val="ListParagraph"/>
        <w:numPr>
          <w:ilvl w:val="0"/>
          <w:numId w:val="3"/>
        </w:numPr>
        <w:spacing w:before="40" w:after="40"/>
      </w:pPr>
      <w:r>
        <w:rPr>
          <w:rFonts w:ascii="Arial" w:cs="Arial" w:eastAsia="Arial" w:hAnsi="Arial"/>
          <w:color w:val="1a202c"/>
          <w:sz w:val="21"/>
          <w:szCs w:val="21"/>
        </w:rPr>
        <w:t xml:space="preserve">Subject matter experts review flagged article list</w:t>
      </w:r>
    </w:p>
    <w:p>
      <w:pPr>
        <w:pStyle w:val="ListParagraph"/>
        <w:numPr>
          <w:ilvl w:val="0"/>
          <w:numId w:val="3"/>
        </w:numPr>
        <w:spacing w:before="40" w:after="40"/>
      </w:pPr>
      <w:r>
        <w:rPr>
          <w:rFonts w:ascii="Arial" w:cs="Arial" w:eastAsia="Arial" w:hAnsi="Arial"/>
          <w:color w:val="1a202c"/>
          <w:sz w:val="21"/>
          <w:szCs w:val="21"/>
        </w:rPr>
        <w:t xml:space="preserve">Cross-check with author institutional concentration signal</w:t>
      </w:r>
    </w:p>
    <w:p>
      <w:pPr>
        <w:pStyle w:val="ListParagraph"/>
        <w:numPr>
          <w:ilvl w:val="0"/>
          <w:numId w:val="3"/>
        </w:numPr>
        <w:spacing w:before="40" w:after="40"/>
      </w:pPr>
      <w:r>
        <w:rPr>
          <w:rFonts w:ascii="Arial" w:cs="Arial" w:eastAsia="Arial" w:hAnsi="Arial"/>
          <w:color w:val="1a202c"/>
          <w:sz w:val="21"/>
          <w:szCs w:val="21"/>
        </w:rPr>
        <w:t xml:space="preserve">Document methodology, thresholds, and validation sample in final report</w:t>
      </w:r>
    </w:p>
    <w:p>
      <w:pPr>
        <w:spacing w:before="80" w:after="0"/>
      </w:pPr>
      <w:r>
        <w:t xml:space="preserve"/>
      </w:r>
    </w:p>
    <w:p>
      <w:pPr>
        <w:pStyle w:val="Heading2"/>
        <w:spacing w:before="240" w:after="80"/>
      </w:pPr>
      <w:r>
        <w:rPr>
          <w:rFonts w:ascii="Arial" w:cs="Arial" w:eastAsia="Arial" w:hAnsi="Arial"/>
          <w:b/>
          <w:bCs/>
          <w:color w:val="2b6cb0"/>
          <w:sz w:val="24"/>
          <w:szCs w:val="24"/>
        </w:rPr>
        <w:t xml:space="preserve">8.3 Transition to public tool</w:t>
      </w:r>
    </w:p>
    <w:p>
      <w:pPr>
        <w:spacing w:before="60" w:after="80"/>
      </w:pPr>
      <w:r>
        <w:rPr>
          <w:rFonts w:ascii="Arial" w:cs="Arial" w:eastAsia="Arial" w:hAnsi="Arial"/>
          <w:color w:val="1a202c"/>
          <w:sz w:val="21"/>
          <w:szCs w:val="21"/>
        </w:rPr>
        <w:t xml:space="preserve">When the consulting engagement concludes and the tool is released publicly:</w:t>
      </w:r>
    </w:p>
    <w:p>
      <w:pPr>
        <w:pStyle w:val="ListParagraph"/>
        <w:numPr>
          <w:ilvl w:val="0"/>
          <w:numId w:val="2"/>
        </w:numPr>
        <w:spacing w:before="40" w:after="40"/>
      </w:pPr>
      <w:r>
        <w:rPr>
          <w:rFonts w:ascii="Arial" w:cs="Arial" w:eastAsia="Arial" w:hAnsi="Arial"/>
          <w:color w:val="1a202c"/>
          <w:sz w:val="21"/>
          <w:szCs w:val="21"/>
        </w:rPr>
        <w:t xml:space="preserve">Remove any hard-coded journal IDs or thresholds specific to the engagement</w:t>
      </w:r>
    </w:p>
    <w:p>
      <w:pPr>
        <w:pStyle w:val="ListParagraph"/>
        <w:numPr>
          <w:ilvl w:val="0"/>
          <w:numId w:val="2"/>
        </w:numPr>
        <w:spacing w:before="40" w:after="40"/>
      </w:pPr>
      <w:r>
        <w:rPr>
          <w:rFonts w:ascii="Arial" w:cs="Arial" w:eastAsia="Arial" w:hAnsi="Arial"/>
          <w:color w:val="1a202c"/>
          <w:sz w:val="21"/>
          <w:szCs w:val="21"/>
        </w:rPr>
        <w:t xml:space="preserve">Replace consulting-specific language with neutral descriptive framing throughout</w:t>
      </w:r>
    </w:p>
    <w:p>
      <w:pPr>
        <w:pStyle w:val="ListParagraph"/>
        <w:numPr>
          <w:ilvl w:val="0"/>
          <w:numId w:val="2"/>
        </w:numPr>
        <w:spacing w:before="40" w:after="40"/>
      </w:pPr>
      <w:r>
        <w:rPr>
          <w:rFonts w:ascii="Arial" w:cs="Arial" w:eastAsia="Arial" w:hAnsi="Arial"/>
          <w:color w:val="1a202c"/>
          <w:sz w:val="21"/>
          <w:szCs w:val="21"/>
        </w:rPr>
        <w:t xml:space="preserve">Add methodology note to README (see §3.4)</w:t>
      </w:r>
    </w:p>
    <w:p>
      <w:pPr>
        <w:pStyle w:val="ListParagraph"/>
        <w:numPr>
          <w:ilvl w:val="0"/>
          <w:numId w:val="2"/>
        </w:numPr>
        <w:spacing w:before="40" w:after="40"/>
      </w:pPr>
      <w:r>
        <w:rPr>
          <w:rFonts w:ascii="Arial" w:cs="Arial" w:eastAsia="Arial" w:hAnsi="Arial"/>
          <w:color w:val="1a202c"/>
          <w:sz w:val="21"/>
          <w:szCs w:val="21"/>
        </w:rPr>
        <w:t xml:space="preserve">Consider a prominent disclaimer in the UI: 'This tool surfaces bibliometric signals for review by subject matter experts. It does not assess editorial conduct or imply wrongdoing.'</w:t>
      </w:r>
    </w:p>
    <w:p>
      <w:pPr>
        <w:spacing w:before="80" w:after="0"/>
      </w:pPr>
      <w:r>
        <w:t xml:space="preserve"/>
      </w:r>
    </w:p>
    <w:p>
      <w:pPr>
        <w:pStyle w:val="Heading1"/>
        <w:pBdr>
          <w:bottom w:val="single" w:color="2b6cb0" w:sz="4" w:space="6"/>
        </w:pBdr>
        <w:spacing w:before="320" w:after="120"/>
      </w:pPr>
      <w:r>
        <w:rPr>
          <w:rFonts w:ascii="Arial" w:cs="Arial" w:eastAsia="Arial" w:hAnsi="Arial"/>
          <w:b/>
          <w:bCs/>
          <w:color w:val="1e3a5f"/>
          <w:sz w:val="30"/>
          <w:szCs w:val="30"/>
        </w:rPr>
        <w:t xml:space="preserve">9. References &amp; Resources</w:t>
      </w:r>
    </w:p>
    <w:p>
      <w:pPr>
        <w:spacing w:before="80" w:after="0"/>
      </w:pPr>
      <w:r>
        <w:t xml:space="preserve"/>
      </w:r>
    </w:p>
    <w:p>
      <w:pPr>
        <w:pStyle w:val="Heading2"/>
        <w:spacing w:before="240" w:after="80"/>
      </w:pPr>
      <w:r>
        <w:rPr>
          <w:rFonts w:ascii="Arial" w:cs="Arial" w:eastAsia="Arial" w:hAnsi="Arial"/>
          <w:b/>
          <w:bCs/>
          <w:color w:val="2b6cb0"/>
          <w:sz w:val="24"/>
          <w:szCs w:val="24"/>
        </w:rPr>
        <w:t xml:space="preserve">9.1 OpenAlex</w:t>
      </w:r>
    </w:p>
    <w:p>
      <w:pPr>
        <w:pStyle w:val="ListParagraph"/>
        <w:numPr>
          <w:ilvl w:val="0"/>
          <w:numId w:val="2"/>
        </w:numPr>
        <w:spacing w:before="40" w:after="40"/>
      </w:pPr>
      <w:hyperlink w:history="1" r:id="rIdvynqs6jbdzfp3tdjtelo7">
        <w:r>
          <w:rPr>
            <w:rFonts w:ascii="Arial" w:cs="Arial" w:eastAsia="Arial" w:hAnsi="Arial"/>
            <w:color w:val="2b6cb0"/>
            <w:sz w:val="21"/>
            <w:szCs w:val="21"/>
            <w:u w:val="single"/>
          </w:rPr>
          <w:t xml:space="preserve">OpenAlex API documentation</w:t>
        </w:r>
      </w:hyperlink>
    </w:p>
    <w:p>
      <w:pPr>
        <w:pStyle w:val="ListParagraph"/>
        <w:numPr>
          <w:ilvl w:val="0"/>
          <w:numId w:val="2"/>
        </w:numPr>
        <w:spacing w:before="40" w:after="40"/>
      </w:pPr>
      <w:hyperlink w:history="1" r:id="rId7wqeagnqqa7x9tkupyylw">
        <w:r>
          <w:rPr>
            <w:rFonts w:ascii="Arial" w:cs="Arial" w:eastAsia="Arial" w:hAnsi="Arial"/>
            <w:color w:val="2b6cb0"/>
            <w:sz w:val="21"/>
            <w:szCs w:val="21"/>
            <w:u w:val="single"/>
          </w:rPr>
          <w:t xml:space="preserve">LLM Quick Reference</w:t>
        </w:r>
      </w:hyperlink>
      <w:r>
        <w:rPr>
          <w:rFonts w:ascii="Arial" w:cs="Arial" w:eastAsia="Arial" w:hAnsi="Arial"/>
          <w:color w:val="1a202c"/>
          <w:sz w:val="21"/>
          <w:szCs w:val="21"/>
        </w:rPr>
        <w:t xml:space="preserve"> — optimised for AI agent use</w:t>
      </w:r>
    </w:p>
    <w:p>
      <w:pPr>
        <w:pStyle w:val="ListParagraph"/>
        <w:numPr>
          <w:ilvl w:val="0"/>
          <w:numId w:val="2"/>
        </w:numPr>
        <w:spacing w:before="40" w:after="40"/>
      </w:pPr>
      <w:hyperlink w:history="1" r:id="rId_gbubipepuscrfbcm7sbr">
        <w:r>
          <w:rPr>
            <w:rFonts w:ascii="Arial" w:cs="Arial" w:eastAsia="Arial" w:hAnsi="Arial"/>
            <w:color w:val="2b6cb0"/>
            <w:sz w:val="21"/>
            <w:szCs w:val="21"/>
            <w:u w:val="single"/>
          </w:rPr>
          <w:t xml:space="preserve">OpenAlex Topics overview</w:t>
        </w:r>
      </w:hyperlink>
    </w:p>
    <w:p>
      <w:pPr>
        <w:pStyle w:val="ListParagraph"/>
        <w:numPr>
          <w:ilvl w:val="0"/>
          <w:numId w:val="2"/>
        </w:numPr>
        <w:spacing w:before="40" w:after="40"/>
      </w:pPr>
      <w:hyperlink w:history="1" r:id="rIdmzvjo9e21kkewexy2owtf">
        <w:r>
          <w:rPr>
            <w:rFonts w:ascii="Arial" w:cs="Arial" w:eastAsia="Arial" w:hAnsi="Arial"/>
            <w:color w:val="2b6cb0"/>
            <w:sz w:val="21"/>
            <w:szCs w:val="21"/>
            <w:u w:val="single"/>
          </w:rPr>
          <w:t xml:space="preserve">Topic classification methodology paper</w:t>
        </w:r>
      </w:hyperlink>
      <w:r>
        <w:rPr>
          <w:rFonts w:ascii="Arial" w:cs="Arial" w:eastAsia="Arial" w:hAnsi="Arial"/>
          <w:color w:val="1a202c"/>
          <w:sz w:val="21"/>
          <w:szCs w:val="21"/>
        </w:rPr>
        <w:t xml:space="preserve"> — Priem et al. 2022</w:t>
      </w:r>
    </w:p>
    <w:p>
      <w:pPr>
        <w:pStyle w:val="ListParagraph"/>
        <w:numPr>
          <w:ilvl w:val="0"/>
          <w:numId w:val="2"/>
        </w:numPr>
        <w:spacing w:before="40" w:after="40"/>
      </w:pPr>
      <w:hyperlink w:history="1" r:id="rIdnvsxhvp9irlug0uefptnb">
        <w:r>
          <w:rPr>
            <w:rFonts w:ascii="Arial" w:cs="Arial" w:eastAsia="Arial" w:hAnsi="Arial"/>
            <w:color w:val="2b6cb0"/>
            <w:sz w:val="21"/>
            <w:szCs w:val="21"/>
            <w:u w:val="single"/>
          </w:rPr>
          <w:t xml:space="preserve">OpenAlex topic classification code</w:t>
        </w:r>
      </w:hyperlink>
    </w:p>
    <w:p>
      <w:pPr>
        <w:spacing w:before="80" w:after="0"/>
      </w:pPr>
      <w:r>
        <w:t xml:space="preserve"/>
      </w:r>
    </w:p>
    <w:p>
      <w:pPr>
        <w:pStyle w:val="Heading2"/>
        <w:spacing w:before="240" w:after="80"/>
      </w:pPr>
      <w:r>
        <w:rPr>
          <w:rFonts w:ascii="Arial" w:cs="Arial" w:eastAsia="Arial" w:hAnsi="Arial"/>
          <w:b/>
          <w:bCs/>
          <w:color w:val="2b6cb0"/>
          <w:sz w:val="24"/>
          <w:szCs w:val="24"/>
        </w:rPr>
        <w:t xml:space="preserve">9.2 Related prior work (this codebase)</w:t>
      </w:r>
    </w:p>
    <w:p>
      <w:pPr>
        <w:pStyle w:val="ListParagraph"/>
        <w:numPr>
          <w:ilvl w:val="0"/>
          <w:numId w:val="2"/>
        </w:numPr>
        <w:spacing w:before="40" w:after="40"/>
      </w:pPr>
      <w:hyperlink w:history="1" r:id="rIdhvvfmalv2ac2pr3zxpa8n">
        <w:r>
          <w:rPr>
            <w:rFonts w:ascii="Arial" w:cs="Arial" w:eastAsia="Arial" w:hAnsi="Arial"/>
            <w:color w:val="2b6cb0"/>
            <w:sz w:val="21"/>
            <w:szCs w:val="21"/>
            <w:u w:val="single"/>
          </w:rPr>
          <w:t xml:space="preserve">Journal Overlap Finder — GitHub</w:t>
        </w:r>
      </w:hyperlink>
      <w:r>
        <w:rPr>
          <w:rFonts w:ascii="Arial" w:cs="Arial" w:eastAsia="Arial" w:hAnsi="Arial"/>
          <w:color w:val="1a202c"/>
          <w:sz w:val="21"/>
          <w:szCs w:val="21"/>
        </w:rPr>
        <w:t xml:space="preserve"> — parent project; inherit patterns from here</w:t>
      </w:r>
    </w:p>
    <w:p>
      <w:pPr>
        <w:pStyle w:val="ListParagraph"/>
        <w:numPr>
          <w:ilvl w:val="0"/>
          <w:numId w:val="2"/>
        </w:numPr>
        <w:spacing w:before="40" w:after="40"/>
      </w:pPr>
      <w:hyperlink w:history="1" r:id="rId2q6uinikqdz_mlcnhu7cr">
        <w:r>
          <w:rPr>
            <w:rFonts w:ascii="Arial" w:cs="Arial" w:eastAsia="Arial" w:hAnsi="Arial"/>
            <w:color w:val="2b6cb0"/>
            <w:sz w:val="21"/>
            <w:szCs w:val="21"/>
            <w:u w:val="single"/>
          </w:rPr>
          <w:t xml:space="preserve">Journal Overlap Finder — live tool</w:t>
        </w:r>
      </w:hyperlink>
    </w:p>
    <w:p>
      <w:pPr>
        <w:spacing w:before="80" w:after="0"/>
      </w:pPr>
      <w:r>
        <w:t xml:space="preserve"/>
      </w:r>
    </w:p>
    <w:p>
      <w:pPr>
        <w:pStyle w:val="Heading2"/>
        <w:spacing w:before="240" w:after="80"/>
      </w:pPr>
      <w:r>
        <w:rPr>
          <w:rFonts w:ascii="Arial" w:cs="Arial" w:eastAsia="Arial" w:hAnsi="Arial"/>
          <w:b/>
          <w:bCs/>
          <w:color w:val="2b6cb0"/>
          <w:sz w:val="24"/>
          <w:szCs w:val="24"/>
        </w:rPr>
        <w:t xml:space="preserve">9.3 Bibliometric methods</w:t>
      </w:r>
    </w:p>
    <w:p>
      <w:pPr>
        <w:pStyle w:val="ListParagraph"/>
        <w:numPr>
          <w:ilvl w:val="0"/>
          <w:numId w:val="2"/>
        </w:numPr>
        <w:spacing w:before="40" w:after="40"/>
      </w:pPr>
      <w:r>
        <w:rPr>
          <w:rFonts w:ascii="Arial" w:cs="Arial" w:eastAsia="Arial" w:hAnsi="Arial"/>
          <w:color w:val="1a202c"/>
          <w:sz w:val="21"/>
          <w:szCs w:val="21"/>
        </w:rPr>
        <w:t xml:space="preserve">Jensen-Shannon divergence: symmetric, bounded [0,1] — suitable for comparing topic distributions across years</w:t>
      </w:r>
    </w:p>
    <w:p>
      <w:pPr>
        <w:pStyle w:val="ListParagraph"/>
        <w:numPr>
          <w:ilvl w:val="0"/>
          <w:numId w:val="2"/>
        </w:numPr>
        <w:spacing w:before="40" w:after="40"/>
      </w:pPr>
      <w:r>
        <w:rPr>
          <w:rFonts w:ascii="Arial" w:cs="Arial" w:eastAsia="Arial" w:hAnsi="Arial"/>
          <w:color w:val="1a202c"/>
          <w:sz w:val="21"/>
          <w:szCs w:val="21"/>
        </w:rPr>
        <w:t xml:space="preserve">Herfindahl-Hirschman Index (HHI): standard measure of market/institutional concentration. HHI = Σ(share²). Range 0–1; values &gt;0.25 indicate high concentration.</w:t>
      </w:r>
    </w:p>
    <w:p>
      <w:pPr>
        <w:pStyle w:val="ListParagraph"/>
        <w:numPr>
          <w:ilvl w:val="0"/>
          <w:numId w:val="2"/>
        </w:numPr>
        <w:spacing w:before="40" w:after="40"/>
      </w:pPr>
      <w:r>
        <w:rPr>
          <w:rFonts w:ascii="Arial" w:cs="Arial" w:eastAsia="Arial" w:hAnsi="Arial"/>
          <w:color w:val="1a202c"/>
          <w:sz w:val="21"/>
          <w:szCs w:val="21"/>
        </w:rPr>
        <w:t xml:space="preserve">OpenAlex topic quality caveat: ML-based assignment, imperfect on non-English literature and highly interdisciplinary work. </w:t>
      </w:r>
      <w:r>
        <w:rPr>
          <w:rFonts w:ascii="Arial" w:cs="Arial" w:eastAsia="Arial" w:hAnsi="Arial"/>
          <w:b/>
          <w:bCs/>
          <w:color w:val="1a202c"/>
          <w:sz w:val="21"/>
          <w:szCs w:val="21"/>
        </w:rPr>
        <w:t xml:space="preserve">Always validate signals against actual article content before drawing conclusions.</w:t>
      </w:r>
    </w:p>
    <w:p>
      <w:pPr>
        <w:spacing w:before="80" w:after="0"/>
      </w:pPr>
      <w:r>
        <w:t xml:space="preserve"/>
      </w:r>
    </w:p>
    <w:p>
      <w:pPr>
        <w:pStyle w:val="Heading2"/>
        <w:spacing w:before="240" w:after="80"/>
      </w:pPr>
      <w:r>
        <w:rPr>
          <w:rFonts w:ascii="Arial" w:cs="Arial" w:eastAsia="Arial" w:hAnsi="Arial"/>
          <w:b/>
          <w:bCs/>
          <w:color w:val="2b6cb0"/>
          <w:sz w:val="24"/>
          <w:szCs w:val="24"/>
        </w:rPr>
        <w:t xml:space="preserve">9.4 Technical stack docs</w:t>
      </w:r>
    </w:p>
    <w:p>
      <w:pPr>
        <w:pStyle w:val="ListParagraph"/>
        <w:numPr>
          <w:ilvl w:val="0"/>
          <w:numId w:val="2"/>
        </w:numPr>
        <w:spacing w:before="40" w:after="40"/>
      </w:pPr>
      <w:hyperlink w:history="1" r:id="rIdytg3a2furvrw5ckr5naq5">
        <w:r>
          <w:rPr>
            <w:rFonts w:ascii="Arial" w:cs="Arial" w:eastAsia="Arial" w:hAnsi="Arial"/>
            <w:color w:val="2b6cb0"/>
            <w:sz w:val="21"/>
            <w:szCs w:val="21"/>
            <w:u w:val="single"/>
          </w:rPr>
          <w:t xml:space="preserve">Vite</w:t>
        </w:r>
      </w:hyperlink>
    </w:p>
    <w:p>
      <w:pPr>
        <w:pStyle w:val="ListParagraph"/>
        <w:numPr>
          <w:ilvl w:val="0"/>
          <w:numId w:val="2"/>
        </w:numPr>
        <w:spacing w:before="40" w:after="40"/>
      </w:pPr>
      <w:hyperlink w:history="1" r:id="rId04efe9klk_seybolelrhr">
        <w:r>
          <w:rPr>
            <w:rFonts w:ascii="Arial" w:cs="Arial" w:eastAsia="Arial" w:hAnsi="Arial"/>
            <w:color w:val="2b6cb0"/>
            <w:sz w:val="21"/>
            <w:szCs w:val="21"/>
            <w:u w:val="single"/>
          </w:rPr>
          <w:t xml:space="preserve">React 18</w:t>
        </w:r>
      </w:hyperlink>
    </w:p>
    <w:p>
      <w:pPr>
        <w:spacing w:before="80" w:after="0"/>
      </w:pPr>
      <w:r>
        <w:t xml:space="preserve"/>
      </w:r>
    </w:p>
    <w:sectPr>
      <w:footerReference w:type="default" r:id="rId6"/>
      <w:pgSz w:w="12240" w:h="15840" w:orient="portrait"/>
      <w:pgMar w:top="1440" w:right="1440"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1" w:space="6"/>
      </w:pBdr>
      <w:jc w:val="right"/>
    </w:pPr>
    <w:r>
      <w:rPr>
        <w:rFonts w:ascii="Arial" w:cs="Arial" w:eastAsia="Arial" w:hAnsi="Arial"/>
        <w:color w:val="718096"/>
        <w:sz w:val="18"/>
        <w:szCs w:val="18"/>
      </w:rPr>
      <w:t xml:space="preserve">Journal Publishing Profile Analyser — CLAUDE.md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80" w:hanging="280"/>
      </w:pPr>
    </w:lvl>
  </w:abstractNum>
  <w:abstractNum w:abstractNumId="3"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e3a5f"/>
      <w:sz w:val="30"/>
      <w:szCs w:val="30"/>
    </w:rPr>
  </w:style>
  <w:style w:type="paragraph" w:styleId="Heading2">
    <w:name w:val="Heading 2"/>
    <w:basedOn w:val="Normal"/>
    <w:next w:val="Normal"/>
    <w:qFormat/>
    <w:pPr>
      <w:spacing w:before="240" w:after="80"/>
      <w:outlineLvl w:val="1"/>
    </w:pPr>
    <w:rPr>
      <w:rFonts w:ascii="Arial" w:cs="Arial" w:eastAsia="Arial" w:hAnsi="Arial"/>
      <w:b/>
      <w:bCs/>
      <w:color w:val="2b6cb0"/>
      <w:sz w:val="24"/>
      <w:szCs w:val="24"/>
    </w:rPr>
  </w:style>
  <w:style w:type="paragraph" w:styleId="Heading3">
    <w:name w:val="Heading 3"/>
    <w:basedOn w:val="Normal"/>
    <w:next w:val="Normal"/>
    <w:qFormat/>
    <w:pPr>
      <w:spacing w:before="180" w:after="60"/>
      <w:outlineLvl w:val="2"/>
    </w:pPr>
    <w:rPr>
      <w:rFonts w:ascii="Arial" w:cs="Arial" w:eastAsia="Arial" w:hAnsi="Arial"/>
      <w:b/>
      <w:bCs/>
      <w:color w:val="1a20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sxweqhvihfjtt9-xldygl" Type="http://schemas.openxmlformats.org/officeDocument/2006/relationships/hyperlink" Target="https://docs.openalex.org" TargetMode="External"/><Relationship Id="rIdqqsk-2d1hmoahfls8iisg" Type="http://schemas.openxmlformats.org/officeDocument/2006/relationships/hyperlink" Target="https://developers.openalex.org/guides/llm-quick-reference" TargetMode="External"/><Relationship Id="rIdvynqs6jbdzfp3tdjtelo7" Type="http://schemas.openxmlformats.org/officeDocument/2006/relationships/hyperlink" Target="https://docs.openalex.org" TargetMode="External"/><Relationship Id="rId7wqeagnqqa7x9tkupyylw" Type="http://schemas.openxmlformats.org/officeDocument/2006/relationships/hyperlink" Target="https://developers.openalex.org/guides/llm-quick-reference" TargetMode="External"/><Relationship Id="rId_gbubipepuscrfbcm7sbr" Type="http://schemas.openxmlformats.org/officeDocument/2006/relationships/hyperlink" Target="https://help.openalex.org/hc/en-us/articles/24736129405719-Topics" TargetMode="External"/><Relationship Id="rIdmzvjo9e21kkewexy2owtf" Type="http://schemas.openxmlformats.org/officeDocument/2006/relationships/hyperlink" Target="https://arxiv.org/abs/2205.01833" TargetMode="External"/><Relationship Id="rIdnvsxhvp9irlug0uefptnb" Type="http://schemas.openxmlformats.org/officeDocument/2006/relationships/hyperlink" Target="https://github.com/ourresearch/openalex-topic-classification" TargetMode="External"/><Relationship Id="rIdhvvfmalv2ac2pr3zxpa8n" Type="http://schemas.openxmlformats.org/officeDocument/2006/relationships/hyperlink" Target="https://github.com/teowaits/journal-overlap" TargetMode="External"/><Relationship Id="rId2q6uinikqdz_mlcnhu7cr" Type="http://schemas.openxmlformats.org/officeDocument/2006/relationships/hyperlink" Target="https://teowaits.github.io/journal-overlap/" TargetMode="External"/><Relationship Id="rIdytg3a2furvrw5ckr5naq5" Type="http://schemas.openxmlformats.org/officeDocument/2006/relationships/hyperlink" Target="https://vitejs.dev/" TargetMode="External"/><Relationship Id="rId04efe9klk_seybolelrhr" Type="http://schemas.openxmlformats.org/officeDocument/2006/relationships/hyperlink" Target="https://react.dev/" TargetMode="External"/><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2026-03-16T20:24:53.854Z</dcterms:created>
  <dcterms:modified xsi:type="dcterms:W3CDTF">2026-03-16T20:24:53.855Z</dcterms:modified>
</cp:coreProperties>
</file>

<file path=docProps/custom.xml><?xml version="1.0" encoding="utf-8"?>
<Properties xmlns="http://schemas.openxmlformats.org/officeDocument/2006/custom-properties" xmlns:vt="http://schemas.openxmlformats.org/officeDocument/2006/docPropsVTypes"/>
</file>