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Перевірити чи число знаходиться в діапазоні від 25 до 99 включно (25 і 99 входять в діапазон). Число ввести за допомогою prompt. Якщо відвідувач ввів число не з діапазону - попросити ввести ще раз, і так далі. Цикл повинен питати число поки відвідувач не введе число з діапазону, або не натисне кнопку Cancel (ESC).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Змініти if / else, на  switch</w:t>
        <w:br w:type="textWrapping"/>
        <w:t xml:space="preserve">function chainToSwitch(val)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var answer = "";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if (val === "bob") {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answer = "Marley";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 else if (val === 42) {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answer = "The Answer";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 else if (val === 1) {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answer = "There is no #1";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 else if (val === 99) {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answer = "Missed me by this much!";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 else if (val === 7) {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answer = "Ate Nine";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return answer;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chainToSwitch(7);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Переписати умовний оператор через тернарний</w:t>
        <w:br w:type="textWrapping"/>
        <w:t xml:space="preserve">function findGreater(a, b)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if(a &gt; b) 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return "a is greater";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return "b is greater";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Вивести в консоль через цикл цифри від  10 до 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Написати функцію яка приймає два параметри range(a, b) і виводить непарні числа від a до b. Зробити перевірку щоб b було більше 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