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000000"/>
          <w:sz w:val="24"/>
        </w:rPr>
        <w:t>Merger Agreement Clause Summaries</w:t>
      </w:r>
    </w:p>
    <w:p/>
    <w:p>
      <w:pPr>
        <w:spacing w:after="80"/>
      </w:pPr>
      <w:r>
        <w:rPr>
          <w:rFonts w:ascii="Aptos" w:hAnsi="Aptos"/>
          <w:b/>
          <w:color w:val="000000"/>
          <w:sz w:val="22"/>
          <w:u w:val="single"/>
        </w:rPr>
        <w:t>Concise Summary</w:t>
      </w:r>
    </w:p>
    <w:p>
      <w:pPr>
        <w:pStyle w:val="Heading2"/>
      </w:pPr>
      <w:r>
        <w:t>Presigning</w:t>
      </w:r>
    </w:p>
    <w:p>
      <w:pPr>
        <w:spacing w:line="278" w:lineRule="auto" w:before="20" w:after="0"/>
        <w:ind w:left="360" w:hanging="360"/>
        <w:tabs>
          <w:tab w:val="left" w:pos="360"/>
        </w:tabs>
      </w:pPr>
      <w:r>
        <w:rPr>
          <w:rFonts w:ascii="Aptos" w:hAnsi="Aptos"/>
          <w:sz w:val="21"/>
        </w:rPr>
        <w:t>+</w:t>
        <w:tab/>
      </w:r>
      <w:r>
        <w:rPr>
          <w:rFonts w:ascii="Aptos" w:hAnsi="Aptos"/>
          <w:sz w:val="21"/>
        </w:rPr>
        <w:t>Confidentiality Agreement dated August 29, 2023 and supplemented by a Clean Team Agreement dated October 11, 2023.</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6.3 (b); Section 9.9</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Merger has been unanimously approved by the Board of Directors of United States Steel Corporation; Nippon Steel North America, Inc. board approval is granted but not described as unanimous.</w:t>
      </w:r>
    </w:p>
    <w:p>
      <w:pPr>
        <w:spacing w:line="240" w:lineRule="auto"/>
        <w:ind w:left="1440" w:hanging="360"/>
        <w:tabs>
          <w:tab w:val="left" w:pos="1440"/>
        </w:tabs>
      </w:pPr>
      <w:r>
        <w:rPr>
          <w:rFonts w:ascii="Aptos" w:hAnsi="Aptos"/>
          <w:color w:val="000000"/>
          <w:sz w:val="16"/>
        </w:rPr>
        <w:t>○</w:t>
        <w:tab/>
      </w:r>
      <w:r>
        <w:rPr>
          <w:rFonts w:ascii="Aptos" w:hAnsi="Aptos"/>
          <w:sz w:val="20"/>
        </w:rPr>
        <w:t>References: AGREEMENT AND PLAN OF MERGER &gt; Preamble; Section 4.3; ARTICLE Preamble</w:t>
      </w:r>
    </w:p>
    <w:p>
      <w:pPr>
        <w:spacing w:line="240" w:lineRule="auto"/>
        <w:ind w:left="1440" w:hanging="360"/>
        <w:tabs>
          <w:tab w:val="left" w:pos="1440"/>
        </w:tabs>
      </w:pPr>
    </w:p>
    <w:p>
      <w:pPr>
        <w:pStyle w:val="Heading2"/>
      </w:pPr>
      <w:r>
        <w:t>Consideration</w:t>
      </w:r>
    </w:p>
    <w:p>
      <w:pPr>
        <w:spacing w:line="278" w:lineRule="auto" w:before="20" w:after="0"/>
        <w:ind w:left="360" w:hanging="360"/>
        <w:tabs>
          <w:tab w:val="left" w:pos="360"/>
        </w:tabs>
      </w:pPr>
      <w:r>
        <w:rPr>
          <w:rFonts w:ascii="Aptos" w:hAnsi="Aptos"/>
          <w:sz w:val="21"/>
        </w:rPr>
        <w:t>+</w:t>
        <w:tab/>
      </w:r>
      <w:r>
        <w:rPr>
          <w:rFonts w:ascii="Aptos" w:hAnsi="Aptos"/>
          <w:sz w:val="21"/>
        </w:rPr>
        <w:t>United States Steel Corporation stockholders are entitled to receive $55.00 in cash per United States Steel Corporation share.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3.1 (a)</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United States Steel Corporation may, prior to closing, continue paying quarterly cash dividends as specified in Section 6.1(b)(i) of the Company Disclosure Letter and consistent with past practice.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6.1 (b) (i)</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The agreement excerpts do not address whether Nippon Steel North America, Inc. may pay dividends pre-closing.</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6.1 (b)</w:t>
      </w:r>
    </w:p>
    <w:p>
      <w:pPr>
        <w:spacing w:line="240" w:lineRule="auto"/>
        <w:ind w:left="1440" w:hanging="360"/>
        <w:tabs>
          <w:tab w:val="left" w:pos="1440"/>
        </w:tabs>
      </w:pPr>
    </w:p>
    <w:p>
      <w:pPr>
        <w:pStyle w:val="Heading2"/>
      </w:pPr>
      <w:r>
        <w:t>Conditions &amp; Financing</w:t>
      </w:r>
    </w:p>
    <w:p>
      <w:pPr>
        <w:spacing w:line="278" w:lineRule="auto" w:before="20" w:after="0"/>
        <w:ind w:left="360" w:hanging="360"/>
        <w:tabs>
          <w:tab w:val="left" w:pos="360"/>
        </w:tabs>
      </w:pPr>
      <w:r>
        <w:rPr>
          <w:rFonts w:ascii="Aptos" w:hAnsi="Aptos"/>
          <w:sz w:val="21"/>
        </w:rPr>
        <w:t>+</w:t>
        <w:tab/>
      </w:r>
      <w:r>
        <w:rPr>
          <w:rFonts w:ascii="Aptos" w:hAnsi="Aptos"/>
          <w:sz w:val="21"/>
        </w:rPr>
        <w:t>Subject to affirmative vote of a majority of outstanding Common Stock; no parent stockholder vote.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7.1; Section 5.6; Section 4.22</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Closing requires HSR Act clearance, CFIUS Approval, and approvals listed in the disclosure letter referenced in Section 7.1(c).</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7.1 (c)</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Nippon Steel North America, Inc. has received committed financing from the Debt Financing Sources party to the Debt Commitment Letters.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5.11</w:t>
      </w:r>
    </w:p>
    <w:p>
      <w:pPr>
        <w:spacing w:line="240" w:lineRule="auto"/>
        <w:ind w:left="1440" w:hanging="360"/>
        <w:tabs>
          <w:tab w:val="left" w:pos="1440"/>
        </w:tabs>
      </w:pPr>
    </w:p>
    <w:p>
      <w:pPr>
        <w:pStyle w:val="Heading2"/>
      </w:pPr>
      <w:r>
        <w:t>Regulatory</w:t>
      </w:r>
    </w:p>
    <w:p>
      <w:pPr>
        <w:spacing w:line="278" w:lineRule="auto" w:before="20" w:after="0"/>
        <w:ind w:left="360" w:hanging="360"/>
        <w:tabs>
          <w:tab w:val="left" w:pos="360"/>
        </w:tabs>
      </w:pPr>
      <w:r>
        <w:rPr>
          <w:rFonts w:ascii="Aptos" w:hAnsi="Aptos"/>
          <w:sz w:val="21"/>
        </w:rPr>
        <w:t>+</w:t>
        <w:tab/>
      </w:r>
      <w:r>
        <w:rPr>
          <w:rFonts w:ascii="Aptos" w:hAnsi="Aptos"/>
          <w:sz w:val="21"/>
        </w:rPr>
        <w:t>Outside date is September 18, 2024; automatic extensions March 18, 2025 and June 18, 2025 if 7.1-7.3 satisfied.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8.1 (b) (i)</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Nippon Steel North America, Inc. must take Remedial Actions, including assets, post‑Closing; CFIUS cannot cause material adverse effect. No United States Steel Corporation divestiture cap.</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6.7 (c)</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Nippon Steel North America, Inc. is required to defend against any litigation.</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6.7 (a) (iii)</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Nippon Steel North America, Inc., in consultation with United States Steel Corporation, controls antitrust/regulatory strategy, responses, defense/settlement; cannot extend HSR, enter timing agreements, or pull/refile without its prior written consent.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6.7 (e)</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Nippon Steel North America, Inc. controls antitrust/CFIUS strategy, consulting United States Steel Corporation, and cannot stay/toll, enter timing agreements, or pull/refile without United States Steel Corporation’s prior written consent.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6.7 (e)</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Nippon Steel North America, Inc. and United States Steel Corporation, upon an FTC warning letter, respond and take actions under Nippon Steel North America, Inc. control to satisfy closing conditions.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6.7 (a) (i)</w:t>
      </w:r>
    </w:p>
    <w:p>
      <w:pPr>
        <w:spacing w:line="240" w:lineRule="auto"/>
        <w:ind w:left="1440" w:hanging="360"/>
        <w:tabs>
          <w:tab w:val="left" w:pos="1440"/>
        </w:tabs>
      </w:pPr>
    </w:p>
    <w:p>
      <w:pPr>
        <w:pStyle w:val="Heading2"/>
      </w:pPr>
      <w:r>
        <w:t>Competing Bid - Company</w:t>
      </w:r>
    </w:p>
    <w:p>
      <w:pPr>
        <w:spacing w:line="278" w:lineRule="auto" w:before="20" w:after="0"/>
        <w:ind w:left="360" w:hanging="360"/>
        <w:tabs>
          <w:tab w:val="left" w:pos="360"/>
        </w:tabs>
      </w:pPr>
      <w:r>
        <w:rPr>
          <w:rFonts w:ascii="Aptos" w:hAnsi="Aptos"/>
          <w:sz w:val="21"/>
        </w:rPr>
        <w:t>+</w:t>
        <w:tab/>
      </w:r>
      <w:r>
        <w:rPr>
          <w:rFonts w:ascii="Aptos" w:hAnsi="Aptos"/>
          <w:sz w:val="21"/>
        </w:rPr>
        <w:t>No excerpt confirms a superior-offer termination fee; only a $565,000,000 amount; payor unspecified.</w:t>
      </w:r>
    </w:p>
    <w:p>
      <w:pPr>
        <w:spacing w:line="240" w:lineRule="auto"/>
        <w:ind w:left="1440" w:hanging="360"/>
        <w:tabs>
          <w:tab w:val="left" w:pos="1440"/>
        </w:tabs>
      </w:pPr>
      <w:r>
        <w:rPr>
          <w:rFonts w:ascii="Aptos" w:hAnsi="Aptos"/>
          <w:color w:val="000000"/>
          <w:sz w:val="16"/>
        </w:rPr>
        <w:t>○</w:t>
        <w:tab/>
      </w:r>
      <w:r>
        <w:rPr>
          <w:rFonts w:ascii="Aptos" w:hAnsi="Aptos"/>
          <w:sz w:val="20"/>
        </w:rPr>
        <w:t>References: Definition &gt; Company Termination Fee</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$565,000,000 payable by United States Steel Corporation to Nippon Steel North America, Inc. if vote fails, Alternative Proposal existed, and within nine months enters or completes a ≥50% Alternative Proposal.</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8.3 (c)</w:t>
      </w:r>
    </w:p>
    <w:p>
      <w:pPr>
        <w:spacing w:line="240" w:lineRule="auto"/>
        <w:ind w:left="1440" w:hanging="360"/>
        <w:tabs>
          <w:tab w:val="left" w:pos="1440"/>
        </w:tabs>
      </w:pPr>
    </w:p>
    <w:p>
      <w:pPr>
        <w:pStyle w:val="Heading2"/>
      </w:pPr>
      <w:r>
        <w:t>Competing Bid - Parent</w:t>
      </w:r>
    </w:p>
    <w:p>
      <w:pPr>
        <w:spacing w:line="278" w:lineRule="auto" w:before="20" w:after="0"/>
        <w:ind w:left="360" w:hanging="360"/>
        <w:tabs>
          <w:tab w:val="left" w:pos="360"/>
        </w:tabs>
      </w:pPr>
      <w:r>
        <w:rPr>
          <w:rFonts w:ascii="Aptos" w:hAnsi="Aptos"/>
          <w:sz w:val="21"/>
        </w:rPr>
        <w:t>+</w:t>
        <w:tab/>
      </w:r>
      <w:r>
        <w:rPr>
          <w:rFonts w:ascii="Aptos" w:hAnsi="Aptos"/>
          <w:sz w:val="21"/>
        </w:rPr>
        <w:t>No reimbursement fees apply for failure to obtain shareholder approval.</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6.18</w:t>
      </w:r>
    </w:p>
    <w:p>
      <w:pPr>
        <w:spacing w:line="240" w:lineRule="auto"/>
        <w:ind w:left="1440" w:hanging="360"/>
        <w:tabs>
          <w:tab w:val="left" w:pos="1440"/>
        </w:tabs>
      </w:pPr>
    </w:p>
    <w:p>
      <w:pPr>
        <w:pStyle w:val="Heading2"/>
      </w:pPr>
      <w:r>
        <w:t>Other Items</w:t>
      </w:r>
    </w:p>
    <w:p>
      <w:pPr>
        <w:spacing w:line="278" w:lineRule="auto" w:before="20" w:after="0"/>
        <w:ind w:left="360" w:hanging="360"/>
        <w:tabs>
          <w:tab w:val="left" w:pos="360"/>
        </w:tabs>
      </w:pPr>
      <w:r>
        <w:rPr>
          <w:rFonts w:ascii="Aptos" w:hAnsi="Aptos"/>
          <w:sz w:val="21"/>
        </w:rPr>
        <w:t>+</w:t>
        <w:tab/>
      </w:r>
      <w:r>
        <w:rPr>
          <w:rFonts w:ascii="Aptos" w:hAnsi="Aptos"/>
          <w:sz w:val="21"/>
        </w:rPr>
        <w:t>United States Steel Corporation shall use reasonable best efforts to facilitate USW meetings and, prior to the Effective Time, give notice and a written description.</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6.6 (f)</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United States Steel Corporation shall use commercially reasonable efforts to keep available the services of its key employees.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6.1 (a)</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MAE carve-outs appear standard but include “the failure to obtain any Required Approvals” and “any change in any applicable Law or GAAP or any other applicable accounting principles or standards.”</w:t>
      </w:r>
    </w:p>
    <w:p>
      <w:pPr>
        <w:spacing w:line="240" w:lineRule="auto"/>
        <w:ind w:left="1440" w:hanging="360"/>
        <w:tabs>
          <w:tab w:val="left" w:pos="1440"/>
        </w:tabs>
      </w:pPr>
      <w:r>
        <w:rPr>
          <w:rFonts w:ascii="Aptos" w:hAnsi="Aptos"/>
          <w:color w:val="000000"/>
          <w:sz w:val="16"/>
        </w:rPr>
        <w:t>○</w:t>
        <w:tab/>
      </w:r>
      <w:r>
        <w:rPr>
          <w:rFonts w:ascii="Aptos" w:hAnsi="Aptos"/>
          <w:sz w:val="20"/>
        </w:rPr>
        <w:t>References: Definition &gt; Company Material Adverse Effect</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Specific performance is available to United States Steel Corporation, Nippon Steel North America, Inc., and 2023 Merger Subsidiary, Inc.</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9.5</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This Agreement shall be governed by the laws of Delaware.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9.4</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Matters relating to any claim: any New York State court or the Tokyo District Court.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9.14 (b)</w:t>
      </w:r>
    </w:p>
    <w:p>
      <w:pPr>
        <w:spacing w:line="240" w:lineRule="auto"/>
        <w:ind w:left="1440" w:hanging="360"/>
        <w:tabs>
          <w:tab w:val="left" w:pos="1440"/>
        </w:tabs>
      </w:pPr>
    </w:p>
    <w:p>
      <w:pPr>
        <w:spacing w:after="80"/>
      </w:pPr>
      <w:r>
        <w:rPr>
          <w:rFonts w:ascii="Aptos" w:hAnsi="Aptos"/>
          <w:b/>
          <w:color w:val="000000"/>
          <w:sz w:val="22"/>
          <w:u w:val="single"/>
        </w:rPr>
        <w:t>Fulsome Summary</w:t>
      </w:r>
    </w:p>
    <w:p>
      <w:pPr>
        <w:pStyle w:val="Heading2"/>
      </w:pPr>
      <w:r>
        <w:t>Party Details</w:t>
      </w:r>
    </w:p>
    <w:p>
      <w:pPr>
        <w:spacing w:line="278" w:lineRule="auto" w:before="20" w:after="0"/>
        <w:ind w:left="360" w:hanging="360"/>
        <w:tabs>
          <w:tab w:val="left" w:pos="360"/>
        </w:tabs>
      </w:pPr>
      <w:r>
        <w:rPr>
          <w:rFonts w:ascii="Aptos" w:hAnsi="Aptos"/>
          <w:sz w:val="21"/>
        </w:rPr>
        <w:t>+</w:t>
        <w:tab/>
      </w:r>
      <w:r>
        <w:rPr>
          <w:rFonts w:ascii="Aptos" w:hAnsi="Aptos"/>
          <w:sz w:val="21"/>
        </w:rPr>
        <w:t>Company is United States Steel Corporation, a Delaware corporation.</w:t>
      </w:r>
    </w:p>
    <w:p>
      <w:pPr>
        <w:spacing w:line="240" w:lineRule="auto"/>
        <w:ind w:left="1440" w:hanging="360"/>
        <w:tabs>
          <w:tab w:val="left" w:pos="1440"/>
        </w:tabs>
      </w:pPr>
      <w:r>
        <w:rPr>
          <w:rFonts w:ascii="Aptos" w:hAnsi="Aptos"/>
          <w:color w:val="000000"/>
          <w:sz w:val="16"/>
        </w:rPr>
        <w:t>○</w:t>
        <w:tab/>
      </w:r>
      <w:r>
        <w:rPr>
          <w:rFonts w:ascii="Aptos" w:hAnsi="Aptos"/>
          <w:sz w:val="20"/>
        </w:rPr>
        <w:t>References: ARTICLE Preamble</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Acquirer is Nippon Steel North America, Inc., a New York corporation.</w:t>
      </w:r>
    </w:p>
    <w:p>
      <w:pPr>
        <w:spacing w:line="240" w:lineRule="auto"/>
        <w:ind w:left="1440" w:hanging="360"/>
        <w:tabs>
          <w:tab w:val="left" w:pos="1440"/>
        </w:tabs>
      </w:pPr>
      <w:r>
        <w:rPr>
          <w:rFonts w:ascii="Aptos" w:hAnsi="Aptos"/>
          <w:color w:val="000000"/>
          <w:sz w:val="16"/>
        </w:rPr>
        <w:t>○</w:t>
        <w:tab/>
      </w:r>
      <w:r>
        <w:rPr>
          <w:rFonts w:ascii="Aptos" w:hAnsi="Aptos"/>
          <w:sz w:val="20"/>
        </w:rPr>
        <w:t>References: ARTICLE Preamble</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Transaction structure: Reverse triangular merger; Surviving entity: United States Steel Corporation; Supporting language: 2023 Merger Subsidiary, Inc. merges into United States Steel Corporation and ceases; United States Steel Corporation survives as wholly owned subsidiary of Nippon Steel North America, Inc.</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2.1</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Guarantor is Nippon Steel Corporation, a Japanese corporation and parent of Nippon Steel North America, Inc., its wholly owned subsidiary.</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9.13</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2023 Merger Subsidiary, Inc. is a Delaware corporation and a wholly owned subsidiary of Nippon Steel North America, Inc.</w:t>
      </w:r>
    </w:p>
    <w:p>
      <w:pPr>
        <w:spacing w:line="240" w:lineRule="auto"/>
        <w:ind w:left="1440" w:hanging="360"/>
        <w:tabs>
          <w:tab w:val="left" w:pos="1440"/>
        </w:tabs>
      </w:pPr>
      <w:r>
        <w:rPr>
          <w:rFonts w:ascii="Aptos" w:hAnsi="Aptos"/>
          <w:color w:val="000000"/>
          <w:sz w:val="16"/>
        </w:rPr>
        <w:t>○</w:t>
        <w:tab/>
      </w:r>
      <w:r>
        <w:rPr>
          <w:rFonts w:ascii="Aptos" w:hAnsi="Aptos"/>
          <w:sz w:val="20"/>
        </w:rPr>
        <w:t>References: ARTICLE Preamble</w:t>
      </w:r>
    </w:p>
    <w:p>
      <w:pPr>
        <w:spacing w:line="240" w:lineRule="auto"/>
        <w:ind w:left="1440" w:hanging="360"/>
        <w:tabs>
          <w:tab w:val="left" w:pos="1440"/>
        </w:tabs>
      </w:pPr>
    </w:p>
    <w:p>
      <w:pPr>
        <w:pStyle w:val="Heading2"/>
      </w:pPr>
      <w:r>
        <w:t>Board Approval</w:t>
      </w:r>
    </w:p>
    <w:p>
      <w:pPr>
        <w:spacing w:line="278" w:lineRule="auto" w:before="20" w:after="0"/>
        <w:ind w:left="360" w:hanging="360"/>
        <w:tabs>
          <w:tab w:val="left" w:pos="360"/>
        </w:tabs>
      </w:pPr>
      <w:r>
        <w:rPr>
          <w:rFonts w:ascii="Aptos" w:hAnsi="Aptos"/>
          <w:sz w:val="21"/>
        </w:rPr>
        <w:t>+</w:t>
        <w:tab/>
      </w:r>
      <w:r>
        <w:rPr>
          <w:rFonts w:ascii="Aptos" w:hAnsi="Aptos"/>
          <w:sz w:val="21"/>
        </w:rPr>
        <w:t>Merger unanimously approved by United States Steel Corporation's board; Nippon Steel North America, Inc.'s board has approved, and such approval is not described as unanimous.</w:t>
      </w:r>
    </w:p>
    <w:p>
      <w:pPr>
        <w:spacing w:line="240" w:lineRule="auto"/>
        <w:ind w:left="1440" w:hanging="360"/>
        <w:tabs>
          <w:tab w:val="left" w:pos="1440"/>
        </w:tabs>
      </w:pPr>
      <w:r>
        <w:rPr>
          <w:rFonts w:ascii="Aptos" w:hAnsi="Aptos"/>
          <w:color w:val="000000"/>
          <w:sz w:val="16"/>
        </w:rPr>
        <w:t>○</w:t>
        <w:tab/>
      </w:r>
      <w:r>
        <w:rPr>
          <w:rFonts w:ascii="Aptos" w:hAnsi="Aptos"/>
          <w:sz w:val="20"/>
        </w:rPr>
        <w:t>References: AGREEMENT AND PLAN OF MERGER &gt; Preamble; Section 4.3; ARTICLE Preamble</w:t>
      </w:r>
    </w:p>
    <w:p>
      <w:pPr>
        <w:spacing w:line="240" w:lineRule="auto"/>
        <w:ind w:left="1440" w:hanging="360"/>
        <w:tabs>
          <w:tab w:val="left" w:pos="1440"/>
        </w:tabs>
      </w:pPr>
    </w:p>
    <w:p>
      <w:pPr>
        <w:pStyle w:val="Heading2"/>
      </w:pPr>
      <w:r>
        <w:t>Closing</w:t>
      </w:r>
    </w:p>
    <w:p>
      <w:pPr>
        <w:spacing w:line="278" w:lineRule="auto" w:before="20" w:after="0"/>
        <w:ind w:left="360" w:hanging="360"/>
        <w:tabs>
          <w:tab w:val="left" w:pos="360"/>
        </w:tabs>
      </w:pPr>
      <w:r>
        <w:rPr>
          <w:rFonts w:ascii="Aptos" w:hAnsi="Aptos"/>
          <w:sz w:val="21"/>
        </w:rPr>
        <w:t>+</w:t>
        <w:tab/>
      </w:r>
      <w:r>
        <w:rPr>
          <w:rFonts w:ascii="Aptos" w:hAnsi="Aptos"/>
          <w:sz w:val="21"/>
        </w:rPr>
        <w:t>Target Closing Date is the third Business Day after Article 7 conditions are satisfied or lawfully waived, excluding Closing-only conditions.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2.2</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I don’t see the clause text included. Please paste the full clause you want summarized, and I’ll provide a single-paragraph, 150‑word (max) paraphrase highlighting the main obligation, specific carve‑outs (e.g., “required by Law,” written consent, actions taken per the agreement), and any operational duties or examples (such as preserving relationships, protecting assets, or maintaining the “ordinary course” of business), using brief quoted phrases where helpful.</w:t>
      </w:r>
    </w:p>
    <w:p>
      <w:pPr>
        <w:spacing w:line="240" w:lineRule="auto"/>
        <w:ind w:left="1440" w:hanging="360"/>
        <w:tabs>
          <w:tab w:val="left" w:pos="1440"/>
        </w:tabs>
      </w:pPr>
    </w:p>
    <w:p>
      <w:pPr>
        <w:pStyle w:val="Heading2"/>
      </w:pPr>
      <w:r>
        <w:t>Consideration and Dividends</w:t>
      </w:r>
    </w:p>
    <w:p>
      <w:pPr>
        <w:spacing w:line="278" w:lineRule="auto" w:before="20" w:after="0"/>
        <w:ind w:left="360" w:hanging="360"/>
        <w:tabs>
          <w:tab w:val="left" w:pos="360"/>
        </w:tabs>
      </w:pPr>
      <w:r>
        <w:rPr>
          <w:rFonts w:ascii="Aptos" w:hAnsi="Aptos"/>
          <w:sz w:val="21"/>
        </w:rPr>
        <w:t>+</w:t>
        <w:tab/>
      </w:r>
      <w:r>
        <w:rPr>
          <w:rFonts w:ascii="Aptos" w:hAnsi="Aptos"/>
          <w:sz w:val="21"/>
        </w:rPr>
        <w:t>United States Steel Corporation stockholders are entitled to receive $55.00 in cash per share of United States Steel Corporation common stock.</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3.1 (a)</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United States Steel Corporation may pay regular quarterly cash dividends, not exceeding the amount specified in the Company Disclosure Letter, with record and payment dates consistent with past practice.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6.1 (b) (i)</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The excerpts do not specify whether Nippon Steel North America, Inc. may pay dividends prior to closing.</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6.1 (b)</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No dividend adjustment; the $55.00-per-share consideration is fixed and only equitably adjusts for stock dividends, splits, reclassifications, recapitalizations, combinations, exchanges or similar share changes occurring prior to the effective time.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3.1</w:t>
      </w:r>
    </w:p>
    <w:p>
      <w:pPr>
        <w:spacing w:line="240" w:lineRule="auto"/>
        <w:ind w:left="1440" w:hanging="360"/>
        <w:tabs>
          <w:tab w:val="left" w:pos="1440"/>
        </w:tabs>
      </w:pPr>
    </w:p>
    <w:p>
      <w:pPr>
        <w:pStyle w:val="Heading2"/>
      </w:pPr>
      <w:r>
        <w:t>Conditions</w:t>
      </w:r>
    </w:p>
    <w:p>
      <w:pPr>
        <w:spacing w:line="278" w:lineRule="auto" w:before="20" w:after="0"/>
        <w:ind w:left="360" w:hanging="360"/>
        <w:tabs>
          <w:tab w:val="left" w:pos="360"/>
        </w:tabs>
      </w:pPr>
      <w:r>
        <w:rPr>
          <w:rFonts w:ascii="Aptos" w:hAnsi="Aptos"/>
          <w:sz w:val="21"/>
        </w:rPr>
        <w:t>+</w:t>
        <w:tab/>
      </w:r>
      <w:r>
        <w:rPr>
          <w:rFonts w:ascii="Aptos" w:hAnsi="Aptos"/>
          <w:sz w:val="21"/>
        </w:rPr>
        <w:t>Mutual conditions include: obtaining the Required Company Stockholder Vote; absence of any Governmental Entity injunction, order, or applicable Law that prohibits or renders illegal the consummation of the Merger; and receipt of all Required Approvals, including expiration or termination of the HSR Act waiting period, CFIUS Approval, and the additional approvals and clearances specified in Section 7.1(c).</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Subject to Section 7.1, Nippon Steel North America, Inc.’s obligation to consummate the Merger is conditioned on obtaining the Required United States Steel Corporation stockholder vote, the absence of any Legal Restraint in the U.S. or specified jurisdictions, and receipt of the Required Approvals, including HSR expiration/termination, CFIUS Approval, and other regulatory clearances specified in the Company Disclosure Letter.</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7.1</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United States Steel Corporation’s obligation to consummate the Merger is conditioned on: (i) the Article 5 representations of Nippon Steel North America, Inc. and 2023 Merger Subsidiary, Inc. being true at Closing (materiality/Parent MAE qualifiers disregarded) except where inaccuracies do not constitute a Parent Material Adverse Effect, (ii) their material pre‑Effective Time covenant/obligation compliance, and (iii) Parent’s CEO/senior officer certificate at Closing confirming (i) and (ii).</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7.2</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Subject to the Required United States Steel Corporation Stockholder Vote having been obtained; the threshold and any Nippon Steel North America, Inc. stockholder vote requirements are not specified in the provided excerpts.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7.1</w:t>
      </w:r>
    </w:p>
    <w:p>
      <w:pPr>
        <w:spacing w:line="240" w:lineRule="auto"/>
        <w:ind w:left="1440" w:hanging="360"/>
        <w:tabs>
          <w:tab w:val="left" w:pos="1440"/>
        </w:tabs>
      </w:pPr>
    </w:p>
    <w:p>
      <w:pPr>
        <w:pStyle w:val="Heading2"/>
      </w:pPr>
      <w:r>
        <w:t>Proxy, Shareholder Vote, Dissenting Shares</w:t>
      </w:r>
    </w:p>
    <w:p>
      <w:pPr>
        <w:spacing w:line="278" w:lineRule="auto" w:before="20" w:after="0"/>
        <w:ind w:left="360" w:hanging="360"/>
        <w:tabs>
          <w:tab w:val="left" w:pos="360"/>
        </w:tabs>
      </w:pPr>
      <w:r>
        <w:rPr>
          <w:rFonts w:ascii="Aptos" w:hAnsi="Aptos"/>
          <w:sz w:val="21"/>
        </w:rPr>
        <w:t>+</w:t>
        <w:tab/>
      </w:r>
      <w:r>
        <w:rPr>
          <w:rFonts w:ascii="Aptos" w:hAnsi="Aptos"/>
          <w:sz w:val="21"/>
        </w:rPr>
        <w:t>United States Steel Corporation shall file preliminary Proxy Statement within 25 Business Days and mail definitive Proxy Statement 10 Business Days post-clearance; no Form F-4 timing or responsibility in excerpts.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6.5 (a)</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United States Steel Corporation: as promptly as reasonably practicable (within twenty-five Business Days); use reasonable best efforts as promptly as reasonably practicable; as promptly as practicable (within ten Business Days).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6.5 (a)</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United States Steel Corporation shall hold a meeting of its stockholders promptly (but in no event later than forty-five (45) days following the mailing of the Proxy Statement).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6.5 (b)</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Adjourn/recess/postpone each ≤10 Business Days, ≤20 aggregate without Nippon Steel North America, Inc. consent, if insufficient Shares for quorum/Required Company Stockholder Vote, or to provide required Proxy Statement supplement/amendment.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6.5 (b)</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United States Steel Corporation shall "hold a meeting of its stockholders promptly (but in no event later than forty-five (45) days following the mailing of the Proxy Statement)" and "use reasonable best efforts to solicit from its stockholders proxies in favor of the adoption of this Agreement."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6.5 (b) (ii)</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No cap. Dissenting Shares not converted into Merger Consideration; entitled to appraised value, DGCL 262.</w:t>
      </w:r>
    </w:p>
    <w:p>
      <w:pPr>
        <w:spacing w:line="240" w:lineRule="auto"/>
        <w:ind w:left="1440" w:hanging="360"/>
        <w:tabs>
          <w:tab w:val="left" w:pos="1440"/>
        </w:tabs>
      </w:pPr>
    </w:p>
    <w:p>
      <w:pPr>
        <w:pStyle w:val="Heading2"/>
      </w:pPr>
      <w:r>
        <w:t>Regulatory Best Efforts</w:t>
      </w:r>
    </w:p>
    <w:p>
      <w:pPr>
        <w:spacing w:line="278" w:lineRule="auto" w:before="20" w:after="0"/>
        <w:ind w:left="360" w:hanging="360"/>
        <w:tabs>
          <w:tab w:val="left" w:pos="360"/>
        </w:tabs>
      </w:pPr>
      <w:r>
        <w:rPr>
          <w:rFonts w:ascii="Aptos" w:hAnsi="Aptos"/>
          <w:sz w:val="21"/>
        </w:rPr>
        <w:t>+</w:t>
        <w:tab/>
      </w:r>
      <w:r>
        <w:rPr>
          <w:rFonts w:ascii="Aptos" w:hAnsi="Aptos"/>
          <w:sz w:val="21"/>
        </w:rPr>
        <w:t>RBE to consummate transaction, obtain approvals (HSR within 25 BDs; CFIUS), close by End Date.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6.7 (a)</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United States Steel Corporation and Nippon Steel North America, Inc. must file HSR within 25 Business Days and use reasonable best efforts for waiting-period expiration/termination.</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6.7 (b)</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Nippon Steel North America, Inc. and United States Steel Corporation shall promptly submit draft and, after feedback, formal CFIUS notices, make requested submissions, and cooperate.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6.7 (h)</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Nippon Steel North America, Inc. and United States Steel Corporation must make required non-U.S. antitrust/foreign investment notifications, filings and consents and cooperate on such submissions.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6.7 (c)</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Nippon Steel North America, Inc. must take “all other actions” to resolve antitrust and foreign investment impediments, including proposing and effecting Remedial Actions involving its and United States Steel Corporation’s businesses, but “neither Parent nor any of its Affiliates shall be required to become subject to, or consent or agree to or otherwise take any action with respect to any Remedial Action, unless such Remedial Action is binding on or otherwise applicable to Parent or its Affiliates only from and after the Effective Time,” and for CFIUS it shall take “all action necessary to receive CFIUS Approval” (including mitigation) but need not take any action “with respect to the assets or businesses of Parent or its Affiliates (other than the Acquired Companies) that would reasonably be expected to have a material adverse effect” measured on a pro forma basis; it also may not stay/toll/extend HSR, enter timing agreements, or pull-and-refile “without the Company’s prior written consent.” United States Steel Corporation is not required to “sell, divest, license, hold separate or otherwise dispose of, or to conduct, restrict, operate, invest or otherwise change” its business pre-closing and “shall not be permitted to offer or agree to or effectuate any Remedial Action without the prior written consent of” Nippon Steel North America, Inc.; there is no divestiture cap tied to revenue, assets, or sales.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6.7 (c)</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Nippon Steel North America, Inc., in consultation with United States Steel Corporation, controls strategy for obtaining all Required Approvals (including CFIUS), responses to Governmental Entities, and antitrust defense/settlement; however, it may not voluntarily stay/toll/extend HSR periods, enter timing agreements, or pull-and-refile without United States Steel Corporation’s prior written consent.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6.7 (e)</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Nippon Steel North America, Inc. controls timing for responses to Governmental Entity inquiries; however, it may not stay, toll or extend HSR Act waiting/review periods, enter a timing agreement, or pull and refile HSR or other Antitrust or Foreign Investment Law filings without United States Steel Corporation’s prior written consent.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6.7 (e)</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Each of Nippon Steel North America, Inc., 2023 Merger Subsidiary, Inc., and United States Steel Corporation is required to defend against any litigation.</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6.7 (a) (iii)</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Nippon Steel North America, Inc. and United States Steel Corporation, including their controlled Affiliates, must avoid acquisitions that could materially impede, prevent, or delay required approvals or the closing.</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6.7 (g)</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An FTC warning letter is not specifically addressed; the transaction requires cooperation with the FTC, prompt information submissions, and potential remedial measures to enable and satisfy conditions to closing.</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6.7 (a) (i)</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Prior to the Effective Time, United States Steel Corporation shall notify Nippon Steel North America, Inc. of USW meetings and cooperate, using reasonable best efforts, to facilitate USW meetings to satisfy Section 5.9’s last sentence.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6.6 (f)</w:t>
      </w:r>
    </w:p>
    <w:p>
      <w:pPr>
        <w:spacing w:line="240" w:lineRule="auto"/>
        <w:ind w:left="1440" w:hanging="360"/>
        <w:tabs>
          <w:tab w:val="left" w:pos="1440"/>
        </w:tabs>
      </w:pPr>
    </w:p>
    <w:p>
      <w:pPr>
        <w:pStyle w:val="Heading2"/>
      </w:pPr>
      <w:r>
        <w:t>No Solicitation and Confidentiality Agreement</w:t>
      </w:r>
    </w:p>
    <w:p>
      <w:pPr>
        <w:spacing w:line="278" w:lineRule="auto" w:before="20" w:after="0"/>
        <w:ind w:left="360" w:hanging="360"/>
        <w:tabs>
          <w:tab w:val="left" w:pos="360"/>
        </w:tabs>
      </w:pPr>
      <w:r>
        <w:rPr>
          <w:rFonts w:ascii="Aptos" w:hAnsi="Aptos"/>
          <w:sz w:val="21"/>
        </w:rPr>
        <w:t>+</w:t>
        <w:tab/>
      </w:r>
      <w:r>
        <w:rPr>
          <w:rFonts w:ascii="Aptos" w:hAnsi="Aptos"/>
          <w:sz w:val="21"/>
        </w:rPr>
        <w:t>Confidentiality Agreement dated August 29, 2023 and supplemented by a Clean Team Agreement dated October 11, 2023.</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9.9</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Until earlier of Effective Time and Termination Date, Company shall promptly (and within 24 hours of receipt) notify Parent orally and in writing of any Alternative Proposal.</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6.4 (c)</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thereafter keep Parent reasonably informed on a prompt basis (within twenty-four (24) hours) of any material developments with respect to any such Alternative Proposal</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6.4 (c)</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five (5) Business Days' written notice is given; good faith negotiations occur; the Superior Proposal continues to constitute a Superior Proposal; failure to act would be inconsistent with fiduciary duties.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6.4 (e)</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the Company Board may, in response to an Intervening Event, make a Change of Recommendation.</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6.4 (e)</w:t>
      </w:r>
    </w:p>
    <w:p>
      <w:pPr>
        <w:spacing w:line="240" w:lineRule="auto"/>
        <w:ind w:left="1440" w:hanging="360"/>
        <w:tabs>
          <w:tab w:val="left" w:pos="1440"/>
        </w:tabs>
      </w:pPr>
    </w:p>
    <w:p>
      <w:pPr>
        <w:pStyle w:val="Heading2"/>
      </w:pPr>
      <w:r>
        <w:t>Financing</w:t>
      </w:r>
    </w:p>
    <w:p>
      <w:pPr>
        <w:spacing w:line="278" w:lineRule="auto" w:before="20" w:after="0"/>
        <w:ind w:left="360" w:hanging="360"/>
        <w:tabs>
          <w:tab w:val="left" w:pos="360"/>
        </w:tabs>
      </w:pPr>
      <w:r>
        <w:rPr>
          <w:rFonts w:ascii="Aptos" w:hAnsi="Aptos"/>
          <w:sz w:val="21"/>
        </w:rPr>
        <w:t>+</w:t>
        <w:tab/>
      </w:r>
      <w:r>
        <w:rPr>
          <w:rFonts w:ascii="Aptos" w:hAnsi="Aptos"/>
          <w:sz w:val="21"/>
        </w:rPr>
        <w:t>Nippon Steel North America, Inc. has received committed financing pursuant to executed Debt Commitment Letters from the Debt Financing Sources party thereto.</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5.11</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Nippon Steel North America, Inc. and 2023 Merger Subsidiary, Inc. use “reasonable best efforts” to consummate Debt Financing, avoid amendments, pursue “Alternative Financing” if unavailable, and close regardless of financing.</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6.17 (a)</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If Debt Financing is unavailable, Nippon Steel North America and 2023 Merger Subsidiary must notify United States Steel and use best efforts to obtain Alternative Financing—no less favorable and without Adverse Effect on Financing—and deliver a New Debt Commitment Letter.</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6.17 (d)</w:t>
      </w:r>
    </w:p>
    <w:p>
      <w:pPr>
        <w:spacing w:line="240" w:lineRule="auto"/>
        <w:ind w:left="1440" w:hanging="360"/>
        <w:tabs>
          <w:tab w:val="left" w:pos="1440"/>
        </w:tabs>
      </w:pPr>
    </w:p>
    <w:p>
      <w:pPr>
        <w:pStyle w:val="Heading2"/>
      </w:pPr>
      <w:r>
        <w:t>Termination</w:t>
      </w:r>
    </w:p>
    <w:p>
      <w:pPr>
        <w:spacing w:line="278" w:lineRule="auto" w:before="20" w:after="0"/>
        <w:ind w:left="360" w:hanging="360"/>
        <w:tabs>
          <w:tab w:val="left" w:pos="360"/>
        </w:tabs>
      </w:pPr>
      <w:r>
        <w:rPr>
          <w:rFonts w:ascii="Aptos" w:hAnsi="Aptos"/>
          <w:sz w:val="21"/>
        </w:rPr>
        <w:t>+</w:t>
        <w:tab/>
      </w:r>
      <w:r>
        <w:rPr>
          <w:rFonts w:ascii="Aptos" w:hAnsi="Aptos"/>
          <w:sz w:val="21"/>
        </w:rPr>
        <w:t>Outside date is September 18, 2024; automatically extends to March 18, 2025 if Sections 7.1–7.3 conditions (excluding Closing-only items and 7.1(b)/(c) relating to Required Approvals) are satisfied or waived; then automatically extends to June 18, 2025 if those conditions are satisfied or waived as of March 18, 2025.</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8.1 (b) (i)</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Provided, that neither Nippon Steel North America, Inc. or 2023 Merger Subsidiary, Inc. is then in material breach of any representation, warranty, agreement or covenant contained in this Agreement.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8.1 (b)</w:t>
      </w:r>
    </w:p>
    <w:p>
      <w:pPr>
        <w:spacing w:line="240" w:lineRule="auto"/>
        <w:ind w:left="1440" w:hanging="360"/>
        <w:tabs>
          <w:tab w:val="left" w:pos="1440"/>
        </w:tabs>
      </w:pPr>
    </w:p>
    <w:p>
      <w:pPr>
        <w:pStyle w:val="Heading2"/>
      </w:pPr>
      <w:r>
        <w:t>Termination Rights</w:t>
      </w:r>
    </w:p>
    <w:p>
      <w:pPr>
        <w:spacing w:line="278" w:lineRule="auto" w:before="20" w:after="0"/>
        <w:ind w:left="360" w:hanging="360"/>
        <w:tabs>
          <w:tab w:val="left" w:pos="360"/>
        </w:tabs>
      </w:pPr>
      <w:r>
        <w:rPr>
          <w:rFonts w:ascii="Aptos" w:hAnsi="Aptos"/>
          <w:sz w:val="21"/>
        </w:rPr>
        <w:t>+</w:t>
        <w:tab/>
      </w:r>
      <w:r>
        <w:rPr>
          <w:rFonts w:ascii="Aptos" w:hAnsi="Aptos"/>
          <w:sz w:val="21"/>
        </w:rPr>
        <w:t>United States Steel Corporation and Nippon Steel North America, Inc. may terminate (i) by mutual written consent, (ii) by either if the Effective Time has not occurred by September 18, 2024 (End Date, auto‑extended to March 18 and June 18, 2025 if other conditions, excluding Closing‑time items and certain Required Approvals Legal Restraints, are satisfied or waived) and without the terminator’s material breach causing the delay, (iii) upon a final, nonappealable Legal Restraint not caused by that party, or (iv) after failure to obtain the Required Company Stockholder Vote.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8.1 (a) (b) (c)</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The Agreement may be terminated by Nippon Steel North America, Inc.: (f) if United States Steel Corporation has breached or failed to perform in any material respect any of its representations, warranties, covenants or other agreements, which breach or failure (i) would result in a failure of a condition set forth in Section 7.3(a) or Section 7.3(b) and (ii) cannot be cured by the End Date or, if curable, is not cured within thirty (30) Business Days following Nippon Steel North America, Inc.’s written notice stating its intention to terminate pursuant to Section 8.1(f) and the basis therefor, provided that neither Nippon Steel North America, Inc. nor 2023 Merger Subsidiary, Inc. is then in material breach; and (g)(ii) prior to obtaining the Required Company Stockholder Vote, if a Change of Recommendation has occurred.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8.1 (f) (g) (ii)</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United States Steel Corporation may terminate (d) if the Company Stockholders’ Meeting (including adjournments or postponements) is held and concluded without the Required Company Stockholder Vote; (e) if Nippon Steel North America, Inc. or 2023 Merger Subsidiary, Inc. materially breaches or fails to perform any representation, warranty, covenant or agreement, and such breach would cause failure of conditions in Section 7.2(a) or 7.2(b) and is incurable by the End Date or not cured within 30 Business Days after written notice, provided United States Steel Corporation is not then in material breach; or (g)(i) to enter a Superior Proposal definitive agreement before the vote, subject to Section 6.4(e) compliance, payment of the $565,000,000 Company Termination Fee at or before termination, and prompt entry into such agreement.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8.1 (d) (g) (i)</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No reimbursement fees apply for failure to obtain shareholder approval.</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8.3 (c)</w:t>
      </w:r>
    </w:p>
    <w:p>
      <w:pPr>
        <w:spacing w:line="240" w:lineRule="auto"/>
        <w:ind w:left="1440" w:hanging="360"/>
        <w:tabs>
          <w:tab w:val="left" w:pos="1440"/>
        </w:tabs>
      </w:pPr>
    </w:p>
    <w:p>
      <w:pPr>
        <w:pStyle w:val="Heading2"/>
      </w:pPr>
      <w:r>
        <w:t>Termination Fee Amounts</w:t>
      </w:r>
    </w:p>
    <w:p>
      <w:pPr>
        <w:spacing w:line="278" w:lineRule="auto" w:before="20" w:after="0"/>
        <w:ind w:left="360" w:hanging="360"/>
        <w:tabs>
          <w:tab w:val="left" w:pos="360"/>
        </w:tabs>
      </w:pPr>
      <w:r>
        <w:rPr>
          <w:rFonts w:ascii="Aptos" w:hAnsi="Aptos"/>
          <w:sz w:val="21"/>
        </w:rPr>
        <w:t>+</w:t>
        <w:tab/>
      </w:r>
      <w:r>
        <w:rPr>
          <w:rFonts w:ascii="Aptos" w:hAnsi="Aptos"/>
          <w:sz w:val="21"/>
        </w:rPr>
        <w:t>$565,000,000 – superior offer</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8.3; Definition &gt; Company Termination Fee; Section 8.2</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Company Termination Fee of $565,000,000 is payable if United States Steel Corporation terminates for Superior Proposal, if it changes recommendation and agreement terminates pre‑vote, or if Alternative Proposal precedes a failed vote and within 9 months signs or completes.</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8.3; Definition &gt; Company Termination Fee; Section 8.2</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$565,000,000 – regulatory</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8.3; ; Definition &gt; Parent Termination Fee; Not found; Section 8.3 (b)</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Parent Termination Fee of $565,000,000 is payable if the End Date passes and only regulatory approvals or a Legal Restraint remain, stockholder approval obtained. Parent Termination Fee is payable if a nonappealable Legal Restraint blocks closing, stockholder approval obtained.</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8.3; ; Definition &gt; Parent Termination Fee; Not found; Section 8.3 (b)</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United States Steel Corporation must pay Nippon Steel North America, Inc. the Company Termination Fee upon: (i) termination under Section 8.1(g)(i) to enter a Superior Proposal; (ii) termination by Nippon Steel North America, Inc. under Section 8.1(g)(ii); or (iii)(A) after the date of this Agreement and before Company Stockholders’ Meeting an Alternative Proposal is publicly proposed or disclosed and not withdrawn at least two Business Days before meeting, (B) it is terminated under Section 8.1(d), and (C) concurrently with or within nine months it enters into or completes an Alternative Proposal; payment prior to or concurrently with termination in (i), within three Business Days after termination in (ii) and completion in (iii), with “20%” in the Alternative Proposal definition deemed “50%” for (iii)(A) and (C).</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8.3 (a)</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Nippon Steel North America, Inc. must pay the Parent Termination Fee to United States Steel Corporation if: (i) termination occurs under Section 8.1(b) and, at termination, (A) 7.1(b) and/or 7.1(c) are unsatisfied/not waived (for 7.1(b), only due to a Legal Restraint in respect of the Merger or other Contemplated Transactions under the HSR Act, Antitrust/Foreign Investment Law, or by CFIUS/President, in the U.S. or a Section 7.1(c) jurisdiction), (B) 7.1(a) is satisfied, and (C) 7.3(a)-(c) are satisfied/waived (other than Closing-nature conditions that would be satisfied if Closing occurred then); or (ii) termination occurs under Section 8.1(c) solely due to such a Legal Restraint and, at termination, 7.1(a) is satisfied, 7.1(b)/7.1(c) unsatisfied/not waived, and 7.3(a)-(c) satisfied/waived, payment due within three Business Days after Company Election.</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8.3 (b)</w:t>
      </w:r>
    </w:p>
    <w:p>
      <w:pPr>
        <w:spacing w:line="240" w:lineRule="auto"/>
        <w:ind w:left="1440" w:hanging="360"/>
        <w:tabs>
          <w:tab w:val="left" w:pos="1440"/>
        </w:tabs>
      </w:pPr>
    </w:p>
    <w:p>
      <w:pPr>
        <w:pStyle w:val="Heading2"/>
      </w:pPr>
      <w:r>
        <w:t>Ordinary Course Covenants</w:t>
      </w:r>
    </w:p>
    <w:p>
      <w:pPr>
        <w:spacing w:line="278" w:lineRule="auto" w:before="20" w:after="0"/>
        <w:ind w:left="360" w:hanging="360"/>
        <w:tabs>
          <w:tab w:val="left" w:pos="360"/>
        </w:tabs>
      </w:pPr>
      <w:r>
        <w:rPr>
          <w:rFonts w:ascii="Aptos" w:hAnsi="Aptos"/>
          <w:sz w:val="21"/>
        </w:rPr>
        <w:t>+</w:t>
        <w:tab/>
      </w:r>
      <w:r>
        <w:rPr>
          <w:rFonts w:ascii="Aptos" w:hAnsi="Aptos"/>
          <w:sz w:val="21"/>
        </w:rPr>
        <w:t>United States Steel Corporation shall conduct its business in all material respects in the ordinary course of business and use commercially reasonable efforts to preserve intact its business organization.</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6.1 (a)</w:t>
      </w:r>
    </w:p>
    <w:p>
      <w:pPr>
        <w:spacing w:line="240" w:lineRule="auto"/>
        <w:ind w:left="1440" w:hanging="360"/>
        <w:tabs>
          <w:tab w:val="left" w:pos="1440"/>
        </w:tabs>
      </w:pPr>
    </w:p>
    <w:p>
      <w:pPr>
        <w:pStyle w:val="Heading2"/>
      </w:pPr>
      <w:r>
        <w:t>Governing Law</w:t>
      </w:r>
    </w:p>
    <w:p>
      <w:pPr>
        <w:spacing w:line="278" w:lineRule="auto" w:before="20" w:after="0"/>
        <w:ind w:left="360" w:hanging="360"/>
        <w:tabs>
          <w:tab w:val="left" w:pos="360"/>
        </w:tabs>
      </w:pPr>
      <w:r>
        <w:rPr>
          <w:rFonts w:ascii="Aptos" w:hAnsi="Aptos"/>
          <w:sz w:val="21"/>
        </w:rPr>
        <w:t>+</w:t>
        <w:tab/>
      </w:r>
      <w:r>
        <w:rPr>
          <w:rFonts w:ascii="Aptos" w:hAnsi="Aptos"/>
          <w:sz w:val="21"/>
        </w:rPr>
        <w:t>This Agreement shall be governed by, and construed and interpreted in accordance with, the laws of the State of Delaware.</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9.4</w:t>
      </w:r>
    </w:p>
    <w:p>
      <w:pPr>
        <w:spacing w:line="240" w:lineRule="auto"/>
        <w:ind w:left="1440" w:hanging="360"/>
        <w:tabs>
          <w:tab w:val="left" w:pos="1440"/>
        </w:tabs>
      </w:pPr>
    </w:p>
    <w:p>
      <w:pPr>
        <w:pStyle w:val="Heading2"/>
      </w:pPr>
      <w:r>
        <w:t>Specific Performance</w:t>
      </w:r>
    </w:p>
    <w:p>
      <w:pPr>
        <w:spacing w:line="278" w:lineRule="auto" w:before="20" w:after="0"/>
        <w:ind w:left="360" w:hanging="360"/>
        <w:tabs>
          <w:tab w:val="left" w:pos="360"/>
        </w:tabs>
      </w:pPr>
      <w:r>
        <w:rPr>
          <w:rFonts w:ascii="Aptos" w:hAnsi="Aptos"/>
          <w:sz w:val="21"/>
        </w:rPr>
        <w:t>+</w:t>
        <w:tab/>
      </w:r>
      <w:r>
        <w:rPr>
          <w:rFonts w:ascii="Aptos" w:hAnsi="Aptos"/>
          <w:sz w:val="21"/>
        </w:rPr>
        <w:t>Specific performance is available to United States Steel Corporation, Nippon Steel North America, Inc., and 2023 Merger Subsidiary, Inc.</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9.5</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Exclusive jurisdiction: any New York State court or Federal Court sitting in the Borough of Manhattan, or the Tokyo District Court.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9.14 (b)</w:t>
      </w:r>
    </w:p>
    <w:p>
      <w:pPr>
        <w:spacing w:line="240" w:lineRule="auto"/>
        <w:ind w:left="1440" w:hanging="360"/>
        <w:tabs>
          <w:tab w:val="left" w:pos="1440"/>
        </w:tabs>
      </w:pPr>
    </w:p>
    <w:p>
      <w:pPr>
        <w:pStyle w:val="Heading2"/>
      </w:pPr>
      <w:r>
        <w:t>MAE Definitions</w:t>
      </w:r>
    </w:p>
    <w:p>
      <w:pPr>
        <w:spacing w:line="278" w:lineRule="auto" w:before="20" w:after="0"/>
        <w:ind w:left="360" w:hanging="360"/>
        <w:tabs>
          <w:tab w:val="left" w:pos="360"/>
        </w:tabs>
      </w:pPr>
      <w:r>
        <w:rPr>
          <w:rFonts w:ascii="Aptos" w:hAnsi="Aptos"/>
          <w:sz w:val="21"/>
        </w:rPr>
        <w:t>+</w:t>
        <w:tab/>
      </w:r>
      <w:r>
        <w:rPr>
          <w:rFonts w:ascii="Aptos" w:hAnsi="Aptos"/>
          <w:sz w:val="21"/>
        </w:rPr>
        <w:t>(a) any change, in and of itself, in the market price or trading volume of United States Steel Corporation’s Common Stock or any change in the credit rating of United States Steel Corporation or any of its securities; (b) the execution, announcement, consummation, existence, delivery, performance or pendency of this Agreement or the terms hereof (including the identity of Nippon Steel North America, Inc., 2023 Merger Subsidiary, Inc. or their Affiliates), or the announcement, pendency or consummation of the Contemplated Transactions.</w:t>
      </w:r>
    </w:p>
    <w:p>
      <w:pPr>
        <w:spacing w:line="240" w:lineRule="auto"/>
        <w:ind w:left="1440" w:hanging="360"/>
        <w:tabs>
          <w:tab w:val="left" w:pos="1440"/>
        </w:tabs>
      </w:pPr>
      <w:r>
        <w:rPr>
          <w:rFonts w:ascii="Aptos" w:hAnsi="Aptos"/>
          <w:color w:val="000000"/>
          <w:sz w:val="16"/>
        </w:rPr>
        <w:t>○</w:t>
        <w:tab/>
      </w:r>
      <w:r>
        <w:rPr>
          <w:rFonts w:ascii="Aptos" w:hAnsi="Aptos"/>
          <w:sz w:val="20"/>
        </w:rPr>
        <w:t>References: Definition &gt; Company Material Adverse Effect</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Definition &gt; Company Material Adverse Effect (Excerpt 1, proviso to clauses (c), (d), (e), (f), (l)): a materially disproportionate adverse impact on United States Steel Corporation and its subsidiaries relative to similarly situated Persons counts toward a Material Adverse Effect.</w:t>
      </w:r>
    </w:p>
    <w:p>
      <w:pPr>
        <w:spacing w:line="240" w:lineRule="auto"/>
        <w:ind w:left="1440" w:hanging="360"/>
        <w:tabs>
          <w:tab w:val="left" w:pos="1440"/>
        </w:tabs>
      </w:pPr>
      <w:r>
        <w:rPr>
          <w:rFonts w:ascii="Aptos" w:hAnsi="Aptos"/>
          <w:color w:val="000000"/>
          <w:sz w:val="16"/>
        </w:rPr>
        <w:t>○</w:t>
        <w:tab/>
      </w:r>
      <w:r>
        <w:rPr>
          <w:rFonts w:ascii="Aptos" w:hAnsi="Aptos"/>
          <w:sz w:val="20"/>
        </w:rPr>
        <w:t>References: Definition &gt; Company Material Adverse Effect</w:t>
      </w:r>
    </w:p>
    <w:p>
      <w:pPr>
        <w:spacing w:line="240" w:lineRule="auto"/>
        <w:ind w:left="1440" w:hanging="360"/>
        <w:tabs>
          <w:tab w:val="left" w:pos="1440"/>
        </w:tabs>
      </w:pPr>
    </w:p>
    <w:p>
      <w:pPr>
        <w:spacing w:line="278" w:lineRule="auto" w:before="20" w:after="0"/>
        <w:ind w:left="360" w:hanging="360"/>
        <w:tabs>
          <w:tab w:val="left" w:pos="360"/>
        </w:tabs>
      </w:pPr>
      <w:r>
        <w:rPr>
          <w:rFonts w:ascii="Aptos" w:hAnsi="Aptos"/>
          <w:sz w:val="21"/>
        </w:rPr>
        <w:t>+</w:t>
        <w:tab/>
      </w:r>
      <w:r>
        <w:rPr>
          <w:rFonts w:ascii="Aptos" w:hAnsi="Aptos"/>
          <w:sz w:val="21"/>
        </w:rPr>
        <w:t>For carve-outs (c), (d), (e), (f) and (l), the underlying event, change, occurrence, effect or development’s incremental, materially disproportionate adverse impact on United States Steel Corporation and its Subsidiaries versus peers is considered in determining a Company Material Adverse Effect.</w:t>
      </w:r>
    </w:p>
    <w:p>
      <w:pPr>
        <w:spacing w:line="240" w:lineRule="auto"/>
        <w:ind w:left="1440" w:hanging="360"/>
        <w:tabs>
          <w:tab w:val="left" w:pos="1440"/>
        </w:tabs>
      </w:pPr>
      <w:r>
        <w:rPr>
          <w:rFonts w:ascii="Aptos" w:hAnsi="Aptos"/>
          <w:color w:val="000000"/>
          <w:sz w:val="16"/>
        </w:rPr>
        <w:t>○</w:t>
        <w:tab/>
      </w:r>
      <w:r>
        <w:rPr>
          <w:rFonts w:ascii="Aptos" w:hAnsi="Aptos"/>
          <w:sz w:val="20"/>
        </w:rPr>
        <w:t>References: Section 1.3</w:t>
      </w:r>
    </w:p>
    <w:p>
      <w:pPr>
        <w:spacing w:line="240" w:lineRule="auto"/>
        <w:ind w:left="1440" w:hanging="360"/>
        <w:tabs>
          <w:tab w:val="left" w:pos="1440"/>
        </w:tabs>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