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00000"/>
          <w:sz w:val="24"/>
        </w:rPr>
        <w:t>Merger Agreement Clause Summaries</w:t>
      </w:r>
    </w:p>
    <w:p/>
    <w:p>
      <w:pPr>
        <w:spacing w:after="80"/>
      </w:pPr>
      <w:r>
        <w:rPr>
          <w:rFonts w:ascii="Aptos" w:hAnsi="Aptos"/>
          <w:b/>
          <w:color w:val="000000"/>
          <w:sz w:val="22"/>
          <w:u w:val="single"/>
        </w:rPr>
        <w:t>Concise Summary</w:t>
      </w:r>
    </w:p>
    <w:p>
      <w:pPr>
        <w:pStyle w:val="Heading2"/>
      </w:pPr>
      <w:r>
        <w:t>Presigning</w:t>
      </w:r>
    </w:p>
    <w:p>
      <w:pPr>
        <w:spacing w:line="278" w:lineRule="auto" w:before="20" w:after="0"/>
        <w:ind w:left="360" w:hanging="360"/>
        <w:tabs>
          <w:tab w:val="left" w:pos="360"/>
        </w:tabs>
      </w:pPr>
      <w:r>
        <w:rPr>
          <w:rFonts w:ascii="Aptos" w:hAnsi="Aptos"/>
          <w:sz w:val="21"/>
        </w:rPr>
        <w:t>+</w:t>
        <w:tab/>
      </w:r>
      <w:r>
        <w:rPr>
          <w:rFonts w:ascii="Aptos" w:hAnsi="Aptos"/>
          <w:sz w:val="21"/>
        </w:rPr>
        <w:t>Confidentiality Agreement dated July 18, 2025.</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w:t>
      </w:r>
    </w:p>
    <w:p>
      <w:pPr>
        <w:spacing w:line="278" w:lineRule="auto" w:before="20" w:after="0"/>
        <w:ind w:left="360" w:hanging="360"/>
        <w:tabs>
          <w:tab w:val="left" w:pos="360"/>
        </w:tabs>
      </w:pPr>
      <w:r>
        <w:rPr>
          <w:rFonts w:ascii="Aptos" w:hAnsi="Aptos"/>
          <w:sz w:val="21"/>
        </w:rPr>
        <w:t>+</w:t>
        <w:tab/>
      </w:r>
      <w:r>
        <w:rPr>
          <w:rFonts w:ascii="Aptos" w:hAnsi="Aptos"/>
          <w:sz w:val="21"/>
        </w:rPr>
        <w:t>The merger has not received approval from the board of the Target Company, despite unanimous approval from the Parent Company's board.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8.01</w:t>
      </w:r>
    </w:p>
    <w:p>
      <w:pPr>
        <w:pStyle w:val="Heading2"/>
      </w:pPr>
      <w:r>
        <w:t>Consideration</w:t>
      </w:r>
    </w:p>
    <w:p>
      <w:pPr>
        <w:spacing w:line="278" w:lineRule="auto" w:before="20" w:after="0"/>
        <w:ind w:left="360" w:hanging="360"/>
        <w:tabs>
          <w:tab w:val="left" w:pos="360"/>
        </w:tabs>
      </w:pPr>
      <w:r>
        <w:rPr>
          <w:rFonts w:ascii="Aptos" w:hAnsi="Aptos"/>
          <w:sz w:val="21"/>
        </w:rPr>
        <w:t>+</w:t>
        <w:tab/>
      </w:r>
      <w:r>
        <w:rPr>
          <w:rFonts w:ascii="Aptos" w:hAnsi="Aptos"/>
          <w:sz w:val="21"/>
        </w:rPr>
        <w:t>Chart stockholders are entitled to receive $210.00 in cash per share of Chart Common Stock.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3.01 (c)</w:t>
      </w:r>
    </w:p>
    <w:p>
      <w:pPr>
        <w:spacing w:line="278" w:lineRule="auto" w:before="20" w:after="0"/>
        <w:ind w:left="360" w:hanging="360"/>
        <w:tabs>
          <w:tab w:val="left" w:pos="360"/>
        </w:tabs>
      </w:pPr>
      <w:r>
        <w:rPr>
          <w:rFonts w:ascii="Aptos" w:hAnsi="Aptos"/>
          <w:sz w:val="21"/>
        </w:rPr>
        <w:t>+</w:t>
        <w:tab/>
      </w:r>
      <w:r>
        <w:rPr>
          <w:rFonts w:ascii="Aptos" w:hAnsi="Aptos"/>
          <w:sz w:val="21"/>
        </w:rPr>
        <w:t>The target company is not permitted to declare, set aside, or pay any dividends on its capital stock, voting securities, or other equity interests prior to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 (b) (i)</w:t>
      </w:r>
    </w:p>
    <w:p>
      <w:pPr>
        <w:spacing w:line="278" w:lineRule="auto" w:before="20" w:after="0"/>
        <w:ind w:left="360" w:hanging="360"/>
        <w:tabs>
          <w:tab w:val="left" w:pos="360"/>
        </w:tabs>
      </w:pPr>
      <w:r>
        <w:rPr>
          <w:rFonts w:ascii="Aptos" w:hAnsi="Aptos"/>
          <w:sz w:val="21"/>
        </w:rPr>
        <w:t>+</w:t>
        <w:tab/>
      </w:r>
      <w:r>
        <w:rPr>
          <w:rFonts w:ascii="Aptos" w:hAnsi="Aptos"/>
          <w:sz w:val="21"/>
        </w:rPr>
        <w:t>The parent company, Chart, is not permitted to declare or pay any dividends prior to closing, except for regular quarterly dividends on Chart Preferred Stock as specified in the agreement.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 (b) (i)</w:t>
      </w:r>
    </w:p>
    <w:p>
      <w:pPr>
        <w:pStyle w:val="Heading2"/>
      </w:pPr>
      <w:r>
        <w:t>Conditions &amp; Financing</w:t>
      </w:r>
    </w:p>
    <w:p>
      <w:pPr>
        <w:spacing w:line="278" w:lineRule="auto" w:before="20" w:after="0"/>
        <w:ind w:left="360" w:hanging="360"/>
        <w:tabs>
          <w:tab w:val="left" w:pos="360"/>
        </w:tabs>
      </w:pPr>
      <w:r>
        <w:rPr>
          <w:rFonts w:ascii="Aptos" w:hAnsi="Aptos"/>
          <w:sz w:val="21"/>
        </w:rPr>
        <w:t>+</w:t>
        <w:tab/>
      </w:r>
      <w:r>
        <w:rPr>
          <w:rFonts w:ascii="Aptos" w:hAnsi="Aptos"/>
          <w:sz w:val="21"/>
        </w:rPr>
        <w:t>Subject to the satisfaction or waiver of conditions prior to closing, the merger requires approval from both the target and parent company shareholders, with no specific threshold required by law or organizational documents for the parent company.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8.01 (a)</w:t>
      </w:r>
    </w:p>
    <w:p>
      <w:pPr>
        <w:spacing w:line="278" w:lineRule="auto" w:before="20" w:after="0"/>
        <w:ind w:left="360" w:hanging="360"/>
        <w:tabs>
          <w:tab w:val="left" w:pos="360"/>
        </w:tabs>
      </w:pPr>
      <w:r>
        <w:rPr>
          <w:rFonts w:ascii="Aptos" w:hAnsi="Aptos"/>
          <w:sz w:val="21"/>
        </w:rPr>
        <w:t>+</w:t>
        <w:tab/>
      </w:r>
      <w:r>
        <w:rPr>
          <w:rFonts w:ascii="Aptos" w:hAnsi="Aptos"/>
          <w:sz w:val="21"/>
        </w:rPr>
        <w:t>The merger agreement cannot be closed until clearance under the HSR Act and all other required antitrust approvals have been obtained.</w:t>
      </w:r>
    </w:p>
    <w:p>
      <w:pPr>
        <w:spacing w:line="278" w:lineRule="auto" w:before="20" w:after="0"/>
        <w:ind w:left="360" w:hanging="360"/>
        <w:tabs>
          <w:tab w:val="left" w:pos="360"/>
        </w:tabs>
      </w:pPr>
      <w:r>
        <w:rPr>
          <w:rFonts w:ascii="Aptos" w:hAnsi="Aptos"/>
          <w:sz w:val="21"/>
        </w:rPr>
        <w:t>+</w:t>
        <w:tab/>
      </w:r>
      <w:r>
        <w:rPr>
          <w:rFonts w:ascii="Aptos" w:hAnsi="Aptos"/>
          <w:sz w:val="21"/>
        </w:rPr>
        <w:t>Baker Hughes has received committed financing from Goldman Sachs Bank USA, Goldman Sachs Lending Partners LLC, and Morgan Stanley Senior Funding, Inc.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p>
      <w:pPr>
        <w:pStyle w:val="Heading2"/>
      </w:pPr>
      <w:r>
        <w:t>Regulatory</w:t>
      </w:r>
    </w:p>
    <w:p>
      <w:pPr>
        <w:spacing w:line="278" w:lineRule="auto" w:before="20" w:after="0"/>
        <w:ind w:left="360" w:hanging="360"/>
        <w:tabs>
          <w:tab w:val="left" w:pos="360"/>
        </w:tabs>
      </w:pPr>
      <w:r>
        <w:rPr>
          <w:rFonts w:ascii="Aptos" w:hAnsi="Aptos"/>
          <w:sz w:val="21"/>
        </w:rPr>
        <w:t>+</w:t>
        <w:tab/>
      </w:r>
      <w:r>
        <w:rPr>
          <w:rFonts w:ascii="Aptos" w:hAnsi="Aptos"/>
          <w:sz w:val="21"/>
        </w:rPr>
        <w:t>The outside date is July 28, 2026. The agreement automatically extends for 6 months if all conditions to closing, except those related to Legal Restraints under Antitrust or Foreign Investment Law, are satisfied or reasonably capable of being satisfied. This extension is not available if the failure to close is due to a breach by the terminating party.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w:t>
      </w:r>
    </w:p>
    <w:p>
      <w:pPr>
        <w:spacing w:line="278" w:lineRule="auto" w:before="20" w:after="0"/>
        <w:ind w:left="360" w:hanging="360"/>
        <w:tabs>
          <w:tab w:val="left" w:pos="360"/>
        </w:tabs>
      </w:pPr>
      <w:r>
        <w:rPr>
          <w:rFonts w:ascii="Aptos" w:hAnsi="Aptos"/>
          <w:sz w:val="21"/>
        </w:rPr>
        <w:t>+</w:t>
        <w:tab/>
      </w:r>
      <w:r>
        <w:rPr>
          <w:rFonts w:ascii="Aptos" w:hAnsi="Aptos"/>
          <w:sz w:val="21"/>
        </w:rPr>
        <w:t>Baker Hughes is not required to take any remedy actions involving its own business. There is a divestiture cap on Chart, limiting divestitures to those that would result in a loss of more than 5% of revenues, as measured by reference to the twelve months ended December 31, 2024.</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(a)</w:t>
      </w:r>
    </w:p>
    <w:p>
      <w:pPr>
        <w:spacing w:line="278" w:lineRule="auto" w:before="20" w:after="0"/>
        <w:ind w:left="360" w:hanging="360"/>
        <w:tabs>
          <w:tab w:val="left" w:pos="360"/>
        </w:tabs>
      </w:pPr>
      <w:r>
        <w:rPr>
          <w:rFonts w:ascii="Aptos" w:hAnsi="Aptos"/>
          <w:sz w:val="21"/>
        </w:rPr>
        <w:t>+</w:t>
        <w:tab/>
      </w:r>
      <w:r>
        <w:rPr>
          <w:rFonts w:ascii="Aptos" w:hAnsi="Aptos"/>
          <w:sz w:val="21"/>
        </w:rPr>
        <w:t>Baker Hughes, after reasonable consultation with Chart, shall control, lead, develop, and direct all communications, strategy, and timing for obtaining Regulatory Approvals under Antitrust Laws or Foreign Investment Laws, and for dealing with any Governmental Authority or Legal Restraints related to this Agreement or the Transactions.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(b)</w:t>
      </w:r>
    </w:p>
    <w:p>
      <w:pPr>
        <w:spacing w:line="278" w:lineRule="auto" w:before="20" w:after="0"/>
        <w:ind w:left="360" w:hanging="360"/>
        <w:tabs>
          <w:tab w:val="left" w:pos="360"/>
        </w:tabs>
      </w:pPr>
      <w:r>
        <w:rPr>
          <w:rFonts w:ascii="Aptos" w:hAnsi="Aptos"/>
          <w:sz w:val="21"/>
        </w:rPr>
        <w:t>+</w:t>
        <w:tab/>
      </w:r>
      <w:r>
        <w:rPr>
          <w:rFonts w:ascii="Aptos" w:hAnsi="Aptos"/>
          <w:sz w:val="21"/>
        </w:rPr>
        <w:t>Baker Hughes, after reasonable consultation with Chart, retains the right to control, lead, develop, and direct the timing and strategy for obtaining any Regulatory Approvals related to Antitrust Laws or Foreign Investment Laws. The clause does not specify any limitations or consent rights.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(b)</w:t>
      </w:r>
    </w:p>
    <w:p>
      <w:pPr>
        <w:pStyle w:val="Heading2"/>
      </w:pPr>
      <w:r>
        <w:t>Competing Bid</w:t>
      </w:r>
    </w:p>
    <w:p>
      <w:pPr>
        <w:spacing w:line="278" w:lineRule="auto" w:before="20" w:after="0"/>
        <w:ind w:left="360" w:hanging="360"/>
        <w:tabs>
          <w:tab w:val="left" w:pos="360"/>
        </w:tabs>
      </w:pPr>
      <w:r>
        <w:rPr>
          <w:rFonts w:ascii="Aptos" w:hAnsi="Aptos"/>
          <w:sz w:val="21"/>
        </w:rPr>
        <w:t>+</w:t>
        <w:tab/>
      </w:r>
      <w:r>
        <w:rPr>
          <w:rFonts w:ascii="Aptos" w:hAnsi="Aptos"/>
          <w:sz w:val="21"/>
        </w:rPr>
        <w:t>Chart makes itself available to negotiate with Baker Hughes in good faith during the four Business Days following receipt by Baker Hughes of the Chart Notice (the "Chart Notice Period").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6.02 (d)</w:t>
      </w:r>
    </w:p>
    <w:p>
      <w:pPr>
        <w:spacing w:line="278" w:lineRule="auto" w:before="20" w:after="0"/>
        <w:ind w:left="360" w:hanging="360"/>
        <w:tabs>
          <w:tab w:val="left" w:pos="360"/>
        </w:tabs>
      </w:pPr>
      <w:r>
        <w:rPr>
          <w:rFonts w:ascii="Aptos" w:hAnsi="Aptos"/>
          <w:sz w:val="21"/>
        </w:rPr>
        <w:t>+</w:t>
        <w:tab/>
      </w:r>
      <w:r>
        <w:rPr>
          <w:rFonts w:ascii="Aptos" w:hAnsi="Aptos"/>
          <w:sz w:val="21"/>
        </w:rPr>
        <w:t>If the merger agreement is terminated due to a superior proposal, Chart is obligated to pay Baker Hughes a reverse termination fee of $250,000,000. This fee is triggered when Chart terminates the agreement under Section 9.01(f).</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p>
      <w:pPr>
        <w:spacing w:line="278" w:lineRule="auto" w:before="20" w:after="0"/>
        <w:ind w:left="360" w:hanging="360"/>
        <w:tabs>
          <w:tab w:val="left" w:pos="360"/>
        </w:tabs>
      </w:pPr>
      <w:r>
        <w:rPr>
          <w:rFonts w:ascii="Aptos" w:hAnsi="Aptos"/>
          <w:sz w:val="21"/>
        </w:rPr>
        <w:t>+</w:t>
        <w:tab/>
      </w:r>
      <w:r>
        <w:rPr>
          <w:rFonts w:ascii="Aptos" w:hAnsi="Aptos"/>
          <w:sz w:val="21"/>
        </w:rPr>
        <w:t>The merger agreement does not explicitly require an expense reimbursement if the merger is terminated due to failure to obtain shareholder approval by either the company or the parent. Therefore, no reimbursement fees apply for failure to obtain shareholder approval.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9.03 (e)</w:t>
      </w:r>
    </w:p>
    <w:p>
      <w:pPr>
        <w:pStyle w:val="Heading2"/>
      </w:pPr>
      <w:r>
        <w:t>Other Items</w:t>
      </w:r>
    </w:p>
    <w:p>
      <w:pPr>
        <w:spacing w:line="278" w:lineRule="auto" w:before="20" w:after="0"/>
        <w:ind w:left="360" w:hanging="360"/>
        <w:tabs>
          <w:tab w:val="left" w:pos="360"/>
        </w:tabs>
      </w:pPr>
      <w:r>
        <w:rPr>
          <w:rFonts w:ascii="Aptos" w:hAnsi="Aptos"/>
          <w:sz w:val="21"/>
        </w:rPr>
        <w:t>+</w:t>
        <w:tab/>
      </w:r>
      <w:r>
        <w:rPr>
          <w:rFonts w:ascii="Aptos" w:hAnsi="Aptos"/>
          <w:sz w:val="21"/>
        </w:rPr>
        <w:t>Prior to the Effective Time, the parties are obligated to reasonably cooperate concerning their obligations under applicable laws, collective bargaining agreements, labor contracts, or other contracts with labor organizations, unions, works councils, or employee representative bodies, specifically to inform and consult in relation to the Transactions.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7.04 (g)</w:t>
      </w:r>
    </w:p>
    <w:p>
      <w:pPr>
        <w:spacing w:line="278" w:lineRule="auto" w:before="20" w:after="0"/>
        <w:ind w:left="360" w:hanging="360"/>
        <w:tabs>
          <w:tab w:val="left" w:pos="360"/>
        </w:tabs>
      </w:pPr>
      <w:r>
        <w:rPr>
          <w:rFonts w:ascii="Aptos" w:hAnsi="Aptos"/>
          <w:sz w:val="21"/>
        </w:rPr>
        <w:t>+</w:t>
        <w:tab/>
      </w:r>
      <w:r>
        <w:rPr>
          <w:rFonts w:ascii="Aptos" w:hAnsi="Aptos"/>
          <w:sz w:val="21"/>
        </w:rPr>
        <w:t>From the date of this Agreement to the Effective Time, Chart shall, and shall cause each Chart Subsidiary to, conduct its business in the ordinary course in all material respects and use commercially reasonable efforts to preserve intact its business organization, maintain its assets, and maintain in effect all of its material Permits.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 (b)</w:t>
      </w:r>
    </w:p>
    <w:p>
      <w:pPr>
        <w:spacing w:line="278" w:lineRule="auto" w:before="20" w:after="0"/>
        <w:ind w:left="360" w:hanging="360"/>
        <w:tabs>
          <w:tab w:val="left" w:pos="360"/>
        </w:tabs>
      </w:pPr>
      <w:r>
        <w:rPr>
          <w:rFonts w:ascii="Aptos" w:hAnsi="Aptos"/>
          <w:sz w:val="21"/>
        </w:rPr>
        <w:t>+</w:t>
        <w:tab/>
      </w:r>
      <w:r>
        <w:rPr>
          <w:rFonts w:ascii="Aptos" w:hAnsi="Aptos"/>
          <w:sz w:val="21"/>
        </w:rPr>
        <w:t>MAE carve-outs appear standard but include "the imposition or modification of any tariffs, trade restrictions or other duties, including those arising from changes in trade policies or international relations, and the effects of any trade wars.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p>
      <w:pPr>
        <w:spacing w:line="278" w:lineRule="auto" w:before="20" w:after="0"/>
        <w:ind w:left="360" w:hanging="360"/>
        <w:tabs>
          <w:tab w:val="left" w:pos="360"/>
        </w:tabs>
      </w:pPr>
      <w:r>
        <w:rPr>
          <w:rFonts w:ascii="Aptos" w:hAnsi="Aptos"/>
          <w:sz w:val="21"/>
        </w:rPr>
        <w:t>+</w:t>
        <w:tab/>
      </w:r>
      <w:r>
        <w:rPr>
          <w:rFonts w:ascii="Aptos" w:hAnsi="Aptos"/>
          <w:sz w:val="21"/>
        </w:rPr>
        <w:t>The contract allows for specific performance for all parties involved in the agreement.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10.08</w:t>
      </w:r>
    </w:p>
    <w:p>
      <w:pPr>
        <w:spacing w:line="278" w:lineRule="auto" w:before="20" w:after="0"/>
        <w:ind w:left="360" w:hanging="360"/>
        <w:tabs>
          <w:tab w:val="left" w:pos="360"/>
        </w:tabs>
      </w:pPr>
      <w:r>
        <w:rPr>
          <w:rFonts w:ascii="Aptos" w:hAnsi="Aptos"/>
          <w:sz w:val="21"/>
        </w:rPr>
        <w:t>+</w:t>
        <w:tab/>
      </w:r>
      <w:r>
        <w:rPr>
          <w:rFonts w:ascii="Aptos" w:hAnsi="Aptos"/>
          <w:sz w:val="21"/>
        </w:rPr>
        <w:t>This Agreement shall be governed by, and construed in accordance with, the Laws of the State of Delaware.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10.06 (a)</w:t>
      </w:r>
    </w:p>
    <w:p>
      <w:pPr>
        <w:spacing w:line="278" w:lineRule="auto" w:before="20" w:after="0"/>
        <w:ind w:left="360" w:hanging="360"/>
        <w:tabs>
          <w:tab w:val="left" w:pos="360"/>
        </w:tabs>
      </w:pPr>
      <w:r>
        <w:rPr>
          <w:rFonts w:ascii="Aptos" w:hAnsi="Aptos"/>
          <w:sz w:val="21"/>
        </w:rPr>
        <w:t>+</w:t>
        <w:tab/>
      </w:r>
      <w:r>
        <w:rPr>
          <w:rFonts w:ascii="Aptos" w:hAnsi="Aptos"/>
          <w:sz w:val="21"/>
        </w:rPr>
        <w:t>Any action or claim against any Financing Sources relating to this Agreement or the transactions contemplated, including any dispute about the Debt Financing, shall be governed by the laws of the State of New York.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10.06 (a)</w:t>
      </w:r>
    </w:p>
    <w:p>
      <w:pPr>
        <w:pStyle w:val="Heading2"/>
      </w:pPr>
      <w:r>
        <w:t>Regulatory Best Efforts</w:t>
      </w:r>
    </w:p>
    <w:p>
      <w:pPr>
        <w:spacing w:line="278" w:lineRule="auto" w:before="20" w:after="0"/>
        <w:ind w:left="360" w:hanging="360"/>
        <w:tabs>
          <w:tab w:val="left" w:pos="360"/>
        </w:tabs>
      </w:pPr>
      <w:r>
        <w:rPr>
          <w:rFonts w:ascii="Aptos" w:hAnsi="Aptos"/>
          <w:sz w:val="21"/>
        </w:rPr>
        <w:t>+</w:t>
        <w:tab/>
      </w:r>
      <w:r>
        <w:rPr>
          <w:rFonts w:ascii="Aptos" w:hAnsi="Aptos"/>
          <w:sz w:val="21"/>
        </w:rPr>
        <w:t>Both Parent and Company are prohibited from making acquisitions or entering agreements that could materially delay obtaining required approvals or lengthen the HSR review for the existing merger.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w:t>
      </w:r>
    </w:p>
    <w:p>
      <w:pPr>
        <w:spacing w:after="80"/>
      </w:pPr>
      <w:r>
        <w:rPr>
          <w:rFonts w:ascii="Aptos" w:hAnsi="Aptos"/>
          <w:b/>
          <w:color w:val="000000"/>
          <w:sz w:val="22"/>
          <w:u w:val="single"/>
        </w:rPr>
        <w:t>Fulsome Summary</w:t>
      </w:r>
    </w:p>
    <w:p>
      <w:pPr>
        <w:pStyle w:val="Heading2"/>
      </w:pPr>
      <w:r>
        <w:t>Party Details</w:t>
      </w:r>
    </w:p>
    <w:p>
      <w:pPr>
        <w:spacing w:line="278" w:lineRule="auto" w:before="20" w:after="0"/>
        <w:ind w:left="360" w:hanging="360"/>
        <w:tabs>
          <w:tab w:val="left" w:pos="360"/>
        </w:tabs>
      </w:pPr>
      <w:r>
        <w:rPr>
          <w:rFonts w:ascii="Aptos" w:hAnsi="Aptos"/>
          <w:sz w:val="21"/>
        </w:rPr>
        <w:t>+</w:t>
        <w:tab/>
      </w:r>
      <w:r>
        <w:rPr>
          <w:rFonts w:ascii="Aptos" w:hAnsi="Aptos"/>
          <w:sz w:val="21"/>
        </w:rPr>
        <w:t>Company is Chart Industries, Inc., a Delaware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2.01</w:t>
      </w:r>
    </w:p>
    <w:p>
      <w:pPr>
        <w:spacing w:line="278" w:lineRule="auto" w:before="20" w:after="0"/>
        <w:ind w:left="360" w:hanging="360"/>
        <w:tabs>
          <w:tab w:val="left" w:pos="360"/>
        </w:tabs>
      </w:pPr>
      <w:r>
        <w:rPr>
          <w:rFonts w:ascii="Aptos" w:hAnsi="Aptos"/>
          <w:sz w:val="21"/>
        </w:rPr>
        <w:t>+</w:t>
        <w:tab/>
      </w:r>
      <w:r>
        <w:rPr>
          <w:rFonts w:ascii="Aptos" w:hAnsi="Aptos"/>
          <w:sz w:val="21"/>
        </w:rPr>
        <w:t>Acquirer is Baker Hughes Company, a Delaware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spacing w:line="278" w:lineRule="auto" w:before="20" w:after="0"/>
        <w:ind w:left="360" w:hanging="360"/>
        <w:tabs>
          <w:tab w:val="left" w:pos="360"/>
        </w:tabs>
      </w:pPr>
      <w:r>
        <w:rPr>
          <w:rFonts w:ascii="Aptos" w:hAnsi="Aptos"/>
          <w:sz w:val="21"/>
        </w:rPr>
        <w:t>+</w:t>
        <w:tab/>
      </w:r>
      <w:r>
        <w:rPr>
          <w:rFonts w:ascii="Aptos" w:hAnsi="Aptos"/>
          <w:sz w:val="21"/>
        </w:rPr>
        <w:t>This transaction is a Reverse Triangular Merger where Merger Sub merges into Chart, with Chart continuing as the surviving entity. Post-merger, Chart will operate as a wholly owned subsidiary of Baker Hughes.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2.01; Section 2.01</w:t>
      </w:r>
    </w:p>
    <w:p>
      <w:pPr>
        <w:spacing w:line="278" w:lineRule="auto" w:before="20" w:after="0"/>
        <w:ind w:left="360" w:hanging="360"/>
        <w:tabs>
          <w:tab w:val="left" w:pos="360"/>
        </w:tabs>
      </w:pPr>
      <w:r>
        <w:rPr>
          <w:rFonts w:ascii="Aptos" w:hAnsi="Aptos"/>
          <w:sz w:val="21"/>
        </w:rPr>
        <w:t>+</w:t>
        <w:tab/>
      </w:r>
      <w:r>
        <w:rPr>
          <w:rFonts w:ascii="Aptos" w:hAnsi="Aptos"/>
          <w:sz w:val="21"/>
        </w:rPr>
        <w:t>Tango Merger Sub, Inc. is a corporation incorporated in Delaware. It operates as a wholly owned subsidiary of Baker Hughes.</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pStyle w:val="Heading2"/>
      </w:pPr>
      <w:r>
        <w:t>Board Approval</w:t>
      </w:r>
    </w:p>
    <w:p>
      <w:pPr>
        <w:spacing w:line="278" w:lineRule="auto" w:before="20" w:after="0"/>
        <w:ind w:left="360" w:hanging="360"/>
        <w:tabs>
          <w:tab w:val="left" w:pos="360"/>
        </w:tabs>
      </w:pPr>
      <w:r>
        <w:rPr>
          <w:rFonts w:ascii="Aptos" w:hAnsi="Aptos"/>
          <w:sz w:val="21"/>
        </w:rPr>
        <w:t>+</w:t>
        <w:tab/>
      </w:r>
      <w:r>
        <w:rPr>
          <w:rFonts w:ascii="Aptos" w:hAnsi="Aptos"/>
          <w:sz w:val="21"/>
        </w:rPr>
        <w:t>The merger has not received approval from the board of the Target Company, despite unanimous approval from the Parent Company's board.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8.01</w:t>
      </w:r>
    </w:p>
    <w:p>
      <w:pPr>
        <w:pStyle w:val="Heading2"/>
      </w:pPr>
      <w:r>
        <w:t>Closing</w:t>
      </w:r>
    </w:p>
    <w:p>
      <w:pPr>
        <w:spacing w:line="278" w:lineRule="auto" w:before="20" w:after="0"/>
        <w:ind w:left="360" w:hanging="360"/>
        <w:tabs>
          <w:tab w:val="left" w:pos="360"/>
        </w:tabs>
      </w:pPr>
      <w:r>
        <w:rPr>
          <w:rFonts w:ascii="Aptos" w:hAnsi="Aptos"/>
          <w:sz w:val="21"/>
        </w:rPr>
        <w:t>+</w:t>
        <w:tab/>
      </w:r>
      <w:r>
        <w:rPr>
          <w:rFonts w:ascii="Aptos" w:hAnsi="Aptos"/>
          <w:sz w:val="21"/>
        </w:rPr>
        <w:t>The target date for the merger agreement is set for three business days following the satisfaction or waiver of the final closing condition.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2.02</w:t>
      </w:r>
    </w:p>
    <w:p>
      <w:pPr>
        <w:pStyle w:val="Heading2"/>
      </w:pPr>
      <w:r>
        <w:t>Consideration and Dividends</w:t>
      </w:r>
    </w:p>
    <w:p>
      <w:pPr>
        <w:spacing w:line="278" w:lineRule="auto" w:before="20" w:after="0"/>
        <w:ind w:left="360" w:hanging="360"/>
        <w:tabs>
          <w:tab w:val="left" w:pos="360"/>
        </w:tabs>
      </w:pPr>
      <w:r>
        <w:rPr>
          <w:rFonts w:ascii="Aptos" w:hAnsi="Aptos"/>
          <w:sz w:val="21"/>
        </w:rPr>
        <w:t>+</w:t>
        <w:tab/>
      </w:r>
      <w:r>
        <w:rPr>
          <w:rFonts w:ascii="Aptos" w:hAnsi="Aptos"/>
          <w:sz w:val="21"/>
        </w:rPr>
        <w:t>Chart stockholders are entitled to receive $210.00 in cash per share of Chart Common Stock.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3.01 (c)</w:t>
      </w:r>
    </w:p>
    <w:p>
      <w:pPr>
        <w:spacing w:line="278" w:lineRule="auto" w:before="20" w:after="0"/>
        <w:ind w:left="360" w:hanging="360"/>
        <w:tabs>
          <w:tab w:val="left" w:pos="360"/>
        </w:tabs>
      </w:pPr>
      <w:r>
        <w:rPr>
          <w:rFonts w:ascii="Aptos" w:hAnsi="Aptos"/>
          <w:sz w:val="21"/>
        </w:rPr>
        <w:t>+</w:t>
        <w:tab/>
      </w:r>
      <w:r>
        <w:rPr>
          <w:rFonts w:ascii="Aptos" w:hAnsi="Aptos"/>
          <w:sz w:val="21"/>
        </w:rPr>
        <w:t>The target company is not permitted to declare, set aside, or pay any dividends on its capital stock, voting securities, or other equity interests prior to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 (b) (i)</w:t>
      </w:r>
    </w:p>
    <w:p>
      <w:pPr>
        <w:spacing w:line="278" w:lineRule="auto" w:before="20" w:after="0"/>
        <w:ind w:left="360" w:hanging="360"/>
        <w:tabs>
          <w:tab w:val="left" w:pos="360"/>
        </w:tabs>
      </w:pPr>
      <w:r>
        <w:rPr>
          <w:rFonts w:ascii="Aptos" w:hAnsi="Aptos"/>
          <w:sz w:val="21"/>
        </w:rPr>
        <w:t>+</w:t>
        <w:tab/>
      </w:r>
      <w:r>
        <w:rPr>
          <w:rFonts w:ascii="Aptos" w:hAnsi="Aptos"/>
          <w:sz w:val="21"/>
        </w:rPr>
        <w:t>The Parent is not allowed to pay dividends prior to the closing of the merger agreement.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 (b) (i)</w:t>
      </w:r>
    </w:p>
    <w:p>
      <w:pPr>
        <w:pStyle w:val="Heading2"/>
      </w:pPr>
      <w:r>
        <w:t>Conditions</w:t>
      </w:r>
    </w:p>
    <w:p>
      <w:pPr>
        <w:spacing w:line="278" w:lineRule="auto" w:before="20" w:after="0"/>
        <w:ind w:left="360" w:hanging="360"/>
        <w:tabs>
          <w:tab w:val="left" w:pos="360"/>
        </w:tabs>
      </w:pPr>
      <w:r>
        <w:rPr>
          <w:rFonts w:ascii="Aptos" w:hAnsi="Aptos"/>
          <w:sz w:val="21"/>
        </w:rPr>
        <w:t>+</w:t>
        <w:tab/>
      </w:r>
      <w:r>
        <w:rPr>
          <w:rFonts w:ascii="Aptos" w:hAnsi="Aptos"/>
          <w:sz w:val="21"/>
        </w:rPr>
        <w:t>Mutual conditions include: obtaining the Chart Stockholder Approval and the Required Regulatory Approvals, and ensuring that no Legal Restraint is in effect that would prevent, make illegal, enjoin, or prohibit the consummation of the merger, as per the terms of the merger agreement.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8.01</w:t>
      </w:r>
    </w:p>
    <w:p>
      <w:pPr>
        <w:spacing w:line="278" w:lineRule="auto" w:before="20" w:after="0"/>
        <w:ind w:left="360" w:hanging="360"/>
        <w:tabs>
          <w:tab w:val="left" w:pos="360"/>
        </w:tabs>
      </w:pPr>
      <w:r>
        <w:rPr>
          <w:rFonts w:ascii="Aptos" w:hAnsi="Aptos"/>
          <w:sz w:val="21"/>
        </w:rPr>
        <w:t>+</w:t>
        <w:tab/>
      </w:r>
      <w:r>
        <w:rPr>
          <w:rFonts w:ascii="Aptos" w:hAnsi="Aptos"/>
          <w:sz w:val="21"/>
        </w:rPr>
        <w:t>The closing of the agreement between Parent and Chart is contingent upon the accuracy of Chart's representations and warranties, the fulfillment of its obligations under the agreement, and the absence of any Chart Material Adverse Effect since the agreement's inception, all of which must be certified by an executive officer of Chart at the time of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8.02</w:t>
      </w:r>
    </w:p>
    <w:p>
      <w:pPr>
        <w:spacing w:line="278" w:lineRule="auto" w:before="20" w:after="0"/>
        <w:ind w:left="360" w:hanging="360"/>
        <w:tabs>
          <w:tab w:val="left" w:pos="360"/>
        </w:tabs>
      </w:pPr>
      <w:r>
        <w:rPr>
          <w:rFonts w:ascii="Aptos" w:hAnsi="Aptos"/>
          <w:sz w:val="21"/>
        </w:rPr>
        <w:t>+</w:t>
        <w:tab/>
      </w:r>
      <w:r>
        <w:rPr>
          <w:rFonts w:ascii="Aptos" w:hAnsi="Aptos"/>
          <w:sz w:val="21"/>
        </w:rPr>
        <w:t>The document does not specify any conditions to the company's obligation to close the transaction, implying that there may be no specific contingencies or prerequisites that the company must meet prior to the completion of the merger and acquisition process.</w:t>
      </w:r>
    </w:p>
    <w:p>
      <w:pPr>
        <w:pStyle w:val="Heading2"/>
      </w:pPr>
      <w:r>
        <w:t>Proxy, Shareholder Vote, Dissenting Shares</w:t>
      </w:r>
    </w:p>
    <w:p>
      <w:pPr>
        <w:spacing w:line="278" w:lineRule="auto" w:before="20" w:after="0"/>
        <w:ind w:left="360" w:hanging="360"/>
        <w:tabs>
          <w:tab w:val="left" w:pos="360"/>
        </w:tabs>
      </w:pPr>
      <w:r>
        <w:rPr>
          <w:rFonts w:ascii="Aptos" w:hAnsi="Aptos"/>
          <w:sz w:val="21"/>
        </w:rPr>
        <w:t>+</w:t>
        <w:tab/>
      </w:r>
      <w:r>
        <w:rPr>
          <w:rFonts w:ascii="Aptos" w:hAnsi="Aptos"/>
          <w:sz w:val="21"/>
        </w:rPr>
        <w:t>Following the agreement date, Chart will promptly prepare and file a preliminary proxy statement with the SEC. The parties will jointly prepare and file the Joint Proxy Statement/Prospectus, and Parent will prepare and file a Registration Statement on Form F-4. Within 25 Business Days, Company will file the preliminary Proxy Statement.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(a)</w:t>
      </w:r>
    </w:p>
    <w:p>
      <w:pPr>
        <w:spacing w:line="278" w:lineRule="auto" w:before="20" w:after="0"/>
        <w:ind w:left="360" w:hanging="360"/>
        <w:tabs>
          <w:tab w:val="left" w:pos="360"/>
        </w:tabs>
      </w:pPr>
      <w:r>
        <w:rPr>
          <w:rFonts w:ascii="Aptos" w:hAnsi="Aptos"/>
          <w:sz w:val="21"/>
        </w:rPr>
        <w:t>+</w:t>
        <w:tab/>
      </w:r>
      <w:r>
        <w:rPr>
          <w:rFonts w:ascii="Aptos" w:hAnsi="Aptos"/>
          <w:sz w:val="21"/>
        </w:rPr>
        <w:t>Subject to the satisfaction or waiver of certain conditions, the merger can be effected only after obtaining the approval of the target company's shareholders and the parent company's shareholders, with no specific voting threshold required by law, organizational documents, or exchange rules for the parent company.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8.01 (a)</w:t>
      </w:r>
    </w:p>
    <w:p>
      <w:pPr>
        <w:spacing w:line="278" w:lineRule="auto" w:before="20" w:after="0"/>
        <w:ind w:left="360" w:hanging="360"/>
        <w:tabs>
          <w:tab w:val="left" w:pos="360"/>
        </w:tabs>
      </w:pPr>
      <w:r>
        <w:rPr>
          <w:rFonts w:ascii="Aptos" w:hAnsi="Aptos"/>
          <w:sz w:val="21"/>
        </w:rPr>
        <w:t>+</w:t>
        <w:tab/>
      </w:r>
      <w:r>
        <w:rPr>
          <w:rFonts w:ascii="Aptos" w:hAnsi="Aptos"/>
          <w:sz w:val="21"/>
        </w:rPr>
        <w:t>Chart and Baker Hughes, along with their respective Subsidiaries, are required to use their reasonable best efforts to consummate the Merger under this Agreement and applicable Laws and Judgments.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(a)</w:t>
      </w:r>
    </w:p>
    <w:p>
      <w:pPr>
        <w:spacing w:line="278" w:lineRule="auto" w:before="20" w:after="0"/>
        <w:ind w:left="360" w:hanging="360"/>
        <w:tabs>
          <w:tab w:val="left" w:pos="360"/>
        </w:tabs>
      </w:pPr>
      <w:r>
        <w:rPr>
          <w:rFonts w:ascii="Aptos" w:hAnsi="Aptos"/>
          <w:sz w:val="21"/>
        </w:rPr>
        <w:t>+</w:t>
        <w:tab/>
      </w:r>
      <w:r>
        <w:rPr>
          <w:rFonts w:ascii="Aptos" w:hAnsi="Aptos"/>
          <w:sz w:val="21"/>
        </w:rPr>
        <w:t>Chart shall convene and hold the Chart Stockholders Meeting as soon as reasonably practicable following the mailing of the Proxy Statement for the purpose of obtaining the Chart Stockholder Approval.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(d)</w:t>
      </w:r>
    </w:p>
    <w:p>
      <w:pPr>
        <w:spacing w:line="278" w:lineRule="auto" w:before="20" w:after="0"/>
        <w:ind w:left="360" w:hanging="360"/>
        <w:tabs>
          <w:tab w:val="left" w:pos="360"/>
        </w:tabs>
      </w:pPr>
      <w:r>
        <w:rPr>
          <w:rFonts w:ascii="Aptos" w:hAnsi="Aptos"/>
          <w:sz w:val="21"/>
        </w:rPr>
        <w:t>+</w:t>
        <w:tab/>
      </w:r>
      <w:r>
        <w:rPr>
          <w:rFonts w:ascii="Aptos" w:hAnsi="Aptos"/>
          <w:sz w:val="21"/>
        </w:rPr>
        <w:t>The Chart Stockholders Meeting may be adjourned or postponed for up to 10 days, or 15 days if there are insufficient shares represented to constitute a quorum, without Baker Hughes' consent. The meeting cannot be postponed or adjourned to a date on or after three Business Days prior to the Outside Date.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(d)</w:t>
      </w:r>
    </w:p>
    <w:p>
      <w:pPr>
        <w:spacing w:line="278" w:lineRule="auto" w:before="20" w:after="0"/>
        <w:ind w:left="360" w:hanging="360"/>
        <w:tabs>
          <w:tab w:val="left" w:pos="360"/>
        </w:tabs>
      </w:pPr>
      <w:r>
        <w:rPr>
          <w:rFonts w:ascii="Aptos" w:hAnsi="Aptos"/>
          <w:sz w:val="21"/>
        </w:rPr>
        <w:t>+</w:t>
        <w:tab/>
      </w:r>
      <w:r>
        <w:rPr>
          <w:rFonts w:ascii="Aptos" w:hAnsi="Aptos"/>
          <w:sz w:val="21"/>
        </w:rPr>
        <w:t>The clause states that Chart shall solicit the Chart Stockholder Approval and, subject to Section 6.02(c), shall, through the Chart Board, recommend to its stockholders that they give the Chart Stockholder Approval and shall include such recommendation in the Proxy Statement. However, it does not provide an explicit timing for the company shareholder vote.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(d)</w:t>
      </w:r>
    </w:p>
    <w:p>
      <w:pPr>
        <w:spacing w:line="278" w:lineRule="auto" w:before="20" w:after="0"/>
        <w:ind w:left="360" w:hanging="360"/>
        <w:tabs>
          <w:tab w:val="left" w:pos="360"/>
        </w:tabs>
      </w:pPr>
      <w:r>
        <w:rPr>
          <w:rFonts w:ascii="Aptos" w:hAnsi="Aptos"/>
          <w:sz w:val="21"/>
        </w:rPr>
        <w:t>+</w:t>
        <w:tab/>
      </w:r>
      <w:r>
        <w:rPr>
          <w:rFonts w:ascii="Aptos" w:hAnsi="Aptos"/>
          <w:sz w:val="21"/>
        </w:rPr>
        <w:t>The agreement applies Standard Delaware Section 262 appraisal rights; no details on dissenting shares provided.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(d)</w:t>
      </w:r>
    </w:p>
    <w:p>
      <w:pPr>
        <w:pStyle w:val="Heading2"/>
      </w:pPr>
      <w:r>
        <w:t>Regulatory Best Efforts</w:t>
      </w:r>
    </w:p>
    <w:p>
      <w:pPr>
        <w:spacing w:line="278" w:lineRule="auto" w:before="20" w:after="0"/>
        <w:ind w:left="360" w:hanging="360"/>
        <w:tabs>
          <w:tab w:val="left" w:pos="360"/>
        </w:tabs>
      </w:pPr>
      <w:r>
        <w:rPr>
          <w:rFonts w:ascii="Aptos" w:hAnsi="Aptos"/>
          <w:sz w:val="21"/>
        </w:rPr>
        <w:t>+</w:t>
        <w:tab/>
      </w:r>
      <w:r>
        <w:rPr>
          <w:rFonts w:ascii="Aptos" w:hAnsi="Aptos"/>
          <w:sz w:val="21"/>
        </w:rPr>
        <w:t>The Regulatory Efforts Standard clause mandates both parties to use their reasonable best efforts to facilitate the merger, including obtaining all necessary regulatory approvals.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(a)</w:t>
      </w:r>
    </w:p>
    <w:p>
      <w:pPr>
        <w:spacing w:line="278" w:lineRule="auto" w:before="20" w:after="0"/>
        <w:ind w:left="360" w:hanging="360"/>
        <w:tabs>
          <w:tab w:val="left" w:pos="360"/>
        </w:tabs>
      </w:pPr>
      <w:r>
        <w:rPr>
          <w:rFonts w:ascii="Aptos" w:hAnsi="Aptos"/>
          <w:sz w:val="21"/>
        </w:rPr>
        <w:t>+</w:t>
        <w:tab/>
      </w:r>
      <w:r>
        <w:rPr>
          <w:rFonts w:ascii="Aptos" w:hAnsi="Aptos"/>
          <w:sz w:val="21"/>
        </w:rPr>
        <w:t>The HSR filing, a prerequisite for closing, must be submitted as soon as reasonably practicable post-agreement, in compliance with the HSR Act and relevant regulations.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(a)</w:t>
      </w:r>
    </w:p>
    <w:p>
      <w:pPr>
        <w:spacing w:line="278" w:lineRule="auto" w:before="20" w:after="0"/>
        <w:ind w:left="360" w:hanging="360"/>
        <w:tabs>
          <w:tab w:val="left" w:pos="360"/>
        </w:tabs>
      </w:pPr>
      <w:r>
        <w:rPr>
          <w:rFonts w:ascii="Aptos" w:hAnsi="Aptos"/>
          <w:sz w:val="21"/>
        </w:rPr>
        <w:t>+</w:t>
        <w:tab/>
      </w:r>
      <w:r>
        <w:rPr>
          <w:rFonts w:ascii="Aptos" w:hAnsi="Aptos"/>
          <w:sz w:val="21"/>
        </w:rPr>
        <w:t>Chart and Baker Hughes are obligated to coordinate for obtaining necessary Regulatory Approvals, including potential foreign filings under non-U.S. Antitrust Laws and Foreign Investment Laws.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w:t>
      </w:r>
    </w:p>
    <w:p>
      <w:pPr>
        <w:spacing w:line="278" w:lineRule="auto" w:before="20" w:after="0"/>
        <w:ind w:left="360" w:hanging="360"/>
        <w:tabs>
          <w:tab w:val="left" w:pos="360"/>
        </w:tabs>
      </w:pPr>
      <w:r>
        <w:rPr>
          <w:rFonts w:ascii="Aptos" w:hAnsi="Aptos"/>
          <w:sz w:val="21"/>
        </w:rPr>
        <w:t>+</w:t>
        <w:tab/>
      </w:r>
      <w:r>
        <w:rPr>
          <w:rFonts w:ascii="Aptos" w:hAnsi="Aptos"/>
          <w:sz w:val="21"/>
        </w:rPr>
        <w:t>Baker Hughes is not required to divest assets or businesses that would result in a loss exceeding 5% of the aggregate annual revenues of Chart and its subsidiaries. Furthermore, neither Baker Hughes nor Chart are obligated to accept any restriction that would have a materially adverse impact on their businesses or the anticipated benefits of the merger.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(a)</w:t>
      </w:r>
    </w:p>
    <w:p>
      <w:pPr>
        <w:spacing w:line="278" w:lineRule="auto" w:before="20" w:after="0"/>
        <w:ind w:left="360" w:hanging="360"/>
        <w:tabs>
          <w:tab w:val="left" w:pos="360"/>
        </w:tabs>
      </w:pPr>
      <w:r>
        <w:rPr>
          <w:rFonts w:ascii="Aptos" w:hAnsi="Aptos"/>
          <w:sz w:val="21"/>
        </w:rPr>
        <w:t>+</w:t>
        <w:tab/>
      </w:r>
      <w:r>
        <w:rPr>
          <w:rFonts w:ascii="Aptos" w:hAnsi="Aptos"/>
          <w:sz w:val="21"/>
        </w:rPr>
        <w:t>Baker Hughes, after reasonable consultation with Chart, shall control, lead, develop, and direct all communications and strategy for obtaining Regulatory Approvals under Antitrust Laws or Foreign Investment Laws, and for dealing with any Governmental Authority or defense strategy related to these laws.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(b)</w:t>
      </w:r>
    </w:p>
    <w:p>
      <w:pPr>
        <w:spacing w:line="278" w:lineRule="auto" w:before="20" w:after="0"/>
        <w:ind w:left="360" w:hanging="360"/>
        <w:tabs>
          <w:tab w:val="left" w:pos="360"/>
        </w:tabs>
      </w:pPr>
      <w:r>
        <w:rPr>
          <w:rFonts w:ascii="Aptos" w:hAnsi="Aptos"/>
          <w:sz w:val="21"/>
        </w:rPr>
        <w:t>+</w:t>
        <w:tab/>
      </w:r>
      <w:r>
        <w:rPr>
          <w:rFonts w:ascii="Aptos" w:hAnsi="Aptos"/>
          <w:sz w:val="21"/>
        </w:rPr>
        <w:t>Baker Hughes, after reasonable consultation with Chart, retains the right to control the timing and course of action for obtaining Regulatory Approvals under Antitrust Laws or Foreign Investment Laws. The clause does not specify any limitations such as consent rights or restrictions on pulling/refiling.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(b)</w:t>
      </w:r>
    </w:p>
    <w:p>
      <w:pPr>
        <w:spacing w:line="278" w:lineRule="auto" w:before="20" w:after="0"/>
        <w:ind w:left="360" w:hanging="360"/>
        <w:tabs>
          <w:tab w:val="left" w:pos="360"/>
        </w:tabs>
      </w:pPr>
      <w:r>
        <w:rPr>
          <w:rFonts w:ascii="Aptos" w:hAnsi="Aptos"/>
          <w:sz w:val="21"/>
        </w:rPr>
        <w:t>+</w:t>
        <w:tab/>
      </w:r>
      <w:r>
        <w:rPr>
          <w:rFonts w:ascii="Aptos" w:hAnsi="Aptos"/>
          <w:sz w:val="21"/>
        </w:rPr>
        <w:t>Each of the parties hereto is required to defend against any litigation.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w:t>
      </w:r>
    </w:p>
    <w:p>
      <w:pPr>
        <w:spacing w:line="278" w:lineRule="auto" w:before="20" w:after="0"/>
        <w:ind w:left="360" w:hanging="360"/>
        <w:tabs>
          <w:tab w:val="left" w:pos="360"/>
        </w:tabs>
      </w:pPr>
      <w:r>
        <w:rPr>
          <w:rFonts w:ascii="Aptos" w:hAnsi="Aptos"/>
          <w:sz w:val="21"/>
        </w:rPr>
        <w:t>+</w:t>
        <w:tab/>
      </w:r>
      <w:r>
        <w:rPr>
          <w:rFonts w:ascii="Aptos" w:hAnsi="Aptos"/>
          <w:sz w:val="21"/>
        </w:rPr>
        <w:t>Prior to the Effective Time, the parties are obligated to reasonably cooperate regarding any duties under applicable laws, collective bargaining agreements, or other contracts with labor organizations, unions, or works councils, to inform and consult with these entities about the Transactions.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7.04 (g)</w:t>
      </w:r>
    </w:p>
    <w:p>
      <w:pPr>
        <w:pStyle w:val="Heading2"/>
      </w:pPr>
      <w:r>
        <w:t>No Solicitation and Confidentiality Agreement</w:t>
      </w:r>
    </w:p>
    <w:p>
      <w:pPr>
        <w:spacing w:line="278" w:lineRule="auto" w:before="20" w:after="0"/>
        <w:ind w:left="360" w:hanging="360"/>
        <w:tabs>
          <w:tab w:val="left" w:pos="360"/>
        </w:tabs>
      </w:pPr>
      <w:r>
        <w:rPr>
          <w:rFonts w:ascii="Aptos" w:hAnsi="Aptos"/>
          <w:sz w:val="21"/>
        </w:rPr>
        <w:t>+</w:t>
        <w:tab/>
      </w:r>
      <w:r>
        <w:rPr>
          <w:rFonts w:ascii="Aptos" w:hAnsi="Aptos"/>
          <w:sz w:val="21"/>
        </w:rPr>
        <w:t>Chart makes itself available to negotiate with Baker Hughes in good faith during the four Business Days following receipt by Baker Hughes of the Chart Notice (the "Chart Notice Period").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6.02 (d)</w:t>
      </w:r>
    </w:p>
    <w:p>
      <w:pPr>
        <w:spacing w:line="278" w:lineRule="auto" w:before="20" w:after="0"/>
        <w:ind w:left="360" w:hanging="360"/>
        <w:tabs>
          <w:tab w:val="left" w:pos="360"/>
        </w:tabs>
      </w:pPr>
      <w:r>
        <w:rPr>
          <w:rFonts w:ascii="Aptos" w:hAnsi="Aptos"/>
          <w:sz w:val="21"/>
        </w:rPr>
        <w:t>+</w:t>
        <w:tab/>
      </w:r>
      <w:r>
        <w:rPr>
          <w:rFonts w:ascii="Aptos" w:hAnsi="Aptos"/>
          <w:sz w:val="21"/>
        </w:rPr>
        <w:t>Confidentiality Agreement dated July 18, 2025.</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w:t>
      </w:r>
    </w:p>
    <w:p>
      <w:pPr>
        <w:spacing w:line="278" w:lineRule="auto" w:before="20" w:after="0"/>
        <w:ind w:left="360" w:hanging="360"/>
        <w:tabs>
          <w:tab w:val="left" w:pos="360"/>
        </w:tabs>
      </w:pPr>
      <w:r>
        <w:rPr>
          <w:rFonts w:ascii="Aptos" w:hAnsi="Aptos"/>
          <w:sz w:val="21"/>
        </w:rPr>
        <w:t>+</w:t>
        <w:tab/>
      </w:r>
      <w:r>
        <w:rPr>
          <w:rFonts w:ascii="Aptos" w:hAnsi="Aptos"/>
          <w:sz w:val="21"/>
        </w:rPr>
        <w:t>Chart must inform Baker Hughes within 24 hours of receiving a Chart Takeover Proposal or any related inquiry or proposal, or within 48 hours if received by external Representatives.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6.02 (e)</w:t>
      </w:r>
    </w:p>
    <w:p>
      <w:pPr>
        <w:spacing w:line="278" w:lineRule="auto" w:before="20" w:after="0"/>
        <w:ind w:left="360" w:hanging="360"/>
        <w:tabs>
          <w:tab w:val="left" w:pos="360"/>
        </w:tabs>
      </w:pPr>
      <w:r>
        <w:rPr>
          <w:rFonts w:ascii="Aptos" w:hAnsi="Aptos"/>
          <w:sz w:val="21"/>
        </w:rPr>
        <w:t>+</w:t>
        <w:tab/>
      </w:r>
      <w:r>
        <w:rPr>
          <w:rFonts w:ascii="Aptos" w:hAnsi="Aptos"/>
          <w:sz w:val="21"/>
        </w:rPr>
        <w:t>Chart must advise Baker Hughes within 24 hours of receiving any Chart Takeover Proposal or related inquiry, detailing the proposal's terms, conditions, and proposer's identity, and provide proposal materials.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6.02 (e)</w:t>
      </w:r>
    </w:p>
    <w:p>
      <w:pPr>
        <w:spacing w:line="278" w:lineRule="auto" w:before="20" w:after="0"/>
        <w:ind w:left="360" w:hanging="360"/>
        <w:tabs>
          <w:tab w:val="left" w:pos="360"/>
        </w:tabs>
      </w:pPr>
      <w:r>
        <w:rPr>
          <w:rFonts w:ascii="Aptos" w:hAnsi="Aptos"/>
          <w:sz w:val="21"/>
        </w:rPr>
        <w:t>+</w:t>
        <w:tab/>
      </w:r>
      <w:r>
        <w:rPr>
          <w:rFonts w:ascii="Aptos" w:hAnsi="Aptos"/>
          <w:sz w:val="21"/>
        </w:rPr>
        <w:t>The text provided does not contain any specific details regarding an adverse board recommendation with regard to a superior offer.</w:t>
      </w:r>
    </w:p>
    <w:p>
      <w:pPr>
        <w:spacing w:line="278" w:lineRule="auto" w:before="20" w:after="0"/>
        <w:ind w:left="360" w:hanging="360"/>
        <w:tabs>
          <w:tab w:val="left" w:pos="360"/>
        </w:tabs>
      </w:pPr>
      <w:r>
        <w:rPr>
          <w:rFonts w:ascii="Aptos" w:hAnsi="Aptos"/>
          <w:sz w:val="21"/>
        </w:rPr>
        <w:t>+</w:t>
        <w:tab/>
      </w:r>
      <w:r>
        <w:rPr>
          <w:rFonts w:ascii="Aptos" w:hAnsi="Aptos"/>
          <w:sz w:val="21"/>
        </w:rPr>
        <w:t>Chart Intervening Event" refers to any significant event, development, or change in circumstances impacting Chart and its subsidiaries, that was not known to, or reasonably foreseeable by, the Chart Board prior to the agreement date, and does not involve or relate to any Chart Takeover Proposal.</w:t>
      </w:r>
    </w:p>
    <w:p>
      <w:pPr>
        <w:pStyle w:val="Heading2"/>
      </w:pPr>
      <w:r>
        <w:t>Financing</w:t>
      </w:r>
    </w:p>
    <w:p>
      <w:pPr>
        <w:spacing w:line="278" w:lineRule="auto" w:before="20" w:after="0"/>
        <w:ind w:left="360" w:hanging="360"/>
        <w:tabs>
          <w:tab w:val="left" w:pos="360"/>
        </w:tabs>
      </w:pPr>
      <w:r>
        <w:rPr>
          <w:rFonts w:ascii="Aptos" w:hAnsi="Aptos"/>
          <w:sz w:val="21"/>
        </w:rPr>
        <w:t>+</w:t>
        <w:tab/>
      </w:r>
      <w:r>
        <w:rPr>
          <w:rFonts w:ascii="Aptos" w:hAnsi="Aptos"/>
          <w:sz w:val="21"/>
        </w:rPr>
        <w:t>Baker Hughes has received committed financing from Goldman Sachs Bank USA, Goldman Sachs Lending Partners LLC, and Morgan Stanley Senior Funding, Inc.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p>
      <w:pPr>
        <w:spacing w:line="278" w:lineRule="auto" w:before="20" w:after="0"/>
        <w:ind w:left="360" w:hanging="360"/>
        <w:tabs>
          <w:tab w:val="left" w:pos="360"/>
        </w:tabs>
      </w:pPr>
      <w:r>
        <w:rPr>
          <w:rFonts w:ascii="Aptos" w:hAnsi="Aptos"/>
          <w:sz w:val="21"/>
        </w:rPr>
        <w:t>+</w:t>
        <w:tab/>
      </w:r>
      <w:r>
        <w:rPr>
          <w:rFonts w:ascii="Aptos" w:hAnsi="Aptos"/>
          <w:sz w:val="21"/>
        </w:rPr>
        <w:t>Baker Hughes is required to make a reasonable effort, along with its affiliates and representatives, to secure the Debt Financing before the closing, adhering to the terms and conditions, including 'market flex' provisions, outlined in the Debt Commitment Letter.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7.07 (a)</w:t>
      </w:r>
    </w:p>
    <w:p>
      <w:pPr>
        <w:spacing w:line="278" w:lineRule="auto" w:before="20" w:after="0"/>
        <w:ind w:left="360" w:hanging="360"/>
        <w:tabs>
          <w:tab w:val="left" w:pos="360"/>
        </w:tabs>
      </w:pPr>
      <w:r>
        <w:rPr>
          <w:rFonts w:ascii="Aptos" w:hAnsi="Aptos"/>
          <w:sz w:val="21"/>
        </w:rPr>
        <w:t>+</w:t>
        <w:tab/>
      </w:r>
      <w:r>
        <w:rPr>
          <w:rFonts w:ascii="Aptos" w:hAnsi="Aptos"/>
          <w:sz w:val="21"/>
        </w:rPr>
        <w:t>Baker Hughes must inform Chart if any part of the Debt Financing becomes unavailable, within 48 hours of gaining this knowledge. They are also obligated to make reasonable efforts to secure alternative financing promptly.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7.07 (c)</w:t>
      </w:r>
    </w:p>
    <w:p>
      <w:pPr>
        <w:pStyle w:val="Heading2"/>
      </w:pPr>
      <w:r>
        <w:t>Termination</w:t>
      </w:r>
    </w:p>
    <w:p>
      <w:pPr>
        <w:spacing w:line="278" w:lineRule="auto" w:before="20" w:after="0"/>
        <w:ind w:left="360" w:hanging="360"/>
        <w:tabs>
          <w:tab w:val="left" w:pos="360"/>
        </w:tabs>
      </w:pPr>
      <w:r>
        <w:rPr>
          <w:rFonts w:ascii="Aptos" w:hAnsi="Aptos"/>
          <w:sz w:val="21"/>
        </w:rPr>
        <w:t>+</w:t>
        <w:tab/>
      </w:r>
      <w:r>
        <w:rPr>
          <w:rFonts w:ascii="Aptos" w:hAnsi="Aptos"/>
          <w:sz w:val="21"/>
        </w:rPr>
        <w:t>The outside date is July 28, 2026. It can automatically extend for 6 months if all conditions to closing, except those related to Legal Restraints under Antitrust or Foreign Investment Law, are satisfied or reasonably capable of being satisfied. This extension is not available if the failure to close is due to a breach by the terminating party.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w:t>
      </w:r>
    </w:p>
    <w:p>
      <w:pPr>
        <w:spacing w:line="278" w:lineRule="auto" w:before="20" w:after="0"/>
        <w:ind w:left="360" w:hanging="360"/>
        <w:tabs>
          <w:tab w:val="left" w:pos="360"/>
        </w:tabs>
      </w:pPr>
      <w:r>
        <w:rPr>
          <w:rFonts w:ascii="Aptos" w:hAnsi="Aptos"/>
          <w:sz w:val="21"/>
        </w:rPr>
        <w:t>+</w:t>
        <w:tab/>
      </w:r>
      <w:r>
        <w:rPr>
          <w:rFonts w:ascii="Aptos" w:hAnsi="Aptos"/>
          <w:sz w:val="21"/>
        </w:rPr>
        <w:t>The right to terminate this Agreement under Section 9.01(b)(i) is unavailable to any party if the failure of the Merger to occur by the Outside Date is due to their breach of this Agreement, including Baker Hughes and Merger Sub.</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 (b) (i)</w:t>
      </w:r>
    </w:p>
    <w:p>
      <w:pPr>
        <w:pStyle w:val="Heading2"/>
      </w:pPr>
      <w:r>
        <w:t>Termination Rights</w:t>
      </w:r>
    </w:p>
    <w:p>
      <w:pPr>
        <w:spacing w:line="278" w:lineRule="auto" w:before="20" w:after="0"/>
        <w:ind w:left="360" w:hanging="360"/>
        <w:tabs>
          <w:tab w:val="left" w:pos="360"/>
        </w:tabs>
      </w:pPr>
      <w:r>
        <w:rPr>
          <w:rFonts w:ascii="Aptos" w:hAnsi="Aptos"/>
          <w:sz w:val="21"/>
        </w:rPr>
        <w:t>+</w:t>
        <w:tab/>
      </w:r>
      <w:r>
        <w:rPr>
          <w:rFonts w:ascii="Aptos" w:hAnsi="Aptos"/>
          <w:sz w:val="21"/>
        </w:rPr>
        <w:t>The merger agreement between Chart and Baker Hughes can be terminated under several conditions: (i) by mutual written consent of both parties, (ii) if the merger is not completed within twelve months from the agreement date, (iii) if there are legal restraints preventing the merger that have become final and non-appealable, or (iv) if Chart's stockholder approval is not obtained at a duly convened meeting. These termination rights apply to both Chart and Baker Hughes, ensuring fair and equal provisions for both parties involved.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w:t>
      </w:r>
    </w:p>
    <w:p>
      <w:pPr>
        <w:spacing w:line="278" w:lineRule="auto" w:before="20" w:after="0"/>
        <w:ind w:left="360" w:hanging="360"/>
        <w:tabs>
          <w:tab w:val="left" w:pos="360"/>
        </w:tabs>
      </w:pPr>
      <w:r>
        <w:rPr>
          <w:rFonts w:ascii="Aptos" w:hAnsi="Aptos"/>
          <w:sz w:val="21"/>
        </w:rPr>
        <w:t>+</w:t>
        <w:tab/>
      </w:r>
      <w:r>
        <w:rPr>
          <w:rFonts w:ascii="Aptos" w:hAnsi="Aptos"/>
          <w:sz w:val="21"/>
        </w:rPr>
        <w:t>Baker Hughes, the parent company, can terminate the agreement if Chart breaches any covenants, agreements, representations, or warranties that would cause a failure of conditions in Section 8.02(a) or 8.02(b), and such breach is not curable by the Outside Date or, if curable, is not cured within 45 days of receiving written notice, unless Baker Hughes is in material breach of its obligations. Additionally, Baker Hughes can terminate the agreement if a Chart Adverse Recommendation Change occurs or if Chart fails to include the Chart Recommendation in the Proxy Statement, unless the Chart Stockholder Approval has been obtained.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w:t>
      </w:r>
    </w:p>
    <w:p>
      <w:pPr>
        <w:spacing w:line="278" w:lineRule="auto" w:before="20" w:after="0"/>
        <w:ind w:left="360" w:hanging="360"/>
        <w:tabs>
          <w:tab w:val="left" w:pos="360"/>
        </w:tabs>
      </w:pPr>
      <w:r>
        <w:rPr>
          <w:rFonts w:ascii="Aptos" w:hAnsi="Aptos"/>
          <w:sz w:val="21"/>
        </w:rPr>
        <w:t>+</w:t>
        <w:tab/>
      </w:r>
      <w:r>
        <w:rPr>
          <w:rFonts w:ascii="Aptos" w:hAnsi="Aptos"/>
          <w:sz w:val="21"/>
        </w:rPr>
        <w:t>The merger agreement allows Chart to terminate under two conditions: (1) if a Baker Hughes Party breaches or fails to perform any of its covenants or agreements, or if any of the representations or warranties of a Baker Hughes Party are not true and correct, which would cause a failure of a condition in Section 8.03(a) or Section 8.03(b), and is not curable by the Outside Date or, if curable, is not cured within 45 days after receiving written notice, provided that Chart is not in material breach of its own obligations; (2) Chart can also terminate to enter into a definitive agreement with a Superior Chart Proposal prior to obtaining the Chart Stockholder Approval, provided it has complied with Section 6.02 and pays the Chart Termination Fee and Flowserve Termination Amount Refund due to Baker Hughes.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w:t>
      </w:r>
    </w:p>
    <w:p>
      <w:pPr>
        <w:spacing w:line="278" w:lineRule="auto" w:before="20" w:after="0"/>
        <w:ind w:left="360" w:hanging="360"/>
        <w:tabs>
          <w:tab w:val="left" w:pos="360"/>
        </w:tabs>
      </w:pPr>
      <w:r>
        <w:rPr>
          <w:rFonts w:ascii="Aptos" w:hAnsi="Aptos"/>
          <w:sz w:val="21"/>
        </w:rPr>
        <w:t>+</w:t>
        <w:tab/>
      </w:r>
      <w:r>
        <w:rPr>
          <w:rFonts w:ascii="Aptos" w:hAnsi="Aptos"/>
          <w:sz w:val="21"/>
        </w:rPr>
        <w:t>The agreement does not explicitly require an expense reimbursement if the merger is terminated due to failure to obtain shareholder approval by either the company or the parent. Therefore, no reimbursement fees apply for failure to obtain shareholder approval.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9.03 (e)</w:t>
      </w:r>
    </w:p>
    <w:p>
      <w:pPr>
        <w:pStyle w:val="Heading2"/>
      </w:pPr>
      <w:r>
        <w:t>Termination Fee Amounts</w:t>
      </w:r>
    </w:p>
    <w:p>
      <w:pPr>
        <w:spacing w:line="278" w:lineRule="auto" w:before="20" w:after="0"/>
        <w:ind w:left="360" w:hanging="360"/>
        <w:tabs>
          <w:tab w:val="left" w:pos="360"/>
        </w:tabs>
      </w:pPr>
      <w:r>
        <w:rPr>
          <w:rFonts w:ascii="Aptos" w:hAnsi="Aptos"/>
          <w:sz w:val="21"/>
        </w:rPr>
        <w:t>+</w:t>
        <w:tab/>
      </w:r>
      <w:r>
        <w:rPr>
          <w:rFonts w:ascii="Aptos" w:hAnsi="Aptos"/>
          <w:sz w:val="21"/>
        </w:rPr>
        <w:t>Company Termination Fee is equal to $250,000,000.</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p>
      <w:pPr>
        <w:spacing w:line="278" w:lineRule="auto" w:before="20" w:after="0"/>
        <w:ind w:left="360" w:hanging="360"/>
        <w:tabs>
          <w:tab w:val="left" w:pos="360"/>
        </w:tabs>
      </w:pPr>
      <w:r>
        <w:rPr>
          <w:rFonts w:ascii="Aptos" w:hAnsi="Aptos"/>
          <w:sz w:val="21"/>
        </w:rPr>
        <w:t>+</w:t>
        <w:tab/>
      </w:r>
      <w:r>
        <w:rPr>
          <w:rFonts w:ascii="Aptos" w:hAnsi="Aptos"/>
          <w:sz w:val="21"/>
        </w:rPr>
        <w:t>Parent Termination Fee is equal to $500,000,000.</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w:t>
      </w:r>
    </w:p>
    <w:p>
      <w:pPr>
        <w:spacing w:line="278" w:lineRule="auto" w:before="20" w:after="0"/>
        <w:ind w:left="360" w:hanging="360"/>
        <w:tabs>
          <w:tab w:val="left" w:pos="360"/>
        </w:tabs>
      </w:pPr>
      <w:r>
        <w:rPr>
          <w:rFonts w:ascii="Aptos" w:hAnsi="Aptos"/>
          <w:sz w:val="21"/>
        </w:rPr>
        <w:t>+</w:t>
        <w:tab/>
      </w:r>
      <w:r>
        <w:rPr>
          <w:rFonts w:ascii="Aptos" w:hAnsi="Aptos"/>
          <w:sz w:val="21"/>
        </w:rPr>
        <w:t>The termination fee is payable by Chart to Baker Hughes if the agreement is terminated under several conditions: (i) Baker Hughes terminates the agreement due to a Chart Adverse Recommendation Change (Section 9.01(e)); (ii) Chart terminates the agreement due to a Chart Superior Proposal (Section 9.01(f)); or (iii) the agreement is terminated due to an Outside Date (Section 9.01(b)(i)), Failure to Obtain Chart Stockholder Approval (Section 9.01(b)(iii)), or a Chart Terminable Breach (Section 9.01(d)), and a third party has announced an intention to make a Chart Takeover Proposal, and within twelve months of such termination, Chart or any Chart Subsidiary enters into a definitive Contract to consummate any Chart Takeover Proposal or any Chart Takeover Proposal is consummated.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9.03 (b)</w:t>
      </w:r>
    </w:p>
    <w:p>
      <w:pPr>
        <w:pStyle w:val="Heading2"/>
      </w:pPr>
      <w:r>
        <w:t>Ordinary Course Covenants</w:t>
      </w:r>
    </w:p>
    <w:p>
      <w:pPr>
        <w:spacing w:line="278" w:lineRule="auto" w:before="20" w:after="0"/>
        <w:ind w:left="360" w:hanging="360"/>
        <w:tabs>
          <w:tab w:val="left" w:pos="360"/>
        </w:tabs>
      </w:pPr>
      <w:r>
        <w:rPr>
          <w:rFonts w:ascii="Aptos" w:hAnsi="Aptos"/>
          <w:sz w:val="21"/>
        </w:rPr>
        <w:t>+</w:t>
        <w:tab/>
      </w:r>
      <w:r>
        <w:rPr>
          <w:rFonts w:ascii="Aptos" w:hAnsi="Aptos"/>
          <w:sz w:val="21"/>
        </w:rPr>
        <w:t>From the date of this Agreement to the Effective Time, Chart shall, and shall cause each Chart Subsidiary to, conduct its business in the ordinary course in all material respects and use commercially reasonable efforts to preserve intact its business organization and advantageous business relationships, maintain its assets and properties in good working order, and maintain in effect all of its material Permits, except for matters set forth in Section 6.01(b) of the Chart Disclosure Letter, as required by applicable Law or Judgment, or with the prior written consent of Baker Hughes.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 (b)</w:t>
      </w:r>
    </w:p>
    <w:p>
      <w:pPr>
        <w:pStyle w:val="Heading2"/>
      </w:pPr>
      <w:r>
        <w:t>Governing Law</w:t>
      </w:r>
    </w:p>
    <w:p>
      <w:pPr>
        <w:spacing w:line="278" w:lineRule="auto" w:before="20" w:after="0"/>
        <w:ind w:left="360" w:hanging="360"/>
        <w:tabs>
          <w:tab w:val="left" w:pos="360"/>
        </w:tabs>
      </w:pPr>
      <w:r>
        <w:rPr>
          <w:rFonts w:ascii="Aptos" w:hAnsi="Aptos"/>
          <w:sz w:val="21"/>
        </w:rPr>
        <w:t>+</w:t>
        <w:tab/>
      </w:r>
      <w:r>
        <w:rPr>
          <w:rFonts w:ascii="Aptos" w:hAnsi="Aptos"/>
          <w:sz w:val="21"/>
        </w:rPr>
        <w:t>This Agreement shall be governed by, and construed in accordance with, the Laws of the State of Delaware.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10.06 (a)</w:t>
      </w:r>
    </w:p>
    <w:p>
      <w:pPr>
        <w:pStyle w:val="Heading2"/>
      </w:pPr>
      <w:r>
        <w:t>Specific Performance</w:t>
      </w:r>
    </w:p>
    <w:p>
      <w:pPr>
        <w:spacing w:line="278" w:lineRule="auto" w:before="20" w:after="0"/>
        <w:ind w:left="360" w:hanging="360"/>
        <w:tabs>
          <w:tab w:val="left" w:pos="360"/>
        </w:tabs>
      </w:pPr>
      <w:r>
        <w:rPr>
          <w:rFonts w:ascii="Aptos" w:hAnsi="Aptos"/>
          <w:sz w:val="21"/>
        </w:rPr>
        <w:t>+</w:t>
        <w:tab/>
      </w:r>
      <w:r>
        <w:rPr>
          <w:rFonts w:ascii="Aptos" w:hAnsi="Aptos"/>
          <w:sz w:val="21"/>
        </w:rPr>
        <w:t>The contract allows for specific performance for all parties involved in the agreement.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10.08</w:t>
      </w:r>
    </w:p>
    <w:p>
      <w:pPr>
        <w:spacing w:line="278" w:lineRule="auto" w:before="20" w:after="0"/>
        <w:ind w:left="360" w:hanging="360"/>
        <w:tabs>
          <w:tab w:val="left" w:pos="360"/>
        </w:tabs>
      </w:pPr>
      <w:r>
        <w:rPr>
          <w:rFonts w:ascii="Aptos" w:hAnsi="Aptos"/>
          <w:sz w:val="21"/>
        </w:rPr>
        <w:t>+</w:t>
        <w:tab/>
      </w:r>
      <w:r>
        <w:rPr>
          <w:rFonts w:ascii="Aptos" w:hAnsi="Aptos"/>
          <w:sz w:val="21"/>
        </w:rPr>
        <w:t>Any action, claim, or dispute against any Financing Sources relating to this Agreement or the Debt Financing shall be governed by the laws of the State of New York.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10.06 (a)</w:t>
      </w:r>
    </w:p>
    <w:p>
      <w:pPr>
        <w:pStyle w:val="Heading2"/>
      </w:pPr>
      <w:r>
        <w:t>MAE Definitions</w:t>
      </w:r>
    </w:p>
    <w:p>
      <w:pPr>
        <w:spacing w:line="278" w:lineRule="auto" w:before="20" w:after="0"/>
        <w:ind w:left="360" w:hanging="360"/>
        <w:tabs>
          <w:tab w:val="left" w:pos="360"/>
        </w:tabs>
      </w:pPr>
      <w:r>
        <w:rPr>
          <w:rFonts w:ascii="Aptos" w:hAnsi="Aptos"/>
          <w:sz w:val="21"/>
        </w:rPr>
        <w:t>+</w:t>
        <w:tab/>
      </w:r>
      <w:r>
        <w:rPr>
          <w:rFonts w:ascii="Aptos" w:hAnsi="Aptos"/>
          <w:sz w:val="21"/>
        </w:rPr>
        <w:t>The Material Adverse Effect (MAE) carveouts in the merger agreement include changes in general industry conditions (1), changes in economic or political conditions, including securities, credit, financial or other capital markets (2), changes in Law or GAAP or accounting standards post-agreement (3), public announcement or existence of the agreement and its impact on relationships (4), acts of war, military activity, sabotage, civil disobedience or terrorism (5), natural disasters (6), public health events (7), changes in Chart's credit ratings (8), decline in market price or trading volume of Chart's securities (9), failure to meet projections or forecasts (10), and imposition or modification of tariffs, trade restrictions or other duties (11). These carveouts are not considered in determining a Chart Material Adverse Effect.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p>
      <w:pPr>
        <w:spacing w:line="278" w:lineRule="auto" w:before="20" w:after="0"/>
        <w:ind w:left="360" w:hanging="360"/>
        <w:tabs>
          <w:tab w:val="left" w:pos="360"/>
        </w:tabs>
      </w:pPr>
      <w:r>
        <w:rPr>
          <w:rFonts w:ascii="Aptos" w:hAnsi="Aptos"/>
          <w:sz w:val="21"/>
        </w:rPr>
        <w:t>+</w:t>
        <w:tab/>
      </w:r>
      <w:r>
        <w:rPr>
          <w:rFonts w:ascii="Aptos" w:hAnsi="Aptos"/>
          <w:sz w:val="21"/>
        </w:rPr>
        <w:t>MAE carve-outs appear standard but include "the imposition or modification of any tariffs, trade restrictions or other duties, including those arising from changes in trade policies or international relations, and the effects of any trade wars.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p>
      <w:pPr>
        <w:spacing w:line="278" w:lineRule="auto" w:before="20" w:after="0"/>
        <w:ind w:left="360" w:hanging="360"/>
        <w:tabs>
          <w:tab w:val="left" w:pos="360"/>
        </w:tabs>
      </w:pPr>
      <w:r>
        <w:rPr>
          <w:rFonts w:ascii="Aptos" w:hAnsi="Aptos"/>
          <w:sz w:val="21"/>
        </w:rPr>
        <w:t>+</w:t>
        <w:tab/>
      </w:r>
      <w:r>
        <w:rPr>
          <w:rFonts w:ascii="Aptos" w:hAnsi="Aptos"/>
          <w:sz w:val="21"/>
        </w:rPr>
        <w:t>The disproportionality clause in the merger agreement stipulates that any event or change referred to in clauses (1), (2), (3), (5), (7), or (11) may constitute a Chart Material Adverse Effect if it disproportionately impacts Chart and its Subsidiaries compared to other industry participants.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p>
      <w:pPr>
        <w:spacing w:line="278" w:lineRule="auto" w:before="20" w:after="0"/>
        <w:ind w:left="360" w:hanging="360"/>
        <w:tabs>
          <w:tab w:val="left" w:pos="360"/>
        </w:tabs>
      </w:pPr>
      <w:r>
        <w:rPr>
          <w:rFonts w:ascii="Aptos" w:hAnsi="Aptos"/>
          <w:sz w:val="21"/>
        </w:rPr>
        <w:t>+</w:t>
        <w:tab/>
      </w:r>
      <w:r>
        <w:rPr>
          <w:rFonts w:ascii="Aptos" w:hAnsi="Aptos"/>
          <w:sz w:val="21"/>
        </w:rPr>
        <w:t>The underlying facts or occurrences contributing to a change, decline, or failure in clauses (8), (9), and (10) may be considered in determining whether a Chart Material Adverse Effect has occurred or is reasonably expected to occur.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