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8-K Summary: CWAN</w:t>
      </w:r>
    </w:p>
    <w:p>
      <w:r>
        <w:rPr>
          <w:b/>
        </w:rPr>
        <w:t xml:space="preserve">Filing Date: </w:t>
      </w:r>
      <w:r>
        <w:t>02/17/26</w:t>
      </w:r>
      <w:r>
        <w:rPr>
          <w:b/>
        </w:rPr>
        <w:t xml:space="preserve">    Items: </w:t>
      </w:r>
      <w:r>
        <w:t>Item 7.01</w:t>
      </w:r>
    </w:p>
    <w:p>
      <w:pPr>
        <w:pStyle w:val="Heading1"/>
      </w:pPr>
      <w:r>
        <w:t>L1 — Headline</w:t>
      </w:r>
    </w:p>
    <w:p>
      <w:r>
        <w:rPr>
          <w:b/>
          <w:color w:val="003366"/>
          <w:sz w:val="28"/>
        </w:rPr>
        <w:t>CWAN – HSR early termination granted for merger. | 02/17/26</w:t>
      </w:r>
    </w:p>
    <w:p>
      <w:pPr>
        <w:pStyle w:val="Heading1"/>
      </w:pPr>
      <w:r>
        <w:t>L2 — Brief</w:t>
      </w:r>
    </w:p>
    <w:p>
      <w:r>
        <w:t>Clearwater Analytics announced early termination of the HSR Act waiting period was granted effective February 13, 2026 for its acquisition by GT Silver BidCo. The merger remains on track to close in Q2 2026, subject to stockholder approval requiring majority vote of outstanding shares and majority of disinterested stockholder votes cast.</w:t>
      </w:r>
    </w:p>
    <w:p>
      <w:pPr>
        <w:pStyle w:val="Heading1"/>
      </w:pPr>
      <w:r>
        <w:t>L3 — Detailed</w:t>
      </w:r>
    </w:p>
    <w:p>
      <w:pPr>
        <w:pStyle w:val="Heading2"/>
      </w:pPr>
      <w:r>
        <w:t>Event</w:t>
      </w:r>
    </w:p>
    <w:p>
      <w:r>
        <w:t>Early termination of HSR Act waiting period granted for the merger between Clearwater Analytics and GT Silver BidCo (announced December 20, 2025)</w:t>
      </w:r>
    </w:p>
    <w:p>
      <w:pPr>
        <w:pStyle w:val="Heading2"/>
      </w:pPr>
      <w:r>
        <w:t>Key Figures</w:t>
      </w:r>
    </w:p>
    <w:p>
      <w:pPr>
        <w:pStyle w:val="ListBullet"/>
      </w:pPr>
      <w:r>
        <w:t>HSR early termination effective: February 13, 2026</w:t>
      </w:r>
    </w:p>
    <w:p>
      <w:pPr>
        <w:pStyle w:val="ListBullet"/>
      </w:pPr>
      <w:r>
        <w:t>Original merger agreement date: December 20, 2025</w:t>
      </w:r>
    </w:p>
    <w:p>
      <w:pPr>
        <w:pStyle w:val="ListBullet"/>
      </w:pPr>
      <w:r>
        <w:t>Expected closing: Q2 2026</w:t>
      </w:r>
    </w:p>
    <w:p>
      <w:pPr>
        <w:pStyle w:val="ListBullet"/>
      </w:pPr>
      <w:r>
        <w:t>Stockholder vote required: (i) majority of outstanding voting power of Class A and Class B common stock, (ii) majority of votes cast by disinterested stockholders under DGCL Section 144</w:t>
      </w:r>
    </w:p>
    <w:p>
      <w:pPr>
        <w:pStyle w:val="Heading2"/>
      </w:pPr>
      <w:r>
        <w:t>Deal Implications</w:t>
      </w:r>
    </w:p>
    <w:p>
      <w:r>
        <w:t>Positive for deal probability - clearing HSR removes a key regulatory hurdle and keeps the transaction on track for Q2 2026 closing timeline</w:t>
      </w:r>
    </w:p>
    <w:p>
      <w:pPr>
        <w:pStyle w:val="Heading2"/>
      </w:pPr>
      <w:r>
        <w:t>Remaining Conditions</w:t>
      </w:r>
    </w:p>
    <w:p>
      <w:pPr>
        <w:pStyle w:val="ListBullet"/>
      </w:pPr>
      <w:r>
        <w:t>Stockholder approval - majority of outstanding Class A and Class B voting power</w:t>
      </w:r>
    </w:p>
    <w:p>
      <w:pPr>
        <w:pStyle w:val="ListBullet"/>
      </w:pPr>
      <w:r>
        <w:t>Majority approval of disinterested stockholders (DGCL Section 144 requirement)</w:t>
      </w:r>
    </w:p>
    <w:p>
      <w:pPr>
        <w:pStyle w:val="ListBullet"/>
      </w:pPr>
      <w:r>
        <w:t>Other customary closing conditions</w:t>
      </w:r>
    </w:p>
    <w:p>
      <w:pPr>
        <w:pStyle w:val="Heading2"/>
      </w:pPr>
      <w:r>
        <w:t>Risks Flagged</w:t>
      </w:r>
    </w:p>
    <w:p>
      <w:pPr>
        <w:pStyle w:val="ListBullet"/>
      </w:pPr>
      <w:r>
        <w:t>Potential shareholder litigation mentioned as risk factor</w:t>
      </w:r>
    </w:p>
    <w:p>
      <w:pPr>
        <w:pStyle w:val="ListBullet"/>
      </w:pPr>
      <w:r>
        <w:t>Schedule 13E-3 filing required (going-private transaction)</w:t>
      </w:r>
    </w:p>
    <w:p>
      <w:pPr>
        <w:pStyle w:val="ListBullet"/>
      </w:pPr>
      <w:r>
        <w:t>Risk of termination fee if deal fails</w:t>
      </w:r>
    </w:p>
    <w:p>
      <w:pPr>
        <w:pStyle w:val="ListBullet"/>
      </w:pPr>
      <w:r>
        <w:t>Employee retention risk during pendency</w:t>
      </w:r>
    </w:p>
    <w:p>
      <w:pPr>
        <w:pStyle w:val="ListBullet"/>
      </w:pPr>
      <w:r>
        <w:t>Customer/vendor relationship maintenance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