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000000"/>
          <w:sz w:val="24"/>
        </w:rPr>
        <w:t>Merger Agreement Clause Summaries</w:t>
      </w:r>
    </w:p>
    <w:p/>
    <w:p>
      <w:pPr>
        <w:spacing w:after="80"/>
      </w:pPr>
      <w:r>
        <w:rPr>
          <w:rFonts w:ascii="Aptos" w:hAnsi="Aptos"/>
          <w:b/>
          <w:color w:val="000000"/>
          <w:sz w:val="22"/>
          <w:u w:val="single"/>
        </w:rPr>
        <w:t>Concise Summary</w:t>
      </w:r>
    </w:p>
    <w:p>
      <w:pPr>
        <w:pStyle w:val="Heading2"/>
      </w:pPr>
      <w:r>
        <w:t>Presigning</w:t>
      </w:r>
    </w:p>
    <w:p>
      <w:pPr>
        <w:spacing w:line="278" w:lineRule="auto" w:before="20" w:after="0"/>
        <w:ind w:left="360" w:hanging="360"/>
        <w:tabs>
          <w:tab w:val="left" w:pos="360"/>
        </w:tabs>
      </w:pPr>
      <w:r>
        <w:rPr>
          <w:rFonts w:ascii="Aptos" w:hAnsi="Aptos"/>
          <w:sz w:val="21"/>
        </w:rPr>
        <w:t>+</w:t>
        <w:tab/>
      </w:r>
      <w:r>
        <w:rPr>
          <w:rFonts w:ascii="Aptos" w:hAnsi="Aptos"/>
          <w:sz w:val="21"/>
        </w:rPr>
        <w:t>Confidentiality Agreement dated January 14, 2026.</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7.03 (b)</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The merger has been approved by the board of directors of Kennedy-Wilson Holdings, Inc.; board approval by Kona Bidco, LLC is not stated in the excerpts, and no board approval is described as unanimous.</w:t>
      </w:r>
    </w:p>
    <w:p>
      <w:pPr>
        <w:spacing w:line="240" w:lineRule="auto"/>
        <w:ind w:left="1440" w:hanging="360"/>
        <w:tabs>
          <w:tab w:val="left" w:pos="1440"/>
        </w:tabs>
      </w:pPr>
      <w:r>
        <w:rPr>
          <w:rFonts w:ascii="Aptos" w:hAnsi="Aptos"/>
          <w:color w:val="000000"/>
          <w:sz w:val="16"/>
        </w:rPr>
        <w:t>○</w:t>
        <w:tab/>
      </w:r>
      <w:r>
        <w:rPr>
          <w:rFonts w:ascii="Aptos" w:hAnsi="Aptos"/>
          <w:sz w:val="20"/>
        </w:rPr>
        <w:t>References: Preamble; ARTICLE Preamble; Section 4.03</w:t>
      </w:r>
    </w:p>
    <w:p>
      <w:pPr>
        <w:spacing w:line="240" w:lineRule="auto"/>
        <w:ind w:left="1440" w:hanging="360"/>
        <w:tabs>
          <w:tab w:val="left" w:pos="1440"/>
        </w:tabs>
      </w:pPr>
    </w:p>
    <w:p>
      <w:pPr>
        <w:pStyle w:val="Heading2"/>
      </w:pPr>
      <w:r>
        <w:t>Consideration</w:t>
      </w:r>
    </w:p>
    <w:p>
      <w:pPr>
        <w:spacing w:line="278" w:lineRule="auto" w:before="20" w:after="0"/>
        <w:ind w:left="360" w:hanging="360"/>
        <w:tabs>
          <w:tab w:val="left" w:pos="360"/>
        </w:tabs>
      </w:pPr>
      <w:r>
        <w:rPr>
          <w:rFonts w:ascii="Aptos" w:hAnsi="Aptos"/>
          <w:sz w:val="21"/>
        </w:rPr>
        <w:t>+</w:t>
        <w:tab/>
      </w:r>
      <w:r>
        <w:rPr>
          <w:rFonts w:ascii="Aptos" w:hAnsi="Aptos"/>
          <w:sz w:val="21"/>
        </w:rPr>
        <w:t>Kennedy-Wilson Holdings, Inc. stockholders are entitled to receive $10.90 in cash per share for each share of Kennedy-Wilson Holdings, Inc. common stock (other than excluded, rollover and dissenting shares), with dissenting shares instead entitled to the appraised value under DGCL Section 262.</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3.01</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Kennedy-Wilson Holdings, Inc. may pay dividends prior to closing only as expressly permitted (including up to two ordinary-course quarterly cash dividends up to $0.12 per share before stockholder approval).</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6.01</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Dividend permissions for Kona Bidco, LLC prior to closing are not addressed in the excerpt.</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6.01</w:t>
      </w:r>
    </w:p>
    <w:p>
      <w:pPr>
        <w:spacing w:line="240" w:lineRule="auto"/>
        <w:ind w:left="1440" w:hanging="360"/>
        <w:tabs>
          <w:tab w:val="left" w:pos="1440"/>
        </w:tabs>
      </w:pPr>
    </w:p>
    <w:p>
      <w:pPr>
        <w:pStyle w:val="Heading2"/>
      </w:pPr>
      <w:r>
        <w:t>Conditions &amp; Financing</w:t>
      </w:r>
    </w:p>
    <w:p>
      <w:pPr>
        <w:spacing w:line="278" w:lineRule="auto" w:before="20" w:after="0"/>
        <w:ind w:left="360" w:hanging="360"/>
        <w:tabs>
          <w:tab w:val="left" w:pos="360"/>
        </w:tabs>
      </w:pPr>
      <w:r>
        <w:rPr>
          <w:rFonts w:ascii="Aptos" w:hAnsi="Aptos"/>
          <w:sz w:val="21"/>
        </w:rPr>
        <w:t>+</w:t>
        <w:tab/>
      </w:r>
      <w:r>
        <w:rPr>
          <w:rFonts w:ascii="Aptos" w:hAnsi="Aptos"/>
          <w:sz w:val="21"/>
        </w:rPr>
        <w:t>Subject to the Company Stockholder Approvals: majority outstanding voting power and majority votes cast excluding Security Holders.</w:t>
      </w:r>
    </w:p>
    <w:p>
      <w:pPr>
        <w:spacing w:line="240" w:lineRule="auto"/>
        <w:ind w:left="1440" w:hanging="360"/>
        <w:tabs>
          <w:tab w:val="left" w:pos="1440"/>
        </w:tabs>
      </w:pPr>
      <w:r>
        <w:rPr>
          <w:rFonts w:ascii="Aptos" w:hAnsi="Aptos"/>
          <w:color w:val="000000"/>
          <w:sz w:val="16"/>
        </w:rPr>
        <w:t>○</w:t>
        <w:tab/>
      </w:r>
      <w:r>
        <w:rPr>
          <w:rFonts w:ascii="Aptos" w:hAnsi="Aptos"/>
          <w:sz w:val="20"/>
        </w:rPr>
        <w:t xml:space="preserve">References: Section 8.01; Section 8.01 (a); Section 4.05; </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Closing requires expiration or termination of all waiting periods and receipt of antitrust and FDI clearances.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8.01 (c)</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Kona Bidco, LLC has received committed equity financing from Fairfax Financial Holdings Limited under the Equity Commitment Letter.</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5.07</w:t>
      </w:r>
    </w:p>
    <w:p>
      <w:pPr>
        <w:spacing w:line="240" w:lineRule="auto"/>
        <w:ind w:left="1440" w:hanging="360"/>
        <w:tabs>
          <w:tab w:val="left" w:pos="1440"/>
        </w:tabs>
      </w:pPr>
    </w:p>
    <w:p>
      <w:pPr>
        <w:pStyle w:val="Heading2"/>
      </w:pPr>
      <w:r>
        <w:t>Regulatory</w:t>
      </w:r>
    </w:p>
    <w:p>
      <w:pPr>
        <w:spacing w:line="278" w:lineRule="auto" w:before="20" w:after="0"/>
        <w:ind w:left="360" w:hanging="360"/>
        <w:tabs>
          <w:tab w:val="left" w:pos="360"/>
        </w:tabs>
      </w:pPr>
      <w:r>
        <w:rPr>
          <w:rFonts w:ascii="Aptos" w:hAnsi="Aptos"/>
          <w:sz w:val="21"/>
        </w:rPr>
        <w:t>+</w:t>
        <w:tab/>
      </w:r>
      <w:r>
        <w:rPr>
          <w:rFonts w:ascii="Aptos" w:hAnsi="Aptos"/>
          <w:sz w:val="21"/>
        </w:rPr>
        <w:t>Outside Date is November 16, 2026; extendable by mutual written consent of Kennedy-Wilson Holdings, Inc. and Kona Bidco, LLC.</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9.01 (d)</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No obligation for Kona Bidco, LLC to divest or accept restrictions if they’d reasonably be expected to cause an MAE to Kennedy-Wilson Holdings, Inc., and no remedies required on Kona Bidco, LLC’s own businesses.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7.06 (b); Section 10.08; Section 7.06</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Kennedy-Wilson Holdings, Inc., acting at the direction of the Special Committee, controls Transaction Litigation strategy and settlement, subject to Kona Bidco, LLC review/comment rights, participation/consultation rights, and consent to any settlement.</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7.14</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The excerpts do not address antitrust/regulatory approval timing control; they only provide that Kennedy-Wilson Holdings, Inc. controls Transaction Litigation defense, subject to Kona Bidco, LLC consent for settlements.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7.14</w:t>
      </w:r>
    </w:p>
    <w:p>
      <w:pPr>
        <w:spacing w:line="240" w:lineRule="auto"/>
        <w:ind w:left="1440" w:hanging="360"/>
        <w:tabs>
          <w:tab w:val="left" w:pos="1440"/>
        </w:tabs>
      </w:pPr>
    </w:p>
    <w:p>
      <w:pPr>
        <w:pStyle w:val="Heading2"/>
      </w:pPr>
      <w:r>
        <w:t>Competing Bid - Company</w:t>
      </w:r>
    </w:p>
    <w:p>
      <w:pPr>
        <w:spacing w:line="278" w:lineRule="auto" w:before="20" w:after="0"/>
        <w:ind w:left="360" w:hanging="360"/>
        <w:tabs>
          <w:tab w:val="left" w:pos="360"/>
        </w:tabs>
      </w:pPr>
      <w:r>
        <w:rPr>
          <w:rFonts w:ascii="Aptos" w:hAnsi="Aptos"/>
          <w:sz w:val="21"/>
        </w:rPr>
        <w:t>+</w:t>
        <w:tab/>
      </w:r>
      <w:r>
        <w:rPr>
          <w:rFonts w:ascii="Aptos" w:hAnsi="Aptos"/>
          <w:sz w:val="21"/>
        </w:rPr>
        <w:t>If terminated for a Superior Proposal, Kennedy-Wilson Holdings, Inc. pays Kona Bidco, LLC $42,700,000.</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9.01 (f) (i); Section 9.03 (a)</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No reimbursement fees apply for failure to obtain shareholder approval. Kennedy-Wilson Holdings, Inc. owes Kona Bidco, LLC $42,700,000 only for terminations under Sections 9.01(e)(i) or 9.01(f)(i).</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9.03</w:t>
      </w:r>
    </w:p>
    <w:p>
      <w:pPr>
        <w:spacing w:line="240" w:lineRule="auto"/>
        <w:ind w:left="1440" w:hanging="360"/>
        <w:tabs>
          <w:tab w:val="left" w:pos="1440"/>
        </w:tabs>
      </w:pPr>
    </w:p>
    <w:p>
      <w:pPr>
        <w:pStyle w:val="Heading2"/>
      </w:pPr>
      <w:r>
        <w:t>Competing Bid - Parent</w:t>
      </w:r>
    </w:p>
    <w:p>
      <w:pPr>
        <w:spacing w:line="278" w:lineRule="auto" w:before="20" w:after="0"/>
        <w:ind w:left="360" w:hanging="360"/>
        <w:tabs>
          <w:tab w:val="left" w:pos="360"/>
        </w:tabs>
      </w:pPr>
      <w:r>
        <w:rPr>
          <w:rFonts w:ascii="Aptos" w:hAnsi="Aptos"/>
          <w:sz w:val="21"/>
        </w:rPr>
        <w:t>+</w:t>
        <w:tab/>
      </w:r>
      <w:r>
        <w:rPr>
          <w:rFonts w:ascii="Aptos" w:hAnsi="Aptos"/>
          <w:sz w:val="21"/>
        </w:rPr>
        <w:t>No reimbursement fees apply for failure to obtain shareholder approval. The excerpts only require Kona Bidco, LLC to pay governmental filing fees (Section 7.06(a)), not termination/vote-failure reimbursements.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7.06</w:t>
      </w:r>
    </w:p>
    <w:p>
      <w:pPr>
        <w:spacing w:line="240" w:lineRule="auto"/>
        <w:ind w:left="1440" w:hanging="360"/>
        <w:tabs>
          <w:tab w:val="left" w:pos="1440"/>
        </w:tabs>
      </w:pPr>
    </w:p>
    <w:p>
      <w:pPr>
        <w:pStyle w:val="Heading2"/>
      </w:pPr>
      <w:r>
        <w:t>Other Items</w:t>
      </w:r>
    </w:p>
    <w:p>
      <w:pPr>
        <w:spacing w:line="278" w:lineRule="auto" w:before="20" w:after="0"/>
        <w:ind w:left="360" w:hanging="360"/>
        <w:tabs>
          <w:tab w:val="left" w:pos="360"/>
        </w:tabs>
      </w:pPr>
      <w:r>
        <w:rPr>
          <w:rFonts w:ascii="Aptos" w:hAnsi="Aptos"/>
          <w:sz w:val="21"/>
        </w:rPr>
        <w:t>+</w:t>
        <w:tab/>
      </w:r>
      <w:r>
        <w:rPr>
          <w:rFonts w:ascii="Aptos" w:hAnsi="Aptos"/>
          <w:sz w:val="21"/>
        </w:rPr>
        <w:t>During the Pre-Closing Period, Kennedy-Wilson Holdings, Inc. shall use its commercially reasonable efforts.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6.01</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MAE carve-outs appear standard and include tariffs and trade wars, and cyberattack as a standalone force majeure-type exclusion. They also include a Section 4.04-specific limitation on the deal-announcement/pendency carve-out.</w:t>
      </w:r>
    </w:p>
    <w:p>
      <w:pPr>
        <w:spacing w:line="240" w:lineRule="auto"/>
        <w:ind w:left="1440" w:hanging="360"/>
        <w:tabs>
          <w:tab w:val="left" w:pos="1440"/>
        </w:tabs>
      </w:pPr>
      <w:r>
        <w:rPr>
          <w:rFonts w:ascii="Aptos" w:hAnsi="Aptos"/>
          <w:color w:val="000000"/>
          <w:sz w:val="16"/>
        </w:rPr>
        <w:t>○</w:t>
        <w:tab/>
      </w:r>
      <w:r>
        <w:rPr>
          <w:rFonts w:ascii="Aptos" w:hAnsi="Aptos"/>
          <w:sz w:val="20"/>
        </w:rPr>
        <w:t>References: Definition &gt; Material Adverse Effect</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Specific performance: non-breaching party; Kennedy-Wilson Holdings, Inc. against Kona Bidco, LLC and Kona Merger Subsidiary, Inc.</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10.08</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This Agreement shall be governed by and construed in accordance with the Laws of the State of Delaware.</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10.09</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Any legal action involving the Financing Parties shall be subject to the exclusive jurisdiction of any federal or state court in the Borough of Manhattan, New York, New York.</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10.18 (a)</w:t>
      </w:r>
    </w:p>
    <w:p>
      <w:pPr>
        <w:spacing w:line="240" w:lineRule="auto"/>
        <w:ind w:left="1440" w:hanging="360"/>
        <w:tabs>
          <w:tab w:val="left" w:pos="1440"/>
        </w:tabs>
      </w:pPr>
    </w:p>
    <w:p>
      <w:pPr>
        <w:spacing w:after="80"/>
      </w:pPr>
      <w:r>
        <w:rPr>
          <w:rFonts w:ascii="Aptos" w:hAnsi="Aptos"/>
          <w:b/>
          <w:color w:val="000000"/>
          <w:sz w:val="22"/>
          <w:u w:val="single"/>
        </w:rPr>
        <w:t>Fulsome Summary</w:t>
      </w:r>
    </w:p>
    <w:p>
      <w:pPr>
        <w:pStyle w:val="Heading2"/>
      </w:pPr>
      <w:r>
        <w:t>Party Details</w:t>
      </w:r>
    </w:p>
    <w:p>
      <w:pPr>
        <w:spacing w:line="278" w:lineRule="auto" w:before="20" w:after="0"/>
        <w:ind w:left="360" w:hanging="360"/>
        <w:tabs>
          <w:tab w:val="left" w:pos="360"/>
        </w:tabs>
      </w:pPr>
      <w:r>
        <w:rPr>
          <w:rFonts w:ascii="Aptos" w:hAnsi="Aptos"/>
          <w:sz w:val="21"/>
        </w:rPr>
        <w:t>+</w:t>
        <w:tab/>
      </w:r>
      <w:r>
        <w:rPr>
          <w:rFonts w:ascii="Aptos" w:hAnsi="Aptos"/>
          <w:sz w:val="21"/>
        </w:rPr>
        <w:t>Company is Kennedy-Wilson Holdings, Inc., a Delaware corporation.</w:t>
      </w:r>
    </w:p>
    <w:p>
      <w:pPr>
        <w:spacing w:line="240" w:lineRule="auto"/>
        <w:ind w:left="1440" w:hanging="360"/>
        <w:tabs>
          <w:tab w:val="left" w:pos="1440"/>
        </w:tabs>
      </w:pPr>
      <w:r>
        <w:rPr>
          <w:rFonts w:ascii="Aptos" w:hAnsi="Aptos"/>
          <w:color w:val="000000"/>
          <w:sz w:val="16"/>
        </w:rPr>
        <w:t>○</w:t>
        <w:tab/>
      </w:r>
      <w:r>
        <w:rPr>
          <w:rFonts w:ascii="Aptos" w:hAnsi="Aptos"/>
          <w:sz w:val="20"/>
        </w:rPr>
        <w:t>References: ARTICLE Preamble</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Acquirer is Kona Bidco, LLC, a Delaware limited liability company.</w:t>
      </w:r>
    </w:p>
    <w:p>
      <w:pPr>
        <w:spacing w:line="240" w:lineRule="auto"/>
        <w:ind w:left="1440" w:hanging="360"/>
        <w:tabs>
          <w:tab w:val="left" w:pos="1440"/>
        </w:tabs>
      </w:pPr>
      <w:r>
        <w:rPr>
          <w:rFonts w:ascii="Aptos" w:hAnsi="Aptos"/>
          <w:color w:val="000000"/>
          <w:sz w:val="16"/>
        </w:rPr>
        <w:t>○</w:t>
        <w:tab/>
      </w:r>
      <w:r>
        <w:rPr>
          <w:rFonts w:ascii="Aptos" w:hAnsi="Aptos"/>
          <w:sz w:val="20"/>
        </w:rPr>
        <w:t>References: ARTICLE Preamble</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Transaction structure: Reverse triangular merger. Surviving entity: Kennedy-Wilson Holdings, Inc. Supporting language: Section 2.04 states “Merger Sub shall cease, and [Kennedy-Wilson Holdings, Inc.] shall continue as the surviving corporation,” with Kona Merger Subsidiary, Inc. merging into it.</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2.04</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Kona Bidco, LLC, a Delaware limited liability company, guarantees Kona Merger Subsidiary, Inc.’s obligations; Merger Sub is wholly owned subsidiary.</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7.07</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Kona Merger Subsidiary, Inc. is a Delaware corporation and a wholly owned subsidiary of Kona Bidco, LLC. Kona Bidco, LLC is the sole stockholder of Kona Merger Subsidiary, Inc.</w:t>
      </w:r>
    </w:p>
    <w:p>
      <w:pPr>
        <w:spacing w:line="240" w:lineRule="auto"/>
        <w:ind w:left="1440" w:hanging="360"/>
        <w:tabs>
          <w:tab w:val="left" w:pos="1440"/>
        </w:tabs>
      </w:pPr>
      <w:r>
        <w:rPr>
          <w:rFonts w:ascii="Aptos" w:hAnsi="Aptos"/>
          <w:color w:val="000000"/>
          <w:sz w:val="16"/>
        </w:rPr>
        <w:t>○</w:t>
        <w:tab/>
      </w:r>
      <w:r>
        <w:rPr>
          <w:rFonts w:ascii="Aptos" w:hAnsi="Aptos"/>
          <w:sz w:val="20"/>
        </w:rPr>
        <w:t>References: ARTICLE Preamble</w:t>
      </w:r>
    </w:p>
    <w:p>
      <w:pPr>
        <w:spacing w:line="240" w:lineRule="auto"/>
        <w:ind w:left="1440" w:hanging="360"/>
        <w:tabs>
          <w:tab w:val="left" w:pos="1440"/>
        </w:tabs>
      </w:pPr>
    </w:p>
    <w:p>
      <w:pPr>
        <w:pStyle w:val="Heading2"/>
      </w:pPr>
      <w:r>
        <w:t>Board Approval</w:t>
      </w:r>
    </w:p>
    <w:p>
      <w:pPr>
        <w:spacing w:line="278" w:lineRule="auto" w:before="20" w:after="0"/>
        <w:ind w:left="360" w:hanging="360"/>
        <w:tabs>
          <w:tab w:val="left" w:pos="360"/>
        </w:tabs>
      </w:pPr>
      <w:r>
        <w:rPr>
          <w:rFonts w:ascii="Aptos" w:hAnsi="Aptos"/>
          <w:sz w:val="21"/>
        </w:rPr>
        <w:t>+</w:t>
        <w:tab/>
      </w:r>
      <w:r>
        <w:rPr>
          <w:rFonts w:ascii="Aptos" w:hAnsi="Aptos"/>
          <w:sz w:val="21"/>
        </w:rPr>
        <w:t>The merger has been approved by the board of directors of Kennedy-Wilson Holdings, Inc., and approval is not described as unanimous; board approval by Kona Bidco, LLC is not stated in the excerpts.</w:t>
      </w:r>
    </w:p>
    <w:p>
      <w:pPr>
        <w:spacing w:line="240" w:lineRule="auto"/>
        <w:ind w:left="1440" w:hanging="360"/>
        <w:tabs>
          <w:tab w:val="left" w:pos="1440"/>
        </w:tabs>
      </w:pPr>
      <w:r>
        <w:rPr>
          <w:rFonts w:ascii="Aptos" w:hAnsi="Aptos"/>
          <w:color w:val="000000"/>
          <w:sz w:val="16"/>
        </w:rPr>
        <w:t>○</w:t>
        <w:tab/>
      </w:r>
      <w:r>
        <w:rPr>
          <w:rFonts w:ascii="Aptos" w:hAnsi="Aptos"/>
          <w:sz w:val="20"/>
        </w:rPr>
        <w:t>References: Preamble; ARTICLE Preamble; Section 4.03</w:t>
      </w:r>
    </w:p>
    <w:p>
      <w:pPr>
        <w:spacing w:line="240" w:lineRule="auto"/>
        <w:ind w:left="1440" w:hanging="360"/>
        <w:tabs>
          <w:tab w:val="left" w:pos="1440"/>
        </w:tabs>
      </w:pPr>
    </w:p>
    <w:p>
      <w:pPr>
        <w:pStyle w:val="Heading2"/>
      </w:pPr>
      <w:r>
        <w:t>Closing</w:t>
      </w:r>
    </w:p>
    <w:p>
      <w:pPr>
        <w:spacing w:line="278" w:lineRule="auto" w:before="20" w:after="0"/>
        <w:ind w:left="360" w:hanging="360"/>
        <w:tabs>
          <w:tab w:val="left" w:pos="360"/>
        </w:tabs>
      </w:pPr>
      <w:r>
        <w:rPr>
          <w:rFonts w:ascii="Aptos" w:hAnsi="Aptos"/>
          <w:sz w:val="21"/>
        </w:rPr>
        <w:t>+</w:t>
        <w:tab/>
      </w:r>
      <w:r>
        <w:rPr>
          <w:rFonts w:ascii="Aptos" w:hAnsi="Aptos"/>
          <w:sz w:val="21"/>
        </w:rPr>
        <w:t>Closing occurs on the third Business Day after Article VIII conditions are satisfied/waived, unless Kona Bidco, LLC and Kennedy-Wilson Holdings, Inc. agree otherwise.</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2.02</w:t>
      </w:r>
    </w:p>
    <w:p>
      <w:pPr>
        <w:spacing w:line="240" w:lineRule="auto"/>
        <w:ind w:left="1440" w:hanging="360"/>
        <w:tabs>
          <w:tab w:val="left" w:pos="1440"/>
        </w:tabs>
      </w:pPr>
    </w:p>
    <w:p>
      <w:pPr>
        <w:pStyle w:val="Heading2"/>
      </w:pPr>
      <w:r>
        <w:t>Consideration and Dividends</w:t>
      </w:r>
    </w:p>
    <w:p>
      <w:pPr>
        <w:spacing w:line="278" w:lineRule="auto" w:before="20" w:after="0"/>
        <w:ind w:left="360" w:hanging="360"/>
        <w:tabs>
          <w:tab w:val="left" w:pos="360"/>
        </w:tabs>
      </w:pPr>
      <w:r>
        <w:rPr>
          <w:rFonts w:ascii="Aptos" w:hAnsi="Aptos"/>
          <w:sz w:val="21"/>
        </w:rPr>
        <w:t>+</w:t>
        <w:tab/>
      </w:r>
      <w:r>
        <w:rPr>
          <w:rFonts w:ascii="Aptos" w:hAnsi="Aptos"/>
          <w:sz w:val="21"/>
        </w:rPr>
        <w:t>Kennedy-Wilson Holdings, Inc. stockholders are entitled to receive $10.90 in cash per share of Kennedy-Wilson Holdings, Inc. common stock, except for excluded shares (cancelled for no consideration), rollover shares (not converted and no payment), and dissenting shares (entitled to appraised value under DGCL).</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3.01</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Kennedy-Wilson Holdings, Inc. may pay up to two ordinary-course quarterly cash dividends of no more than $0.12 per share before closing, but none may be declared on or after stockholder approval.</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6.01</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The excerpts do not address whether Kona Bidco, LLC is permitted to pay dividends prior to closing.</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6.01</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No dividend adjustment mechanism is stated in the excerpts; the $10.90 per-share cash merger consideration is fixed, and any “Final Dividend” is paid at the Effective Time from the Payment Fund.</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3.01</w:t>
      </w:r>
    </w:p>
    <w:p>
      <w:pPr>
        <w:spacing w:line="240" w:lineRule="auto"/>
        <w:ind w:left="1440" w:hanging="360"/>
        <w:tabs>
          <w:tab w:val="left" w:pos="1440"/>
        </w:tabs>
      </w:pPr>
    </w:p>
    <w:p>
      <w:pPr>
        <w:pStyle w:val="Heading2"/>
      </w:pPr>
      <w:r>
        <w:t>Conditions</w:t>
      </w:r>
    </w:p>
    <w:p>
      <w:pPr>
        <w:spacing w:line="278" w:lineRule="auto" w:before="20" w:after="0"/>
        <w:ind w:left="360" w:hanging="360"/>
        <w:tabs>
          <w:tab w:val="left" w:pos="360"/>
        </w:tabs>
      </w:pPr>
      <w:r>
        <w:rPr>
          <w:rFonts w:ascii="Aptos" w:hAnsi="Aptos"/>
          <w:sz w:val="21"/>
        </w:rPr>
        <w:t>+</w:t>
        <w:tab/>
      </w:r>
      <w:r>
        <w:rPr>
          <w:rFonts w:ascii="Aptos" w:hAnsi="Aptos"/>
          <w:sz w:val="21"/>
        </w:rPr>
        <w:t>Mutual conditions include: (i) the Company Stockholder Approvals of Kennedy-Wilson Holdings, Inc. being obtained at the Stockholders Meeting, (ii) the absence of any in-effect Law enacted, issued, promulgated, enforced or entered by any Governmental Authority of competent jurisdiction that enjoins, restrains, prohibits or makes illegal the consummation of the Merger, and (iii) expiration or termination of all applicable waiting periods (including extensions) and receipt of all antitrust and FDI clearances/approvals constituting the “Required Regulatory Approvals” (as set forth in Section 8.01(c) of the Parent Disclosure Letter).</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8.01</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No conditions precedent to Parent’s obligation to consummate the Closing were identified (i.e., Parent appears to have no specified closing conditions under the agreement).</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Kennedy-Wilson Holdings, Inc.’s obligation to close the Merger is conditioned on (i) Kona Bidco, LLC and Kona Merger Subsidiary, Inc.’s specified representations and warranties (including as to organization, authority, brokers, stockholder/management arrangements and certain operations matters) being true and correct at closing subject to the stated materiality/Parent Material Adverse Effect qualifiers, (ii) Kona Bidco, LLC and Kona Merger Subsidiary, Inc. having performed and complied in all material respects with their covenants and obligations required to be performed prior to the Effective Time, and (iii) Kona Bidco, LLC delivering an executive officer’s closing certificate certifying satisfaction of the foregoing conditions.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8.03</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Subject to the Company Stockholder Approvals having been obtained at the Stockholders Meeting; the excerpts do not state any voting threshold for such approvals or any parent shareholder approval requirement or threshold.</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8.01 (a)</w:t>
      </w:r>
    </w:p>
    <w:p>
      <w:pPr>
        <w:spacing w:line="240" w:lineRule="auto"/>
        <w:ind w:left="1440" w:hanging="360"/>
        <w:tabs>
          <w:tab w:val="left" w:pos="1440"/>
        </w:tabs>
      </w:pPr>
    </w:p>
    <w:p>
      <w:pPr>
        <w:pStyle w:val="Heading2"/>
      </w:pPr>
      <w:r>
        <w:t>Proxy, Shareholder Vote, Dissenting Shares</w:t>
      </w:r>
    </w:p>
    <w:p>
      <w:pPr>
        <w:spacing w:line="278" w:lineRule="auto" w:before="20" w:after="0"/>
        <w:ind w:left="360" w:hanging="360"/>
        <w:tabs>
          <w:tab w:val="left" w:pos="360"/>
        </w:tabs>
      </w:pPr>
      <w:r>
        <w:rPr>
          <w:rFonts w:ascii="Aptos" w:hAnsi="Aptos"/>
          <w:sz w:val="21"/>
        </w:rPr>
        <w:t>+</w:t>
        <w:tab/>
      </w:r>
      <w:r>
        <w:rPr>
          <w:rFonts w:ascii="Aptos" w:hAnsi="Aptos"/>
          <w:sz w:val="21"/>
        </w:rPr>
        <w:t>The Company and Parent shall cooperate to, as promptly as reasonably practicable after the date of this Agreement (and use reasonable best efforts within thirty (30) Business Days), prepare and file the Proxy Statement with the SEC.</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7.01 (a)</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Subject to applicable Laws, Kennedy-Wilson Holdings, Inc. and Kona Bidco, LLC shall use (and shall direct their respective Affiliates to use) reasonable best efforts to promptly cooperate in all respects; no proxy statement timing deadlines stated.</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7.06</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Kennedy-Wilson Holdings, Inc. shall convene and hold, as promptly as reasonably practicable after the SEC confirms it will not review, or has completed its review of, the Proxy Statement and Schedule 13E-3, the Stockholders Meeting.</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7.02</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Kennedy-Wilson Holdings, Inc. shall set record date not earlier than ten (10) Business Days after February 16, 2026; meeting held after SEC review. May postpone/recess/adjourn for clauses (i)-(iii); clause (iii) is quorum. No more than two (2) times under (ii)/(iii) without Kona Bidco, LLC consent; each not exceed ten (10) Business Days without consent; if requested by Kona Bidco, LLC on no more than two occasions, aggregate not exceed ten (10) Business Days.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7.02</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Subject to Section 7.04, Kennedy-Wilson Holdings, Inc. shall use its reasonable best efforts to obtain the Company Stockholder Approvals from the Company equityholders entitled to vote thereon, and the Stockholders Meeting shall be held “as promptly as reasonably practicable after the SEC confirms” its Proxy Statement/Schedule 13E-3 review is complete (with record date not earlier than ten (10) Business Days after February 16, 2026 without Kona Bidco, LLC’s consent).</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7.02</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Dissenting Shares: no Merger Consideration unless appraisal rights lost; Section 262 DGCL applies.</w:t>
      </w:r>
    </w:p>
    <w:p>
      <w:pPr>
        <w:spacing w:line="240" w:lineRule="auto"/>
        <w:ind w:left="1440" w:hanging="360"/>
        <w:tabs>
          <w:tab w:val="left" w:pos="1440"/>
        </w:tabs>
      </w:pPr>
    </w:p>
    <w:p>
      <w:pPr>
        <w:pStyle w:val="Heading2"/>
      </w:pPr>
      <w:r>
        <w:t>Regulatory Best Efforts</w:t>
      </w:r>
    </w:p>
    <w:p>
      <w:pPr>
        <w:spacing w:line="278" w:lineRule="auto" w:before="20" w:after="0"/>
        <w:ind w:left="360" w:hanging="360"/>
        <w:tabs>
          <w:tab w:val="left" w:pos="360"/>
        </w:tabs>
      </w:pPr>
      <w:r>
        <w:rPr>
          <w:rFonts w:ascii="Aptos" w:hAnsi="Aptos"/>
          <w:sz w:val="21"/>
        </w:rPr>
        <w:t>+</w:t>
        <w:tab/>
      </w:r>
      <w:r>
        <w:rPr>
          <w:rFonts w:ascii="Aptos" w:hAnsi="Aptos"/>
          <w:sz w:val="21"/>
        </w:rPr>
        <w:t>Kennedy-Wilson Holdings, Inc. must use RBE to support Kona Bidco, LLC’s Debt Financing.</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7.09</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Kona Bidco, LLC, Kona Merger Subsidiary, Inc. and Kennedy-Wilson Holdings, Inc. must promptly after signing make any required HSR/antitrust filings and supply requested information.</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7.06</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Kona Bidco, LLC, Kona Merger Subsidiary, Inc., and Kennedy-Wilson Holdings, Inc. must promptly make any required Foreign Investment Law filings; CFIUS is not specified.</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7.06 (a)</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Kona Bidco, LLC, Kona Merger Subsidiary, Inc., and Kennedy-Wilson Holdings, Inc. must make appropriate non-U.S. antitrust/merger-control and Foreign Investment Law filings promptly.</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7.06 (a)</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Kona Bidco, LLC (Parent) and Kona Merger Subsidiary, Inc. (Merger Sub) must use “reasonable best efforts” to obtain antitrust/FDI clearances and “avoid or eliminate each and every impediment,” including by “proposing, negotiating, committing to and effecting…hold separate orders, mitigation agreement or otherwise, the sale, divestiture, license or other disposition of the assets, properties or businesses of Kennedy-Wilson Holdings, Inc. (Company) or any Company Subsidiary,” and by “accepting any operational restrictions” on the Company businesses to be acquired. However, Kona Bidco, LLC, Kona Merger Subsidiary, Inc. and their Affiliates are not required to take remedy actions (A) “reasonably be expected to have a material adverse effect on” Kennedy-Wilson Holdings, Inc. and its subsidiaries, taken as a whole, or (B) “with respect to the assets, properties or businesses of” Kona Bidco, LLC or its Affiliates (so the Acquirer is not required to take Remedy Action involving its own business). No dollar/revenue/assets divestiture cap on Kennedy-Wilson Holdings, Inc. is stated in the excerpts; Required Regulatory Approvals are “as set forth in Section 8.01(c) of the Parent Disclosure Letter.”</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7.06</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Kennedy-Wilson Holdings, Inc., acting at the direction of the Special Committee, controls the overall defense, negotiation and settlement strategy for Transaction Litigation; provided Kona Bidco, LLC has review/comment rights on material filings (good-faith consideration), participation rights, consultation rights, and a prior written consent right over any compromise/settlement.</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7.14</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Kona Bidco, LLC and Kona Merger Subsidiary, Inc. are prohibited from extending any Antitrust Law/Foreign Investment Law waiting period, entering any agreement with a Governmental Authority to delay consummation, or pulling/refiling any such filing, in each case without the prior written consent of Kennedy-Wilson Holdings, Inc. (not unreasonably withheld, conditioned or delayed).</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7.06 (b)</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Kona Bidco, LLC and Kona Merger Subsidiary, Inc. are required to defend against any litigation.</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7.06</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During the pre-closing period, Kennedy-Wilson Holdings, Inc. must avoid organizational-document changes reasonably expected to materially delay, impede, or prevent the merger; no disclosure-letter procedure is provided, and no closing-condition impact is stated.</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6.01</w:t>
      </w:r>
    </w:p>
    <w:p>
      <w:pPr>
        <w:spacing w:line="240" w:lineRule="auto"/>
        <w:ind w:left="1440" w:hanging="360"/>
        <w:tabs>
          <w:tab w:val="left" w:pos="1440"/>
        </w:tabs>
      </w:pPr>
    </w:p>
    <w:p>
      <w:pPr>
        <w:pStyle w:val="Heading2"/>
      </w:pPr>
      <w:r>
        <w:t>No Solicitation and Confidentiality Agreement</w:t>
      </w:r>
    </w:p>
    <w:p>
      <w:pPr>
        <w:spacing w:line="278" w:lineRule="auto" w:before="20" w:after="0"/>
        <w:ind w:left="360" w:hanging="360"/>
        <w:tabs>
          <w:tab w:val="left" w:pos="360"/>
        </w:tabs>
      </w:pPr>
      <w:r>
        <w:rPr>
          <w:rFonts w:ascii="Aptos" w:hAnsi="Aptos"/>
          <w:sz w:val="21"/>
        </w:rPr>
        <w:t>+</w:t>
        <w:tab/>
      </w:r>
      <w:r>
        <w:rPr>
          <w:rFonts w:ascii="Aptos" w:hAnsi="Aptos"/>
          <w:sz w:val="21"/>
        </w:rPr>
        <w:t>Confidentiality Agreement dated January 14, 2026.</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7.03 (b)</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From February 16, 2026 until earlier of termination pursuant to Article IX or Kennedy-Wilson Holdings, Inc.’s receipt of Company Stockholder Approvals, Kennedy-Wilson Holdings, Inc. shall promptly, within 48 hours, notify Kona Bidco, LLC and provide unredacted copies, and keep Kona Bidco, LLC reasonably informed.</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7.04 (c)</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“From and after the date of this Agreement until the earlier of the termination of this Agreement pursuant to Article IX and the Company's receipt of the Company Stockholder Approvals, the Company shall promptly (and, in any event, within forty-eight (48) hours) after receipt of any Acquisition Proposal, notify Kona Bidco, LLC of the material terms of such Acquisition Proposal… and the identity of the Person or Group making such Acquisition Proposal, and shall provide Kona Bidco, LLC with unredacted copies… From and after the date of this Agreement until the earlier of the termination of this Agreement pursuant to Article IX and the Company's receipt of the Company Stockholder Approvals, the Company shall… keep Kona Bidco, LLC reasonably informed of the status and terms of, and material changes in, any such Acquisition Proposal.”</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7.04 (c)</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Until the earlier to occur of termination or receipt of the Company Stockholder Approvals, if “such Acquisition Proposal is a Superior Proposal,” then “the Board (acting upon the recommendation of the Special Committee) or the Special Committee may make an Adverse Recommendation Change.”</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7.04 (e)</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Until the earlier to occur of the termination of this Agreement pursuant to Article IX and Kennedy-Wilson Holdings, Inc.'s receipt of the Company Stockholder Approvals, but subject to Kennedy-Wilson Holdings, Inc.'s, the board of directors of Kennedy-Wilson Holdings, Inc.'s and the Special Committee's compliance with Section 7.04(h), the board of directors of Kennedy-Wilson Holdings, Inc. (acting upon the recommendation of the Special Committee) or the Special Committee may make an Adverse Recommendation Change in response to an Intervening Event if the board of directors of Kennedy-Wilson Holdings, Inc. (acting upon the recommendation of the Special Committee) or the Special Committee determines in good faith (after consultation with its outside legal counsel) that the failure to effect an Adverse Recommendation Change in response to such Intervening Event would be reasonably likely to be inconsistent with the applicable directors' fiduciary duties under applicable Law.</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7.04 (e)</w:t>
      </w:r>
    </w:p>
    <w:p>
      <w:pPr>
        <w:spacing w:line="240" w:lineRule="auto"/>
        <w:ind w:left="1440" w:hanging="360"/>
        <w:tabs>
          <w:tab w:val="left" w:pos="1440"/>
        </w:tabs>
      </w:pPr>
    </w:p>
    <w:p>
      <w:pPr>
        <w:pStyle w:val="Heading2"/>
      </w:pPr>
      <w:r>
        <w:t>Financing</w:t>
      </w:r>
    </w:p>
    <w:p>
      <w:pPr>
        <w:spacing w:line="278" w:lineRule="auto" w:before="20" w:after="0"/>
        <w:ind w:left="360" w:hanging="360"/>
        <w:tabs>
          <w:tab w:val="left" w:pos="360"/>
        </w:tabs>
      </w:pPr>
      <w:r>
        <w:rPr>
          <w:rFonts w:ascii="Aptos" w:hAnsi="Aptos"/>
          <w:sz w:val="21"/>
        </w:rPr>
        <w:t>+</w:t>
        <w:tab/>
      </w:r>
      <w:r>
        <w:rPr>
          <w:rFonts w:ascii="Aptos" w:hAnsi="Aptos"/>
          <w:sz w:val="21"/>
        </w:rPr>
        <w:t>Kona Bidco, LLC has delivered to Kennedy-Wilson Holdings, Inc. a fully executed Equity Commitment Letter for committed financing from Fairfax Financial Holdings Limited.</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5.07</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Kona Bidco, LLC and Kona Merger Subsidiary, Inc. must not amend/waive the Equity Commitment Letter without Kennedy-Wilson Holdings, Inc.’s consent, must “take…all actions” to obtain/close Equity Financing, and promptly update Kennedy-Wilson on breaches or adverse developments.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7.16</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Kona Bidco, LLC and Kona Merger Subsidiary, Inc. may not amend/waive the Equity Commitment Letter without Kennedy-Wilson Holdings, Inc.’s consent, must take actions to consummate Equity Financing, and give “prompt notice” of breaches or adverse developments.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7.16</w:t>
      </w:r>
    </w:p>
    <w:p>
      <w:pPr>
        <w:spacing w:line="240" w:lineRule="auto"/>
        <w:ind w:left="1440" w:hanging="360"/>
        <w:tabs>
          <w:tab w:val="left" w:pos="1440"/>
        </w:tabs>
      </w:pPr>
    </w:p>
    <w:p>
      <w:pPr>
        <w:pStyle w:val="Heading2"/>
      </w:pPr>
      <w:r>
        <w:t>Termination</w:t>
      </w:r>
    </w:p>
    <w:p>
      <w:pPr>
        <w:spacing w:line="278" w:lineRule="auto" w:before="20" w:after="0"/>
        <w:ind w:left="360" w:hanging="360"/>
        <w:tabs>
          <w:tab w:val="left" w:pos="360"/>
        </w:tabs>
      </w:pPr>
      <w:r>
        <w:rPr>
          <w:rFonts w:ascii="Aptos" w:hAnsi="Aptos"/>
          <w:sz w:val="21"/>
        </w:rPr>
        <w:t>+</w:t>
        <w:tab/>
      </w:r>
      <w:r>
        <w:rPr>
          <w:rFonts w:ascii="Aptos" w:hAnsi="Aptos"/>
          <w:sz w:val="21"/>
        </w:rPr>
        <w:t>The Outside Date is November 16, 2026. It may be extended to a later date by mutual written consent of Kennedy-Wilson Holdings, Inc. (with prior approval of the Special Committee) and Kona Bidco, LLC. It also automatically extends to the date equal to the Action’s end date plus twenty Business Days (or the court-set date) if any party brings an Action before November 16, 2026.</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9.01 (d)</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Kennedy-Wilson Holdings, Inc. or Kona Bidco, LLC may terminate if the Effective Time shall not have occurred on or before November 16, 2026 (as such date may be extended by mutual written consent); provided that the right to terminate under this Section 9.01(d) shall not be available to a party if such party's or its Affiliate's breach of any provisions in this Agreement primarily caused or resulted in the failure of the Effective Time to occur on or before such date.</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9.01 (d)</w:t>
      </w:r>
    </w:p>
    <w:p>
      <w:pPr>
        <w:spacing w:line="240" w:lineRule="auto"/>
        <w:ind w:left="1440" w:hanging="360"/>
        <w:tabs>
          <w:tab w:val="left" w:pos="1440"/>
        </w:tabs>
      </w:pPr>
    </w:p>
    <w:p>
      <w:pPr>
        <w:pStyle w:val="Heading2"/>
      </w:pPr>
      <w:r>
        <w:t>Termination Rights</w:t>
      </w:r>
    </w:p>
    <w:p>
      <w:pPr>
        <w:spacing w:line="278" w:lineRule="auto" w:before="20" w:after="0"/>
        <w:ind w:left="360" w:hanging="360"/>
        <w:tabs>
          <w:tab w:val="left" w:pos="360"/>
        </w:tabs>
      </w:pPr>
      <w:r>
        <w:rPr>
          <w:rFonts w:ascii="Aptos" w:hAnsi="Aptos"/>
          <w:sz w:val="21"/>
        </w:rPr>
        <w:t>+</w:t>
        <w:tab/>
      </w:r>
      <w:r>
        <w:rPr>
          <w:rFonts w:ascii="Aptos" w:hAnsi="Aptos"/>
          <w:sz w:val="21"/>
        </w:rPr>
        <w:t>The Agreement may be terminated (i) by mutual written consent of Kennedy-Wilson Holdings, Inc. (with prior approval of the Special Committee) and Kona Bidco, LLC, (ii) by either Kona Bidco, LLC or Kennedy-Wilson Holdings, Inc. (with prior approval of the Special Committee) upon a final, nonappealable Law permanently restraining/prohibiting or making illegal the Merger (unless primarily due to the terminating party’s material breach), (iii) by either party (with such approval) if Company Stockholder Approvals are not obtained at the duly convened meeting/adjournment where a vote is taken (but Kona Bidco, LLC cannot terminate if any Security Holder breached Article I of the Voting Agreements), or (iv) by either party (with such approval) if the Effective Time has not occurred by November 16, 2026 (as mutually extendable), unless the terminating party’s or its Affiliate’s breach primarily caused the delay.</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9.01</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Kona Bidco, LLC may terminate this Agreement pursuant to Section 9.01(e)(i) if the board of directors of Kennedy-Wilson Holdings, Inc. (acting upon the recommendation of the Special Committee) or the Special Committee effects an Adverse Recommendation Change (provided that Kona Bidco, LLC’s termination right expires at 5:00 p.m., New York City time, on the fifth (5th) Business Day after such right first arose or, if earlier, upon receipt of the Kennedy-Wilson Holdings, Inc. stockholder approvals), or pursuant to Section 9.01(e)(ii) if Kennedy-Wilson Holdings, Inc. breaches or is inaccurate in any representation or warranty or fails to perform any covenant or agreement such that the conditions in Section 8.02(a) or 8.02(b) would not be satisfied and such breach/inaccuracy is incurable or not cured by the earlier of 30 days after written notice or five (5) Business Days before the Outside Date, except that Kona Bidco, LLC may not terminate under Section 9.01(e)(ii) if, at that time, Kennedy-Wilson Holdings, Inc. would be entitled to terminate under Section 9.01(f)(ii).</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9.01 (e) (i) (e) (ii)</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Kennedy-Wilson Holdings, Inc. may terminate this Agreement (acting with the prior approval of the Special Committee) pursuant to Section 9.01(f)(i) if, prior to delivery of the Company Stockholder Approvals, its board of directors (acting upon the recommendation of the Special Committee) or the Special Committee determines to enter into an Acquisition Agreement for a Superior Proposal, provided that (A) prior to or concurrently with such termination Kennedy-Wilson Holdings, Inc. pays Kona Bidco, LLC the $42,700,000 Company Termination Fee under Section 9.03(a) and (B) Kennedy-Wilson Holdings, Inc. substantially contemporaneously enters into such Acquisition Agreement, and further provided that this right is unavailable if the Company Stockholder Approvals have been obtained or Kennedy-Wilson Holdings, Inc. has materially breached Section 7.04 with respect to such Superior Proposal; or pursuant to Section 9.01(f)(ii) if Kona Bidco, LLC or Kona Merger Subsidiary, Inc. breaches or is inaccurate in its representations or warranties, or fails to perform its covenants or agreements, in a manner that would cause the conditions in Section 8.03(a) or Section 8.03(b) not to be satisfied and such breach/inaccuracy is incurable or, if curable, is not cured by the earlier of 30 days after written notice from Kennedy-Wilson Holdings, Inc. to Kona Bidco, LLC and five Business Days before the Outside Date, except that Kennedy-Wilson Holdings, Inc. may not terminate under Section 9.01(f)(ii) if, at the time, Kona Bidco, LLC would be entitled to terminate under Section 9.01(e)(ii).</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9.01</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No reimbursement fees apply for failure to obtain shareholder approval. Section 9.01(c) permits termination if Kennedy-Wilson Holdings, Inc.’s stockholder approvals are not obtained, but Section 9.03 imposes only a $42,700,000 termination fee for other termination grounds and enforcement costs only if that fee is unpaid.</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9.03</w:t>
      </w:r>
    </w:p>
    <w:p>
      <w:pPr>
        <w:spacing w:line="240" w:lineRule="auto"/>
        <w:ind w:left="1440" w:hanging="360"/>
        <w:tabs>
          <w:tab w:val="left" w:pos="1440"/>
        </w:tabs>
      </w:pPr>
    </w:p>
    <w:p>
      <w:pPr>
        <w:pStyle w:val="Heading2"/>
      </w:pPr>
      <w:r>
        <w:t>Termination Fee Amounts</w:t>
      </w:r>
    </w:p>
    <w:p>
      <w:pPr>
        <w:spacing w:line="278" w:lineRule="auto" w:before="20" w:after="0"/>
        <w:ind w:left="360" w:hanging="360"/>
        <w:tabs>
          <w:tab w:val="left" w:pos="360"/>
        </w:tabs>
      </w:pPr>
      <w:r>
        <w:rPr>
          <w:rFonts w:ascii="Aptos" w:hAnsi="Aptos"/>
          <w:sz w:val="21"/>
        </w:rPr>
        <w:t>+</w:t>
        <w:tab/>
      </w:r>
      <w:r>
        <w:rPr>
          <w:rFonts w:ascii="Aptos" w:hAnsi="Aptos"/>
          <w:sz w:val="21"/>
        </w:rPr>
        <w:t xml:space="preserve">$42,700,000 – recommendation change  </w:t>
        <w:br/>
        <w:t xml:space="preserve">$42,700,000 – superior offer  </w:t>
        <w:br/>
        <w:t>$42,700,000 – acquisition proposal</w:t>
      </w:r>
    </w:p>
    <w:p>
      <w:pPr>
        <w:spacing w:line="240" w:lineRule="auto"/>
        <w:ind w:left="1440" w:hanging="360"/>
        <w:tabs>
          <w:tab w:val="left" w:pos="1440"/>
        </w:tabs>
      </w:pPr>
      <w:r>
        <w:rPr>
          <w:rFonts w:ascii="Aptos" w:hAnsi="Aptos"/>
          <w:color w:val="000000"/>
          <w:sz w:val="16"/>
        </w:rPr>
        <w:t>○</w:t>
        <w:tab/>
      </w:r>
      <w:r>
        <w:rPr>
          <w:rFonts w:ascii="Aptos" w:hAnsi="Aptos"/>
          <w:sz w:val="20"/>
        </w:rPr>
        <w:t xml:space="preserve">References: Section 9.03 (a); </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Company Termination Fee of $42,700,000 is payable if Kennedy-Wilson Holdings, Inc. must pay Kona Bidco, LLC because Kona Bidco, LLC terminates the agreement after Kennedy-Wilson Holdings, Inc.’s board or special committee makes an Adverse Recommendation Change. Company Termination Fee of $42,700,000 is payable if Kennedy-Wilson Holdings, Inc. terminates the agreement to enter into a definitive acquisition agreement for a Superior Proposal (before stockholder approval) and pays the fee at or before termination. Company Termination Fee of $42,700,000 is payable if the agreement is terminated for failure to obtain stockholder approval or for missing the Outside Date, a bona fide Acquisition Proposal was publicly announced before the stockholders meeting and not withdrawn before the meeting/termination, and within 12 months Kennedy-Wilson Holdings, Inc. signs and closes that proposal.</w:t>
      </w:r>
    </w:p>
    <w:p>
      <w:pPr>
        <w:spacing w:line="240" w:lineRule="auto"/>
        <w:ind w:left="1440" w:hanging="360"/>
        <w:tabs>
          <w:tab w:val="left" w:pos="1440"/>
        </w:tabs>
      </w:pPr>
      <w:r>
        <w:rPr>
          <w:rFonts w:ascii="Aptos" w:hAnsi="Aptos"/>
          <w:color w:val="000000"/>
          <w:sz w:val="16"/>
        </w:rPr>
        <w:t>○</w:t>
        <w:tab/>
      </w:r>
      <w:r>
        <w:rPr>
          <w:rFonts w:ascii="Aptos" w:hAnsi="Aptos"/>
          <w:sz w:val="20"/>
        </w:rPr>
        <w:t xml:space="preserve">References: Section 9.03 (a); </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No Parent-side termination fees are stated in the excerpts; the only fixed termination fee amount is $42,700,000, payable by Kennedy-Wilson Holdings, Inc. to Kona Bidco, LLC.</w:t>
      </w:r>
    </w:p>
    <w:p>
      <w:pPr>
        <w:spacing w:line="240" w:lineRule="auto"/>
        <w:ind w:left="1440" w:hanging="360"/>
        <w:tabs>
          <w:tab w:val="left" w:pos="1440"/>
        </w:tabs>
      </w:pPr>
      <w:r>
        <w:rPr>
          <w:rFonts w:ascii="Aptos" w:hAnsi="Aptos"/>
          <w:color w:val="000000"/>
          <w:sz w:val="16"/>
        </w:rPr>
        <w:t>○</w:t>
        <w:tab/>
      </w:r>
      <w:r>
        <w:rPr>
          <w:rFonts w:ascii="Aptos" w:hAnsi="Aptos"/>
          <w:sz w:val="20"/>
        </w:rPr>
        <w:t xml:space="preserve">References: Section 9.03; Section 9.03 (a); </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Parent Termination Fee of $42,700,000 is payable if Kona Bidco, LLC terminates the agreement because Kennedy-Wilson Holdings, Inc.’s board or special committee makes an adverse recommendation change, or if Kennedy-Wilson Holdings, Inc. terminates to enter into a definitive agreement for a superior proposal (and pays at termination).</w:t>
      </w:r>
    </w:p>
    <w:p>
      <w:pPr>
        <w:spacing w:line="240" w:lineRule="auto"/>
        <w:ind w:left="1440" w:hanging="360"/>
        <w:tabs>
          <w:tab w:val="left" w:pos="1440"/>
        </w:tabs>
      </w:pPr>
      <w:r>
        <w:rPr>
          <w:rFonts w:ascii="Aptos" w:hAnsi="Aptos"/>
          <w:color w:val="000000"/>
          <w:sz w:val="16"/>
        </w:rPr>
        <w:t>○</w:t>
        <w:tab/>
      </w:r>
      <w:r>
        <w:rPr>
          <w:rFonts w:ascii="Aptos" w:hAnsi="Aptos"/>
          <w:sz w:val="20"/>
        </w:rPr>
        <w:t xml:space="preserve">References: Section 9.03; Section 9.03 (a); </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Pursuant to Section 9.03(a), if this Agreement is validly terminated (i) by Kona Bidco, LLC pursuant to Section 9.01(e)(i) (following an Adverse Recommendation Change) or (ii) by Kennedy-Wilson Holdings, Inc. pursuant to Section 9.01(f)(i) (to enter into an Acquisition Agreement for a Superior Proposal), then Kennedy-Wilson Holdings, Inc. must pay Kona Bidco, LLC a $42,700,000 Company Termination Fee in immediately available funds to an account designated by Kona Bidco, LLC, payable (x) within two (2) Business Days after termination in clause (i) or (y) prior to or concurrently with termination in clause (ii); and pursuant to Section 9.03(b), if the Agreement is terminated under Section 9.01(c) or 9.01(d) and, after signing and before the Stockholders Meeting, a bona fide Acquisition Proposal is publicly announced and not withdrawn before the earlier of the Stockholders Meeting or termination, and within twelve (12) months Kennedy-Wilson Holdings, Inc. enters into a definitive agreement for and consummates that transaction (with “20%” deemed “50%” for clauses (B) and (C)), then Kennedy-Wilson Holdings, Inc. must pay the same fee within three (3) Business Days after consummation.</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9.03 (a) (a) (b)</w:t>
      </w:r>
    </w:p>
    <w:p>
      <w:pPr>
        <w:spacing w:line="240" w:lineRule="auto"/>
        <w:ind w:left="1440" w:hanging="360"/>
        <w:tabs>
          <w:tab w:val="left" w:pos="1440"/>
        </w:tabs>
      </w:pPr>
    </w:p>
    <w:p>
      <w:pPr>
        <w:pStyle w:val="Heading2"/>
      </w:pPr>
      <w:r>
        <w:t>Ordinary Course Covenants</w:t>
      </w:r>
    </w:p>
    <w:p>
      <w:pPr>
        <w:spacing w:line="278" w:lineRule="auto" w:before="20" w:after="0"/>
        <w:ind w:left="360" w:hanging="360"/>
        <w:tabs>
          <w:tab w:val="left" w:pos="360"/>
        </w:tabs>
      </w:pPr>
      <w:r>
        <w:rPr>
          <w:rFonts w:ascii="Aptos" w:hAnsi="Aptos"/>
          <w:sz w:val="21"/>
        </w:rPr>
        <w:t>+</w:t>
        <w:tab/>
      </w:r>
      <w:r>
        <w:rPr>
          <w:rFonts w:ascii="Aptos" w:hAnsi="Aptos"/>
          <w:sz w:val="21"/>
        </w:rPr>
        <w:t>Except as (1) set forth in Section 6.01 of the Company Disclosure Letter, (2) expressly contemplated, required or permitted by this Agreement, (3) required by Law, Order or Governmental Authority or (4) consented to in writing by Kona Bidco, LLC (which consent shall not be unreasonably withheld, conditioned or delayed), during the Pre-Closing Period, Kennedy-Wilson Holdings, Inc. shall use its commercially reasonable efforts, and shall cause each of the Company Subsidiaries to use its respective commercially reasonable efforts, to (i) conduct the businesses of Kennedy-Wilson Holdings, Inc. and the Company Subsidiaries in a commercially reasonable manner and in all material respects in the ordinary course of business.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6.01</w:t>
      </w:r>
    </w:p>
    <w:p>
      <w:pPr>
        <w:spacing w:line="240" w:lineRule="auto"/>
        <w:ind w:left="1440" w:hanging="360"/>
        <w:tabs>
          <w:tab w:val="left" w:pos="1440"/>
        </w:tabs>
      </w:pPr>
    </w:p>
    <w:p>
      <w:pPr>
        <w:pStyle w:val="Heading2"/>
      </w:pPr>
      <w:r>
        <w:t>Governing Law</w:t>
      </w:r>
    </w:p>
    <w:p>
      <w:pPr>
        <w:spacing w:line="278" w:lineRule="auto" w:before="20" w:after="0"/>
        <w:ind w:left="360" w:hanging="360"/>
        <w:tabs>
          <w:tab w:val="left" w:pos="360"/>
        </w:tabs>
      </w:pPr>
      <w:r>
        <w:rPr>
          <w:rFonts w:ascii="Aptos" w:hAnsi="Aptos"/>
          <w:sz w:val="21"/>
        </w:rPr>
        <w:t>+</w:t>
        <w:tab/>
      </w:r>
      <w:r>
        <w:rPr>
          <w:rFonts w:ascii="Aptos" w:hAnsi="Aptos"/>
          <w:sz w:val="21"/>
        </w:rPr>
        <w:t>This Agreement shall be governed by and construed in accordance with the Laws of the State of Delaware.</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10.09</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The agreement uses Delaware law; MAE-related actions must be brought exclusively in Delaware Chancery Court (or other Delaware courts).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10.09</w:t>
      </w:r>
    </w:p>
    <w:p>
      <w:pPr>
        <w:spacing w:line="240" w:lineRule="auto"/>
        <w:ind w:left="1440" w:hanging="360"/>
        <w:tabs>
          <w:tab w:val="left" w:pos="1440"/>
        </w:tabs>
      </w:pPr>
    </w:p>
    <w:p>
      <w:pPr>
        <w:pStyle w:val="Heading2"/>
      </w:pPr>
      <w:r>
        <w:t>Specific Performance</w:t>
      </w:r>
    </w:p>
    <w:p>
      <w:pPr>
        <w:spacing w:line="278" w:lineRule="auto" w:before="20" w:after="0"/>
        <w:ind w:left="360" w:hanging="360"/>
        <w:tabs>
          <w:tab w:val="left" w:pos="360"/>
        </w:tabs>
      </w:pPr>
      <w:r>
        <w:rPr>
          <w:rFonts w:ascii="Aptos" w:hAnsi="Aptos"/>
          <w:sz w:val="21"/>
        </w:rPr>
        <w:t>+</w:t>
        <w:tab/>
      </w:r>
      <w:r>
        <w:rPr>
          <w:rFonts w:ascii="Aptos" w:hAnsi="Aptos"/>
          <w:sz w:val="21"/>
        </w:rPr>
        <w:t>Specific performance is available to the non-breaching party, and Kennedy-Wilson Holdings, Inc. is entitled to specific performance.</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10.08</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Any legal action involving the Financing Parties “shall be subject to the exclusive jurisdiction of any federal or state court in the Borough of Manhattan, New York, New York.”</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10.18 (a)</w:t>
      </w:r>
    </w:p>
    <w:p>
      <w:pPr>
        <w:spacing w:line="240" w:lineRule="auto"/>
        <w:ind w:left="1440" w:hanging="360"/>
        <w:tabs>
          <w:tab w:val="left" w:pos="1440"/>
        </w:tabs>
      </w:pPr>
    </w:p>
    <w:p>
      <w:pPr>
        <w:pStyle w:val="Heading2"/>
      </w:pPr>
      <w:r>
        <w:t>MAE Definitions</w:t>
      </w:r>
    </w:p>
    <w:p>
      <w:pPr>
        <w:spacing w:line="278" w:lineRule="auto" w:before="20" w:after="0"/>
        <w:ind w:left="360" w:hanging="360"/>
        <w:tabs>
          <w:tab w:val="left" w:pos="360"/>
        </w:tabs>
      </w:pPr>
      <w:r>
        <w:rPr>
          <w:rFonts w:ascii="Aptos" w:hAnsi="Aptos"/>
          <w:sz w:val="21"/>
        </w:rPr>
        <w:t>+</w:t>
        <w:tab/>
      </w:r>
      <w:r>
        <w:rPr>
          <w:rFonts w:ascii="Aptos" w:hAnsi="Aptos"/>
          <w:sz w:val="21"/>
        </w:rPr>
        <w:t>provided, however, that, in no event shall any change, effect, event, circumstance, occurrence, development, condition or fact resulting from or relating to any of the following, alone or in combination, be deemed to constitute, nor be taken into account in determining whether there has been, is currently or there is reasonably expected to be, a Material Adverse Effect: (i) any change in general political, social, geopolitical or regulatory conditions, whether globally or in the United States; (ii) any change in economic, market, business, financial, real estate, commodity, credit, debt, securities, derivatives or capital market conditions in the United States or in any other country or region in the world, including inflation, supply chain disruptions, labor shortages, interest, foreign exchange or exchange rates, tariffs, trade wars and any suspension of trading in securities (whether equity, debt, derivative or hybrid securities) generally on any security exchange or over-the-counter market; (iii) any change generally affecting the industries in which the Company or the Company Subsidiaries operate; (iv) any change or proposed change, in each case, after the date hereof, in accounting requirements or principles required by GAAP (or any authoritative interpretations thereof); (v) any adoption, implementation, promulgation, repeal, modification, change, reinterpretation or proposal of any Law, in each case, after the date hereof; (vi) labor disruptions, strikes, social unrest, riots, protests, geopolitical conditions, any outbreak, escalation or acts of terrorism or sabotage, cyberattack, armed hostility or war (whether or not declared), any weather-related event, power outages or electrical blackouts, fire, earthquake, hurricane, flood or other natural disaster, any pandemic, epidemic, public health emergency or outbreak of illness or disease or other public health event, whether or not caused by any Person, or the worsening of any of the occurrences or conditions referred to in this clause (vi); (vii) changes in the market price or trading volume of the securities of the Company or any Company Subsidiary or any change affecting the credit ratings or the ratings outlook for the Company or any Company Subsidiary or any of their respective securities (it being understood that the underlying facts or occurrences giving rise to such change may be taken into account in determining whether there has been, is currently or there is reasonably expected to be, a Material Adverse Effect, to the extent not otherwise excluded from this definition); (viii) the announcement of this Agreement and the Transactions or the pendency or consummation of the Transactions (including the identity of, or any facts relating to, Parent, Merger Sub, any Security Holder or any of their respective Affiliates) and any impact on the Company’s or any Company Subsidiary’s relationships with employees, financing sources, tenants, residents, investors, venture partners, customers, suppliers, Governmental Authorities or any other Person (including pursuant to contractual relationships); provided, however, that the exceptions in this clause (viii) shall not apply with respect to references to a "Material Adverse Effect" in the representations and warranties contained in Section 4.04 (and in Section 8.02(a) and Section 9.01(e)(ii) to the extent related to such portions of such representation); (ix) compliance with the express terms of, or the taking of any action or omission expressly required by, this Agreement (but excluding compliance with, or the taking of any action or omission required to comply with, the first sentence of Section 6.01, solely to the extent Parent has not unreasonably withheld, conditioned or delayed its consent to any action or omission requiring Parent’s consent pursuant to Section 6.01) or requested in writing by Parent; (x) any failure to meet internal or published projections, forecasts, budgets, plans, consensus estimates, performance measures, operating statistics or revenue or earnings predictions for any period (it being understood that the underlying facts or occurrences giving rise to such decline or failure may be taken into account in determining whether there has been, is currently or there is reasonably expected to be, a Material Adverse Effect, to the extent not otherwise excluded from this definition); and (xi) any Action arising out of or resulting from this Agreement or the Transactions, including any demands, litigations or similar Actions brought by any stockholders of the Company alleging breach of fiduciary duty or inadequate disclosures; provided, however, that, in respect of the exceptions set forth in clauses (i), (ii), (iii), (iv), (v) and (vi), to the extent that such change, effect, event, circumstance, occurrence, development, condition or fact has had a materially disproportionate adverse impact on the Company and the Company Subsidiaries, taken as a whole, compared to other companies that operate in the industries and geographic markets in which the Company and the Company Subsidiaries operate, then the incrementally disproportionate impact may be taken into account in determining whether a Material Adverse Effect has occurred, is occurring or would reasonably be expected to occur.</w:t>
      </w:r>
    </w:p>
    <w:p>
      <w:pPr>
        <w:spacing w:line="240" w:lineRule="auto"/>
        <w:ind w:left="1440" w:hanging="360"/>
        <w:tabs>
          <w:tab w:val="left" w:pos="1440"/>
        </w:tabs>
      </w:pPr>
      <w:r>
        <w:rPr>
          <w:rFonts w:ascii="Aptos" w:hAnsi="Aptos"/>
          <w:color w:val="000000"/>
          <w:sz w:val="16"/>
        </w:rPr>
        <w:t>○</w:t>
        <w:tab/>
      </w:r>
      <w:r>
        <w:rPr>
          <w:rFonts w:ascii="Aptos" w:hAnsi="Aptos"/>
          <w:sz w:val="20"/>
        </w:rPr>
        <w:t>References: Definition &gt; Material Adverse Effect</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MAE carve-outs appear standard but include “cyberattack,” “power outages or electrical blackouts,” and “whether or not caused by any Person,” plus “the worsening of any of the occurrences or conditions.”</w:t>
      </w:r>
    </w:p>
    <w:p>
      <w:pPr>
        <w:spacing w:line="240" w:lineRule="auto"/>
        <w:ind w:left="1440" w:hanging="360"/>
        <w:tabs>
          <w:tab w:val="left" w:pos="1440"/>
        </w:tabs>
      </w:pPr>
      <w:r>
        <w:rPr>
          <w:rFonts w:ascii="Aptos" w:hAnsi="Aptos"/>
          <w:color w:val="000000"/>
          <w:sz w:val="16"/>
        </w:rPr>
        <w:t>○</w:t>
        <w:tab/>
      </w:r>
      <w:r>
        <w:rPr>
          <w:rFonts w:ascii="Aptos" w:hAnsi="Aptos"/>
          <w:sz w:val="20"/>
        </w:rPr>
        <w:t>References: Definition &gt; Material Adverse Effect</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Under the Material Adverse Effect definition (clauses (i)–(vi)), if an otherwise-carved-out event has a materially disproportionate adverse impact on Kennedy-Wilson Holdings, Inc. and its subsidiaries versus industry/geographic peers, the incremental disproportionate impact counts toward an MAE.</w:t>
      </w:r>
    </w:p>
    <w:p>
      <w:pPr>
        <w:spacing w:line="240" w:lineRule="auto"/>
        <w:ind w:left="1440" w:hanging="360"/>
        <w:tabs>
          <w:tab w:val="left" w:pos="1440"/>
        </w:tabs>
      </w:pPr>
      <w:r>
        <w:rPr>
          <w:rFonts w:ascii="Aptos" w:hAnsi="Aptos"/>
          <w:color w:val="000000"/>
          <w:sz w:val="16"/>
        </w:rPr>
        <w:t>○</w:t>
        <w:tab/>
      </w:r>
      <w:r>
        <w:rPr>
          <w:rFonts w:ascii="Aptos" w:hAnsi="Aptos"/>
          <w:sz w:val="20"/>
        </w:rPr>
        <w:t>References: Definition &gt; Material Adverse Effect</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In the “Material Adverse Effect” definition, for exceptions (i)–(vi), any materially disproportionate adverse impact on Kennedy-Wilson Holdings, Inc. (vs. peers) may be considered to the extent incremental; for (vii) and (x), underlying facts/occurrences may be considered.</w:t>
      </w:r>
    </w:p>
    <w:p>
      <w:pPr>
        <w:spacing w:line="240" w:lineRule="auto"/>
        <w:ind w:left="1440" w:hanging="360"/>
        <w:tabs>
          <w:tab w:val="left" w:pos="1440"/>
        </w:tabs>
      </w:pPr>
      <w:r>
        <w:rPr>
          <w:rFonts w:ascii="Aptos" w:hAnsi="Aptos"/>
          <w:color w:val="000000"/>
          <w:sz w:val="16"/>
        </w:rPr>
        <w:t>○</w:t>
        <w:tab/>
      </w:r>
      <w:r>
        <w:rPr>
          <w:rFonts w:ascii="Aptos" w:hAnsi="Aptos"/>
          <w:sz w:val="20"/>
        </w:rPr>
        <w:t>References: Definition &gt; Material Adverse Effect</w:t>
      </w:r>
    </w:p>
    <w:p>
      <w:pPr>
        <w:spacing w:line="240" w:lineRule="auto"/>
        <w:ind w:left="1440" w:hanging="360"/>
        <w:tabs>
          <w:tab w:val="left" w:pos="1440"/>
        </w:tabs>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