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Accor QR Platform</w:t>
      </w:r>
    </w:p>
    <w:p>
      <w:pPr>
        <w:jc w:val="center"/>
      </w:pPr>
      <w:r>
        <w:rPr>
          <w:b/>
          <w:sz w:val="32"/>
        </w:rPr>
        <w:t>External Account Setup Guide</w:t>
      </w:r>
    </w:p>
    <w:p>
      <w:pPr>
        <w:jc w:val="center"/>
      </w:pPr>
      <w:r>
        <w:rPr>
          <w:color w:val="555555"/>
          <w:sz w:val="24"/>
        </w:rPr>
        <w:t>RazorpayX (Payouts)  |  MSG91 SMS + DLT</w:t>
      </w:r>
    </w:p>
    <w:p>
      <w:pPr>
        <w:jc w:val="center"/>
      </w:pPr>
      <w:r>
        <w:rPr>
          <w:i/>
          <w:sz w:val="20"/>
        </w:rPr>
        <w:t>Prepared for Client Onboarding</w:t>
        <w:br/>
        <w:t>Confidential — for internal sharing with the client</w:t>
      </w:r>
    </w:p>
    <w:p/>
    <w:p>
      <w:pPr>
        <w:spacing w:after="160" w:before="0"/>
      </w:pPr>
      <w:r>
        <w:rPr>
          <w:b w:val="0"/>
          <w:i w:val="0"/>
        </w:rPr>
        <w:t>This note explains which third-party accounts are required for Accor QR, what the client needs to arrange on their side, and what the development team will configure once credentials are provided. Please complete Test (sandbox) setup first, then switch to Live after a successful dry run.</w:t>
      </w:r>
    </w:p>
    <w:p>
      <w:pPr>
        <w:pStyle w:val="Heading1"/>
      </w:pPr>
      <w:r>
        <w:rPr>
          <w:color w:val="1A1A1A"/>
        </w:rPr>
        <w:t>1. Overview</w:t>
      </w:r>
    </w:p>
    <w:p>
      <w:pPr>
        <w:spacing w:after="160" w:before="0"/>
      </w:pPr>
      <w:r>
        <w:rPr>
          <w:b w:val="0"/>
          <w:i w:val="0"/>
        </w:rPr>
        <w:t>Two external services are required for production readiness of wallet withdrawals and mobile OTP login:</w:t>
      </w:r>
    </w:p>
    <w:tbl>
      <w:tblPr>
        <w:tblStyle w:val="TableGrid"/>
        <w:tblW w:type="auto" w:w="0"/>
        <w:jc w:val="center"/>
        <w:tblLook w:firstColumn="1" w:firstRow="1" w:lastColumn="0" w:lastRow="0" w:noHBand="0" w:noVBand="1" w:val="04A0"/>
      </w:tblPr>
      <w:tblGrid>
        <w:gridCol w:w="4873"/>
        <w:gridCol w:w="4873"/>
      </w:tblGrid>
      <w:tr>
        <w:tc>
          <w:tcPr>
            <w:tcW w:type="dxa" w:w="4873"/>
            <w:shd w:fill="E8EEF4" w:val="clear"/>
          </w:tcPr>
          <w:p>
            <w:r>
              <w:rPr>
                <w:b/>
                <w:sz w:val="20"/>
              </w:rPr>
              <w:t>Service</w:t>
            </w:r>
          </w:p>
        </w:tc>
        <w:tc>
          <w:tcPr>
            <w:tcW w:type="dxa" w:w="4873"/>
            <w:shd w:fill="E8EEF4" w:val="clear"/>
          </w:tcPr>
          <w:p>
            <w:r>
              <w:rPr>
                <w:b/>
                <w:sz w:val="20"/>
              </w:rPr>
              <w:t>Purpose in Accor QR</w:t>
            </w:r>
          </w:p>
        </w:tc>
      </w:tr>
      <w:tr>
        <w:tc>
          <w:tcPr>
            <w:tcW w:type="dxa" w:w="4873"/>
          </w:tcPr>
          <w:p>
            <w:r>
              <w:rPr>
                <w:sz w:val="20"/>
              </w:rPr>
              <w:t>RazorpayX (Payouts)</w:t>
            </w:r>
          </w:p>
        </w:tc>
        <w:tc>
          <w:tcPr>
            <w:tcW w:type="dxa" w:w="4873"/>
          </w:tcPr>
          <w:p>
            <w:r>
              <w:rPr>
                <w:sz w:val="20"/>
              </w:rPr>
              <w:t>Send wallet withdrawal amount to the user’s UPI ID or bank account</w:t>
            </w:r>
          </w:p>
        </w:tc>
      </w:tr>
      <w:tr>
        <w:tc>
          <w:tcPr>
            <w:tcW w:type="dxa" w:w="4873"/>
          </w:tcPr>
          <w:p>
            <w:r>
              <w:rPr>
                <w:sz w:val="20"/>
              </w:rPr>
              <w:t>MSG91 (SMS)</w:t>
            </w:r>
          </w:p>
        </w:tc>
        <w:tc>
          <w:tcPr>
            <w:tcW w:type="dxa" w:w="4873"/>
          </w:tcPr>
          <w:p>
            <w:r>
              <w:rPr>
                <w:sz w:val="20"/>
              </w:rPr>
              <w:t>Deliver OTP SMS for mobile login / verification</w:t>
            </w:r>
          </w:p>
        </w:tc>
      </w:tr>
      <w:tr>
        <w:tc>
          <w:tcPr>
            <w:tcW w:type="dxa" w:w="4873"/>
          </w:tcPr>
          <w:p>
            <w:r>
              <w:rPr>
                <w:sz w:val="20"/>
              </w:rPr>
              <w:t>DLT (India)</w:t>
            </w:r>
          </w:p>
        </w:tc>
        <w:tc>
          <w:tcPr>
            <w:tcW w:type="dxa" w:w="4873"/>
          </w:tcPr>
          <w:p>
            <w:r>
              <w:rPr>
                <w:sz w:val="20"/>
              </w:rPr>
              <w:t>Mandatory SMS regulatory registration before bulk OTP SMS can go live</w:t>
            </w:r>
          </w:p>
        </w:tc>
      </w:tr>
    </w:tbl>
    <w:p/>
    <w:p>
      <w:pPr>
        <w:spacing w:after="160" w:before="0"/>
      </w:pPr>
      <w:r>
        <w:rPr>
          <w:b w:val="0"/>
          <w:i/>
        </w:rPr>
        <w:t>Note: Accor QR does not collect card payments from end users today. Razorpay Payment Gateway (checkout) is not required for the current scope. We need RazorpayX Payouts specifically.</w:t>
      </w:r>
    </w:p>
    <w:p>
      <w:pPr>
        <w:pStyle w:val="Heading1"/>
      </w:pPr>
      <w:r>
        <w:rPr>
          <w:color w:val="1A1A1A"/>
        </w:rPr>
        <w:t>2. Razorpay &amp; RazorpayX Setup</w:t>
      </w:r>
    </w:p>
    <w:p>
      <w:pPr>
        <w:pStyle w:val="Heading2"/>
      </w:pPr>
      <w:r>
        <w:rPr>
          <w:color w:val="1A1A1A"/>
        </w:rPr>
        <w:t>2.1 Why RazorpayX (not only Razorpay Payment Gateway)</w:t>
      </w:r>
    </w:p>
    <w:p>
      <w:pPr>
        <w:spacing w:after="160" w:before="0"/>
      </w:pPr>
      <w:r>
        <w:rPr>
          <w:b w:val="0"/>
          <w:i w:val="0"/>
        </w:rPr>
        <w:t>When a mechanic / dealer withdraws wallet balance, the system must push money from the company account to their UPI or bank account. That product inside Razorpay is called RazorpayX (Payouts). Payment Gateway keys alone are not enough.</w:t>
      </w:r>
    </w:p>
    <w:p>
      <w:pPr>
        <w:pStyle w:val="Heading2"/>
      </w:pPr>
      <w:r>
        <w:rPr>
          <w:color w:val="1A1A1A"/>
        </w:rPr>
        <w:t>2.2 End-to-end withdrawal flow (after setup)</w:t>
      </w:r>
    </w:p>
    <w:p>
      <w:pPr>
        <w:pStyle w:val="ListNumber"/>
        <w:spacing w:after="60"/>
      </w:pPr>
      <w:r>
        <w:t>User saves bank / UPI details in the Accor app (payout profile).</w:t>
      </w:r>
    </w:p>
    <w:p>
      <w:pPr>
        <w:pStyle w:val="ListNumber"/>
        <w:spacing w:after="60"/>
      </w:pPr>
      <w:r>
        <w:t>User raises a withdrawal request.</w:t>
      </w:r>
    </w:p>
    <w:p>
      <w:pPr>
        <w:pStyle w:val="ListNumber"/>
        <w:spacing w:after="60"/>
      </w:pPr>
      <w:r>
        <w:t>Our backend creates a Contact + Fund Account on Razorpay (if not already created).</w:t>
      </w:r>
    </w:p>
    <w:p>
      <w:pPr>
        <w:pStyle w:val="ListNumber"/>
        <w:spacing w:after="60"/>
      </w:pPr>
      <w:r>
        <w:t>Our backend creates a Payout from the RazorpayX current account.</w:t>
      </w:r>
    </w:p>
    <w:p>
      <w:pPr>
        <w:pStyle w:val="ListNumber"/>
        <w:spacing w:after="60"/>
      </w:pPr>
      <w:r>
        <w:t>Razorpay processes the transfer and sends a webhook status update to our server.</w:t>
      </w:r>
    </w:p>
    <w:p>
      <w:pPr>
        <w:pStyle w:val="ListNumber"/>
        <w:spacing w:after="60"/>
      </w:pPr>
      <w:r>
        <w:t>App shows success / failed / under process based on that status.</w:t>
      </w:r>
    </w:p>
    <w:p>
      <w:pPr>
        <w:pStyle w:val="Heading2"/>
      </w:pPr>
      <w:r>
        <w:rPr>
          <w:color w:val="1A1A1A"/>
        </w:rPr>
        <w:t>2.3 Client responsibilities</w:t>
      </w:r>
    </w:p>
    <w:p>
      <w:pPr>
        <w:spacing w:after="160" w:before="0"/>
      </w:pPr>
      <w:r>
        <w:rPr>
          <w:b/>
          <w:i w:val="0"/>
        </w:rPr>
        <w:t>Please arrange the following on the company / brand account:</w:t>
      </w:r>
    </w:p>
    <w:p>
      <w:pPr>
        <w:pStyle w:val="ListNumber"/>
        <w:spacing w:after="60"/>
      </w:pPr>
      <w:r>
        <w:t>Create a Razorpay business account at https://dashboard.razorpay.com (company legal name as per bank KYC).</w:t>
      </w:r>
    </w:p>
    <w:p>
      <w:pPr>
        <w:pStyle w:val="ListNumber"/>
        <w:spacing w:after="60"/>
      </w:pPr>
      <w:r>
        <w:t>Complete business KYC / verification as required by Razorpay.</w:t>
      </w:r>
    </w:p>
    <w:p>
      <w:pPr>
        <w:pStyle w:val="ListNumber"/>
        <w:spacing w:after="60"/>
      </w:pPr>
      <w:r>
        <w:t>Enable / activate RazorpayX (Payouts) on the account.</w:t>
      </w:r>
    </w:p>
    <w:p>
      <w:pPr>
        <w:pStyle w:val="ListNumber"/>
        <w:spacing w:after="60"/>
      </w:pPr>
      <w:r>
        <w:t>Link / open the RazorpayX funding / current account as guided in the dashboard.</w:t>
      </w:r>
    </w:p>
    <w:p>
      <w:pPr>
        <w:pStyle w:val="ListNumber"/>
        <w:spacing w:after="60"/>
      </w:pPr>
      <w:r>
        <w:t>Keep sufficient balance in the RazorpayX account for daily withdrawals.</w:t>
      </w:r>
    </w:p>
    <w:p>
      <w:pPr>
        <w:pStyle w:val="ListNumber"/>
        <w:spacing w:after="60"/>
      </w:pPr>
      <w:r>
        <w:t>Generate API Keys (start with Test mode, then Live).</w:t>
      </w:r>
    </w:p>
    <w:p>
      <w:pPr>
        <w:pStyle w:val="ListNumber"/>
        <w:spacing w:after="60"/>
      </w:pPr>
      <w:r>
        <w:t>Share the credentials listed in Section 2.5 securely (password manager preferred).</w:t>
      </w:r>
    </w:p>
    <w:p>
      <w:pPr>
        <w:pStyle w:val="ListNumber"/>
        <w:spacing w:after="60"/>
      </w:pPr>
      <w:r>
        <w:t>After we share the webhook URL, add it in Razorpay Dashboard → Webhooks and enable payout events.</w:t>
      </w:r>
    </w:p>
    <w:p>
      <w:pPr>
        <w:pStyle w:val="ListNumber"/>
        <w:spacing w:after="60"/>
      </w:pPr>
      <w:r>
        <w:t>Confirm expected payout methods: UPI and Bank transfer (IMPS/NEFT).</w:t>
      </w:r>
    </w:p>
    <w:p>
      <w:pPr>
        <w:pStyle w:val="Heading2"/>
      </w:pPr>
      <w:r>
        <w:rPr>
          <w:color w:val="1A1A1A"/>
        </w:rPr>
        <w:t>2.4 What the development team will do</w:t>
      </w:r>
    </w:p>
    <w:p>
      <w:pPr>
        <w:pStyle w:val="ListNumber"/>
        <w:spacing w:after="60"/>
      </w:pPr>
      <w:r>
        <w:t>Configure server environment variables with the keys you share.</w:t>
      </w:r>
    </w:p>
    <w:p>
      <w:pPr>
        <w:pStyle w:val="ListNumber"/>
        <w:spacing w:after="60"/>
      </w:pPr>
      <w:r>
        <w:t>Point production / staging webhook to: https://&lt;your-api-domain&gt;/api/webhooks/razorpay/payout</w:t>
      </w:r>
    </w:p>
    <w:p>
      <w:pPr>
        <w:pStyle w:val="ListNumber"/>
        <w:spacing w:after="60"/>
      </w:pPr>
      <w:r>
        <w:t>Verify test withdrawals in staging (UPI + bank).</w:t>
      </w:r>
    </w:p>
    <w:p>
      <w:pPr>
        <w:pStyle w:val="ListNumber"/>
        <w:spacing w:after="60"/>
      </w:pPr>
      <w:r>
        <w:t>Switch PAYOUT_PROVIDER to razorpay in production after Live keys are ready.</w:t>
      </w:r>
    </w:p>
    <w:p>
      <w:pPr>
        <w:pStyle w:val="ListNumber"/>
        <w:spacing w:after="60"/>
      </w:pPr>
      <w:r>
        <w:t>Coordinate a small live withdrawal sanity check with the client.</w:t>
      </w:r>
    </w:p>
    <w:p>
      <w:pPr>
        <w:pStyle w:val="Heading2"/>
      </w:pPr>
      <w:r>
        <w:rPr>
          <w:color w:val="1A1A1A"/>
        </w:rPr>
        <w:t>2.5 Credentials to share with us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8EEF4" w:val="clear"/>
          </w:tcPr>
          <w:p>
            <w:r>
              <w:rPr>
                <w:b/>
                <w:sz w:val="20"/>
              </w:rPr>
              <w:t>Item</w:t>
            </w:r>
          </w:p>
        </w:tc>
        <w:tc>
          <w:tcPr>
            <w:tcW w:type="dxa" w:w="3249"/>
            <w:shd w:fill="E8EEF4" w:val="clear"/>
          </w:tcPr>
          <w:p>
            <w:r>
              <w:rPr>
                <w:b/>
                <w:sz w:val="20"/>
              </w:rPr>
              <w:t>Where to find it</w:t>
            </w:r>
          </w:p>
        </w:tc>
        <w:tc>
          <w:tcPr>
            <w:tcW w:type="dxa" w:w="3249"/>
            <w:shd w:fill="E8EEF4" w:val="clear"/>
          </w:tcPr>
          <w:p>
            <w:r>
              <w:rPr>
                <w:b/>
                <w:sz w:val="20"/>
              </w:rPr>
              <w:t>Example format</w:t>
            </w:r>
          </w:p>
        </w:tc>
      </w:tr>
      <w:tr>
        <w:tc>
          <w:tcPr>
            <w:tcW w:type="dxa" w:w="3249"/>
          </w:tcPr>
          <w:p>
            <w:r>
              <w:rPr>
                <w:sz w:val="20"/>
              </w:rPr>
              <w:t>API Key ID</w:t>
            </w:r>
          </w:p>
        </w:tc>
        <w:tc>
          <w:tcPr>
            <w:tcW w:type="dxa" w:w="3249"/>
          </w:tcPr>
          <w:p>
            <w:r>
              <w:rPr>
                <w:sz w:val="20"/>
              </w:rPr>
              <w:t>Razorpay Dashboard → Settings → API Keys</w:t>
            </w:r>
          </w:p>
        </w:tc>
        <w:tc>
          <w:tcPr>
            <w:tcW w:type="dxa" w:w="3249"/>
          </w:tcPr>
          <w:p>
            <w:r>
              <w:rPr>
                <w:sz w:val="20"/>
              </w:rPr>
              <w:t>rzp_test_… or rzp_live_…</w:t>
            </w:r>
          </w:p>
        </w:tc>
      </w:tr>
      <w:tr>
        <w:tc>
          <w:tcPr>
            <w:tcW w:type="dxa" w:w="3249"/>
          </w:tcPr>
          <w:p>
            <w:r>
              <w:rPr>
                <w:sz w:val="20"/>
              </w:rPr>
              <w:t>API Key Secret</w:t>
            </w:r>
          </w:p>
        </w:tc>
        <w:tc>
          <w:tcPr>
            <w:tcW w:type="dxa" w:w="3249"/>
          </w:tcPr>
          <w:p>
            <w:r>
              <w:rPr>
                <w:sz w:val="20"/>
              </w:rPr>
              <w:t>Shown once when the key is generated</w:t>
            </w:r>
          </w:p>
        </w:tc>
        <w:tc>
          <w:tcPr>
            <w:tcW w:type="dxa" w:w="3249"/>
          </w:tcPr>
          <w:p>
            <w:r>
              <w:rPr>
                <w:sz w:val="20"/>
              </w:rPr>
              <w:t>Long secret string</w:t>
            </w:r>
          </w:p>
        </w:tc>
      </w:tr>
      <w:tr>
        <w:tc>
          <w:tcPr>
            <w:tcW w:type="dxa" w:w="3249"/>
          </w:tcPr>
          <w:p>
            <w:r>
              <w:rPr>
                <w:sz w:val="20"/>
              </w:rPr>
              <w:t>RazorpayX Account Number</w:t>
            </w:r>
          </w:p>
        </w:tc>
        <w:tc>
          <w:tcPr>
            <w:tcW w:type="dxa" w:w="3249"/>
          </w:tcPr>
          <w:p>
            <w:r>
              <w:rPr>
                <w:sz w:val="20"/>
              </w:rPr>
              <w:t>RazorpayX → Account / Current Account</w:t>
            </w:r>
          </w:p>
        </w:tc>
        <w:tc>
          <w:tcPr>
            <w:tcW w:type="dxa" w:w="3249"/>
          </w:tcPr>
          <w:p>
            <w:r>
              <w:rPr>
                <w:sz w:val="20"/>
              </w:rPr>
              <w:t>Numeric account no.</w:t>
            </w:r>
          </w:p>
        </w:tc>
      </w:tr>
      <w:tr>
        <w:tc>
          <w:tcPr>
            <w:tcW w:type="dxa" w:w="3249"/>
          </w:tcPr>
          <w:p>
            <w:r>
              <w:rPr>
                <w:sz w:val="20"/>
              </w:rPr>
              <w:t>Webhook Secret</w:t>
            </w:r>
          </w:p>
        </w:tc>
        <w:tc>
          <w:tcPr>
            <w:tcW w:type="dxa" w:w="3249"/>
          </w:tcPr>
          <w:p>
            <w:r>
              <w:rPr>
                <w:sz w:val="20"/>
              </w:rPr>
              <w:t>Webhooks → create / view secret</w:t>
            </w:r>
          </w:p>
        </w:tc>
        <w:tc>
          <w:tcPr>
            <w:tcW w:type="dxa" w:w="3249"/>
          </w:tcPr>
          <w:p>
            <w:r>
              <w:rPr>
                <w:sz w:val="20"/>
              </w:rPr>
              <w:t>whsec_… or dashboard secret</w:t>
            </w:r>
          </w:p>
        </w:tc>
      </w:tr>
    </w:tbl>
    <w:p/>
    <w:p>
      <w:pPr>
        <w:spacing w:after="160" w:before="0"/>
      </w:pPr>
      <w:r>
        <w:rPr>
          <w:b w:val="0"/>
          <w:i/>
        </w:rPr>
        <w:t>Please do not send Key Secret over open WhatsApp or plain email if avoidable. Use a secure password-sharing tool.</w:t>
      </w:r>
    </w:p>
    <w:p>
      <w:pPr>
        <w:pStyle w:val="Heading2"/>
      </w:pPr>
      <w:r>
        <w:rPr>
          <w:color w:val="1A1A1A"/>
        </w:rPr>
        <w:t>2.6 Values we will set on the server</w:t>
      </w:r>
    </w:p>
    <w:p>
      <w:pPr>
        <w:spacing w:after="160" w:before="0"/>
      </w:pPr>
      <w:r>
        <w:rPr>
          <w:b w:val="0"/>
          <w:i w:val="0"/>
        </w:rPr>
        <w:t>Once credentials are received:</w:t>
      </w:r>
    </w:p>
    <w:p>
      <w:r>
        <w:rPr>
          <w:rFonts w:ascii="Consolas" w:hAnsi="Consolas"/>
          <w:sz w:val="20"/>
        </w:rPr>
        <w:t>PAYOUT_PROVIDER=razorpay</w:t>
        <w:br/>
        <w:t>RAZORPAY_KEY_ID=……</w:t>
        <w:br/>
        <w:t>RAZORPAY_KEY_SECRET=……</w:t>
        <w:br/>
        <w:t>RAZORPAYX_ACCOUNT_NUMBER=……</w:t>
        <w:br/>
        <w:t>RAZORPAY_WEBHOOK_SECRET=……</w:t>
        <w:br/>
        <w:t>MIN_WITHDRAWAL_AMOUNT=50</w:t>
      </w:r>
    </w:p>
    <w:p>
      <w:pPr>
        <w:pStyle w:val="Heading2"/>
      </w:pPr>
      <w:r>
        <w:rPr>
          <w:color w:val="1A1A1A"/>
        </w:rPr>
        <w:t>2.7 Recommended rollout order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8EEF4" w:val="clear"/>
          </w:tcPr>
          <w:p>
            <w:r>
              <w:rPr>
                <w:b/>
                <w:sz w:val="20"/>
              </w:rPr>
              <w:t>Step</w:t>
            </w:r>
          </w:p>
        </w:tc>
        <w:tc>
          <w:tcPr>
            <w:tcW w:type="dxa" w:w="3249"/>
            <w:shd w:fill="E8EEF4" w:val="clear"/>
          </w:tcPr>
          <w:p>
            <w:r>
              <w:rPr>
                <w:b/>
                <w:sz w:val="20"/>
              </w:rPr>
              <w:t>Owner</w:t>
            </w:r>
          </w:p>
        </w:tc>
        <w:tc>
          <w:tcPr>
            <w:tcW w:type="dxa" w:w="3249"/>
            <w:shd w:fill="E8EEF4" w:val="clear"/>
          </w:tcPr>
          <w:p>
            <w:r>
              <w:rPr>
                <w:b/>
                <w:sz w:val="20"/>
              </w:rPr>
              <w:t>Action</w:t>
            </w:r>
          </w:p>
        </w:tc>
      </w:tr>
      <w:tr>
        <w:tc>
          <w:tcPr>
            <w:tcW w:type="dxa" w:w="3249"/>
          </w:tcPr>
          <w:p>
            <w:r>
              <w:rPr>
                <w:sz w:val="20"/>
              </w:rPr>
              <w:t>1</w:t>
            </w:r>
          </w:p>
        </w:tc>
        <w:tc>
          <w:tcPr>
            <w:tcW w:type="dxa" w:w="3249"/>
          </w:tcPr>
          <w:p>
            <w:r>
              <w:rPr>
                <w:sz w:val="20"/>
              </w:rPr>
              <w:t>Client</w:t>
            </w:r>
          </w:p>
        </w:tc>
        <w:tc>
          <w:tcPr>
            <w:tcW w:type="dxa" w:w="3249"/>
          </w:tcPr>
          <w:p>
            <w:r>
              <w:rPr>
                <w:sz w:val="20"/>
              </w:rPr>
              <w:t>Create Razorpay account + complete KYC</w:t>
            </w:r>
          </w:p>
        </w:tc>
      </w:tr>
      <w:tr>
        <w:tc>
          <w:tcPr>
            <w:tcW w:type="dxa" w:w="3249"/>
          </w:tcPr>
          <w:p>
            <w:r>
              <w:rPr>
                <w:sz w:val="20"/>
              </w:rPr>
              <w:t>2</w:t>
            </w:r>
          </w:p>
        </w:tc>
        <w:tc>
          <w:tcPr>
            <w:tcW w:type="dxa" w:w="3249"/>
          </w:tcPr>
          <w:p>
            <w:r>
              <w:rPr>
                <w:sz w:val="20"/>
              </w:rPr>
              <w:t>Client</w:t>
            </w:r>
          </w:p>
        </w:tc>
        <w:tc>
          <w:tcPr>
            <w:tcW w:type="dxa" w:w="3249"/>
          </w:tcPr>
          <w:p>
            <w:r>
              <w:rPr>
                <w:sz w:val="20"/>
              </w:rPr>
              <w:t>Enable RazorpayX and fund the account</w:t>
            </w:r>
          </w:p>
        </w:tc>
      </w:tr>
      <w:tr>
        <w:tc>
          <w:tcPr>
            <w:tcW w:type="dxa" w:w="3249"/>
          </w:tcPr>
          <w:p>
            <w:r>
              <w:rPr>
                <w:sz w:val="20"/>
              </w:rPr>
              <w:t>3</w:t>
            </w:r>
          </w:p>
        </w:tc>
        <w:tc>
          <w:tcPr>
            <w:tcW w:type="dxa" w:w="3249"/>
          </w:tcPr>
          <w:p>
            <w:r>
              <w:rPr>
                <w:sz w:val="20"/>
              </w:rPr>
              <w:t>Client</w:t>
            </w:r>
          </w:p>
        </w:tc>
        <w:tc>
          <w:tcPr>
            <w:tcW w:type="dxa" w:w="3249"/>
          </w:tcPr>
          <w:p>
            <w:r>
              <w:rPr>
                <w:sz w:val="20"/>
              </w:rPr>
              <w:t>Share Test API keys + X account number + webhook secret</w:t>
            </w:r>
          </w:p>
        </w:tc>
      </w:tr>
      <w:tr>
        <w:tc>
          <w:tcPr>
            <w:tcW w:type="dxa" w:w="3249"/>
          </w:tcPr>
          <w:p>
            <w:r>
              <w:rPr>
                <w:sz w:val="20"/>
              </w:rPr>
              <w:t>4</w:t>
            </w:r>
          </w:p>
        </w:tc>
        <w:tc>
          <w:tcPr>
            <w:tcW w:type="dxa" w:w="3249"/>
          </w:tcPr>
          <w:p>
            <w:r>
              <w:rPr>
                <w:sz w:val="20"/>
              </w:rPr>
              <w:t>Dev team</w:t>
            </w:r>
          </w:p>
        </w:tc>
        <w:tc>
          <w:tcPr>
            <w:tcW w:type="dxa" w:w="3249"/>
          </w:tcPr>
          <w:p>
            <w:r>
              <w:rPr>
                <w:sz w:val="20"/>
              </w:rPr>
              <w:t>Configure staging + webhook URL</w:t>
            </w:r>
          </w:p>
        </w:tc>
      </w:tr>
      <w:tr>
        <w:tc>
          <w:tcPr>
            <w:tcW w:type="dxa" w:w="3249"/>
          </w:tcPr>
          <w:p>
            <w:r>
              <w:rPr>
                <w:sz w:val="20"/>
              </w:rPr>
              <w:t>5</w:t>
            </w:r>
          </w:p>
        </w:tc>
        <w:tc>
          <w:tcPr>
            <w:tcW w:type="dxa" w:w="3249"/>
          </w:tcPr>
          <w:p>
            <w:r>
              <w:rPr>
                <w:sz w:val="20"/>
              </w:rPr>
              <w:t>Both</w:t>
            </w:r>
          </w:p>
        </w:tc>
        <w:tc>
          <w:tcPr>
            <w:tcW w:type="dxa" w:w="3249"/>
          </w:tcPr>
          <w:p>
            <w:r>
              <w:rPr>
                <w:sz w:val="20"/>
              </w:rPr>
              <w:t>Run 2–3 test withdrawals</w:t>
            </w:r>
          </w:p>
        </w:tc>
      </w:tr>
      <w:tr>
        <w:tc>
          <w:tcPr>
            <w:tcW w:type="dxa" w:w="3249"/>
          </w:tcPr>
          <w:p>
            <w:r>
              <w:rPr>
                <w:sz w:val="20"/>
              </w:rPr>
              <w:t>6</w:t>
            </w:r>
          </w:p>
        </w:tc>
        <w:tc>
          <w:tcPr>
            <w:tcW w:type="dxa" w:w="3249"/>
          </w:tcPr>
          <w:p>
            <w:r>
              <w:rPr>
                <w:sz w:val="20"/>
              </w:rPr>
              <w:t>Client</w:t>
            </w:r>
          </w:p>
        </w:tc>
        <w:tc>
          <w:tcPr>
            <w:tcW w:type="dxa" w:w="3249"/>
          </w:tcPr>
          <w:p>
            <w:r>
              <w:rPr>
                <w:sz w:val="20"/>
              </w:rPr>
              <w:t>Generate Live keys</w:t>
            </w:r>
          </w:p>
        </w:tc>
      </w:tr>
      <w:tr>
        <w:tc>
          <w:tcPr>
            <w:tcW w:type="dxa" w:w="3249"/>
          </w:tcPr>
          <w:p>
            <w:r>
              <w:rPr>
                <w:sz w:val="20"/>
              </w:rPr>
              <w:t>7</w:t>
            </w:r>
          </w:p>
        </w:tc>
        <w:tc>
          <w:tcPr>
            <w:tcW w:type="dxa" w:w="3249"/>
          </w:tcPr>
          <w:p>
            <w:r>
              <w:rPr>
                <w:sz w:val="20"/>
              </w:rPr>
              <w:t>Dev team</w:t>
            </w:r>
          </w:p>
        </w:tc>
        <w:tc>
          <w:tcPr>
            <w:tcW w:type="dxa" w:w="3249"/>
          </w:tcPr>
          <w:p>
            <w:r>
              <w:rPr>
                <w:sz w:val="20"/>
              </w:rPr>
              <w:t>Move Live keys to production</w:t>
            </w:r>
          </w:p>
        </w:tc>
      </w:tr>
      <w:tr>
        <w:tc>
          <w:tcPr>
            <w:tcW w:type="dxa" w:w="3249"/>
          </w:tcPr>
          <w:p>
            <w:r>
              <w:rPr>
                <w:sz w:val="20"/>
              </w:rPr>
              <w:t>8</w:t>
            </w:r>
          </w:p>
        </w:tc>
        <w:tc>
          <w:tcPr>
            <w:tcW w:type="dxa" w:w="3249"/>
          </w:tcPr>
          <w:p>
            <w:r>
              <w:rPr>
                <w:sz w:val="20"/>
              </w:rPr>
              <w:t>Both</w:t>
            </w:r>
          </w:p>
        </w:tc>
        <w:tc>
          <w:tcPr>
            <w:tcW w:type="dxa" w:w="3249"/>
          </w:tcPr>
          <w:p>
            <w:r>
              <w:rPr>
                <w:sz w:val="20"/>
              </w:rPr>
              <w:t>One low-value live payout confirmation</w:t>
            </w:r>
          </w:p>
        </w:tc>
      </w:tr>
    </w:tbl>
    <w:p/>
    <w:p>
      <w:pPr>
        <w:pStyle w:val="Heading2"/>
      </w:pPr>
      <w:r>
        <w:rPr>
          <w:color w:val="1A1A1A"/>
        </w:rPr>
        <w:t>2.8 Until Live is ready</w:t>
      </w:r>
    </w:p>
    <w:p>
      <w:pPr>
        <w:spacing w:after="160" w:before="0"/>
      </w:pPr>
      <w:r>
        <w:rPr>
          <w:b w:val="0"/>
          <w:i w:val="0"/>
        </w:rPr>
        <w:t>The application can continue using mock payouts in development:</w:t>
      </w:r>
    </w:p>
    <w:p>
      <w:r>
        <w:rPr>
          <w:rFonts w:ascii="Consolas" w:hAnsi="Consolas"/>
          <w:sz w:val="20"/>
        </w:rPr>
        <w:t>PAYOUT_PROVIDER=mock</w:t>
      </w:r>
    </w:p>
    <w:p>
      <w:pPr>
        <w:spacing w:after="160" w:before="0"/>
      </w:pPr>
      <w:r>
        <w:rPr>
          <w:b w:val="0"/>
          <w:i/>
        </w:rPr>
        <w:t>In mock mode, withdraw APIs work for UI / QA, but no real money is transferred.</w:t>
      </w:r>
    </w:p>
    <w:p>
      <w:pPr>
        <w:pStyle w:val="Heading1"/>
      </w:pPr>
      <w:r>
        <w:rPr>
          <w:color w:val="1A1A1A"/>
        </w:rPr>
        <w:t>3. MSG91 SMS + Indian DLT Setup</w:t>
      </w:r>
    </w:p>
    <w:p>
      <w:pPr>
        <w:pStyle w:val="Heading2"/>
      </w:pPr>
      <w:r>
        <w:rPr>
          <w:color w:val="1A1A1A"/>
        </w:rPr>
        <w:t>3.1 Why this is needed</w:t>
      </w:r>
    </w:p>
    <w:p>
      <w:pPr>
        <w:spacing w:after="160" w:before="0"/>
      </w:pPr>
      <w:r>
        <w:rPr>
          <w:b w:val="0"/>
          <w:i w:val="0"/>
        </w:rPr>
        <w:t>User login on the Accor mobile app is OTP-based (mobile number). To send OTPs reliably in India, we use MSG91. Before Trai DLT compliance, bulk transactional OTP SMS to Indian numbers will not deliver reliably in Live.</w:t>
      </w:r>
    </w:p>
    <w:p>
      <w:pPr>
        <w:pStyle w:val="Heading2"/>
      </w:pPr>
      <w:r>
        <w:rPr>
          <w:color w:val="1A1A1A"/>
        </w:rPr>
        <w:t>3.2 High-level SMS flow</w:t>
      </w:r>
    </w:p>
    <w:p>
      <w:pPr>
        <w:pStyle w:val="ListNumber"/>
        <w:spacing w:after="60"/>
      </w:pPr>
      <w:r>
        <w:t>User enters mobile number in the app.</w:t>
      </w:r>
    </w:p>
    <w:p>
      <w:pPr>
        <w:pStyle w:val="ListNumber"/>
        <w:spacing w:after="60"/>
      </w:pPr>
      <w:r>
        <w:t>Backend generates a short-lived OTP and stores only a hash in our database.</w:t>
      </w:r>
    </w:p>
    <w:p>
      <w:pPr>
        <w:pStyle w:val="ListNumber"/>
        <w:spacing w:after="60"/>
      </w:pPr>
      <w:r>
        <w:t>Backend calls MSG91 to send the OTP SMS using an approved DLT template.</w:t>
      </w:r>
    </w:p>
    <w:p>
      <w:pPr>
        <w:pStyle w:val="ListNumber"/>
        <w:spacing w:after="60"/>
      </w:pPr>
      <w:r>
        <w:t>User enters OTP; backend verifies and issues login tokens.</w:t>
      </w:r>
    </w:p>
    <w:p>
      <w:pPr>
        <w:pStyle w:val="Heading2"/>
      </w:pPr>
      <w:r>
        <w:rPr>
          <w:color w:val="1A1A1A"/>
        </w:rPr>
        <w:t>3.3 What “DLT” means (simple terms)</w:t>
      </w:r>
    </w:p>
    <w:p>
      <w:pPr>
        <w:spacing w:after="160" w:before="0"/>
      </w:pPr>
      <w:r>
        <w:rPr>
          <w:b w:val="0"/>
          <w:i w:val="0"/>
        </w:rPr>
        <w:t>DLT (Distributed Ledger Technology) registration is an Indian telecom requirement. Every company sending commercial / transactional SMS must register:</w:t>
      </w:r>
    </w:p>
    <w:p>
      <w:pPr>
        <w:pStyle w:val="ListBullet"/>
        <w:spacing w:after="60"/>
      </w:pPr>
      <w:r>
        <w:t>Entity (company) on a DLT portal (e.g. Jio, Airtel, Vi, BSNL — usually one primary operator portal is enough to start, then replicate as needed)</w:t>
      </w:r>
    </w:p>
    <w:p>
      <w:pPr>
        <w:pStyle w:val="ListBullet"/>
        <w:spacing w:after="60"/>
      </w:pPr>
      <w:r>
        <w:t>Sender ID / Header (e.g. a 6-character brand header such as ACCORQ — exact value decided during approval)</w:t>
      </w:r>
    </w:p>
    <w:p>
      <w:pPr>
        <w:pStyle w:val="ListBullet"/>
        <w:spacing w:after="60"/>
      </w:pPr>
      <w:r>
        <w:t>Content Template(s) for OTP (fixed text with variables like {#var#})</w:t>
      </w:r>
    </w:p>
    <w:p>
      <w:pPr>
        <w:spacing w:after="160" w:before="0"/>
      </w:pPr>
      <w:r>
        <w:rPr>
          <w:b w:val="0"/>
          <w:i/>
        </w:rPr>
        <w:t>MSG91 delivery depends on these DLT approvals being completed and mapped to the MSG91 account.</w:t>
      </w:r>
    </w:p>
    <w:p>
      <w:pPr>
        <w:pStyle w:val="Heading2"/>
      </w:pPr>
      <w:r>
        <w:rPr>
          <w:color w:val="1A1A1A"/>
        </w:rPr>
        <w:t>3.4 Client responsibilities — MSG91</w:t>
      </w:r>
    </w:p>
    <w:p>
      <w:pPr>
        <w:pStyle w:val="ListNumber"/>
        <w:spacing w:after="60"/>
      </w:pPr>
      <w:r>
        <w:t>Create an MSG91 account (company email / GST details as required): https://msg91.com</w:t>
      </w:r>
    </w:p>
    <w:p>
      <w:pPr>
        <w:pStyle w:val="ListNumber"/>
        <w:spacing w:after="60"/>
      </w:pPr>
      <w:r>
        <w:t>Complete MSG91 KYC / account verification.</w:t>
      </w:r>
    </w:p>
    <w:p>
      <w:pPr>
        <w:pStyle w:val="ListNumber"/>
        <w:spacing w:after="60"/>
      </w:pPr>
      <w:r>
        <w:t>Purchase SMS credits / wallet balance for transactional OTP traffic.</w:t>
      </w:r>
    </w:p>
    <w:p>
      <w:pPr>
        <w:pStyle w:val="ListNumber"/>
        <w:spacing w:after="60"/>
      </w:pPr>
      <w:r>
        <w:t>If a dedicated virtual number / flow is recommended by MSG91 for your plan, purchase as advised by MSG91 support (OTP usually uses Sender ID + template, not a personal SIM).</w:t>
      </w:r>
    </w:p>
    <w:p>
      <w:pPr>
        <w:pStyle w:val="ListNumber"/>
        <w:spacing w:after="60"/>
      </w:pPr>
      <w:r>
        <w:t>Share Auth Key / API credentials with the development team securely.</w:t>
      </w:r>
    </w:p>
    <w:p>
      <w:pPr>
        <w:pStyle w:val="ListNumber"/>
        <w:spacing w:after="60"/>
      </w:pPr>
      <w:r>
        <w:t>Add approved Sender ID and Template IDs inside MSG91 after DLT approval.</w:t>
      </w:r>
    </w:p>
    <w:p>
      <w:pPr>
        <w:pStyle w:val="ListNumber"/>
        <w:spacing w:after="60"/>
      </w:pPr>
      <w:r>
        <w:t>Inform us of daily expected OTP volume so credit balance planning is realistic.</w:t>
      </w:r>
    </w:p>
    <w:p>
      <w:pPr>
        <w:pStyle w:val="Heading2"/>
      </w:pPr>
      <w:r>
        <w:rPr>
          <w:color w:val="1A1A1A"/>
        </w:rPr>
        <w:t>3.5 Client responsibilities — DLT (India)</w:t>
      </w:r>
    </w:p>
    <w:p>
      <w:pPr>
        <w:spacing w:after="160" w:before="0"/>
      </w:pPr>
      <w:r>
        <w:rPr>
          <w:b/>
          <w:i w:val="0"/>
        </w:rPr>
        <w:t>DLT steps are mandatory for Live OTP SMS to Indian mobiles:</w:t>
      </w:r>
    </w:p>
    <w:p>
      <w:pPr>
        <w:pStyle w:val="ListNumber"/>
        <w:spacing w:after="60"/>
      </w:pPr>
      <w:r>
        <w:t>Register the company Entity on an approved DLT portal (use company PAN / CIN / GST documents).</w:t>
      </w:r>
    </w:p>
    <w:p>
      <w:pPr>
        <w:pStyle w:val="ListNumber"/>
        <w:spacing w:after="60"/>
      </w:pPr>
      <w:r>
        <w:t>Create / register Sender ID (Header). Example request: ACCORQ / ACCOTP (final approved header may differ).</w:t>
      </w:r>
    </w:p>
    <w:p>
      <w:pPr>
        <w:pStyle w:val="ListNumber"/>
        <w:spacing w:after="60"/>
      </w:pPr>
      <w:r>
        <w:t>Submit OTP Content Template for approval. Keep language simple and fixed.</w:t>
      </w:r>
    </w:p>
    <w:p>
      <w:pPr>
        <w:pStyle w:val="ListNumber"/>
        <w:spacing w:after="60"/>
      </w:pPr>
      <w:r>
        <w:t>Wait for approvals (often 2–7 working days; can take longer depending on operator).</w:t>
      </w:r>
    </w:p>
    <w:p>
      <w:pPr>
        <w:pStyle w:val="ListNumber"/>
        <w:spacing w:after="60"/>
      </w:pPr>
      <w:r>
        <w:t>Map approved Header + Template in MSG91 (PE ID, Template ID, Header as shown in MSG91 UI).</w:t>
      </w:r>
    </w:p>
    <w:p>
      <w:pPr>
        <w:pStyle w:val="ListNumber"/>
        <w:spacing w:after="60"/>
      </w:pPr>
      <w:r>
        <w:t>Share PE ID, Header, and Template ID with the development team.</w:t>
      </w:r>
    </w:p>
    <w:p>
      <w:pPr>
        <w:pStyle w:val="Heading2"/>
      </w:pPr>
      <w:r>
        <w:rPr>
          <w:color w:val="1A1A1A"/>
        </w:rPr>
        <w:t>3.6 Suggested OTP template (for DLT approval)</w:t>
      </w:r>
    </w:p>
    <w:p>
      <w:pPr>
        <w:spacing w:after="160" w:before="0"/>
      </w:pPr>
      <w:r>
        <w:rPr>
          <w:b w:val="0"/>
          <w:i w:val="0"/>
        </w:rPr>
        <w:t>Use a clear transactional template. Example:</w:t>
      </w:r>
    </w:p>
    <w:p>
      <w:r>
        <w:rPr>
          <w:rFonts w:ascii="Consolas" w:hAnsi="Consolas"/>
          <w:sz w:val="20"/>
        </w:rPr>
        <w:t>Your Accor login OTP is {#var#}. Valid for 10 minutes. Do not share this OTP with anyone. — Accor</w:t>
      </w:r>
    </w:p>
    <w:p>
      <w:pPr>
        <w:spacing w:after="160" w:before="0"/>
      </w:pPr>
      <w:r>
        <w:rPr>
          <w:b w:val="0"/>
          <w:i/>
        </w:rPr>
        <w:t>Do not put marketing text in the OTP template. Operators reject promotional wording on OTP templates.</w:t>
      </w:r>
    </w:p>
    <w:p>
      <w:pPr>
        <w:pStyle w:val="Heading2"/>
      </w:pPr>
      <w:r>
        <w:rPr>
          <w:color w:val="1A1A1A"/>
        </w:rPr>
        <w:t>3.7 Credentials / IDs to share with us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8EEF4" w:val="clear"/>
          </w:tcPr>
          <w:p>
            <w:r>
              <w:rPr>
                <w:b/>
                <w:sz w:val="20"/>
              </w:rPr>
              <w:t>Item</w:t>
            </w:r>
          </w:p>
        </w:tc>
        <w:tc>
          <w:tcPr>
            <w:tcW w:type="dxa" w:w="3249"/>
            <w:shd w:fill="E8EEF4" w:val="clear"/>
          </w:tcPr>
          <w:p>
            <w:r>
              <w:rPr>
                <w:b/>
                <w:sz w:val="20"/>
              </w:rPr>
              <w:t>Source</w:t>
            </w:r>
          </w:p>
        </w:tc>
        <w:tc>
          <w:tcPr>
            <w:tcW w:type="dxa" w:w="3249"/>
            <w:shd w:fill="E8EEF4" w:val="clear"/>
          </w:tcPr>
          <w:p>
            <w:r>
              <w:rPr>
                <w:b/>
                <w:sz w:val="20"/>
              </w:rPr>
              <w:t>Notes</w:t>
            </w:r>
          </w:p>
        </w:tc>
      </w:tr>
      <w:tr>
        <w:tc>
          <w:tcPr>
            <w:tcW w:type="dxa" w:w="3249"/>
          </w:tcPr>
          <w:p>
            <w:r>
              <w:rPr>
                <w:sz w:val="20"/>
              </w:rPr>
              <w:t>MSG91 Auth Key</w:t>
            </w:r>
          </w:p>
        </w:tc>
        <w:tc>
          <w:tcPr>
            <w:tcW w:type="dxa" w:w="3249"/>
          </w:tcPr>
          <w:p>
            <w:r>
              <w:rPr>
                <w:sz w:val="20"/>
              </w:rPr>
              <w:t>MSG91 Dashboard → API</w:t>
            </w:r>
          </w:p>
        </w:tc>
        <w:tc>
          <w:tcPr>
            <w:tcW w:type="dxa" w:w="3249"/>
          </w:tcPr>
          <w:p>
            <w:r>
              <w:rPr>
                <w:sz w:val="20"/>
              </w:rPr>
              <w:t>Required for API sending</w:t>
            </w:r>
          </w:p>
        </w:tc>
      </w:tr>
      <w:tr>
        <w:tc>
          <w:tcPr>
            <w:tcW w:type="dxa" w:w="3249"/>
          </w:tcPr>
          <w:p>
            <w:r>
              <w:rPr>
                <w:sz w:val="20"/>
              </w:rPr>
              <w:t>MSG91 Sender ID / Header</w:t>
            </w:r>
          </w:p>
        </w:tc>
        <w:tc>
          <w:tcPr>
            <w:tcW w:type="dxa" w:w="3249"/>
          </w:tcPr>
          <w:p>
            <w:r>
              <w:rPr>
                <w:sz w:val="20"/>
              </w:rPr>
              <w:t>DLT approved + mapped in MSG91</w:t>
            </w:r>
          </w:p>
        </w:tc>
        <w:tc>
          <w:tcPr>
            <w:tcW w:type="dxa" w:w="3249"/>
          </w:tcPr>
          <w:p>
            <w:r>
              <w:rPr>
                <w:sz w:val="20"/>
              </w:rPr>
              <w:t>6-char style header typically</w:t>
            </w:r>
          </w:p>
        </w:tc>
      </w:tr>
      <w:tr>
        <w:tc>
          <w:tcPr>
            <w:tcW w:type="dxa" w:w="3249"/>
          </w:tcPr>
          <w:p>
            <w:r>
              <w:rPr>
                <w:sz w:val="20"/>
              </w:rPr>
              <w:t>DLT PE ID</w:t>
            </w:r>
          </w:p>
        </w:tc>
        <w:tc>
          <w:tcPr>
            <w:tcW w:type="dxa" w:w="3249"/>
          </w:tcPr>
          <w:p>
            <w:r>
              <w:rPr>
                <w:sz w:val="20"/>
              </w:rPr>
              <w:t>DLT portal</w:t>
            </w:r>
          </w:p>
        </w:tc>
        <w:tc>
          <w:tcPr>
            <w:tcW w:type="dxa" w:w="3249"/>
          </w:tcPr>
          <w:p>
            <w:r>
              <w:rPr>
                <w:sz w:val="20"/>
              </w:rPr>
              <w:t>Principal Entity ID</w:t>
            </w:r>
          </w:p>
        </w:tc>
      </w:tr>
      <w:tr>
        <w:tc>
          <w:tcPr>
            <w:tcW w:type="dxa" w:w="3249"/>
          </w:tcPr>
          <w:p>
            <w:r>
              <w:rPr>
                <w:sz w:val="20"/>
              </w:rPr>
              <w:t>DLT Template ID</w:t>
            </w:r>
          </w:p>
        </w:tc>
        <w:tc>
          <w:tcPr>
            <w:tcW w:type="dxa" w:w="3249"/>
          </w:tcPr>
          <w:p>
            <w:r>
              <w:rPr>
                <w:sz w:val="20"/>
              </w:rPr>
              <w:t>DLT portal / MSG91</w:t>
            </w:r>
          </w:p>
        </w:tc>
        <w:tc>
          <w:tcPr>
            <w:tcW w:type="dxa" w:w="3249"/>
          </w:tcPr>
          <w:p>
            <w:r>
              <w:rPr>
                <w:sz w:val="20"/>
              </w:rPr>
              <w:t>Must match approved content</w:t>
            </w:r>
          </w:p>
        </w:tc>
      </w:tr>
      <w:tr>
        <w:tc>
          <w:tcPr>
            <w:tcW w:type="dxa" w:w="3249"/>
          </w:tcPr>
          <w:p>
            <w:r>
              <w:rPr>
                <w:sz w:val="20"/>
              </w:rPr>
              <w:t>Registered entity name</w:t>
            </w:r>
          </w:p>
        </w:tc>
        <w:tc>
          <w:tcPr>
            <w:tcW w:type="dxa" w:w="3249"/>
          </w:tcPr>
          <w:p>
            <w:r>
              <w:rPr>
                <w:sz w:val="20"/>
              </w:rPr>
              <w:t>Company docs</w:t>
            </w:r>
          </w:p>
        </w:tc>
        <w:tc>
          <w:tcPr>
            <w:tcW w:type="dxa" w:w="3249"/>
          </w:tcPr>
          <w:p>
            <w:r>
              <w:rPr>
                <w:sz w:val="20"/>
              </w:rPr>
              <w:t>Should match DLT registration</w:t>
            </w:r>
          </w:p>
        </w:tc>
      </w:tr>
    </w:tbl>
    <w:p/>
    <w:p>
      <w:pPr>
        <w:pStyle w:val="Heading2"/>
      </w:pPr>
      <w:r>
        <w:rPr>
          <w:color w:val="1A1A1A"/>
        </w:rPr>
        <w:t>3.8 What the development team will do</w:t>
      </w:r>
    </w:p>
    <w:p>
      <w:pPr>
        <w:pStyle w:val="ListNumber"/>
        <w:spacing w:after="60"/>
      </w:pPr>
      <w:r>
        <w:t>Integrate MSG91 send-OTP API into the existing SMS client.</w:t>
      </w:r>
    </w:p>
    <w:p>
      <w:pPr>
        <w:pStyle w:val="ListNumber"/>
        <w:spacing w:after="60"/>
      </w:pPr>
      <w:r>
        <w:t>Bind approved Template ID + Header in the send request.</w:t>
      </w:r>
    </w:p>
    <w:p>
      <w:pPr>
        <w:pStyle w:val="ListNumber"/>
        <w:spacing w:after="60"/>
      </w:pPr>
      <w:r>
        <w:t>Keep OTP hashing / expiry / resend cooldown as already designed in backend.</w:t>
      </w:r>
    </w:p>
    <w:p>
      <w:pPr>
        <w:pStyle w:val="ListNumber"/>
        <w:spacing w:after="60"/>
      </w:pPr>
      <w:r>
        <w:t>Test on staging numbers (whitelist if MSG91 requires).</w:t>
      </w:r>
    </w:p>
    <w:p>
      <w:pPr>
        <w:pStyle w:val="ListNumber"/>
        <w:spacing w:after="60"/>
      </w:pPr>
      <w:r>
        <w:t>Go live only after a sample OTP is received on a real Indian handset.</w:t>
      </w:r>
    </w:p>
    <w:p>
      <w:pPr>
        <w:pStyle w:val="Heading2"/>
      </w:pPr>
      <w:r>
        <w:rPr>
          <w:color w:val="1A1A1A"/>
        </w:rPr>
        <w:t>3.9 Timeline expectation (typical)</w:t>
      </w:r>
    </w:p>
    <w:tbl>
      <w:tblPr>
        <w:tblStyle w:val="TableGrid"/>
        <w:tblW w:type="auto" w:w="0"/>
        <w:jc w:val="center"/>
        <w:tblLook w:firstColumn="1" w:firstRow="1" w:lastColumn="0" w:lastRow="0" w:noHBand="0" w:noVBand="1" w:val="04A0"/>
      </w:tblPr>
      <w:tblGrid>
        <w:gridCol w:w="4873"/>
        <w:gridCol w:w="4873"/>
      </w:tblGrid>
      <w:tr>
        <w:tc>
          <w:tcPr>
            <w:tcW w:type="dxa" w:w="4873"/>
            <w:shd w:fill="E8EEF4" w:val="clear"/>
          </w:tcPr>
          <w:p>
            <w:r>
              <w:rPr>
                <w:b/>
                <w:sz w:val="20"/>
              </w:rPr>
              <w:t>Activity</w:t>
            </w:r>
          </w:p>
        </w:tc>
        <w:tc>
          <w:tcPr>
            <w:tcW w:type="dxa" w:w="4873"/>
            <w:shd w:fill="E8EEF4" w:val="clear"/>
          </w:tcPr>
          <w:p>
            <w:r>
              <w:rPr>
                <w:b/>
                <w:sz w:val="20"/>
              </w:rPr>
              <w:t>Typical duration</w:t>
            </w:r>
          </w:p>
        </w:tc>
      </w:tr>
      <w:tr>
        <w:tc>
          <w:tcPr>
            <w:tcW w:type="dxa" w:w="4873"/>
          </w:tcPr>
          <w:p>
            <w:r>
              <w:rPr>
                <w:sz w:val="20"/>
              </w:rPr>
              <w:t>MSG91 account + KYC</w:t>
            </w:r>
          </w:p>
        </w:tc>
        <w:tc>
          <w:tcPr>
            <w:tcW w:type="dxa" w:w="4873"/>
          </w:tcPr>
          <w:p>
            <w:r>
              <w:rPr>
                <w:sz w:val="20"/>
              </w:rPr>
              <w:t>1–3 working days</w:t>
            </w:r>
          </w:p>
        </w:tc>
      </w:tr>
      <w:tr>
        <w:tc>
          <w:tcPr>
            <w:tcW w:type="dxa" w:w="4873"/>
          </w:tcPr>
          <w:p>
            <w:r>
              <w:rPr>
                <w:sz w:val="20"/>
              </w:rPr>
              <w:t>DLT Entity registration</w:t>
            </w:r>
          </w:p>
        </w:tc>
        <w:tc>
          <w:tcPr>
            <w:tcW w:type="dxa" w:w="4873"/>
          </w:tcPr>
          <w:p>
            <w:r>
              <w:rPr>
                <w:sz w:val="20"/>
              </w:rPr>
              <w:t>2–7 working days</w:t>
            </w:r>
          </w:p>
        </w:tc>
      </w:tr>
      <w:tr>
        <w:tc>
          <w:tcPr>
            <w:tcW w:type="dxa" w:w="4873"/>
          </w:tcPr>
          <w:p>
            <w:r>
              <w:rPr>
                <w:sz w:val="20"/>
              </w:rPr>
              <w:t>Sender ID / Header approval</w:t>
            </w:r>
          </w:p>
        </w:tc>
        <w:tc>
          <w:tcPr>
            <w:tcW w:type="dxa" w:w="4873"/>
          </w:tcPr>
          <w:p>
            <w:r>
              <w:rPr>
                <w:sz w:val="20"/>
              </w:rPr>
              <w:t>2–7 working days</w:t>
            </w:r>
          </w:p>
        </w:tc>
      </w:tr>
      <w:tr>
        <w:tc>
          <w:tcPr>
            <w:tcW w:type="dxa" w:w="4873"/>
          </w:tcPr>
          <w:p>
            <w:r>
              <w:rPr>
                <w:sz w:val="20"/>
              </w:rPr>
              <w:t>OTP Template approval</w:t>
            </w:r>
          </w:p>
        </w:tc>
        <w:tc>
          <w:tcPr>
            <w:tcW w:type="dxa" w:w="4873"/>
          </w:tcPr>
          <w:p>
            <w:r>
              <w:rPr>
                <w:sz w:val="20"/>
              </w:rPr>
              <w:t>2–7 working days</w:t>
            </w:r>
          </w:p>
        </w:tc>
      </w:tr>
      <w:tr>
        <w:tc>
          <w:tcPr>
            <w:tcW w:type="dxa" w:w="4873"/>
          </w:tcPr>
          <w:p>
            <w:r>
              <w:rPr>
                <w:sz w:val="20"/>
              </w:rPr>
              <w:t>MSG91 mapping + tech integration</w:t>
            </w:r>
          </w:p>
        </w:tc>
        <w:tc>
          <w:tcPr>
            <w:tcW w:type="dxa" w:w="4873"/>
          </w:tcPr>
          <w:p>
            <w:r>
              <w:rPr>
                <w:sz w:val="20"/>
              </w:rPr>
              <w:t>1–2 working days after approvals</w:t>
            </w:r>
          </w:p>
        </w:tc>
      </w:tr>
    </w:tbl>
    <w:p/>
    <w:p>
      <w:pPr>
        <w:spacing w:after="160" w:before="0"/>
      </w:pPr>
      <w:r>
        <w:rPr>
          <w:b w:val="0"/>
          <w:i/>
        </w:rPr>
        <w:t>These are indicative timelines. Operator backlog can extend approvals. Please start DLT registration early — it is usually the longest item.</w:t>
      </w:r>
    </w:p>
    <w:p>
      <w:pPr>
        <w:pStyle w:val="Heading1"/>
      </w:pPr>
      <w:r>
        <w:rPr>
          <w:color w:val="1A1A1A"/>
        </w:rPr>
        <w:t>4. Ownership Matrix (Client vs Development Team)</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E8EEF4" w:val="clear"/>
          </w:tcPr>
          <w:p>
            <w:r>
              <w:rPr>
                <w:b/>
                <w:sz w:val="20"/>
              </w:rPr>
              <w:t>Task</w:t>
            </w:r>
          </w:p>
        </w:tc>
        <w:tc>
          <w:tcPr>
            <w:tcW w:type="dxa" w:w="3249"/>
            <w:shd w:fill="E8EEF4" w:val="clear"/>
          </w:tcPr>
          <w:p>
            <w:r>
              <w:rPr>
                <w:b/>
                <w:sz w:val="20"/>
              </w:rPr>
              <w:t>Client</w:t>
            </w:r>
          </w:p>
        </w:tc>
        <w:tc>
          <w:tcPr>
            <w:tcW w:type="dxa" w:w="3249"/>
            <w:shd w:fill="E8EEF4" w:val="clear"/>
          </w:tcPr>
          <w:p>
            <w:r>
              <w:rPr>
                <w:b/>
                <w:sz w:val="20"/>
              </w:rPr>
              <w:t>Dev team</w:t>
            </w:r>
          </w:p>
        </w:tc>
      </w:tr>
      <w:tr>
        <w:tc>
          <w:tcPr>
            <w:tcW w:type="dxa" w:w="3249"/>
          </w:tcPr>
          <w:p>
            <w:r>
              <w:rPr>
                <w:sz w:val="20"/>
              </w:rPr>
              <w:t>Create Razorpay business account + KYC</w:t>
            </w:r>
          </w:p>
        </w:tc>
        <w:tc>
          <w:tcPr>
            <w:tcW w:type="dxa" w:w="3249"/>
          </w:tcPr>
          <w:p>
            <w:r>
              <w:rPr>
                <w:sz w:val="20"/>
              </w:rPr>
              <w:t>Yes</w:t>
            </w:r>
          </w:p>
        </w:tc>
        <w:tc>
          <w:tcPr>
            <w:tcW w:type="dxa" w:w="3249"/>
          </w:tcPr>
          <w:p>
            <w:r>
              <w:rPr>
                <w:sz w:val="20"/>
              </w:rPr>
              <w:t>Support / guidance</w:t>
            </w:r>
          </w:p>
        </w:tc>
      </w:tr>
      <w:tr>
        <w:tc>
          <w:tcPr>
            <w:tcW w:type="dxa" w:w="3249"/>
          </w:tcPr>
          <w:p>
            <w:r>
              <w:rPr>
                <w:sz w:val="20"/>
              </w:rPr>
              <w:t>Enable RazorpayX + fund account</w:t>
            </w:r>
          </w:p>
        </w:tc>
        <w:tc>
          <w:tcPr>
            <w:tcW w:type="dxa" w:w="3249"/>
          </w:tcPr>
          <w:p>
            <w:r>
              <w:rPr>
                <w:sz w:val="20"/>
              </w:rPr>
              <w:t>Yes</w:t>
            </w:r>
          </w:p>
        </w:tc>
        <w:tc>
          <w:tcPr>
            <w:tcW w:type="dxa" w:w="3249"/>
          </w:tcPr>
          <w:p>
            <w:r>
              <w:rPr>
                <w:sz w:val="20"/>
              </w:rPr>
              <w:t>Guidance</w:t>
            </w:r>
          </w:p>
        </w:tc>
      </w:tr>
      <w:tr>
        <w:tc>
          <w:tcPr>
            <w:tcW w:type="dxa" w:w="3249"/>
          </w:tcPr>
          <w:p>
            <w:r>
              <w:rPr>
                <w:sz w:val="20"/>
              </w:rPr>
              <w:t>Share Razorpay / RazorpayX credentials</w:t>
            </w:r>
          </w:p>
        </w:tc>
        <w:tc>
          <w:tcPr>
            <w:tcW w:type="dxa" w:w="3249"/>
          </w:tcPr>
          <w:p>
            <w:r>
              <w:rPr>
                <w:sz w:val="20"/>
              </w:rPr>
              <w:t>Yes</w:t>
            </w:r>
          </w:p>
        </w:tc>
        <w:tc>
          <w:tcPr>
            <w:tcW w:type="dxa" w:w="3249"/>
          </w:tcPr>
          <w:p>
            <w:r>
              <w:rPr>
                <w:sz w:val="20"/>
              </w:rPr>
              <w:t>—</w:t>
            </w:r>
          </w:p>
        </w:tc>
      </w:tr>
      <w:tr>
        <w:tc>
          <w:tcPr>
            <w:tcW w:type="dxa" w:w="3249"/>
          </w:tcPr>
          <w:p>
            <w:r>
              <w:rPr>
                <w:sz w:val="20"/>
              </w:rPr>
              <w:t>Configure webhook + server env</w:t>
            </w:r>
          </w:p>
        </w:tc>
        <w:tc>
          <w:tcPr>
            <w:tcW w:type="dxa" w:w="3249"/>
          </w:tcPr>
          <w:p>
            <w:r>
              <w:rPr>
                <w:sz w:val="20"/>
              </w:rPr>
              <w:t>—</w:t>
            </w:r>
          </w:p>
        </w:tc>
        <w:tc>
          <w:tcPr>
            <w:tcW w:type="dxa" w:w="3249"/>
          </w:tcPr>
          <w:p>
            <w:r>
              <w:rPr>
                <w:sz w:val="20"/>
              </w:rPr>
              <w:t>Yes</w:t>
            </w:r>
          </w:p>
        </w:tc>
      </w:tr>
      <w:tr>
        <w:tc>
          <w:tcPr>
            <w:tcW w:type="dxa" w:w="3249"/>
          </w:tcPr>
          <w:p>
            <w:r>
              <w:rPr>
                <w:sz w:val="20"/>
              </w:rPr>
              <w:t>Create MSG91 account + buy credits</w:t>
            </w:r>
          </w:p>
        </w:tc>
        <w:tc>
          <w:tcPr>
            <w:tcW w:type="dxa" w:w="3249"/>
          </w:tcPr>
          <w:p>
            <w:r>
              <w:rPr>
                <w:sz w:val="20"/>
              </w:rPr>
              <w:t>Yes</w:t>
            </w:r>
          </w:p>
        </w:tc>
        <w:tc>
          <w:tcPr>
            <w:tcW w:type="dxa" w:w="3249"/>
          </w:tcPr>
          <w:p>
            <w:r>
              <w:rPr>
                <w:sz w:val="20"/>
              </w:rPr>
              <w:t>Guidance</w:t>
            </w:r>
          </w:p>
        </w:tc>
      </w:tr>
      <w:tr>
        <w:tc>
          <w:tcPr>
            <w:tcW w:type="dxa" w:w="3249"/>
          </w:tcPr>
          <w:p>
            <w:r>
              <w:rPr>
                <w:sz w:val="20"/>
              </w:rPr>
              <w:t>DLT Entity / Header / Template approval</w:t>
            </w:r>
          </w:p>
        </w:tc>
        <w:tc>
          <w:tcPr>
            <w:tcW w:type="dxa" w:w="3249"/>
          </w:tcPr>
          <w:p>
            <w:r>
              <w:rPr>
                <w:sz w:val="20"/>
              </w:rPr>
              <w:t>Yes</w:t>
            </w:r>
          </w:p>
        </w:tc>
        <w:tc>
          <w:tcPr>
            <w:tcW w:type="dxa" w:w="3249"/>
          </w:tcPr>
          <w:p>
            <w:r>
              <w:rPr>
                <w:sz w:val="20"/>
              </w:rPr>
              <w:t>Draft template text</w:t>
            </w:r>
          </w:p>
        </w:tc>
      </w:tr>
      <w:tr>
        <w:tc>
          <w:tcPr>
            <w:tcW w:type="dxa" w:w="3249"/>
          </w:tcPr>
          <w:p>
            <w:r>
              <w:rPr>
                <w:sz w:val="20"/>
              </w:rPr>
              <w:t>Map DLT IDs in MSG91</w:t>
            </w:r>
          </w:p>
        </w:tc>
        <w:tc>
          <w:tcPr>
            <w:tcW w:type="dxa" w:w="3249"/>
          </w:tcPr>
          <w:p>
            <w:r>
              <w:rPr>
                <w:sz w:val="20"/>
              </w:rPr>
              <w:t>Yes (or with us)</w:t>
            </w:r>
          </w:p>
        </w:tc>
        <w:tc>
          <w:tcPr>
            <w:tcW w:type="dxa" w:w="3249"/>
          </w:tcPr>
          <w:p>
            <w:r>
              <w:rPr>
                <w:sz w:val="20"/>
              </w:rPr>
              <w:t>Verify</w:t>
            </w:r>
          </w:p>
        </w:tc>
      </w:tr>
      <w:tr>
        <w:tc>
          <w:tcPr>
            <w:tcW w:type="dxa" w:w="3249"/>
          </w:tcPr>
          <w:p>
            <w:r>
              <w:rPr>
                <w:sz w:val="20"/>
              </w:rPr>
              <w:t>Code integration &amp; testing</w:t>
            </w:r>
          </w:p>
        </w:tc>
        <w:tc>
          <w:tcPr>
            <w:tcW w:type="dxa" w:w="3249"/>
          </w:tcPr>
          <w:p>
            <w:r>
              <w:rPr>
                <w:sz w:val="20"/>
              </w:rPr>
              <w:t>UAT support</w:t>
            </w:r>
          </w:p>
        </w:tc>
        <w:tc>
          <w:tcPr>
            <w:tcW w:type="dxa" w:w="3249"/>
          </w:tcPr>
          <w:p>
            <w:r>
              <w:rPr>
                <w:sz w:val="20"/>
              </w:rPr>
              <w:t>Yes</w:t>
            </w:r>
          </w:p>
        </w:tc>
      </w:tr>
      <w:tr>
        <w:tc>
          <w:tcPr>
            <w:tcW w:type="dxa" w:w="3249"/>
          </w:tcPr>
          <w:p>
            <w:r>
              <w:rPr>
                <w:sz w:val="20"/>
              </w:rPr>
              <w:t>Production go-live switch</w:t>
            </w:r>
          </w:p>
        </w:tc>
        <w:tc>
          <w:tcPr>
            <w:tcW w:type="dxa" w:w="3249"/>
          </w:tcPr>
          <w:p>
            <w:r>
              <w:rPr>
                <w:sz w:val="20"/>
              </w:rPr>
              <w:t>Approve</w:t>
            </w:r>
          </w:p>
        </w:tc>
        <w:tc>
          <w:tcPr>
            <w:tcW w:type="dxa" w:w="3249"/>
          </w:tcPr>
          <w:p>
            <w:r>
              <w:rPr>
                <w:sz w:val="20"/>
              </w:rPr>
              <w:t>Execute</w:t>
            </w:r>
          </w:p>
        </w:tc>
      </w:tr>
    </w:tbl>
    <w:p/>
    <w:p>
      <w:pPr>
        <w:pStyle w:val="Heading1"/>
      </w:pPr>
      <w:r>
        <w:rPr>
          <w:color w:val="1A1A1A"/>
        </w:rPr>
        <w:t>5. Client Checklist (copy / tick)</w:t>
      </w:r>
    </w:p>
    <w:p>
      <w:pPr>
        <w:pStyle w:val="Heading2"/>
      </w:pPr>
      <w:r>
        <w:rPr>
          <w:color w:val="1A1A1A"/>
        </w:rPr>
        <w:t>RazorpayX</w:t>
      </w:r>
    </w:p>
    <w:p>
      <w:pPr>
        <w:pStyle w:val="ListBullet"/>
        <w:spacing w:after="60"/>
      </w:pPr>
      <w:r>
        <w:t>[ ] Razorpay business account created</w:t>
      </w:r>
    </w:p>
    <w:p>
      <w:pPr>
        <w:pStyle w:val="ListBullet"/>
        <w:spacing w:after="60"/>
      </w:pPr>
      <w:r>
        <w:t>[ ] Business KYC completed</w:t>
      </w:r>
    </w:p>
    <w:p>
      <w:pPr>
        <w:pStyle w:val="ListBullet"/>
        <w:spacing w:after="60"/>
      </w:pPr>
      <w:r>
        <w:t>[ ] RazorpayX (Payouts) enabled</w:t>
      </w:r>
    </w:p>
    <w:p>
      <w:pPr>
        <w:pStyle w:val="ListBullet"/>
        <w:spacing w:after="60"/>
      </w:pPr>
      <w:r>
        <w:t>[ ] Funding / current account linked and funded</w:t>
      </w:r>
    </w:p>
    <w:p>
      <w:pPr>
        <w:pStyle w:val="ListBullet"/>
        <w:spacing w:after="60"/>
      </w:pPr>
      <w:r>
        <w:t>[ ] Test Key ID + Key Secret shared</w:t>
      </w:r>
    </w:p>
    <w:p>
      <w:pPr>
        <w:pStyle w:val="ListBullet"/>
        <w:spacing w:after="60"/>
      </w:pPr>
      <w:r>
        <w:t>[ ] RazorpayX Account Number shared</w:t>
      </w:r>
    </w:p>
    <w:p>
      <w:pPr>
        <w:pStyle w:val="ListBullet"/>
        <w:spacing w:after="60"/>
      </w:pPr>
      <w:r>
        <w:t>[ ] Webhook Secret shared</w:t>
      </w:r>
    </w:p>
    <w:p>
      <w:pPr>
        <w:pStyle w:val="ListBullet"/>
        <w:spacing w:after="60"/>
      </w:pPr>
      <w:r>
        <w:t>[ ] Webhook URL added after we provide domain</w:t>
      </w:r>
    </w:p>
    <w:p>
      <w:pPr>
        <w:pStyle w:val="ListBullet"/>
        <w:spacing w:after="60"/>
      </w:pPr>
      <w:r>
        <w:t>[ ] Live keys shared after Test success</w:t>
      </w:r>
    </w:p>
    <w:p>
      <w:pPr>
        <w:pStyle w:val="Heading2"/>
      </w:pPr>
      <w:r>
        <w:rPr>
          <w:color w:val="1A1A1A"/>
        </w:rPr>
        <w:t>MSG91 + DLT</w:t>
      </w:r>
    </w:p>
    <w:p>
      <w:pPr>
        <w:pStyle w:val="ListBullet"/>
        <w:spacing w:after="60"/>
      </w:pPr>
      <w:r>
        <w:t>[ ] MSG91 account created + KYC done</w:t>
      </w:r>
    </w:p>
    <w:p>
      <w:pPr>
        <w:pStyle w:val="ListBullet"/>
        <w:spacing w:after="60"/>
      </w:pPr>
      <w:r>
        <w:t>[ ] SMS credits purchased</w:t>
      </w:r>
    </w:p>
    <w:p>
      <w:pPr>
        <w:pStyle w:val="ListBullet"/>
        <w:spacing w:after="60"/>
      </w:pPr>
      <w:r>
        <w:t>[ ] Auth Key shared</w:t>
      </w:r>
    </w:p>
    <w:p>
      <w:pPr>
        <w:pStyle w:val="ListBullet"/>
        <w:spacing w:after="60"/>
      </w:pPr>
      <w:r>
        <w:t>[ ] DLT Entity registered</w:t>
      </w:r>
    </w:p>
    <w:p>
      <w:pPr>
        <w:pStyle w:val="ListBullet"/>
        <w:spacing w:after="60"/>
      </w:pPr>
      <w:r>
        <w:t>[ ] Sender ID / Header approved</w:t>
      </w:r>
    </w:p>
    <w:p>
      <w:pPr>
        <w:pStyle w:val="ListBullet"/>
        <w:spacing w:after="60"/>
      </w:pPr>
      <w:r>
        <w:t>[ ] OTP Template approved</w:t>
      </w:r>
    </w:p>
    <w:p>
      <w:pPr>
        <w:pStyle w:val="ListBullet"/>
        <w:spacing w:after="60"/>
      </w:pPr>
      <w:r>
        <w:t>[ ] PE ID + Template ID + Header mapped in MSG91 and shared</w:t>
      </w:r>
    </w:p>
    <w:p>
      <w:pPr>
        <w:pStyle w:val="ListBullet"/>
        <w:spacing w:after="60"/>
      </w:pPr>
      <w:r>
        <w:t>[ ] Sample OTP received on a real phone (staging)</w:t>
      </w:r>
    </w:p>
    <w:p>
      <w:pPr>
        <w:pStyle w:val="Heading1"/>
      </w:pPr>
      <w:r>
        <w:rPr>
          <w:color w:val="1A1A1A"/>
        </w:rPr>
        <w:t>6. Security Notes</w:t>
      </w:r>
    </w:p>
    <w:p>
      <w:pPr>
        <w:pStyle w:val="ListBullet"/>
        <w:spacing w:after="60"/>
      </w:pPr>
      <w:r>
        <w:t>Never commit API secrets to GitHub or share in public channels.</w:t>
      </w:r>
    </w:p>
    <w:p>
      <w:pPr>
        <w:pStyle w:val="ListBullet"/>
        <w:spacing w:after="60"/>
      </w:pPr>
      <w:r>
        <w:t>Rotate keys if they are exposed accidentally.</w:t>
      </w:r>
    </w:p>
    <w:p>
      <w:pPr>
        <w:pStyle w:val="ListBullet"/>
        <w:spacing w:after="60"/>
      </w:pPr>
      <w:r>
        <w:t>Prefer separate Test and Live keys.</w:t>
      </w:r>
    </w:p>
    <w:p>
      <w:pPr>
        <w:pStyle w:val="ListBullet"/>
        <w:spacing w:after="60"/>
      </w:pPr>
      <w:r>
        <w:t>Restrict dashboard access to authorised company staff only.</w:t>
      </w:r>
    </w:p>
    <w:p>
      <w:pPr>
        <w:pStyle w:val="Heading1"/>
      </w:pPr>
      <w:r>
        <w:rPr>
          <w:color w:val="1A1A1A"/>
        </w:rPr>
        <w:t>7. Next Steps</w:t>
      </w:r>
    </w:p>
    <w:p>
      <w:pPr>
        <w:pStyle w:val="ListNumber"/>
        <w:spacing w:after="60"/>
      </w:pPr>
      <w:r>
        <w:t>Client starts Razorpay + MSG91 + DLT registrations in parallel (DLT first if SMS Live is urgent).</w:t>
      </w:r>
    </w:p>
    <w:p>
      <w:pPr>
        <w:pStyle w:val="ListNumber"/>
        <w:spacing w:after="60"/>
      </w:pPr>
      <w:r>
        <w:t>Client shares Test credentials for RazorpayX and MSG91.</w:t>
      </w:r>
    </w:p>
    <w:p>
      <w:pPr>
        <w:pStyle w:val="ListNumber"/>
        <w:spacing w:after="60"/>
      </w:pPr>
      <w:r>
        <w:t>Development team configures staging and confirms sample payout + sample OTP.</w:t>
      </w:r>
    </w:p>
    <w:p>
      <w:pPr>
        <w:pStyle w:val="ListNumber"/>
        <w:spacing w:after="60"/>
      </w:pPr>
      <w:r>
        <w:t>Client provides Live credentials.</w:t>
      </w:r>
    </w:p>
    <w:p>
      <w:pPr>
        <w:pStyle w:val="ListNumber"/>
        <w:spacing w:after="60"/>
      </w:pPr>
      <w:r>
        <w:t>Joint go-live checklist sign-off.</w:t>
      </w:r>
    </w:p>
    <w:p/>
    <w:p>
      <w:pPr>
        <w:jc w:val="center"/>
      </w:pPr>
      <w:r>
        <w:rPr>
          <w:i/>
          <w:color w:val="777777"/>
          <w:sz w:val="20"/>
        </w:rPr>
        <w:t>— End of document —</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