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C38F" w14:textId="5AAB7309" w:rsidR="004248A3" w:rsidRPr="00A0402B" w:rsidRDefault="006859EB" w:rsidP="006859EB">
      <w:pPr>
        <w:jc w:val="center"/>
        <w:rPr>
          <w:rFonts w:ascii="Times New Roman" w:hAnsi="Times New Roman" w:cs="Times New Roman"/>
          <w:sz w:val="28"/>
          <w:szCs w:val="28"/>
          <w:u w:val="single"/>
        </w:rPr>
      </w:pPr>
      <w:r w:rsidRPr="00A0402B">
        <w:rPr>
          <w:rFonts w:ascii="Times New Roman" w:hAnsi="Times New Roman" w:cs="Times New Roman"/>
          <w:sz w:val="28"/>
          <w:szCs w:val="28"/>
          <w:u w:val="single"/>
        </w:rPr>
        <w:t>Client Intake</w:t>
      </w:r>
    </w:p>
    <w:p w14:paraId="5118E8E8" w14:textId="26A67572" w:rsidR="006859EB" w:rsidRPr="00A0402B" w:rsidRDefault="006859EB" w:rsidP="006859EB">
      <w:pPr>
        <w:rPr>
          <w:rFonts w:ascii="Times New Roman" w:hAnsi="Times New Roman" w:cs="Times New Roman"/>
          <w:sz w:val="28"/>
          <w:szCs w:val="28"/>
          <w:u w:val="single"/>
        </w:rPr>
      </w:pPr>
      <w:r w:rsidRPr="00A0402B">
        <w:rPr>
          <w:rFonts w:ascii="Times New Roman" w:hAnsi="Times New Roman" w:cs="Times New Roman"/>
          <w:sz w:val="28"/>
          <w:szCs w:val="28"/>
          <w:u w:val="single"/>
        </w:rPr>
        <w:t>1.</w:t>
      </w:r>
    </w:p>
    <w:p w14:paraId="3C9D7ECD" w14:textId="77777777" w:rsidR="00203A75" w:rsidRPr="00A0402B" w:rsidRDefault="006859EB" w:rsidP="006859EB">
      <w:pPr>
        <w:rPr>
          <w:rFonts w:ascii="Times New Roman" w:hAnsi="Times New Roman" w:cs="Times New Roman"/>
          <w:sz w:val="28"/>
          <w:szCs w:val="28"/>
        </w:rPr>
      </w:pPr>
      <w:r w:rsidRPr="00A0402B">
        <w:rPr>
          <w:rFonts w:ascii="Times New Roman" w:hAnsi="Times New Roman" w:cs="Times New Roman"/>
          <w:sz w:val="28"/>
          <w:szCs w:val="28"/>
        </w:rPr>
        <w:t>Our intended client is the Ghana Stock Exchange. We communicate with their Head of IT</w:t>
      </w:r>
      <w:r w:rsidR="00B624A5" w:rsidRPr="00A0402B">
        <w:rPr>
          <w:rFonts w:ascii="Times New Roman" w:hAnsi="Times New Roman" w:cs="Times New Roman"/>
          <w:sz w:val="28"/>
          <w:szCs w:val="28"/>
        </w:rPr>
        <w:t xml:space="preserve">, Mr. Eric Edifor. </w:t>
      </w:r>
    </w:p>
    <w:p w14:paraId="6944DBAE" w14:textId="5C51790B" w:rsidR="006859EB" w:rsidRPr="00A0402B" w:rsidRDefault="00B624A5" w:rsidP="006859EB">
      <w:pPr>
        <w:rPr>
          <w:rFonts w:ascii="Times New Roman" w:hAnsi="Times New Roman" w:cs="Times New Roman"/>
          <w:sz w:val="28"/>
          <w:szCs w:val="28"/>
        </w:rPr>
      </w:pPr>
      <w:r w:rsidRPr="00A0402B">
        <w:rPr>
          <w:rFonts w:ascii="Times New Roman" w:hAnsi="Times New Roman" w:cs="Times New Roman"/>
          <w:sz w:val="28"/>
          <w:szCs w:val="28"/>
        </w:rPr>
        <w:t xml:space="preserve">Email: </w:t>
      </w:r>
      <w:hyperlink r:id="rId5" w:history="1">
        <w:r w:rsidRPr="00A0402B">
          <w:rPr>
            <w:rStyle w:val="Hyperlink"/>
            <w:rFonts w:ascii="Times New Roman" w:hAnsi="Times New Roman" w:cs="Times New Roman"/>
            <w:sz w:val="28"/>
            <w:szCs w:val="28"/>
          </w:rPr>
          <w:t>eedifor@gse.com.gh</w:t>
        </w:r>
      </w:hyperlink>
    </w:p>
    <w:p w14:paraId="5A30B181" w14:textId="77777777" w:rsidR="00AB09F2" w:rsidRPr="00A0402B" w:rsidRDefault="00AB09F2" w:rsidP="006859EB">
      <w:pPr>
        <w:rPr>
          <w:rFonts w:ascii="Times New Roman" w:hAnsi="Times New Roman" w:cs="Times New Roman"/>
          <w:sz w:val="28"/>
          <w:szCs w:val="28"/>
        </w:rPr>
      </w:pPr>
    </w:p>
    <w:p w14:paraId="0F916EAF" w14:textId="77777777" w:rsidR="00AB09F2" w:rsidRPr="00A0402B" w:rsidRDefault="00AB09F2" w:rsidP="006859EB">
      <w:pPr>
        <w:rPr>
          <w:rFonts w:ascii="Times New Roman" w:hAnsi="Times New Roman" w:cs="Times New Roman"/>
          <w:sz w:val="28"/>
          <w:szCs w:val="28"/>
        </w:rPr>
      </w:pPr>
    </w:p>
    <w:p w14:paraId="2C0D6DF9" w14:textId="0F70EFC4" w:rsidR="001D542C" w:rsidRPr="00A0402B" w:rsidRDefault="00456BBE" w:rsidP="001D542C">
      <w:pPr>
        <w:rPr>
          <w:rFonts w:ascii="Times New Roman" w:hAnsi="Times New Roman" w:cs="Times New Roman"/>
          <w:sz w:val="28"/>
          <w:szCs w:val="28"/>
          <w:u w:val="single"/>
        </w:rPr>
      </w:pPr>
      <w:r w:rsidRPr="00A0402B">
        <w:rPr>
          <w:rFonts w:ascii="Times New Roman" w:hAnsi="Times New Roman" w:cs="Times New Roman"/>
          <w:sz w:val="28"/>
          <w:szCs w:val="28"/>
          <w:u w:val="single"/>
        </w:rPr>
        <w:t>2.</w:t>
      </w:r>
    </w:p>
    <w:p w14:paraId="1A40C3AC" w14:textId="77777777" w:rsidR="001D542C" w:rsidRPr="00A0402B" w:rsidRDefault="001D542C" w:rsidP="001D542C">
      <w:pPr>
        <w:rPr>
          <w:rFonts w:ascii="Times New Roman" w:hAnsi="Times New Roman" w:cs="Times New Roman"/>
          <w:sz w:val="28"/>
          <w:szCs w:val="28"/>
        </w:rPr>
      </w:pPr>
      <w:r w:rsidRPr="00A0402B">
        <w:rPr>
          <w:rFonts w:ascii="Times New Roman" w:hAnsi="Times New Roman" w:cs="Times New Roman"/>
          <w:b/>
          <w:bCs/>
          <w:sz w:val="28"/>
          <w:szCs w:val="28"/>
        </w:rPr>
        <w:t>1. Investors Do Not Know the Method of Engagement with the GSE</w:t>
      </w:r>
      <w:r w:rsidRPr="00A0402B">
        <w:rPr>
          <w:rFonts w:ascii="Times New Roman" w:hAnsi="Times New Roman" w:cs="Times New Roman"/>
          <w:sz w:val="28"/>
          <w:szCs w:val="28"/>
        </w:rPr>
        <w:br/>
        <w:t xml:space="preserve">Many first-time investors lack access to simple, Ghana-specific resources explaining how the GSE works, what stocks are, and how returns are generated. As a result, potential investors struggle to evaluate opportunities and often keep their savings in lower-yield investments. A software solution can address this through an </w:t>
      </w:r>
      <w:r w:rsidRPr="00A0402B">
        <w:rPr>
          <w:rFonts w:ascii="Times New Roman" w:hAnsi="Times New Roman" w:cs="Times New Roman"/>
          <w:b/>
          <w:bCs/>
          <w:sz w:val="28"/>
          <w:szCs w:val="28"/>
        </w:rPr>
        <w:t>Education Hub</w:t>
      </w:r>
      <w:r w:rsidRPr="00A0402B">
        <w:rPr>
          <w:rFonts w:ascii="Times New Roman" w:hAnsi="Times New Roman" w:cs="Times New Roman"/>
          <w:sz w:val="28"/>
          <w:szCs w:val="28"/>
        </w:rPr>
        <w:t xml:space="preserve"> containing beginner-friendly lessons, a GSE glossary, and company profiles integrated into the investment journey.</w:t>
      </w:r>
    </w:p>
    <w:p w14:paraId="419F6BA3" w14:textId="77777777" w:rsidR="001D542C" w:rsidRPr="00A0402B" w:rsidRDefault="001D542C" w:rsidP="001D542C">
      <w:pPr>
        <w:rPr>
          <w:rFonts w:ascii="Times New Roman" w:hAnsi="Times New Roman" w:cs="Times New Roman"/>
          <w:sz w:val="28"/>
          <w:szCs w:val="28"/>
        </w:rPr>
      </w:pPr>
      <w:r w:rsidRPr="00A0402B">
        <w:rPr>
          <w:rFonts w:ascii="Times New Roman" w:hAnsi="Times New Roman" w:cs="Times New Roman"/>
          <w:b/>
          <w:bCs/>
          <w:sz w:val="28"/>
          <w:szCs w:val="28"/>
        </w:rPr>
        <w:t>2. No Safe Practice Environment</w:t>
      </w:r>
      <w:r w:rsidRPr="00A0402B">
        <w:rPr>
          <w:rFonts w:ascii="Times New Roman" w:hAnsi="Times New Roman" w:cs="Times New Roman"/>
          <w:sz w:val="28"/>
          <w:szCs w:val="28"/>
        </w:rPr>
        <w:br/>
        <w:t xml:space="preserve">Current GSE investment channels require real money from the start, with no simulation platform for beginners. Fear of financial loss, reinforced by experiences such as the 2017–2019 banking crisis, discourages participation. A </w:t>
      </w:r>
      <w:r w:rsidRPr="00A0402B">
        <w:rPr>
          <w:rFonts w:ascii="Times New Roman" w:hAnsi="Times New Roman" w:cs="Times New Roman"/>
          <w:b/>
          <w:bCs/>
          <w:sz w:val="28"/>
          <w:szCs w:val="28"/>
        </w:rPr>
        <w:t>Paper Trading Simulator</w:t>
      </w:r>
      <w:r w:rsidRPr="00A0402B">
        <w:rPr>
          <w:rFonts w:ascii="Times New Roman" w:hAnsi="Times New Roman" w:cs="Times New Roman"/>
          <w:sz w:val="28"/>
          <w:szCs w:val="28"/>
        </w:rPr>
        <w:t xml:space="preserve"> using live GSE prices would allow users to practise investing without risk and build confidence.</w:t>
      </w:r>
    </w:p>
    <w:p w14:paraId="1BF11100" w14:textId="77777777" w:rsidR="001D542C" w:rsidRPr="00A0402B" w:rsidRDefault="001D542C" w:rsidP="001D542C">
      <w:pPr>
        <w:rPr>
          <w:rFonts w:ascii="Times New Roman" w:hAnsi="Times New Roman" w:cs="Times New Roman"/>
          <w:sz w:val="28"/>
          <w:szCs w:val="28"/>
        </w:rPr>
      </w:pPr>
      <w:r w:rsidRPr="00A0402B">
        <w:rPr>
          <w:rFonts w:ascii="Times New Roman" w:hAnsi="Times New Roman" w:cs="Times New Roman"/>
          <w:b/>
          <w:bCs/>
          <w:sz w:val="28"/>
          <w:szCs w:val="28"/>
        </w:rPr>
        <w:t>3. Opaque Transaction Costs</w:t>
      </w:r>
      <w:r w:rsidRPr="00A0402B">
        <w:rPr>
          <w:rFonts w:ascii="Times New Roman" w:hAnsi="Times New Roman" w:cs="Times New Roman"/>
          <w:sz w:val="28"/>
          <w:szCs w:val="28"/>
        </w:rPr>
        <w:br/>
        <w:t xml:space="preserve">Brokerage fees, SEC levies, and taxes are often not clearly visible before a trade is made. This reduces transparency and can make small investments less attractive. A </w:t>
      </w:r>
      <w:r w:rsidRPr="00A0402B">
        <w:rPr>
          <w:rFonts w:ascii="Times New Roman" w:hAnsi="Times New Roman" w:cs="Times New Roman"/>
          <w:b/>
          <w:bCs/>
          <w:sz w:val="28"/>
          <w:szCs w:val="28"/>
        </w:rPr>
        <w:t>Pre-Trade Cost Calculator</w:t>
      </w:r>
      <w:r w:rsidRPr="00A0402B">
        <w:rPr>
          <w:rFonts w:ascii="Times New Roman" w:hAnsi="Times New Roman" w:cs="Times New Roman"/>
          <w:sz w:val="28"/>
          <w:szCs w:val="28"/>
        </w:rPr>
        <w:t xml:space="preserve"> can display all charges upfront, helping investors make informed decisions.</w:t>
      </w:r>
    </w:p>
    <w:p w14:paraId="0A25FD1A" w14:textId="77777777" w:rsidR="001D542C" w:rsidRPr="00A0402B" w:rsidRDefault="001D542C" w:rsidP="001D542C">
      <w:pPr>
        <w:rPr>
          <w:rFonts w:ascii="Times New Roman" w:hAnsi="Times New Roman" w:cs="Times New Roman"/>
          <w:sz w:val="28"/>
          <w:szCs w:val="28"/>
        </w:rPr>
      </w:pPr>
      <w:r w:rsidRPr="00A0402B">
        <w:rPr>
          <w:rFonts w:ascii="Times New Roman" w:hAnsi="Times New Roman" w:cs="Times New Roman"/>
          <w:b/>
          <w:bCs/>
          <w:sz w:val="28"/>
          <w:szCs w:val="28"/>
        </w:rPr>
        <w:t>4. Limited Access to Brokerage Services</w:t>
      </w:r>
      <w:r w:rsidRPr="00A0402B">
        <w:rPr>
          <w:rFonts w:ascii="Times New Roman" w:hAnsi="Times New Roman" w:cs="Times New Roman"/>
          <w:sz w:val="28"/>
          <w:szCs w:val="28"/>
        </w:rPr>
        <w:br/>
        <w:t xml:space="preserve">Many potential investors do not know how to find, contact, or begin investing through licensed brokers. The onboarding process is often perceived as complex, requiring multiple steps, paperwork, and direct interaction with brokerage firms. This lack of accessibility discourages new and digitally oriented investors from participating in the stock market. A software platform </w:t>
      </w:r>
      <w:r w:rsidRPr="00A0402B">
        <w:rPr>
          <w:rFonts w:ascii="Times New Roman" w:hAnsi="Times New Roman" w:cs="Times New Roman"/>
          <w:sz w:val="28"/>
          <w:szCs w:val="28"/>
        </w:rPr>
        <w:lastRenderedPageBreak/>
        <w:t>can simplify the process by integrating broker services, digital KYC using the Ghana Card, and Mobile Money funding into a single user-friendly interface.</w:t>
      </w:r>
    </w:p>
    <w:p w14:paraId="3A240BA3" w14:textId="77777777" w:rsidR="00AB09F2" w:rsidRPr="00A0402B" w:rsidRDefault="00AB09F2" w:rsidP="001D542C">
      <w:pPr>
        <w:rPr>
          <w:rFonts w:ascii="Times New Roman" w:hAnsi="Times New Roman" w:cs="Times New Roman"/>
          <w:sz w:val="28"/>
          <w:szCs w:val="28"/>
        </w:rPr>
      </w:pPr>
    </w:p>
    <w:p w14:paraId="78B76B6F" w14:textId="77777777" w:rsidR="00AB09F2" w:rsidRPr="00A0402B" w:rsidRDefault="00AB09F2" w:rsidP="001D542C">
      <w:pPr>
        <w:rPr>
          <w:rFonts w:ascii="Times New Roman" w:hAnsi="Times New Roman" w:cs="Times New Roman"/>
          <w:sz w:val="28"/>
          <w:szCs w:val="28"/>
        </w:rPr>
      </w:pPr>
    </w:p>
    <w:p w14:paraId="6182CEC2" w14:textId="77777777" w:rsidR="00AB09F2" w:rsidRPr="00A0402B" w:rsidRDefault="00AB09F2" w:rsidP="001D542C">
      <w:pPr>
        <w:rPr>
          <w:rFonts w:ascii="Times New Roman" w:hAnsi="Times New Roman" w:cs="Times New Roman"/>
          <w:sz w:val="28"/>
          <w:szCs w:val="28"/>
        </w:rPr>
      </w:pPr>
    </w:p>
    <w:p w14:paraId="072B0355" w14:textId="77777777" w:rsidR="00AB09F2" w:rsidRPr="00A0402B" w:rsidRDefault="00AB09F2" w:rsidP="001D542C">
      <w:pPr>
        <w:rPr>
          <w:rFonts w:ascii="Times New Roman" w:hAnsi="Times New Roman" w:cs="Times New Roman"/>
          <w:sz w:val="28"/>
          <w:szCs w:val="28"/>
        </w:rPr>
      </w:pPr>
    </w:p>
    <w:p w14:paraId="0CAC8E2F" w14:textId="52D75500" w:rsidR="001D542C" w:rsidRPr="00A0402B" w:rsidRDefault="001D542C" w:rsidP="001D542C">
      <w:pPr>
        <w:rPr>
          <w:rFonts w:ascii="Times New Roman" w:hAnsi="Times New Roman" w:cs="Times New Roman"/>
          <w:sz w:val="28"/>
          <w:szCs w:val="28"/>
          <w:u w:val="single"/>
        </w:rPr>
      </w:pPr>
      <w:r w:rsidRPr="00A0402B">
        <w:rPr>
          <w:rFonts w:ascii="Times New Roman" w:hAnsi="Times New Roman" w:cs="Times New Roman"/>
          <w:sz w:val="28"/>
          <w:szCs w:val="28"/>
          <w:u w:val="single"/>
        </w:rPr>
        <w:t>3</w:t>
      </w:r>
    </w:p>
    <w:p w14:paraId="4EB54BE3" w14:textId="3B913F54" w:rsidR="00456BBE" w:rsidRPr="00A0402B" w:rsidRDefault="001D542C" w:rsidP="006859EB">
      <w:pPr>
        <w:rPr>
          <w:rFonts w:ascii="Times New Roman" w:hAnsi="Times New Roman" w:cs="Times New Roman"/>
          <w:sz w:val="28"/>
          <w:szCs w:val="28"/>
        </w:rPr>
      </w:pPr>
      <w:r w:rsidRPr="00A0402B">
        <w:rPr>
          <w:rFonts w:ascii="Times New Roman" w:hAnsi="Times New Roman" w:cs="Times New Roman"/>
          <w:noProof/>
          <w:sz w:val="28"/>
          <w:szCs w:val="28"/>
        </w:rPr>
        <w:drawing>
          <wp:inline distT="0" distB="0" distL="0" distR="0" wp14:anchorId="16C78FEF" wp14:editId="07B8972A">
            <wp:extent cx="5731510" cy="4078605"/>
            <wp:effectExtent l="0" t="0" r="2540" b="0"/>
            <wp:docPr id="214127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8862" name=""/>
                    <pic:cNvPicPr/>
                  </pic:nvPicPr>
                  <pic:blipFill>
                    <a:blip r:embed="rId6"/>
                    <a:stretch>
                      <a:fillRect/>
                    </a:stretch>
                  </pic:blipFill>
                  <pic:spPr>
                    <a:xfrm>
                      <a:off x="0" y="0"/>
                      <a:ext cx="5731510" cy="4078605"/>
                    </a:xfrm>
                    <a:prstGeom prst="rect">
                      <a:avLst/>
                    </a:prstGeom>
                  </pic:spPr>
                </pic:pic>
              </a:graphicData>
            </a:graphic>
          </wp:inline>
        </w:drawing>
      </w:r>
    </w:p>
    <w:p w14:paraId="3F0E8E9D" w14:textId="04A2A998" w:rsidR="001D542C" w:rsidRPr="00A0402B" w:rsidRDefault="00AB09F2" w:rsidP="006859EB">
      <w:pPr>
        <w:rPr>
          <w:rFonts w:ascii="Times New Roman" w:hAnsi="Times New Roman" w:cs="Times New Roman"/>
          <w:sz w:val="28"/>
          <w:szCs w:val="28"/>
        </w:rPr>
      </w:pPr>
      <w:r w:rsidRPr="00A0402B">
        <w:rPr>
          <w:rFonts w:ascii="Times New Roman" w:hAnsi="Times New Roman" w:cs="Times New Roman"/>
          <w:noProof/>
          <w:sz w:val="28"/>
          <w:szCs w:val="28"/>
        </w:rPr>
        <w:lastRenderedPageBreak/>
        <w:drawing>
          <wp:inline distT="0" distB="0" distL="0" distR="0" wp14:anchorId="2B0F859C" wp14:editId="0C47AF0D">
            <wp:extent cx="2987644" cy="3401730"/>
            <wp:effectExtent l="0" t="0" r="3810" b="8255"/>
            <wp:docPr id="203623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1967" cy="3406652"/>
                    </a:xfrm>
                    <a:prstGeom prst="rect">
                      <a:avLst/>
                    </a:prstGeom>
                    <a:noFill/>
                    <a:ln>
                      <a:noFill/>
                    </a:ln>
                  </pic:spPr>
                </pic:pic>
              </a:graphicData>
            </a:graphic>
          </wp:inline>
        </w:drawing>
      </w:r>
    </w:p>
    <w:p w14:paraId="6BD9D7F5" w14:textId="0E83EAE7" w:rsidR="00AB09F2" w:rsidRPr="00A0402B" w:rsidRDefault="00AB09F2" w:rsidP="006859EB">
      <w:pPr>
        <w:rPr>
          <w:rFonts w:ascii="Times New Roman" w:hAnsi="Times New Roman" w:cs="Times New Roman"/>
          <w:sz w:val="28"/>
          <w:szCs w:val="28"/>
        </w:rPr>
      </w:pPr>
      <w:r w:rsidRPr="00A0402B">
        <w:rPr>
          <w:rFonts w:ascii="Times New Roman" w:hAnsi="Times New Roman" w:cs="Times New Roman"/>
          <w:noProof/>
          <w:sz w:val="28"/>
          <w:szCs w:val="28"/>
        </w:rPr>
        <w:lastRenderedPageBreak/>
        <mc:AlternateContent>
          <mc:Choice Requires="wps">
            <w:drawing>
              <wp:inline distT="0" distB="0" distL="0" distR="0" wp14:anchorId="623C39F5" wp14:editId="1B20AA6B">
                <wp:extent cx="306705" cy="306705"/>
                <wp:effectExtent l="0" t="0" r="0" b="0"/>
                <wp:docPr id="17365390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253C7"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556F0F" w:rsidRPr="00A0402B">
        <w:rPr>
          <w:rFonts w:ascii="Times New Roman" w:hAnsi="Times New Roman" w:cs="Times New Roman"/>
          <w:noProof/>
          <w:sz w:val="28"/>
          <w:szCs w:val="28"/>
        </w:rPr>
        <w:drawing>
          <wp:inline distT="0" distB="0" distL="0" distR="0" wp14:anchorId="75D76560" wp14:editId="498ACA40">
            <wp:extent cx="2696243" cy="5617795"/>
            <wp:effectExtent l="0" t="0" r="8890" b="2540"/>
            <wp:docPr id="1565294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4768" name="Picture 1565294768"/>
                    <pic:cNvPicPr/>
                  </pic:nvPicPr>
                  <pic:blipFill>
                    <a:blip r:embed="rId8">
                      <a:extLst>
                        <a:ext uri="{28A0092B-C50C-407E-A947-70E740481C1C}">
                          <a14:useLocalDpi xmlns:a14="http://schemas.microsoft.com/office/drawing/2010/main" val="0"/>
                        </a:ext>
                      </a:extLst>
                    </a:blip>
                    <a:stretch>
                      <a:fillRect/>
                    </a:stretch>
                  </pic:blipFill>
                  <pic:spPr>
                    <a:xfrm>
                      <a:off x="0" y="0"/>
                      <a:ext cx="2708316" cy="5642950"/>
                    </a:xfrm>
                    <a:prstGeom prst="rect">
                      <a:avLst/>
                    </a:prstGeom>
                  </pic:spPr>
                </pic:pic>
              </a:graphicData>
            </a:graphic>
          </wp:inline>
        </w:drawing>
      </w:r>
    </w:p>
    <w:p w14:paraId="406EBE46" w14:textId="77777777" w:rsidR="00556F0F" w:rsidRPr="00A0402B" w:rsidRDefault="00556F0F" w:rsidP="006859EB">
      <w:pPr>
        <w:rPr>
          <w:rFonts w:ascii="Times New Roman" w:hAnsi="Times New Roman" w:cs="Times New Roman"/>
          <w:sz w:val="28"/>
          <w:szCs w:val="28"/>
        </w:rPr>
      </w:pPr>
    </w:p>
    <w:p w14:paraId="319C5097" w14:textId="54CC7BB5" w:rsidR="00556F0F" w:rsidRPr="00A0402B" w:rsidRDefault="00556F0F" w:rsidP="006859EB">
      <w:pPr>
        <w:rPr>
          <w:rFonts w:ascii="Times New Roman" w:hAnsi="Times New Roman" w:cs="Times New Roman"/>
          <w:sz w:val="28"/>
          <w:szCs w:val="28"/>
          <w:u w:val="single"/>
        </w:rPr>
      </w:pPr>
      <w:r w:rsidRPr="00A0402B">
        <w:rPr>
          <w:rFonts w:ascii="Times New Roman" w:hAnsi="Times New Roman" w:cs="Times New Roman"/>
          <w:sz w:val="28"/>
          <w:szCs w:val="28"/>
          <w:u w:val="single"/>
        </w:rPr>
        <w:t>4</w:t>
      </w:r>
    </w:p>
    <w:p w14:paraId="3A9E2280" w14:textId="26557BB0" w:rsidR="00556F0F" w:rsidRPr="00A0402B" w:rsidRDefault="00556F0F" w:rsidP="006859EB">
      <w:pPr>
        <w:rPr>
          <w:rFonts w:ascii="Times New Roman" w:hAnsi="Times New Roman" w:cs="Times New Roman"/>
          <w:sz w:val="28"/>
          <w:szCs w:val="28"/>
        </w:rPr>
      </w:pPr>
      <w:r w:rsidRPr="00A0402B">
        <w:rPr>
          <w:rFonts w:ascii="Times New Roman" w:hAnsi="Times New Roman" w:cs="Times New Roman"/>
          <w:sz w:val="28"/>
          <w:szCs w:val="28"/>
        </w:rPr>
        <w:t>The possible users for the web app are students, first time investors, brokers and seasoned investors.</w:t>
      </w:r>
    </w:p>
    <w:p w14:paraId="366781D4" w14:textId="3BEC7436" w:rsidR="00D57D1C" w:rsidRPr="00A0402B" w:rsidRDefault="00D57D1C" w:rsidP="006859EB">
      <w:pPr>
        <w:rPr>
          <w:rFonts w:ascii="Times New Roman" w:hAnsi="Times New Roman" w:cs="Times New Roman"/>
          <w:sz w:val="28"/>
          <w:szCs w:val="28"/>
          <w:u w:val="single"/>
        </w:rPr>
      </w:pPr>
      <w:r w:rsidRPr="00A0402B">
        <w:rPr>
          <w:rFonts w:ascii="Times New Roman" w:hAnsi="Times New Roman" w:cs="Times New Roman"/>
          <w:sz w:val="28"/>
          <w:szCs w:val="28"/>
          <w:u w:val="single"/>
        </w:rPr>
        <w:t>5</w:t>
      </w:r>
    </w:p>
    <w:p w14:paraId="3FED5879" w14:textId="77777777" w:rsidR="00D57D1C" w:rsidRPr="00A0402B" w:rsidRDefault="00D57D1C" w:rsidP="00D57D1C">
      <w:pPr>
        <w:rPr>
          <w:rFonts w:ascii="Times New Roman" w:hAnsi="Times New Roman" w:cs="Times New Roman"/>
          <w:sz w:val="28"/>
          <w:szCs w:val="28"/>
        </w:rPr>
      </w:pPr>
      <w:r w:rsidRPr="00A0402B">
        <w:rPr>
          <w:rFonts w:ascii="Times New Roman" w:hAnsi="Times New Roman" w:cs="Times New Roman"/>
          <w:sz w:val="28"/>
          <w:szCs w:val="28"/>
        </w:rPr>
        <w:t>If the client fails to meet a deadline, the project team should:</w:t>
      </w:r>
    </w:p>
    <w:p w14:paraId="66B9B183" w14:textId="77777777" w:rsidR="00D57D1C" w:rsidRPr="00A0402B" w:rsidRDefault="00D57D1C" w:rsidP="00D57D1C">
      <w:pPr>
        <w:pStyle w:val="ListParagraph"/>
        <w:numPr>
          <w:ilvl w:val="0"/>
          <w:numId w:val="4"/>
        </w:numPr>
        <w:rPr>
          <w:rFonts w:ascii="Times New Roman" w:hAnsi="Times New Roman" w:cs="Times New Roman"/>
          <w:sz w:val="28"/>
          <w:szCs w:val="28"/>
        </w:rPr>
      </w:pPr>
      <w:r w:rsidRPr="00A0402B">
        <w:rPr>
          <w:rFonts w:ascii="Times New Roman" w:hAnsi="Times New Roman" w:cs="Times New Roman"/>
          <w:sz w:val="28"/>
          <w:szCs w:val="28"/>
        </w:rPr>
        <w:t>Identify the critical deliverables needed to keep the project moving.</w:t>
      </w:r>
    </w:p>
    <w:p w14:paraId="22505716" w14:textId="77777777" w:rsidR="00D57D1C" w:rsidRPr="00A0402B" w:rsidRDefault="00D57D1C" w:rsidP="00D57D1C">
      <w:pPr>
        <w:pStyle w:val="ListParagraph"/>
        <w:numPr>
          <w:ilvl w:val="0"/>
          <w:numId w:val="4"/>
        </w:numPr>
        <w:rPr>
          <w:rFonts w:ascii="Times New Roman" w:hAnsi="Times New Roman" w:cs="Times New Roman"/>
          <w:sz w:val="28"/>
          <w:szCs w:val="28"/>
        </w:rPr>
      </w:pPr>
      <w:r w:rsidRPr="00A0402B">
        <w:rPr>
          <w:rFonts w:ascii="Times New Roman" w:hAnsi="Times New Roman" w:cs="Times New Roman"/>
          <w:sz w:val="28"/>
          <w:szCs w:val="28"/>
        </w:rPr>
        <w:t xml:space="preserve">A reasonable grace period can be provided while clearly communicating the impact of the delay on the project schedule. </w:t>
      </w:r>
    </w:p>
    <w:p w14:paraId="3BBCFC3A" w14:textId="77777777" w:rsidR="00D57D1C" w:rsidRPr="00A0402B" w:rsidRDefault="00D57D1C" w:rsidP="00D57D1C">
      <w:pPr>
        <w:pStyle w:val="ListParagraph"/>
        <w:numPr>
          <w:ilvl w:val="0"/>
          <w:numId w:val="4"/>
        </w:numPr>
        <w:rPr>
          <w:rFonts w:ascii="Times New Roman" w:hAnsi="Times New Roman" w:cs="Times New Roman"/>
          <w:sz w:val="28"/>
          <w:szCs w:val="28"/>
        </w:rPr>
      </w:pPr>
      <w:r w:rsidRPr="00A0402B">
        <w:rPr>
          <w:rFonts w:ascii="Times New Roman" w:hAnsi="Times New Roman" w:cs="Times New Roman"/>
          <w:sz w:val="28"/>
          <w:szCs w:val="28"/>
        </w:rPr>
        <w:lastRenderedPageBreak/>
        <w:t>The team should continue working on tasks that do not depend on the client's input and, where appropriate, proceed based on documented assumptions.</w:t>
      </w:r>
    </w:p>
    <w:p w14:paraId="7497BCC7" w14:textId="648E220B" w:rsidR="00D57D1C" w:rsidRPr="00A0402B" w:rsidRDefault="00D57D1C" w:rsidP="00D57D1C">
      <w:pPr>
        <w:pStyle w:val="ListParagraph"/>
        <w:numPr>
          <w:ilvl w:val="0"/>
          <w:numId w:val="4"/>
        </w:numPr>
        <w:rPr>
          <w:rFonts w:ascii="Times New Roman" w:hAnsi="Times New Roman" w:cs="Times New Roman"/>
          <w:sz w:val="28"/>
          <w:szCs w:val="28"/>
        </w:rPr>
      </w:pPr>
      <w:r w:rsidRPr="00A0402B">
        <w:rPr>
          <w:rFonts w:ascii="Times New Roman" w:hAnsi="Times New Roman" w:cs="Times New Roman"/>
          <w:sz w:val="28"/>
          <w:szCs w:val="28"/>
        </w:rPr>
        <w:t>Project timelines and milestones should be updated to reflect the delay and shared with all team members.</w:t>
      </w:r>
    </w:p>
    <w:p w14:paraId="394949FA" w14:textId="77777777" w:rsidR="00D57D1C" w:rsidRPr="00A0402B" w:rsidRDefault="00D57D1C" w:rsidP="006859EB">
      <w:pPr>
        <w:rPr>
          <w:rFonts w:ascii="Times New Roman" w:hAnsi="Times New Roman" w:cs="Times New Roman"/>
          <w:sz w:val="28"/>
          <w:szCs w:val="28"/>
        </w:rPr>
      </w:pPr>
    </w:p>
    <w:sectPr w:rsidR="00D57D1C" w:rsidRPr="00A04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0001"/>
    <w:multiLevelType w:val="hybridMultilevel"/>
    <w:tmpl w:val="8BCEDA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1B71B82"/>
    <w:multiLevelType w:val="hybridMultilevel"/>
    <w:tmpl w:val="808853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4DC704F"/>
    <w:multiLevelType w:val="hybridMultilevel"/>
    <w:tmpl w:val="C50AAD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4287103"/>
    <w:multiLevelType w:val="hybridMultilevel"/>
    <w:tmpl w:val="B142B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15125753">
    <w:abstractNumId w:val="3"/>
  </w:num>
  <w:num w:numId="2" w16cid:durableId="1640763073">
    <w:abstractNumId w:val="2"/>
  </w:num>
  <w:num w:numId="3" w16cid:durableId="910582333">
    <w:abstractNumId w:val="0"/>
  </w:num>
  <w:num w:numId="4" w16cid:durableId="153900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EB"/>
    <w:rsid w:val="001D542C"/>
    <w:rsid w:val="00203A75"/>
    <w:rsid w:val="00290292"/>
    <w:rsid w:val="004055C0"/>
    <w:rsid w:val="004248A3"/>
    <w:rsid w:val="00456BBE"/>
    <w:rsid w:val="0051462C"/>
    <w:rsid w:val="00556F0F"/>
    <w:rsid w:val="0063236F"/>
    <w:rsid w:val="006859EB"/>
    <w:rsid w:val="008578BD"/>
    <w:rsid w:val="00915A68"/>
    <w:rsid w:val="00A0402B"/>
    <w:rsid w:val="00AB09F2"/>
    <w:rsid w:val="00B624A5"/>
    <w:rsid w:val="00BB4A83"/>
    <w:rsid w:val="00D54DA6"/>
    <w:rsid w:val="00D57D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71137"/>
  <w15:chartTrackingRefBased/>
  <w15:docId w15:val="{1A3DF952-25B9-4F48-9C70-D55304EBC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9EB"/>
    <w:rPr>
      <w:rFonts w:eastAsiaTheme="majorEastAsia" w:cstheme="majorBidi"/>
      <w:color w:val="272727" w:themeColor="text1" w:themeTint="D8"/>
    </w:rPr>
  </w:style>
  <w:style w:type="paragraph" w:styleId="Title">
    <w:name w:val="Title"/>
    <w:basedOn w:val="Normal"/>
    <w:next w:val="Normal"/>
    <w:link w:val="TitleChar"/>
    <w:uiPriority w:val="10"/>
    <w:qFormat/>
    <w:rsid w:val="0068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9EB"/>
    <w:pPr>
      <w:spacing w:before="160"/>
      <w:jc w:val="center"/>
    </w:pPr>
    <w:rPr>
      <w:i/>
      <w:iCs/>
      <w:color w:val="404040" w:themeColor="text1" w:themeTint="BF"/>
    </w:rPr>
  </w:style>
  <w:style w:type="character" w:customStyle="1" w:styleId="QuoteChar">
    <w:name w:val="Quote Char"/>
    <w:basedOn w:val="DefaultParagraphFont"/>
    <w:link w:val="Quote"/>
    <w:uiPriority w:val="29"/>
    <w:rsid w:val="006859EB"/>
    <w:rPr>
      <w:i/>
      <w:iCs/>
      <w:color w:val="404040" w:themeColor="text1" w:themeTint="BF"/>
    </w:rPr>
  </w:style>
  <w:style w:type="paragraph" w:styleId="ListParagraph">
    <w:name w:val="List Paragraph"/>
    <w:basedOn w:val="Normal"/>
    <w:uiPriority w:val="34"/>
    <w:qFormat/>
    <w:rsid w:val="006859EB"/>
    <w:pPr>
      <w:ind w:left="720"/>
      <w:contextualSpacing/>
    </w:pPr>
  </w:style>
  <w:style w:type="character" w:styleId="IntenseEmphasis">
    <w:name w:val="Intense Emphasis"/>
    <w:basedOn w:val="DefaultParagraphFont"/>
    <w:uiPriority w:val="21"/>
    <w:qFormat/>
    <w:rsid w:val="006859EB"/>
    <w:rPr>
      <w:i/>
      <w:iCs/>
      <w:color w:val="0F4761" w:themeColor="accent1" w:themeShade="BF"/>
    </w:rPr>
  </w:style>
  <w:style w:type="paragraph" w:styleId="IntenseQuote">
    <w:name w:val="Intense Quote"/>
    <w:basedOn w:val="Normal"/>
    <w:next w:val="Normal"/>
    <w:link w:val="IntenseQuoteChar"/>
    <w:uiPriority w:val="30"/>
    <w:qFormat/>
    <w:rsid w:val="0068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9EB"/>
    <w:rPr>
      <w:i/>
      <w:iCs/>
      <w:color w:val="0F4761" w:themeColor="accent1" w:themeShade="BF"/>
    </w:rPr>
  </w:style>
  <w:style w:type="character" w:styleId="IntenseReference">
    <w:name w:val="Intense Reference"/>
    <w:basedOn w:val="DefaultParagraphFont"/>
    <w:uiPriority w:val="32"/>
    <w:qFormat/>
    <w:rsid w:val="006859EB"/>
    <w:rPr>
      <w:b/>
      <w:bCs/>
      <w:smallCaps/>
      <w:color w:val="0F4761" w:themeColor="accent1" w:themeShade="BF"/>
      <w:spacing w:val="5"/>
    </w:rPr>
  </w:style>
  <w:style w:type="character" w:styleId="Hyperlink">
    <w:name w:val="Hyperlink"/>
    <w:basedOn w:val="DefaultParagraphFont"/>
    <w:uiPriority w:val="99"/>
    <w:unhideWhenUsed/>
    <w:rsid w:val="00B624A5"/>
    <w:rPr>
      <w:color w:val="467886" w:themeColor="hyperlink"/>
      <w:u w:val="single"/>
    </w:rPr>
  </w:style>
  <w:style w:type="character" w:styleId="UnresolvedMention">
    <w:name w:val="Unresolved Mention"/>
    <w:basedOn w:val="DefaultParagraphFont"/>
    <w:uiPriority w:val="99"/>
    <w:semiHidden/>
    <w:unhideWhenUsed/>
    <w:rsid w:val="00B62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eedifor@gse.com.g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M;OGO TERRENCE ASEDA</dc:creator>
  <cp:keywords/>
  <dc:description/>
  <cp:lastModifiedBy>OGO TERRENCE ASEDA</cp:lastModifiedBy>
  <cp:revision>4</cp:revision>
  <dcterms:created xsi:type="dcterms:W3CDTF">2026-06-20T09:43:00Z</dcterms:created>
  <dcterms:modified xsi:type="dcterms:W3CDTF">2026-06-20T23:59:00Z</dcterms:modified>
</cp:coreProperties>
</file>