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 w:line="240"/>
        <w:ind w:right="0" w:left="0" w:firstLine="0"/>
        <w:jc w:val="left"/>
        <w:rPr>
          <w:rFonts w:ascii="Times New Roman" w:hAnsi="Times New Roman" w:cs="Times New Roman" w:eastAsia="Times New Roman"/>
          <w:color w:val="auto"/>
          <w:spacing w:val="0"/>
          <w:position w:val="0"/>
          <w:sz w:val="40"/>
          <w:shd w:fill="auto" w:val="clear"/>
        </w:rPr>
      </w:pPr>
      <w:r>
        <w:rPr>
          <w:rFonts w:ascii="Calibri" w:hAnsi="Calibri" w:cs="Calibri" w:eastAsia="Calibri"/>
          <w:b/>
          <w:color w:val="0F5C56"/>
          <w:spacing w:val="0"/>
          <w:position w:val="0"/>
          <w:sz w:val="40"/>
          <w:shd w:fill="auto" w:val="clear"/>
        </w:rPr>
        <w:t xml:space="preserve">Fga. Elena Sibaja</w:t>
      </w:r>
    </w:p>
    <w:p>
      <w:pPr>
        <w:spacing w:before="0" w:after="200" w:line="240"/>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i/>
          <w:color w:val="6B6B6B"/>
          <w:spacing w:val="0"/>
          <w:position w:val="0"/>
          <w:sz w:val="22"/>
          <w:shd w:fill="auto" w:val="clear"/>
        </w:rPr>
        <w:t xml:space="preserve">Fonoaudiología · Estimular con intención cambia trayectorias</w:t>
      </w:r>
    </w:p>
    <w:p>
      <w:pPr>
        <w:spacing w:before="140" w:after="220" w:line="240"/>
        <w:ind w:right="0" w:left="0" w:firstLine="0"/>
        <w:jc w:val="left"/>
        <w:rPr>
          <w:rFonts w:ascii="Times New Roman" w:hAnsi="Times New Roman" w:cs="Times New Roman" w:eastAsia="Times New Roman"/>
          <w:color w:val="auto"/>
          <w:spacing w:val="0"/>
          <w:position w:val="0"/>
          <w:sz w:val="30"/>
          <w:shd w:fill="auto" w:val="clear"/>
        </w:rPr>
      </w:pPr>
      <w:r>
        <w:rPr>
          <w:rFonts w:ascii="Calibri" w:hAnsi="Calibri" w:cs="Calibri" w:eastAsia="Calibri"/>
          <w:b/>
          <w:color w:val="1A1A1A"/>
          <w:spacing w:val="0"/>
          <w:position w:val="0"/>
          <w:sz w:val="30"/>
          <w:shd w:fill="auto" w:val="clear"/>
        </w:rPr>
        <w:t xml:space="preserve">Desarrollo de la comunicación y el lenguaje infantil: qué podemos observar desde los primeros meses de vida</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Introducción: la comunicación empieza mucho antes de las primeras palabras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Cuando pensamos en el lenguaje de un niño, es fácil centrarnos en el momento en que dice su primera palabra reconocible. Pero desde el punto de vista fonoaudiológico, ese momento es apenas un hito visible dentro de un proceso que comenzó mucho antes: desde el nacimiento, el bebé ya participa en intercambios comunicativos con las personas que lo rodean, a través de la mirada, el llanto, los gestos y las primeras vocalizaciones.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Entender esta idea cambia la pregunta que muchas familias se hacen. No se trata solo de “¿cuándo va a hablar?”, sino de “¿qué tipo de comunicación está construyendo mi hijo o hija en este momento, y cómo puedo acompañarla?”. Este artículo recorre las etapas principales de ese proceso, con una premisa central: cada niño se desarrolla siguiendo un ritmo propio, dentro de rangos amplios de variabilidad normal, y los hitos del desarrollo son puntos de referencia orientativos, no exigencias que deban cumplirse en una fecha exacta.</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La comunicación durante los primeros meses de vida</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Desde el nacimiento, los bebés muestran preferencia por la voz humana y por el rostro de las personas que los cuidan. El llanto es su primer recurso comunicativo, y con el paso de las semanas empieza a diferenciarse según lo que el bebé necesita expresar. Alrededor de los primeros dos meses aparecen sonidos distintos al llanto (arrullos, vocalizaciones breves) y respuestas sociales, como calmarse al oír una voz conocida o sostener la mirada con quien le habla.</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Entre los 4 y los 6 meses, el bebé suele responder a los cambios de tono de voz, disfrutar de los juegos vocales y comenzar a emitir series de sonidos que combinan vocales y consonantes. Estas conductas no son “ruido” sin propósito: son la base sensoriomotora sobre la que se construirá el habla articulada más adelante.</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Cambios en la comunicación durante el primer año</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En la segunda mitad del primer año ocurre uno de los avances más relevantes para el desarrollo posterior del lenguaje: la aparición de la atención conjunta y de los gestos comunicativos, como señalar con el dedo índice o levantar los brazos para pedir upa. Un metaanálisis que reunió 25 estudios y más de 700 niños encontró una relación significativa entre el gesto de señalar y el desarrollo del lenguaje, tanto de forma simultánea como más adelante en el tiempo, lo que ha llevado a describir este gesto como una de las primeras formas de comunicación intencional y referencial del niño (Colonnesi et al., 2010). Investigaciones posteriores, incluyendo estudios prospectivos con muestras de más de 1000 lactantes, han confirmado que las diferencias individuales en el uso de gestos comunicativos alrededor de los 15 meses predicen habilidades lingüísticas posteriores.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La capacidad de responder a la atención conjunta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seguir la mirada o el gesto de un adulto hacia un objeto</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tambi</w:t>
      </w:r>
      <w:r>
        <w:rPr>
          <w:rFonts w:ascii="Calibri" w:hAnsi="Calibri" w:cs="Calibri" w:eastAsia="Calibri"/>
          <w:color w:val="3A3A3A"/>
          <w:spacing w:val="0"/>
          <w:position w:val="0"/>
          <w:sz w:val="21"/>
          <w:shd w:fill="auto" w:val="clear"/>
        </w:rPr>
        <w:t xml:space="preserve">én se ha vinculado de forma consistente con las habilidades expresivas y receptivas del lenguaje, tanto en el momento en que se observa como en etapas posteriores del desarrollo (Lasch et al., 2023). Es decir: antes de que aparezcan palabras reconocibles, ya podemos observar conductas que anticipan cómo va progresando la comunicación del niño, y que son un terreno valioso tanto para la estimulación como para la valoración profesional.</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La aparición y el desarrollo de las primeras palabras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No existe una edad única en la que “deban” aparecer las primeras palabras. Distintas guías de referencia, como los listados de hitos comunicativos de la Asociación Americana de Habla, Lenguaje y Audición (ASHA), describen rangos de edad amplios y aclaran explícitamente que cada niño se desarrolla de forma particular, incluso dentro de una misma familia, pudiendo alcanzar ciertos hitos antes o después que otros.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La variabilidad no es solo una observación clínica prudente: está documentada en los instrumentos de evaluación estandarizados. El manual técnico de los Inventarios de Desarrollo Comunicativo MacArthur-Bates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uno de los instrumentos de reporte parental m</w:t>
      </w:r>
      <w:r>
        <w:rPr>
          <w:rFonts w:ascii="Calibri" w:hAnsi="Calibri" w:cs="Calibri" w:eastAsia="Calibri"/>
          <w:color w:val="3A3A3A"/>
          <w:spacing w:val="0"/>
          <w:position w:val="0"/>
          <w:sz w:val="21"/>
          <w:shd w:fill="auto" w:val="clear"/>
        </w:rPr>
        <w:t xml:space="preserve">ás utilizados en investigación y clínica fonoaudiológica</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describe una amplitud considerable en el tama</w:t>
      </w:r>
      <w:r>
        <w:rPr>
          <w:rFonts w:ascii="Calibri" w:hAnsi="Calibri" w:cs="Calibri" w:eastAsia="Calibri"/>
          <w:color w:val="3A3A3A"/>
          <w:spacing w:val="0"/>
          <w:position w:val="0"/>
          <w:sz w:val="21"/>
          <w:shd w:fill="auto" w:val="clear"/>
        </w:rPr>
        <w:t xml:space="preserve">ño del vocabulario expresivo entre niños de una misma edad, dentro de los rangos considerados típicos (Fenson et al., 2007). Esta amplitud es justamente la razón por la que presentar la aparición de las primeras palabras como una fecha fija (“a los 12 meses debe decir su primera palabra”) no refleja adecuadamente la evidencia disponible.</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Un dato relevante para las familias es que las primeras producciones verbales rara vez son réplicas exactas de la palabra adulta: suelen ser aproximaciones fonéticas, apoyadas por el gesto y la entonación, dentro de un sistema de comunicación que sigue siendo mayormente gestual y prosódico durante buena parte del segundo año de vida.</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Vocabulario y combinación de palabras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A medida que el vocabulario crece, suele producirse una aceleración en el ritmo de adquisición de palabras nuevas durante el segundo año de vida, seguida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en un momento variable seg</w:t>
      </w:r>
      <w:r>
        <w:rPr>
          <w:rFonts w:ascii="Calibri" w:hAnsi="Calibri" w:cs="Calibri" w:eastAsia="Calibri"/>
          <w:color w:val="3A3A3A"/>
          <w:spacing w:val="0"/>
          <w:position w:val="0"/>
          <w:sz w:val="21"/>
          <w:shd w:fill="auto" w:val="clear"/>
        </w:rPr>
        <w:t xml:space="preserve">ún cada niño</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de las primeras combinaciones de dos palabras. Aqu</w:t>
      </w:r>
      <w:r>
        <w:rPr>
          <w:rFonts w:ascii="Calibri" w:hAnsi="Calibri" w:cs="Calibri" w:eastAsia="Calibri"/>
          <w:color w:val="3A3A3A"/>
          <w:spacing w:val="0"/>
          <w:position w:val="0"/>
          <w:sz w:val="21"/>
          <w:shd w:fill="auto" w:val="clear"/>
        </w:rPr>
        <w:t xml:space="preserve">í, nuevamente, la evidencia respalda la prudencia frente a los rangos rígidos.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La actualización 2022 de las listas de hitos “Learn the Signs. Act Early.” de los Centros para el Control y la Prevención de Enfermedades de Estados Unidos (CDC) generó un debate profesional relevante: el cambio de criterio, que pasó de fijar los hitos en la edad en que aproximadamente el 50 % de los niños los alcanza a la edad en que lo hace el 75 %, tuvo como consecuencia que algunos hitos de lenguaje se desplazaran a edades más tardías respecto a versiones anteriores. La ASHA manifestó su inquietud por este cambio y solicitó reuniones de aclaración con el CDC y la Academia Americana de Pediatría; el CDC, por su parte, precisó que no se trataba de una disminución de los estándares del desarrollo infantil, sino de un cambio en el criterio estadístico utilizado para construir los listados.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Se trae esta discusión no para confundir a las familias, sino para ilustrar algo importante: incluso entre organizaciones científicas de referencia existen matices y debates sobre cómo definir los rangos de edad, precisamente porque el desarrollo del lenguaje es dimensional y variable. Esto refuerza la necesidad de mirar la trayectoria completa de un niño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y no un </w:t>
      </w:r>
      <w:r>
        <w:rPr>
          <w:rFonts w:ascii="Calibri" w:hAnsi="Calibri" w:cs="Calibri" w:eastAsia="Calibri"/>
          <w:color w:val="3A3A3A"/>
          <w:spacing w:val="0"/>
          <w:position w:val="0"/>
          <w:sz w:val="21"/>
          <w:shd w:fill="auto" w:val="clear"/>
        </w:rPr>
        <w:t xml:space="preserve">único hito aislado</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antes de sacar conclusiones.</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El desarrollo del lenguaje durante los primeros años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Con el ingreso a la etapa preescolar, el lenguaje del niño se va complejizando: aumenta la longitud de las frases, aparecen las primeras marcas gramaticales y el niño empieza a usar el lenguaje para narrar, preguntar y justificar. Aun así, la investigación sobre “hablantes tardíos” (niños de entre 18 y 35 meses con un vocabulario expresivo notablemente reducido para su edad) es un buen recordatorio de que el desarrollo temprano del lenguaje no siempre predice de forma lineal el desenlace a mediano plazo.</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Estudios longitudinales de largo alcance muestran que la mayoría de los niños identificados como hablantes tardíos alcanzan puntuaciones dentro del rango promedio en pruebas de lenguaje hacia los 5, 6 o 7 años; sin embargo, como grupo, tienden a mostrar puntuaciones algo más bajas que sus pares con historia de lenguaje típico en el seguimiento a más largo plazo (Rescorla, 2011). Esta evidencia no debe leerse como una invitación a la inacción (“ya se le va a quitar”), sino como fundamento para un seguimiento cercano, informado y sin alarmismo: la mayoría mejora considerablemente, pero el acompañamiento profesional temprano sigue siendo la vía más prudente para diferenciar una variación normal de un posible trastorno del lenguaje.</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La importancia de la interacción cotidiana</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Uno de los hallazgos más sólidos de las últimas dos décadas en investigación del lenguaje infantil es que la calidad de la interacción verbal importa más que la cantidad bruta de palabras que un niño escucha. Un estudio con neuroimagen encontró que, al controlar el nivel socioeconómico, el número de turnos conversacionales (intercambios de ida y vuelta entre adulto y niño) se relacionaba con la actividad cerebral en áreas asociadas al lenguaje, y esa actividad predecía a su vez las habilidades lingüísticas de los niños, mientras que la cantidad total de palabras escuchadas no mostraba esa misma relación una vez igualado el nivel socioeconómico (Romeo et al., 2018).</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De forma similar, un estudio publicado en la revista Psychological Science mostró que la calidad de la comunicación temprana entre cuidadores e hijos contribuye al éxito lingüístico posterior de niños de familias con ingresos bajos, más allá de otras variables sociodemográficas (Hirsh-Pasek et al., 2015). Este cuerpo de evidencia respalda un mensaje central para las familias: no se trata de “bombardear” al niño con vocabulario, sino de sostener intercambios genuinos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responder a sus intentos comunicativos, esperar su turno, seguir su interés</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desde los primeros meses de vida.</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pueden observar las familias</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Sin necesidad de convertirse en evaluadores, las familias pueden estar atentas a la trayectoria general de su hijo o hija: cómo responde a los sonidos y a su nombre, si busca compartir su interés con otros (mostrando o señalando objetos), si va incorporando gestos y luego palabras con el tiempo, y si su comprensión del lenguaje (lo que entiende) avanza de forma acorde a su edad. Observar la tendencia a lo largo de varios meses suele ser más informativo que fijarse en un único mes o comparar con otro niño en particular, dado el rango tan amplio de variabilidad normal descrito por la evidencia.</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Qué pueden hacer las familias para favorecer oportunidades de comunicación</w:t>
      </w:r>
    </w:p>
    <w:p>
      <w:pPr>
        <w:numPr>
          <w:ilvl w:val="0"/>
          <w:numId w:val="21"/>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b/>
          <w:color w:val="3A3A3A"/>
          <w:spacing w:val="0"/>
          <w:position w:val="0"/>
          <w:sz w:val="21"/>
          <w:shd w:fill="auto" w:val="clear"/>
        </w:rPr>
        <w:t xml:space="preserve">Sostener intercambios de ida y vuelta</w:t>
      </w:r>
      <w:r>
        <w:rPr>
          <w:rFonts w:ascii="Calibri" w:hAnsi="Calibri" w:cs="Calibri" w:eastAsia="Calibri"/>
          <w:color w:val="3A3A3A"/>
          <w:spacing w:val="0"/>
          <w:position w:val="0"/>
          <w:sz w:val="21"/>
          <w:shd w:fill="auto" w:val="clear"/>
        </w:rPr>
        <w:t xml:space="preserve">, respondiendo a los sonidos, gestos y miradas del bebé como si fueran turnos de una conversación, incluso antes de que existan palabras.</w:t>
      </w:r>
    </w:p>
    <w:p>
      <w:pPr>
        <w:numPr>
          <w:ilvl w:val="0"/>
          <w:numId w:val="21"/>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b/>
          <w:color w:val="3A3A3A"/>
          <w:spacing w:val="0"/>
          <w:position w:val="0"/>
          <w:sz w:val="21"/>
          <w:shd w:fill="auto" w:val="clear"/>
        </w:rPr>
        <w:t xml:space="preserve">Seguir el interés del niño</w:t>
      </w:r>
      <w:r>
        <w:rPr>
          <w:rFonts w:ascii="Calibri" w:hAnsi="Calibri" w:cs="Calibri" w:eastAsia="Calibri"/>
          <w:color w:val="3A3A3A"/>
          <w:spacing w:val="0"/>
          <w:position w:val="0"/>
          <w:sz w:val="21"/>
          <w:shd w:fill="auto" w:val="clear"/>
        </w:rPr>
        <w:t xml:space="preserve"> en lugar de dirigir constantemente la interacción hacia lo que el adulto quiere enseñar, aprovechando los momentos de atención conjunta que el niño ya inicia de forma natural.</w:t>
      </w:r>
    </w:p>
    <w:p>
      <w:pPr>
        <w:numPr>
          <w:ilvl w:val="0"/>
          <w:numId w:val="21"/>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b/>
          <w:color w:val="3A3A3A"/>
          <w:spacing w:val="0"/>
          <w:position w:val="0"/>
          <w:sz w:val="21"/>
          <w:shd w:fill="auto" w:val="clear"/>
        </w:rPr>
        <w:t xml:space="preserve">Nombrar lo que ocurre en el momento presente</w:t>
      </w:r>
      <w:r>
        <w:rPr>
          <w:rFonts w:ascii="Calibri" w:hAnsi="Calibri" w:cs="Calibri" w:eastAsia="Calibri"/>
          <w:color w:val="3A3A3A"/>
          <w:spacing w:val="0"/>
          <w:position w:val="0"/>
          <w:sz w:val="21"/>
          <w:shd w:fill="auto" w:val="clear"/>
        </w:rPr>
        <w:t xml:space="preserve"> (lo que el niño ve, hace o siente), sin necesidad de simplificar artificialmente el lenguaje ni de recurrir a diminutivos infantilizados.</w:t>
      </w:r>
    </w:p>
    <w:p>
      <w:pPr>
        <w:numPr>
          <w:ilvl w:val="0"/>
          <w:numId w:val="21"/>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b/>
          <w:color w:val="3A3A3A"/>
          <w:spacing w:val="0"/>
          <w:position w:val="0"/>
          <w:sz w:val="21"/>
          <w:shd w:fill="auto" w:val="clear"/>
        </w:rPr>
        <w:t xml:space="preserve">Leer y narrar con regularidad</w:t>
      </w:r>
      <w:r>
        <w:rPr>
          <w:rFonts w:ascii="Calibri" w:hAnsi="Calibri" w:cs="Calibri" w:eastAsia="Calibri"/>
          <w:color w:val="3A3A3A"/>
          <w:spacing w:val="0"/>
          <w:position w:val="0"/>
          <w:sz w:val="21"/>
          <w:shd w:fill="auto" w:val="clear"/>
        </w:rPr>
        <w:t xml:space="preserve">, ajustando el estilo a la edad del niño, como fuente natural de vocabulario variado y de estructuras gramaticales más complejas.</w:t>
      </w:r>
    </w:p>
    <w:p>
      <w:pPr>
        <w:numPr>
          <w:ilvl w:val="0"/>
          <w:numId w:val="21"/>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b/>
          <w:color w:val="3A3A3A"/>
          <w:spacing w:val="0"/>
          <w:position w:val="0"/>
          <w:sz w:val="21"/>
          <w:shd w:fill="auto" w:val="clear"/>
        </w:rPr>
        <w:t xml:space="preserve">Dar tiempo para que el niño responda</w:t>
      </w:r>
      <w:r>
        <w:rPr>
          <w:rFonts w:ascii="Calibri" w:hAnsi="Calibri" w:cs="Calibri" w:eastAsia="Calibri"/>
          <w:color w:val="3A3A3A"/>
          <w:spacing w:val="0"/>
          <w:position w:val="0"/>
          <w:sz w:val="21"/>
          <w:shd w:fill="auto" w:val="clear"/>
        </w:rPr>
        <w:t xml:space="preserve">, sin apresurarse a completar sus frases o anticipar lo que quiere decir.</w:t>
      </w:r>
    </w:p>
    <w:p>
      <w:pPr>
        <w:spacing w:before="260" w:after="120" w:line="240"/>
        <w:ind w:right="0" w:left="0" w:firstLine="0"/>
        <w:jc w:val="left"/>
        <w:rPr>
          <w:rFonts w:ascii="Times New Roman" w:hAnsi="Times New Roman" w:cs="Times New Roman" w:eastAsia="Times New Roman"/>
          <w:color w:val="auto"/>
          <w:spacing w:val="0"/>
          <w:position w:val="0"/>
          <w:sz w:val="25"/>
          <w:shd w:fill="auto" w:val="clear"/>
        </w:rPr>
      </w:pPr>
      <w:r>
        <w:rPr>
          <w:rFonts w:ascii="Calibri" w:hAnsi="Calibri" w:cs="Calibri" w:eastAsia="Calibri"/>
          <w:b/>
          <w:color w:val="0F5C56"/>
          <w:spacing w:val="0"/>
          <w:position w:val="0"/>
          <w:sz w:val="25"/>
          <w:shd w:fill="auto" w:val="clear"/>
        </w:rPr>
        <w:t xml:space="preserve">Cuándo puede ser recomendable una orientación o valoración profesional</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Observar variaciones en el ritmo de desarrollo no equivale, por sí solo, a un motivo de alarma. Dicho esto, existen señales que justifican solicitar una valoración fonoaudiológica, entre ellas: ausencia de balbuceo variado o de gestos comunicativos hacia el final del primer año, dificultades sostenidas para comprender instrucciones simples acordes a la edad, un vocabulario marcadamente reducido en comparación con los rangos orientativos para la edad, o una pérdida de habilidades comunicativas que el niño ya había alcanzado. Ante cualquiera de estas señales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o simplemente ante la inquietud de la familia</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consultar con un profesional de la fonoaudiolog</w:t>
      </w:r>
      <w:r>
        <w:rPr>
          <w:rFonts w:ascii="Calibri" w:hAnsi="Calibri" w:cs="Calibri" w:eastAsia="Calibri"/>
          <w:color w:val="3A3A3A"/>
          <w:spacing w:val="0"/>
          <w:position w:val="0"/>
          <w:sz w:val="21"/>
          <w:shd w:fill="auto" w:val="clear"/>
        </w:rPr>
        <w:t xml:space="preserve">ía permite diferenciar una variación normal de un posible trastorno, e iniciar el acompañamiento oportuno si es necesario.</w:t>
      </w:r>
    </w:p>
    <w:p>
      <w:pPr>
        <w:spacing w:before="0" w:after="160" w:line="276"/>
        <w:ind w:right="0" w:left="0" w:firstLine="0"/>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Es importante distinguir tres planos: </w:t>
      </w:r>
      <w:r>
        <w:rPr>
          <w:rFonts w:ascii="Calibri" w:hAnsi="Calibri" w:cs="Calibri" w:eastAsia="Calibri"/>
          <w:b/>
          <w:color w:val="3A3A3A"/>
          <w:spacing w:val="0"/>
          <w:position w:val="0"/>
          <w:sz w:val="21"/>
          <w:shd w:fill="auto" w:val="clear"/>
        </w:rPr>
        <w:t xml:space="preserve">observar</w:t>
      </w:r>
      <w:r>
        <w:rPr>
          <w:rFonts w:ascii="Calibri" w:hAnsi="Calibri" w:cs="Calibri" w:eastAsia="Calibri"/>
          <w:color w:val="3A3A3A"/>
          <w:spacing w:val="0"/>
          <w:position w:val="0"/>
          <w:sz w:val="21"/>
          <w:shd w:fill="auto" w:val="clear"/>
        </w:rPr>
        <w:t xml:space="preserve"> (lo que cualquier familia puede hacer en el día a día), </w:t>
      </w:r>
      <w:r>
        <w:rPr>
          <w:rFonts w:ascii="Calibri" w:hAnsi="Calibri" w:cs="Calibri" w:eastAsia="Calibri"/>
          <w:b/>
          <w:color w:val="3A3A3A"/>
          <w:spacing w:val="0"/>
          <w:position w:val="0"/>
          <w:sz w:val="21"/>
          <w:shd w:fill="auto" w:val="clear"/>
        </w:rPr>
        <w:t xml:space="preserve">orientar</w:t>
      </w:r>
      <w:r>
        <w:rPr>
          <w:rFonts w:ascii="Calibri" w:hAnsi="Calibri" w:cs="Calibri" w:eastAsia="Calibri"/>
          <w:color w:val="3A3A3A"/>
          <w:spacing w:val="0"/>
          <w:position w:val="0"/>
          <w:sz w:val="21"/>
          <w:shd w:fill="auto" w:val="clear"/>
        </w:rPr>
        <w:t xml:space="preserve"> (la conversación inicial con un profesional para decidir los pasos a seguir) y </w:t>
      </w:r>
      <w:r>
        <w:rPr>
          <w:rFonts w:ascii="Calibri" w:hAnsi="Calibri" w:cs="Calibri" w:eastAsia="Calibri"/>
          <w:b/>
          <w:color w:val="3A3A3A"/>
          <w:spacing w:val="0"/>
          <w:position w:val="0"/>
          <w:sz w:val="21"/>
          <w:shd w:fill="auto" w:val="clear"/>
        </w:rPr>
        <w:t xml:space="preserve">evaluar</w:t>
      </w:r>
      <w:r>
        <w:rPr>
          <w:rFonts w:ascii="Calibri" w:hAnsi="Calibri" w:cs="Calibri" w:eastAsia="Calibri"/>
          <w:color w:val="3A3A3A"/>
          <w:spacing w:val="0"/>
          <w:position w:val="0"/>
          <w:sz w:val="21"/>
          <w:shd w:fill="auto" w:val="clear"/>
        </w:rPr>
        <w:t xml:space="preserve"> (el proceso diagnóstico formal, que corresponde exclusivamente al profesional capacitado). Ninguno de estos pasos reemplaza al anterior, y ninguno debería generar culpa: el desarrollo del lenguaje depende de múltiples factores, y el rol de la familia es ofrecer oportunidades de comunicación, no garantizar un resultado.</w:t>
      </w:r>
    </w:p>
    <w:p>
      <w:pPr>
        <w:spacing w:before="220" w:after="120" w:line="240"/>
        <w:ind w:right="0" w:left="0" w:firstLine="0"/>
        <w:jc w:val="center"/>
        <w:rPr>
          <w:rFonts w:ascii="Times New Roman" w:hAnsi="Times New Roman" w:cs="Times New Roman" w:eastAsia="Times New Roman"/>
          <w:color w:val="auto"/>
          <w:spacing w:val="0"/>
          <w:position w:val="0"/>
          <w:sz w:val="22"/>
          <w:shd w:fill="auto" w:val="clear"/>
        </w:rPr>
      </w:pPr>
      <w:r>
        <w:rPr>
          <w:rFonts w:ascii="Calibri" w:hAnsi="Calibri" w:cs="Calibri" w:eastAsia="Calibri"/>
          <w:i/>
          <w:color w:val="0F5C56"/>
          <w:spacing w:val="0"/>
          <w:position w:val="0"/>
          <w:sz w:val="22"/>
          <w:shd w:fill="auto" w:val="clear"/>
        </w:rPr>
        <w:t xml:space="preserve">“Estimular con intención cambia trayectorias” </w:t>
      </w:r>
      <w:r>
        <w:rPr>
          <w:rFonts w:ascii="Calibri" w:hAnsi="Calibri" w:cs="Calibri" w:eastAsia="Calibri"/>
          <w:i/>
          <w:color w:val="0F5C56"/>
          <w:spacing w:val="0"/>
          <w:position w:val="0"/>
          <w:sz w:val="22"/>
          <w:shd w:fill="auto" w:val="clear"/>
        </w:rPr>
        <w:t xml:space="preserve">—</w:t>
      </w:r>
      <w:r>
        <w:rPr>
          <w:rFonts w:ascii="Calibri" w:hAnsi="Calibri" w:cs="Calibri" w:eastAsia="Calibri"/>
          <w:i/>
          <w:color w:val="0F5C56"/>
          <w:spacing w:val="0"/>
          <w:position w:val="0"/>
          <w:sz w:val="22"/>
          <w:shd w:fill="auto" w:val="clear"/>
        </w:rPr>
        <w:t xml:space="preserve"> y esa intenci</w:t>
      </w:r>
      <w:r>
        <w:rPr>
          <w:rFonts w:ascii="Calibri" w:hAnsi="Calibri" w:cs="Calibri" w:eastAsia="Calibri"/>
          <w:i/>
          <w:color w:val="0F5C56"/>
          <w:spacing w:val="0"/>
          <w:position w:val="0"/>
          <w:sz w:val="22"/>
          <w:shd w:fill="auto" w:val="clear"/>
        </w:rPr>
        <w:t xml:space="preserve">ón empieza, precisamente, en las conversaciones más simples del día a día.</w:t>
      </w:r>
    </w:p>
    <w:p>
      <w:pPr>
        <w:spacing w:before="20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b/>
          <w:color w:val="0F5C56"/>
          <w:spacing w:val="0"/>
          <w:position w:val="0"/>
          <w:sz w:val="19"/>
          <w:shd w:fill="auto" w:val="clear"/>
        </w:rPr>
        <w:t xml:space="preserve">Meta descripción</w:t>
      </w:r>
    </w:p>
    <w:p>
      <w:pPr>
        <w:spacing w:before="0" w:after="160" w:line="276"/>
        <w:ind w:right="0" w:left="0" w:firstLine="0"/>
        <w:jc w:val="both"/>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Cómo se desarrolla la comunicación y el lenguaje infantil desde los primeros meses de vida: qué observar, cómo acompañar y cuándo consultar a un fonoaudiólogo, con respaldo científico actualizado.</w:t>
      </w:r>
    </w:p>
    <w:p>
      <w:pPr>
        <w:spacing w:before="0" w:after="0" w:line="240"/>
        <w:ind w:right="0" w:left="0" w:firstLine="0"/>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b/>
          <w:color w:val="0F5C56"/>
          <w:spacing w:val="0"/>
          <w:position w:val="0"/>
          <w:sz w:val="19"/>
          <w:shd w:fill="auto" w:val="clear"/>
        </w:rPr>
        <w:t xml:space="preserve">URL sugerida</w:t>
      </w:r>
    </w:p>
    <w:p>
      <w:pPr>
        <w:spacing w:before="0" w:after="160" w:line="276"/>
        <w:ind w:right="0" w:left="0" w:firstLine="0"/>
        <w:jc w:val="both"/>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/desarrollo-comunicacion-lenguaje-infantil-primeros-meses</w:t>
      </w:r>
    </w:p>
    <w:p>
      <w:pPr>
        <w:pageBreakBefore w:val="true"/>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200" w:line="240"/>
        <w:ind w:right="0" w:left="0" w:firstLine="0"/>
        <w:jc w:val="left"/>
        <w:rPr>
          <w:rFonts w:ascii="Times New Roman" w:hAnsi="Times New Roman" w:cs="Times New Roman" w:eastAsia="Times New Roman"/>
          <w:color w:val="auto"/>
          <w:spacing w:val="0"/>
          <w:position w:val="0"/>
          <w:sz w:val="32"/>
          <w:shd w:fill="auto" w:val="clear"/>
        </w:rPr>
      </w:pPr>
      <w:r>
        <w:rPr>
          <w:rFonts w:ascii="Calibri" w:hAnsi="Calibri" w:cs="Calibri" w:eastAsia="Calibri"/>
          <w:b/>
          <w:color w:val="0F5C56"/>
          <w:spacing w:val="0"/>
          <w:position w:val="0"/>
          <w:sz w:val="32"/>
          <w:shd w:fill="auto" w:val="clear"/>
        </w:rPr>
        <w:t xml:space="preserve">Referencias</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American Speech-Language-Hearing Association (ASHA). (2023). Communication milestones (birth to 5 years) [Listas de hitos comunicativos]. </w:t>
      </w:r>
      <w:hyperlink xmlns:r="http://schemas.openxmlformats.org/officeDocument/2006/relationships" r:id="docRId0">
        <w:r>
          <w:rPr>
            <w:rFonts w:ascii="Calibri" w:hAnsi="Calibri" w:cs="Calibri" w:eastAsia="Calibri"/>
            <w:color w:val="3A3A3A"/>
            <w:spacing w:val="0"/>
            <w:position w:val="0"/>
            <w:sz w:val="19"/>
            <w:u w:val="single"/>
            <w:shd w:fill="auto" w:val="clear"/>
          </w:rPr>
          <w:t xml:space="preserve">https://www.asha.org/public/developmental-milestones/</w:t>
        </w:r>
      </w:hyperlink>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ASHA. (2022). ASHA comments on AAP and CDC developmental milestones updates. </w:t>
      </w:r>
      <w:hyperlink xmlns:r="http://schemas.openxmlformats.org/officeDocument/2006/relationships" r:id="docRId1">
        <w:r>
          <w:rPr>
            <w:rFonts w:ascii="Calibri" w:hAnsi="Calibri" w:cs="Calibri" w:eastAsia="Calibri"/>
            <w:color w:val="3A3A3A"/>
            <w:spacing w:val="0"/>
            <w:position w:val="0"/>
            <w:sz w:val="19"/>
            <w:u w:val="single"/>
            <w:shd w:fill="auto" w:val="clear"/>
          </w:rPr>
          <w:t xml:space="preserve">https://www.asha.org/practice/asha-comments-on-aap-and-cdc-developmental-milestones-updates/</w:t>
        </w:r>
      </w:hyperlink>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Centers for Disease Control and Prevention (CDC). (2022). Learn the Signs. Act Early.: Developmental milestone checklists (actualización de febrero de 2022). </w:t>
      </w:r>
      <w:hyperlink xmlns:r="http://schemas.openxmlformats.org/officeDocument/2006/relationships" r:id="docRId2">
        <w:r>
          <w:rPr>
            <w:rFonts w:ascii="Calibri" w:hAnsi="Calibri" w:cs="Calibri" w:eastAsia="Calibri"/>
            <w:color w:val="3A3A3A"/>
            <w:spacing w:val="0"/>
            <w:position w:val="0"/>
            <w:sz w:val="19"/>
            <w:u w:val="single"/>
            <w:shd w:fill="auto" w:val="clear"/>
          </w:rPr>
          <w:t xml:space="preserve">https://www.cdc.gov/act-early/milestones/index.html</w:t>
        </w:r>
      </w:hyperlink>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Colonnesi, C., Stams, G. J. J. M., Koster, I., &amp; Noom, M. J. (2010). The relation between pointing and language development: A meta-analysis. </w:t>
      </w:r>
      <w:r>
        <w:rPr>
          <w:rFonts w:ascii="Calibri" w:hAnsi="Calibri" w:cs="Calibri" w:eastAsia="Calibri"/>
          <w:i/>
          <w:color w:val="3A3A3A"/>
          <w:spacing w:val="0"/>
          <w:position w:val="0"/>
          <w:sz w:val="19"/>
          <w:shd w:fill="auto" w:val="clear"/>
        </w:rPr>
        <w:t xml:space="preserve">Developmental Review, 30</w:t>
      </w:r>
      <w:r>
        <w:rPr>
          <w:rFonts w:ascii="Calibri" w:hAnsi="Calibri" w:cs="Calibri" w:eastAsia="Calibri"/>
          <w:color w:val="3A3A3A"/>
          <w:spacing w:val="0"/>
          <w:position w:val="0"/>
          <w:sz w:val="19"/>
          <w:shd w:fill="auto" w:val="clear"/>
        </w:rPr>
        <w:t xml:space="preserve">(4), 352</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366.</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Fenson, L., Marchman, V. A., Thal, D. J., Dale, P. S., Reznick, J. S., &amp; Bates, E. (2007). </w:t>
      </w:r>
      <w:r>
        <w:rPr>
          <w:rFonts w:ascii="Calibri" w:hAnsi="Calibri" w:cs="Calibri" w:eastAsia="Calibri"/>
          <w:i/>
          <w:color w:val="3A3A3A"/>
          <w:spacing w:val="0"/>
          <w:position w:val="0"/>
          <w:sz w:val="19"/>
          <w:shd w:fill="auto" w:val="clear"/>
        </w:rPr>
        <w:t xml:space="preserve">MacArthur-Bates Communicative Development Inventories: User's guide and technical manual</w:t>
      </w:r>
      <w:r>
        <w:rPr>
          <w:rFonts w:ascii="Calibri" w:hAnsi="Calibri" w:cs="Calibri" w:eastAsia="Calibri"/>
          <w:color w:val="3A3A3A"/>
          <w:spacing w:val="0"/>
          <w:position w:val="0"/>
          <w:sz w:val="19"/>
          <w:shd w:fill="auto" w:val="clear"/>
        </w:rPr>
        <w:t xml:space="preserve"> (2.ª ed.). Brookes Publishing.</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Hirsh-Pasek, K., Adamson, L. B., Bakeman, R., Owen, M. T., Golinkoff, R. M., Pace, A., Yust, P. K. S., &amp; Suma, K. (2015). The contribution of early communication quality to low-income children's language success. </w:t>
      </w:r>
      <w:r>
        <w:rPr>
          <w:rFonts w:ascii="Calibri" w:hAnsi="Calibri" w:cs="Calibri" w:eastAsia="Calibri"/>
          <w:i/>
          <w:color w:val="3A3A3A"/>
          <w:spacing w:val="0"/>
          <w:position w:val="0"/>
          <w:sz w:val="19"/>
          <w:shd w:fill="auto" w:val="clear"/>
        </w:rPr>
        <w:t xml:space="preserve">Psychological Science, 26</w:t>
      </w:r>
      <w:r>
        <w:rPr>
          <w:rFonts w:ascii="Calibri" w:hAnsi="Calibri" w:cs="Calibri" w:eastAsia="Calibri"/>
          <w:color w:val="3A3A3A"/>
          <w:spacing w:val="0"/>
          <w:position w:val="0"/>
          <w:sz w:val="19"/>
          <w:shd w:fill="auto" w:val="clear"/>
        </w:rPr>
        <w:t xml:space="preserve">(7), 1071</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1083.</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Lasch, C., et al. (2023). Responding to joint attention as a developmental catalyst: Longitudinal associations with language and social responsiveness. </w:t>
      </w:r>
      <w:r>
        <w:rPr>
          <w:rFonts w:ascii="Calibri" w:hAnsi="Calibri" w:cs="Calibri" w:eastAsia="Calibri"/>
          <w:i/>
          <w:color w:val="3A3A3A"/>
          <w:spacing w:val="0"/>
          <w:position w:val="0"/>
          <w:sz w:val="19"/>
          <w:shd w:fill="auto" w:val="clear"/>
        </w:rPr>
        <w:t xml:space="preserve">Infancy, 28</w:t>
      </w:r>
      <w:r>
        <w:rPr>
          <w:rFonts w:ascii="Calibri" w:hAnsi="Calibri" w:cs="Calibri" w:eastAsia="Calibri"/>
          <w:color w:val="3A3A3A"/>
          <w:spacing w:val="0"/>
          <w:position w:val="0"/>
          <w:sz w:val="19"/>
          <w:shd w:fill="auto" w:val="clear"/>
        </w:rPr>
        <w:t xml:space="preserve">(2), 339</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366.</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Rescorla, L. (2011). Late talkers: Do good predictors of outcome exist? </w:t>
      </w:r>
      <w:r>
        <w:rPr>
          <w:rFonts w:ascii="Calibri" w:hAnsi="Calibri" w:cs="Calibri" w:eastAsia="Calibri"/>
          <w:i/>
          <w:color w:val="3A3A3A"/>
          <w:spacing w:val="0"/>
          <w:position w:val="0"/>
          <w:sz w:val="19"/>
          <w:shd w:fill="auto" w:val="clear"/>
        </w:rPr>
        <w:t xml:space="preserve">Developmental Disabilities Research Reviews, 17</w:t>
      </w:r>
      <w:r>
        <w:rPr>
          <w:rFonts w:ascii="Calibri" w:hAnsi="Calibri" w:cs="Calibri" w:eastAsia="Calibri"/>
          <w:color w:val="3A3A3A"/>
          <w:spacing w:val="0"/>
          <w:position w:val="0"/>
          <w:sz w:val="19"/>
          <w:shd w:fill="auto" w:val="clear"/>
        </w:rPr>
        <w:t xml:space="preserve">(2), 141</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150.</w:t>
      </w:r>
    </w:p>
    <w:p>
      <w:pPr>
        <w:spacing w:before="0" w:after="160" w:line="264"/>
        <w:ind w:right="0" w:left="403" w:hanging="403"/>
        <w:jc w:val="left"/>
        <w:rPr>
          <w:rFonts w:ascii="Times New Roman" w:hAnsi="Times New Roman" w:cs="Times New Roman" w:eastAsia="Times New Roman"/>
          <w:color w:val="auto"/>
          <w:spacing w:val="0"/>
          <w:position w:val="0"/>
          <w:sz w:val="19"/>
          <w:shd w:fill="auto" w:val="clear"/>
        </w:rPr>
      </w:pPr>
      <w:r>
        <w:rPr>
          <w:rFonts w:ascii="Calibri" w:hAnsi="Calibri" w:cs="Calibri" w:eastAsia="Calibri"/>
          <w:color w:val="3A3A3A"/>
          <w:spacing w:val="0"/>
          <w:position w:val="0"/>
          <w:sz w:val="19"/>
          <w:shd w:fill="auto" w:val="clear"/>
        </w:rPr>
        <w:t xml:space="preserve">Romeo, R. R., Leonard, J. A., Robinson, S. T., West, M. R., Mackey, A. P., Rowe, M. L., &amp; Gabrieli, J. D. E. (2018). Beyond the 30-million-word gap: Children's conversational exposure is associated with language-related brain function. </w:t>
      </w:r>
      <w:r>
        <w:rPr>
          <w:rFonts w:ascii="Calibri" w:hAnsi="Calibri" w:cs="Calibri" w:eastAsia="Calibri"/>
          <w:i/>
          <w:color w:val="3A3A3A"/>
          <w:spacing w:val="0"/>
          <w:position w:val="0"/>
          <w:sz w:val="19"/>
          <w:shd w:fill="auto" w:val="clear"/>
        </w:rPr>
        <w:t xml:space="preserve">Psychological Science, 29</w:t>
      </w:r>
      <w:r>
        <w:rPr>
          <w:rFonts w:ascii="Calibri" w:hAnsi="Calibri" w:cs="Calibri" w:eastAsia="Calibri"/>
          <w:color w:val="3A3A3A"/>
          <w:spacing w:val="0"/>
          <w:position w:val="0"/>
          <w:sz w:val="19"/>
          <w:shd w:fill="auto" w:val="clear"/>
        </w:rPr>
        <w:t xml:space="preserve">(5), 700</w:t>
      </w:r>
      <w:r>
        <w:rPr>
          <w:rFonts w:ascii="Calibri" w:hAnsi="Calibri" w:cs="Calibri" w:eastAsia="Calibri"/>
          <w:color w:val="3A3A3A"/>
          <w:spacing w:val="0"/>
          <w:position w:val="0"/>
          <w:sz w:val="19"/>
          <w:shd w:fill="auto" w:val="clear"/>
        </w:rPr>
        <w:t xml:space="preserve">–</w:t>
      </w:r>
      <w:r>
        <w:rPr>
          <w:rFonts w:ascii="Calibri" w:hAnsi="Calibri" w:cs="Calibri" w:eastAsia="Calibri"/>
          <w:color w:val="3A3A3A"/>
          <w:spacing w:val="0"/>
          <w:position w:val="0"/>
          <w:sz w:val="19"/>
          <w:shd w:fill="auto" w:val="clear"/>
        </w:rPr>
        <w:t xml:space="preserve">710.</w:t>
      </w:r>
    </w:p>
    <w:p>
      <w:pPr>
        <w:spacing w:before="200" w:after="160" w:line="240"/>
        <w:ind w:right="0" w:left="0" w:firstLine="0"/>
        <w:jc w:val="left"/>
        <w:rPr>
          <w:rFonts w:ascii="Times New Roman" w:hAnsi="Times New Roman" w:cs="Times New Roman" w:eastAsia="Times New Roman"/>
          <w:color w:val="auto"/>
          <w:spacing w:val="0"/>
          <w:position w:val="0"/>
          <w:sz w:val="32"/>
          <w:shd w:fill="auto" w:val="clear"/>
        </w:rPr>
      </w:pPr>
      <w:r>
        <w:rPr>
          <w:rFonts w:ascii="Calibri" w:hAnsi="Calibri" w:cs="Calibri" w:eastAsia="Calibri"/>
          <w:b/>
          <w:color w:val="0F5C56"/>
          <w:spacing w:val="0"/>
          <w:position w:val="0"/>
          <w:sz w:val="32"/>
          <w:shd w:fill="auto" w:val="clear"/>
        </w:rPr>
        <w:t xml:space="preserve">Control de evidencia</w:t>
      </w:r>
    </w:p>
    <w:p>
      <w:pPr>
        <w:spacing w:before="60" w:after="100" w:line="240"/>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b/>
          <w:color w:val="1A1A1A"/>
          <w:spacing w:val="0"/>
          <w:position w:val="0"/>
          <w:sz w:val="22"/>
          <w:shd w:fill="auto" w:val="clear"/>
        </w:rPr>
        <w:t xml:space="preserve">Fuentes principales utilizadas</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ASHA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listas de hitos comunicativos por edad, con </w:t>
      </w:r>
      <w:r>
        <w:rPr>
          <w:rFonts w:ascii="Calibri" w:hAnsi="Calibri" w:cs="Calibri" w:eastAsia="Calibri"/>
          <w:color w:val="3A3A3A"/>
          <w:spacing w:val="0"/>
          <w:position w:val="0"/>
          <w:sz w:val="21"/>
          <w:shd w:fill="auto" w:val="clear"/>
        </w:rPr>
        <w:t xml:space="preserve">énfasis en la variabilidad individual.</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CDC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actualizaci</w:t>
      </w:r>
      <w:r>
        <w:rPr>
          <w:rFonts w:ascii="Calibri" w:hAnsi="Calibri" w:cs="Calibri" w:eastAsia="Calibri"/>
          <w:color w:val="3A3A3A"/>
          <w:spacing w:val="0"/>
          <w:position w:val="0"/>
          <w:sz w:val="21"/>
          <w:shd w:fill="auto" w:val="clear"/>
        </w:rPr>
        <w:t xml:space="preserve">ón 2022 de “Learn the Signs. Act Early.” y la respuesta pública de ASHA a dicho cambio de criterio.</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Colonnesi et al. (2010)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metaan</w:t>
      </w:r>
      <w:r>
        <w:rPr>
          <w:rFonts w:ascii="Calibri" w:hAnsi="Calibri" w:cs="Calibri" w:eastAsia="Calibri"/>
          <w:color w:val="3A3A3A"/>
          <w:spacing w:val="0"/>
          <w:position w:val="0"/>
          <w:sz w:val="21"/>
          <w:shd w:fill="auto" w:val="clear"/>
        </w:rPr>
        <w:t xml:space="preserve">álisis sobre el gesto de señalar y el desarrollo del lenguaje.</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Lasch et al. (2023)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atenci</w:t>
      </w:r>
      <w:r>
        <w:rPr>
          <w:rFonts w:ascii="Calibri" w:hAnsi="Calibri" w:cs="Calibri" w:eastAsia="Calibri"/>
          <w:color w:val="3A3A3A"/>
          <w:spacing w:val="0"/>
          <w:position w:val="0"/>
          <w:sz w:val="21"/>
          <w:shd w:fill="auto" w:val="clear"/>
        </w:rPr>
        <w:t xml:space="preserve">ón conjunta como predictor longitudinal del lenguaje.</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Rescorla (2011)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revisi</w:t>
      </w:r>
      <w:r>
        <w:rPr>
          <w:rFonts w:ascii="Calibri" w:hAnsi="Calibri" w:cs="Calibri" w:eastAsia="Calibri"/>
          <w:color w:val="3A3A3A"/>
          <w:spacing w:val="0"/>
          <w:position w:val="0"/>
          <w:sz w:val="21"/>
          <w:shd w:fill="auto" w:val="clear"/>
        </w:rPr>
        <w:t xml:space="preserve">ón sobre desenlaces en “hablantes tardíos”.</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Fenson et al. (2007)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manual t</w:t>
      </w:r>
      <w:r>
        <w:rPr>
          <w:rFonts w:ascii="Calibri" w:hAnsi="Calibri" w:cs="Calibri" w:eastAsia="Calibri"/>
          <w:color w:val="3A3A3A"/>
          <w:spacing w:val="0"/>
          <w:position w:val="0"/>
          <w:sz w:val="21"/>
          <w:shd w:fill="auto" w:val="clear"/>
        </w:rPr>
        <w:t xml:space="preserve">écnico de los Inventarios MacArthur-Bates (variabilidad normativa del vocabulario).</w:t>
      </w:r>
    </w:p>
    <w:p>
      <w:pPr>
        <w:numPr>
          <w:ilvl w:val="0"/>
          <w:numId w:val="34"/>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Hirsh-Pasek et al. (2015) y Romeo et al. (2018) </w:t>
      </w:r>
      <w:r>
        <w:rPr>
          <w:rFonts w:ascii="Calibri" w:hAnsi="Calibri" w:cs="Calibri" w:eastAsia="Calibri"/>
          <w:color w:val="3A3A3A"/>
          <w:spacing w:val="0"/>
          <w:position w:val="0"/>
          <w:sz w:val="21"/>
          <w:shd w:fill="auto" w:val="clear"/>
        </w:rPr>
        <w:t xml:space="preserve">—</w:t>
      </w:r>
      <w:r>
        <w:rPr>
          <w:rFonts w:ascii="Calibri" w:hAnsi="Calibri" w:cs="Calibri" w:eastAsia="Calibri"/>
          <w:color w:val="3A3A3A"/>
          <w:spacing w:val="0"/>
          <w:position w:val="0"/>
          <w:sz w:val="21"/>
          <w:shd w:fill="auto" w:val="clear"/>
        </w:rPr>
        <w:t xml:space="preserve"> calidad de la interacci</w:t>
      </w:r>
      <w:r>
        <w:rPr>
          <w:rFonts w:ascii="Calibri" w:hAnsi="Calibri" w:cs="Calibri" w:eastAsia="Calibri"/>
          <w:color w:val="3A3A3A"/>
          <w:spacing w:val="0"/>
          <w:position w:val="0"/>
          <w:sz w:val="21"/>
          <w:shd w:fill="auto" w:val="clear"/>
        </w:rPr>
        <w:t xml:space="preserve">ón verbal (turnos conversacionales) y desarrollo del lenguaje.</w:t>
      </w:r>
    </w:p>
    <w:p>
      <w:pPr>
        <w:spacing w:before="160" w:after="100" w:line="240"/>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b/>
          <w:color w:val="1A1A1A"/>
          <w:spacing w:val="0"/>
          <w:position w:val="0"/>
          <w:sz w:val="22"/>
          <w:shd w:fill="auto" w:val="clear"/>
        </w:rPr>
        <w:t xml:space="preserve">Aspectos modificados o corregidos a partir de la evidencia</w:t>
      </w:r>
    </w:p>
    <w:p>
      <w:pPr>
        <w:numPr>
          <w:ilvl w:val="0"/>
          <w:numId w:val="36"/>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Se eliminó cualquier edad presentada como límite absoluto para la primera palabra o la combinación de palabras, reemplazándola por rangos orientativos con variabilidad documentada.</w:t>
      </w:r>
    </w:p>
    <w:p>
      <w:pPr>
        <w:numPr>
          <w:ilvl w:val="0"/>
          <w:numId w:val="36"/>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Se incorporó el debate profesional real entre ASHA y CDC sobre la actualización 2022 de los hitos, en lugar de presentar un único estándar sin matices.</w:t>
      </w:r>
    </w:p>
    <w:p>
      <w:pPr>
        <w:numPr>
          <w:ilvl w:val="0"/>
          <w:numId w:val="36"/>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Se priorizó la evidencia sobre calidad de interacción (turnos conversacionales) por sobre el enfoque de “cantidad de palabras”, que estudios más recientes matizan.</w:t>
      </w:r>
    </w:p>
    <w:p>
      <w:pPr>
        <w:numPr>
          <w:ilvl w:val="0"/>
          <w:numId w:val="36"/>
        </w:numPr>
        <w:spacing w:before="0" w:after="110" w:line="270"/>
        <w:ind w:right="0" w:left="403" w:hanging="316"/>
        <w:jc w:val="both"/>
        <w:rPr>
          <w:rFonts w:ascii="Times New Roman" w:hAnsi="Times New Roman" w:cs="Times New Roman" w:eastAsia="Times New Roman"/>
          <w:color w:val="auto"/>
          <w:spacing w:val="0"/>
          <w:position w:val="0"/>
          <w:sz w:val="21"/>
          <w:shd w:fill="auto" w:val="clear"/>
        </w:rPr>
      </w:pPr>
      <w:r>
        <w:rPr>
          <w:rFonts w:ascii="Calibri" w:hAnsi="Calibri" w:cs="Calibri" w:eastAsia="Calibri"/>
          <w:color w:val="3A3A3A"/>
          <w:spacing w:val="0"/>
          <w:position w:val="0"/>
          <w:sz w:val="21"/>
          <w:shd w:fill="auto" w:val="clear"/>
        </w:rPr>
        <w:t xml:space="preserve">No se incluyeron afirmaciones sobre pantallas, bilingüismo o trastornos específicos por no contar con una revisión de evidencia suficientemente exhaustiva dentro del alcance de esta búsqueda; se recomienda tratarlos en artículos separados con su propia revisión documental.</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1">
    <w:abstractNumId w:val="12"/>
  </w:num>
  <w:num w:numId="34">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asha.org/practice/asha-comments-on-aap-and-cdc-developmental-milestones-updates/" Id="docRId1" Type="http://schemas.openxmlformats.org/officeDocument/2006/relationships/hyperlink" /><Relationship Target="numbering.xml" Id="docRId3" Type="http://schemas.openxmlformats.org/officeDocument/2006/relationships/numbering" /><Relationship TargetMode="External" Target="https://www.asha.org/public/developmental-milestones/" Id="docRId0" Type="http://schemas.openxmlformats.org/officeDocument/2006/relationships/hyperlink" /><Relationship TargetMode="External" Target="https://www.cdc.gov/act-early/milestones/index.html" Id="docRId2" Type="http://schemas.openxmlformats.org/officeDocument/2006/relationships/hyperlink" /><Relationship Target="styles.xml" Id="docRId4" Type="http://schemas.openxmlformats.org/officeDocument/2006/relationships/styles" /></Relationships>
</file>