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ADB7" w14:textId="77777777" w:rsidR="00B65238" w:rsidRDefault="00DB1FD1">
      <w:pPr>
        <w:spacing w:after="20"/>
      </w:pPr>
      <w:proofErr w:type="spellStart"/>
      <w:r>
        <w:rPr>
          <w:rFonts w:ascii="Calibri" w:eastAsia="Calibri" w:hAnsi="Calibri" w:cs="Calibri"/>
          <w:b/>
          <w:bCs/>
          <w:color w:val="0F5C56"/>
          <w:sz w:val="40"/>
          <w:szCs w:val="40"/>
        </w:rPr>
        <w:t>Fga</w:t>
      </w:r>
      <w:proofErr w:type="spellEnd"/>
      <w:r>
        <w:rPr>
          <w:rFonts w:ascii="Calibri" w:eastAsia="Calibri" w:hAnsi="Calibri" w:cs="Calibri"/>
          <w:b/>
          <w:bCs/>
          <w:color w:val="0F5C56"/>
          <w:sz w:val="40"/>
          <w:szCs w:val="40"/>
        </w:rPr>
        <w:t>. Elena Sibaja</w:t>
      </w:r>
    </w:p>
    <w:p w14:paraId="17C2FAE8" w14:textId="77777777" w:rsidR="00B65238" w:rsidRDefault="00DB1FD1">
      <w:pPr>
        <w:pBdr>
          <w:bottom w:val="single" w:sz="10" w:space="8" w:color="0F5C56"/>
        </w:pBdr>
        <w:spacing w:after="200"/>
      </w:pPr>
      <w:r>
        <w:rPr>
          <w:rFonts w:ascii="Calibri" w:eastAsia="Calibri" w:hAnsi="Calibri" w:cs="Calibri"/>
          <w:i/>
          <w:iCs/>
          <w:color w:val="6B6B6B"/>
        </w:rPr>
        <w:t>Fonoaudiología · Estimular con intención cambia trayectorias</w:t>
      </w:r>
    </w:p>
    <w:p w14:paraId="2E205D51" w14:textId="77777777" w:rsidR="00B65238" w:rsidRDefault="00DB1FD1">
      <w:pPr>
        <w:spacing w:before="140" w:after="220"/>
      </w:pPr>
      <w:r>
        <w:rPr>
          <w:rFonts w:ascii="Calibri" w:eastAsia="Calibri" w:hAnsi="Calibri" w:cs="Calibri"/>
          <w:b/>
          <w:bCs/>
          <w:color w:val="1A1A1A"/>
          <w:sz w:val="30"/>
          <w:szCs w:val="30"/>
        </w:rPr>
        <w:t>Lectura compartida: una oportunidad cotidiana para favorecer la comunicación y el lenguaje</w:t>
      </w:r>
    </w:p>
    <w:p w14:paraId="2AA8A765" w14:textId="77777777" w:rsidR="00B65238" w:rsidRDefault="00DB1FD1">
      <w:pPr>
        <w:keepNext/>
        <w:spacing w:before="260" w:after="120"/>
      </w:pPr>
      <w:r>
        <w:rPr>
          <w:rFonts w:ascii="Calibri" w:eastAsia="Calibri" w:hAnsi="Calibri" w:cs="Calibri"/>
          <w:b/>
          <w:bCs/>
          <w:color w:val="0F5C56"/>
          <w:sz w:val="25"/>
          <w:szCs w:val="25"/>
        </w:rPr>
        <w:t>Más que leer un cuento</w:t>
      </w:r>
    </w:p>
    <w:p w14:paraId="232AA5A9" w14:textId="77777777" w:rsidR="00B65238" w:rsidRDefault="00DB1FD1">
      <w:pPr>
        <w:spacing w:after="160" w:line="276" w:lineRule="auto"/>
        <w:jc w:val="both"/>
      </w:pPr>
      <w:r>
        <w:rPr>
          <w:rFonts w:ascii="Calibri" w:eastAsia="Calibri" w:hAnsi="Calibri" w:cs="Calibri"/>
          <w:color w:val="3A3A3A"/>
          <w:sz w:val="21"/>
          <w:szCs w:val="21"/>
        </w:rPr>
        <w:t>Leer un cuento con un niño o una niña suele imaginarse como una escena sencilla: el adulto lee y el niño escucha. Desde la mirada fonoaudiológica, la lectura compartida ofrece más que eso. Es una situación cotidiana en la que se combinan la atención conjunta, el vocabulario, los gestos, los turnos de conversación y el vínculo. En ella el niño no es solo un oyente, sino un participante.</w:t>
      </w:r>
    </w:p>
    <w:p w14:paraId="36220150" w14:textId="77777777" w:rsidR="00B65238" w:rsidRDefault="00DB1FD1">
      <w:pPr>
        <w:spacing w:after="160" w:line="276" w:lineRule="auto"/>
        <w:jc w:val="both"/>
      </w:pPr>
      <w:r>
        <w:rPr>
          <w:rFonts w:ascii="Calibri" w:eastAsia="Calibri" w:hAnsi="Calibri" w:cs="Calibri"/>
          <w:color w:val="3A3A3A"/>
          <w:sz w:val="21"/>
          <w:szCs w:val="21"/>
        </w:rPr>
        <w:t>Llamamos lectura compartida a la actividad en la que una persona adulta y un niño exploran juntos un libro, y ambos aportan. El adulto lee, señala, comenta y pregunta. El niño mira, señala, vocaliza, responde, pasa las páginas o pide que se repita. Este artículo explica qué puede aportar esta actividad, cómo hacerla más interactiva y cómo adaptarla a cada niño, sin exagerar lo que la evidencia permite afirmar.</w:t>
      </w:r>
    </w:p>
    <w:p w14:paraId="51992763" w14:textId="77777777" w:rsidR="00B65238" w:rsidRDefault="00DB1FD1">
      <w:pPr>
        <w:keepNext/>
        <w:spacing w:before="260" w:after="120"/>
      </w:pPr>
      <w:r>
        <w:rPr>
          <w:rFonts w:ascii="Calibri" w:eastAsia="Calibri" w:hAnsi="Calibri" w:cs="Calibri"/>
          <w:b/>
          <w:bCs/>
          <w:color w:val="0F5C56"/>
          <w:sz w:val="25"/>
          <w:szCs w:val="25"/>
        </w:rPr>
        <w:t>Leerle a un niño no es lo mismo que compartir un libro con él</w:t>
      </w:r>
    </w:p>
    <w:p w14:paraId="7B88EC2F" w14:textId="77777777" w:rsidR="00B65238" w:rsidRDefault="00DB1FD1">
      <w:pPr>
        <w:spacing w:after="160" w:line="276" w:lineRule="auto"/>
        <w:jc w:val="both"/>
      </w:pPr>
      <w:r>
        <w:rPr>
          <w:rFonts w:ascii="Calibri" w:eastAsia="Calibri" w:hAnsi="Calibri" w:cs="Calibri"/>
          <w:color w:val="3A3A3A"/>
          <w:sz w:val="21"/>
          <w:szCs w:val="21"/>
        </w:rPr>
        <w:t>Un adulto puede leer un cuento completo, de principio a fin, mientras el niño escucha en silencio. Eso también es una experiencia valiosa, sobre todo por el vínculo y la calidez que transmite. Sin embargo, la literatura científica distingue este tipo de lectura de la llamada lectura interactiva (o dialógica), en la que el adulto invita al niño a participar: comenta las imágenes, espera sus respuestas, retoma lo que el niño dice y lo amplía (</w:t>
      </w:r>
      <w:proofErr w:type="spellStart"/>
      <w:r>
        <w:rPr>
          <w:rFonts w:ascii="Calibri" w:eastAsia="Calibri" w:hAnsi="Calibri" w:cs="Calibri"/>
          <w:color w:val="3A3A3A"/>
          <w:sz w:val="21"/>
          <w:szCs w:val="21"/>
        </w:rPr>
        <w:t>Towson</w:t>
      </w:r>
      <w:proofErr w:type="spellEnd"/>
      <w:r>
        <w:rPr>
          <w:rFonts w:ascii="Calibri" w:eastAsia="Calibri" w:hAnsi="Calibri" w:cs="Calibri"/>
          <w:color w:val="3A3A3A"/>
          <w:sz w:val="21"/>
          <w:szCs w:val="21"/>
        </w:rPr>
        <w:t xml:space="preserve"> et al., 2021; </w:t>
      </w:r>
      <w:proofErr w:type="spellStart"/>
      <w:r>
        <w:rPr>
          <w:rFonts w:ascii="Calibri" w:eastAsia="Calibri" w:hAnsi="Calibri" w:cs="Calibri"/>
          <w:color w:val="3A3A3A"/>
          <w:sz w:val="21"/>
          <w:szCs w:val="21"/>
        </w:rPr>
        <w:t>Karousou</w:t>
      </w:r>
      <w:proofErr w:type="spellEnd"/>
      <w:r>
        <w:rPr>
          <w:rFonts w:ascii="Calibri" w:eastAsia="Calibri" w:hAnsi="Calibri" w:cs="Calibri"/>
          <w:color w:val="3A3A3A"/>
          <w:sz w:val="21"/>
          <w:szCs w:val="21"/>
        </w:rPr>
        <w:t xml:space="preserve"> &amp; </w:t>
      </w:r>
      <w:proofErr w:type="spellStart"/>
      <w:r>
        <w:rPr>
          <w:rFonts w:ascii="Calibri" w:eastAsia="Calibri" w:hAnsi="Calibri" w:cs="Calibri"/>
          <w:color w:val="3A3A3A"/>
          <w:sz w:val="21"/>
          <w:szCs w:val="21"/>
        </w:rPr>
        <w:t>Economacou</w:t>
      </w:r>
      <w:proofErr w:type="spellEnd"/>
      <w:r>
        <w:rPr>
          <w:rFonts w:ascii="Calibri" w:eastAsia="Calibri" w:hAnsi="Calibri" w:cs="Calibri"/>
          <w:color w:val="3A3A3A"/>
          <w:sz w:val="21"/>
          <w:szCs w:val="21"/>
        </w:rPr>
        <w:t>, 2024).</w:t>
      </w:r>
    </w:p>
    <w:p w14:paraId="4ED9C481" w14:textId="77777777" w:rsidR="00B65238" w:rsidRDefault="00DB1FD1">
      <w:pPr>
        <w:spacing w:after="160" w:line="276" w:lineRule="auto"/>
        <w:jc w:val="both"/>
      </w:pPr>
      <w:r>
        <w:rPr>
          <w:rFonts w:ascii="Calibri" w:eastAsia="Calibri" w:hAnsi="Calibri" w:cs="Calibri"/>
          <w:color w:val="3A3A3A"/>
          <w:sz w:val="21"/>
          <w:szCs w:val="21"/>
        </w:rPr>
        <w:t>La diferencia está en el papel del niño. En la lectura compartida no importa tanto cuántas páginas se leen como cuántas oportunidades de comunicación se abren alrededor del libro.</w:t>
      </w:r>
    </w:p>
    <w:p w14:paraId="13546541" w14:textId="77777777" w:rsidR="00B65238" w:rsidRDefault="00DB1FD1">
      <w:pPr>
        <w:keepNext/>
        <w:spacing w:before="260" w:after="120"/>
      </w:pPr>
      <w:r>
        <w:rPr>
          <w:rFonts w:ascii="Calibri" w:eastAsia="Calibri" w:hAnsi="Calibri" w:cs="Calibri"/>
          <w:b/>
          <w:bCs/>
          <w:color w:val="0F5C56"/>
          <w:sz w:val="25"/>
          <w:szCs w:val="25"/>
        </w:rPr>
        <w:t>Qué sabemos y qué no sabemos</w:t>
      </w:r>
    </w:p>
    <w:p w14:paraId="27BD20AB" w14:textId="77777777" w:rsidR="00B65238" w:rsidRDefault="00DB1FD1">
      <w:pPr>
        <w:spacing w:after="160" w:line="276" w:lineRule="auto"/>
        <w:jc w:val="both"/>
      </w:pPr>
      <w:r>
        <w:rPr>
          <w:rFonts w:ascii="Calibri" w:eastAsia="Calibri" w:hAnsi="Calibri" w:cs="Calibri"/>
          <w:color w:val="3A3A3A"/>
          <w:sz w:val="21"/>
          <w:szCs w:val="21"/>
        </w:rPr>
        <w:t>Conviene separar cuatro tipos de resultados, porque no significan lo mismo.</w:t>
      </w:r>
    </w:p>
    <w:p w14:paraId="1D9B007D" w14:textId="77777777" w:rsidR="00B65238" w:rsidRDefault="00DB1FD1">
      <w:pPr>
        <w:spacing w:after="160" w:line="276" w:lineRule="auto"/>
        <w:jc w:val="both"/>
      </w:pPr>
      <w:r>
        <w:rPr>
          <w:rFonts w:ascii="Calibri" w:eastAsia="Calibri" w:hAnsi="Calibri" w:cs="Calibri"/>
          <w:b/>
          <w:bCs/>
          <w:color w:val="3A3A3A"/>
          <w:sz w:val="21"/>
          <w:szCs w:val="21"/>
        </w:rPr>
        <w:t xml:space="preserve">Asociaciones. </w:t>
      </w:r>
      <w:r>
        <w:rPr>
          <w:rFonts w:ascii="Calibri" w:eastAsia="Calibri" w:hAnsi="Calibri" w:cs="Calibri"/>
          <w:color w:val="3A3A3A"/>
          <w:sz w:val="21"/>
          <w:szCs w:val="21"/>
        </w:rPr>
        <w:t xml:space="preserve">Una revisión sistemática reciente con </w:t>
      </w:r>
      <w:proofErr w:type="spellStart"/>
      <w:r>
        <w:rPr>
          <w:rFonts w:ascii="Calibri" w:eastAsia="Calibri" w:hAnsi="Calibri" w:cs="Calibri"/>
          <w:color w:val="3A3A3A"/>
          <w:sz w:val="21"/>
          <w:szCs w:val="21"/>
        </w:rPr>
        <w:t>metaanálisis</w:t>
      </w:r>
      <w:proofErr w:type="spellEnd"/>
      <w:r>
        <w:rPr>
          <w:rFonts w:ascii="Calibri" w:eastAsia="Calibri" w:hAnsi="Calibri" w:cs="Calibri"/>
          <w:color w:val="3A3A3A"/>
          <w:sz w:val="21"/>
          <w:szCs w:val="21"/>
        </w:rPr>
        <w:t xml:space="preserve"> reunió 28 estudios (casi 25 000 niños con una edad promedio menor de cuatro años). Encontró que la lectura compartida en casa se asocia con mejores resultados de lenguaje y vocabulario. Las correlaciones estimadas oscilaron aproximadamente entre 0,26 y 0,38, según la medida utilizada. Los propios autores califican la evidencia como de calidad moderada y hablan de una “asociación probable”, no de un efecto demostrado. Los estudios incluidos eran transversale</w:t>
      </w:r>
      <w:r>
        <w:rPr>
          <w:rFonts w:ascii="Calibri" w:eastAsia="Calibri" w:hAnsi="Calibri" w:cs="Calibri"/>
          <w:color w:val="3A3A3A"/>
          <w:sz w:val="21"/>
          <w:szCs w:val="21"/>
        </w:rPr>
        <w:t>s o longitudinales, la mayoría de calidad regular, con mucha variabilidad entre ellos y con muy pocos niños con discapacidad (</w:t>
      </w:r>
      <w:proofErr w:type="spellStart"/>
      <w:r>
        <w:rPr>
          <w:rFonts w:ascii="Calibri" w:eastAsia="Calibri" w:hAnsi="Calibri" w:cs="Calibri"/>
          <w:color w:val="3A3A3A"/>
          <w:sz w:val="21"/>
          <w:szCs w:val="21"/>
        </w:rPr>
        <w:t>Galea</w:t>
      </w:r>
      <w:proofErr w:type="spellEnd"/>
      <w:r>
        <w:rPr>
          <w:rFonts w:ascii="Calibri" w:eastAsia="Calibri" w:hAnsi="Calibri" w:cs="Calibri"/>
          <w:color w:val="3A3A3A"/>
          <w:sz w:val="21"/>
          <w:szCs w:val="21"/>
        </w:rPr>
        <w:t xml:space="preserve"> et al., 2025).</w:t>
      </w:r>
    </w:p>
    <w:p w14:paraId="5E6E7002" w14:textId="77777777" w:rsidR="00B65238" w:rsidRDefault="00DB1FD1">
      <w:pPr>
        <w:spacing w:after="160" w:line="276" w:lineRule="auto"/>
        <w:jc w:val="both"/>
      </w:pPr>
      <w:r>
        <w:rPr>
          <w:rFonts w:ascii="Calibri" w:eastAsia="Calibri" w:hAnsi="Calibri" w:cs="Calibri"/>
          <w:b/>
          <w:bCs/>
          <w:color w:val="3A3A3A"/>
          <w:sz w:val="21"/>
          <w:szCs w:val="21"/>
        </w:rPr>
        <w:t xml:space="preserve">Efecto de programas de intervención. </w:t>
      </w:r>
      <w:r>
        <w:rPr>
          <w:rFonts w:ascii="Calibri" w:eastAsia="Calibri" w:hAnsi="Calibri" w:cs="Calibri"/>
          <w:color w:val="3A3A3A"/>
          <w:sz w:val="21"/>
          <w:szCs w:val="21"/>
        </w:rPr>
        <w:t xml:space="preserve">Un </w:t>
      </w:r>
      <w:proofErr w:type="spellStart"/>
      <w:r>
        <w:rPr>
          <w:rFonts w:ascii="Calibri" w:eastAsia="Calibri" w:hAnsi="Calibri" w:cs="Calibri"/>
          <w:color w:val="3A3A3A"/>
          <w:sz w:val="21"/>
          <w:szCs w:val="21"/>
        </w:rPr>
        <w:t>metaanálisis</w:t>
      </w:r>
      <w:proofErr w:type="spellEnd"/>
      <w:r>
        <w:rPr>
          <w:rFonts w:ascii="Calibri" w:eastAsia="Calibri" w:hAnsi="Calibri" w:cs="Calibri"/>
          <w:color w:val="3A3A3A"/>
          <w:sz w:val="21"/>
          <w:szCs w:val="21"/>
        </w:rPr>
        <w:t xml:space="preserve"> de 19 ensayos controlados aleatorizados, en los que se enseñaba a madres, padres o cuidadores a compartir libros con niños de 1 a 6 años, halló efectos pequeños sobre el lenguaje expresivo (d = 0,41) y el receptivo (d = 0,26). Los efectos fueron mínimos cuando el programa era de muy baja dosis (</w:t>
      </w:r>
      <w:proofErr w:type="spellStart"/>
      <w:r>
        <w:rPr>
          <w:rFonts w:ascii="Calibri" w:eastAsia="Calibri" w:hAnsi="Calibri" w:cs="Calibri"/>
          <w:color w:val="3A3A3A"/>
          <w:sz w:val="21"/>
          <w:szCs w:val="21"/>
        </w:rPr>
        <w:t>Dowdall</w:t>
      </w:r>
      <w:proofErr w:type="spellEnd"/>
      <w:r>
        <w:rPr>
          <w:rFonts w:ascii="Calibri" w:eastAsia="Calibri" w:hAnsi="Calibri" w:cs="Calibri"/>
          <w:color w:val="3A3A3A"/>
          <w:sz w:val="21"/>
          <w:szCs w:val="21"/>
        </w:rPr>
        <w:t xml:space="preserve"> et al., 2020). Esa “dosis” se refiere a la duración de los programas de entrenamiento, no a cuántos minutos diarios debe leer una familia. La evidencia no permite establecer una cantidad recom</w:t>
      </w:r>
      <w:r>
        <w:rPr>
          <w:rFonts w:ascii="Calibri" w:eastAsia="Calibri" w:hAnsi="Calibri" w:cs="Calibri"/>
          <w:color w:val="3A3A3A"/>
          <w:sz w:val="21"/>
          <w:szCs w:val="21"/>
        </w:rPr>
        <w:t>endable de lectura en casa.</w:t>
      </w:r>
    </w:p>
    <w:p w14:paraId="4DCBEA32" w14:textId="77777777" w:rsidR="00B65238" w:rsidRDefault="00DB1FD1">
      <w:pPr>
        <w:spacing w:after="160" w:line="276" w:lineRule="auto"/>
        <w:jc w:val="both"/>
      </w:pPr>
      <w:r>
        <w:rPr>
          <w:rFonts w:ascii="Calibri" w:eastAsia="Calibri" w:hAnsi="Calibri" w:cs="Calibri"/>
          <w:b/>
          <w:bCs/>
          <w:color w:val="3A3A3A"/>
          <w:sz w:val="21"/>
          <w:szCs w:val="21"/>
        </w:rPr>
        <w:t xml:space="preserve">Estudios con bebés y niños pequeños. </w:t>
      </w:r>
      <w:r>
        <w:rPr>
          <w:rFonts w:ascii="Calibri" w:eastAsia="Calibri" w:hAnsi="Calibri" w:cs="Calibri"/>
          <w:color w:val="3A3A3A"/>
          <w:sz w:val="21"/>
          <w:szCs w:val="21"/>
        </w:rPr>
        <w:t>En una cohorte nacional irlandesa de más de 9000 niños, quienes habían sido leídos a los 9 meses mostraron mayor vocabulario expresivo a los 36 meses. El resultado se mantuvo tras considerar variables sociodemográficas y del ambiente de lectura en casa (</w:t>
      </w:r>
      <w:proofErr w:type="spellStart"/>
      <w:r>
        <w:rPr>
          <w:rFonts w:ascii="Calibri" w:eastAsia="Calibri" w:hAnsi="Calibri" w:cs="Calibri"/>
          <w:color w:val="3A3A3A"/>
          <w:sz w:val="21"/>
          <w:szCs w:val="21"/>
        </w:rPr>
        <w:t>Leech</w:t>
      </w:r>
      <w:proofErr w:type="spellEnd"/>
      <w:r>
        <w:rPr>
          <w:rFonts w:ascii="Calibri" w:eastAsia="Calibri" w:hAnsi="Calibri" w:cs="Calibri"/>
          <w:color w:val="3A3A3A"/>
          <w:sz w:val="21"/>
          <w:szCs w:val="21"/>
        </w:rPr>
        <w:t xml:space="preserve"> et al., 2022). Los resultados sobre qué pesa más, si la frecuencia o la calidad de la lectura, no coinciden entre estudios. Un estudio con 286 madres y padres encontró que la frecuencia de lectura de las madres a los 9 meses se asoció con el lenguaje a</w:t>
      </w:r>
      <w:r>
        <w:rPr>
          <w:rFonts w:ascii="Calibri" w:eastAsia="Calibri" w:hAnsi="Calibri" w:cs="Calibri"/>
          <w:color w:val="3A3A3A"/>
          <w:sz w:val="21"/>
          <w:szCs w:val="21"/>
        </w:rPr>
        <w:t xml:space="preserve"> los 18 meses, mientras que el número de estrategias interactivas que usaban no mostró una asociación significativa (</w:t>
      </w:r>
      <w:proofErr w:type="spellStart"/>
      <w:r>
        <w:rPr>
          <w:rFonts w:ascii="Calibri" w:eastAsia="Calibri" w:hAnsi="Calibri" w:cs="Calibri"/>
          <w:color w:val="3A3A3A"/>
          <w:sz w:val="21"/>
          <w:szCs w:val="21"/>
        </w:rPr>
        <w:t>Chen</w:t>
      </w:r>
      <w:proofErr w:type="spellEnd"/>
      <w:r>
        <w:rPr>
          <w:rFonts w:ascii="Calibri" w:eastAsia="Calibri" w:hAnsi="Calibri" w:cs="Calibri"/>
          <w:color w:val="3A3A3A"/>
          <w:sz w:val="21"/>
          <w:szCs w:val="21"/>
        </w:rPr>
        <w:t xml:space="preserve"> et al., 2024). Otro estudio, con 740 familias de niños de 6 a 36 meses, describió asociaciones tanto con la frecuencia de lectura como con las estrategias interactivas de los cuidadores (</w:t>
      </w:r>
      <w:proofErr w:type="spellStart"/>
      <w:r>
        <w:rPr>
          <w:rFonts w:ascii="Calibri" w:eastAsia="Calibri" w:hAnsi="Calibri" w:cs="Calibri"/>
          <w:color w:val="3A3A3A"/>
          <w:sz w:val="21"/>
          <w:szCs w:val="21"/>
        </w:rPr>
        <w:t>Karousou</w:t>
      </w:r>
      <w:proofErr w:type="spellEnd"/>
      <w:r>
        <w:rPr>
          <w:rFonts w:ascii="Calibri" w:eastAsia="Calibri" w:hAnsi="Calibri" w:cs="Calibri"/>
          <w:color w:val="3A3A3A"/>
          <w:sz w:val="21"/>
          <w:szCs w:val="21"/>
        </w:rPr>
        <w:t xml:space="preserve"> &amp; </w:t>
      </w:r>
      <w:proofErr w:type="spellStart"/>
      <w:r>
        <w:rPr>
          <w:rFonts w:ascii="Calibri" w:eastAsia="Calibri" w:hAnsi="Calibri" w:cs="Calibri"/>
          <w:color w:val="3A3A3A"/>
          <w:sz w:val="21"/>
          <w:szCs w:val="21"/>
        </w:rPr>
        <w:t>Economacou</w:t>
      </w:r>
      <w:proofErr w:type="spellEnd"/>
      <w:r>
        <w:rPr>
          <w:rFonts w:ascii="Calibri" w:eastAsia="Calibri" w:hAnsi="Calibri" w:cs="Calibri"/>
          <w:color w:val="3A3A3A"/>
          <w:sz w:val="21"/>
          <w:szCs w:val="21"/>
        </w:rPr>
        <w:t>, 2024). Por eso no se puede afirmar que un factor sea más determinante que el otro.</w:t>
      </w:r>
    </w:p>
    <w:p w14:paraId="22E46877" w14:textId="77777777" w:rsidR="00B65238" w:rsidRDefault="00DB1FD1">
      <w:pPr>
        <w:spacing w:after="160" w:line="276" w:lineRule="auto"/>
        <w:jc w:val="both"/>
      </w:pPr>
      <w:r>
        <w:rPr>
          <w:rFonts w:ascii="Calibri" w:eastAsia="Calibri" w:hAnsi="Calibri" w:cs="Calibri"/>
          <w:b/>
          <w:bCs/>
          <w:color w:val="3A3A3A"/>
          <w:sz w:val="21"/>
          <w:szCs w:val="21"/>
        </w:rPr>
        <w:t xml:space="preserve">Niños con diferencias del desarrollo. </w:t>
      </w:r>
      <w:r>
        <w:rPr>
          <w:rFonts w:ascii="Calibri" w:eastAsia="Calibri" w:hAnsi="Calibri" w:cs="Calibri"/>
          <w:color w:val="3A3A3A"/>
          <w:sz w:val="21"/>
          <w:szCs w:val="21"/>
        </w:rPr>
        <w:t>Una revisión sistemática de estudios con niños con discapacidad o retraso del desarrollo encontró resultados en general favorables, con magnitudes muy variables entre estudios (</w:t>
      </w:r>
      <w:proofErr w:type="spellStart"/>
      <w:r>
        <w:rPr>
          <w:rFonts w:ascii="Calibri" w:eastAsia="Calibri" w:hAnsi="Calibri" w:cs="Calibri"/>
          <w:color w:val="3A3A3A"/>
          <w:sz w:val="21"/>
          <w:szCs w:val="21"/>
        </w:rPr>
        <w:t>Towson</w:t>
      </w:r>
      <w:proofErr w:type="spellEnd"/>
      <w:r>
        <w:rPr>
          <w:rFonts w:ascii="Calibri" w:eastAsia="Calibri" w:hAnsi="Calibri" w:cs="Calibri"/>
          <w:color w:val="3A3A3A"/>
          <w:sz w:val="21"/>
          <w:szCs w:val="21"/>
        </w:rPr>
        <w:t xml:space="preserve"> et al., 2021). En síndrome de Down, una revisión breve reporta mejoras asociadas a estrategias de lectura compartida, pero con evidencia limitada, de baja calidad y basada sobre todo en estudios de caso único (</w:t>
      </w:r>
      <w:proofErr w:type="spellStart"/>
      <w:r>
        <w:rPr>
          <w:rFonts w:ascii="Calibri" w:eastAsia="Calibri" w:hAnsi="Calibri" w:cs="Calibri"/>
          <w:color w:val="3A3A3A"/>
          <w:sz w:val="21"/>
          <w:szCs w:val="21"/>
        </w:rPr>
        <w:t>Jeremic</w:t>
      </w:r>
      <w:proofErr w:type="spellEnd"/>
      <w:r>
        <w:rPr>
          <w:rFonts w:ascii="Calibri" w:eastAsia="Calibri" w:hAnsi="Calibri" w:cs="Calibri"/>
          <w:color w:val="3A3A3A"/>
          <w:sz w:val="21"/>
          <w:szCs w:val="21"/>
        </w:rPr>
        <w:t xml:space="preserve"> et al., 2023).</w:t>
      </w:r>
    </w:p>
    <w:p w14:paraId="2F887114" w14:textId="77777777" w:rsidR="00B65238" w:rsidRDefault="00DB1FD1">
      <w:pPr>
        <w:spacing w:after="160" w:line="276" w:lineRule="auto"/>
        <w:jc w:val="both"/>
      </w:pPr>
      <w:r>
        <w:rPr>
          <w:rFonts w:ascii="Calibri" w:eastAsia="Calibri" w:hAnsi="Calibri" w:cs="Calibri"/>
          <w:color w:val="3A3A3A"/>
          <w:sz w:val="21"/>
          <w:szCs w:val="21"/>
        </w:rPr>
        <w:t>Con todo esto, lo más honesto que se puede decir es lo siguiente. La lectura compartida es una oportunidad rica de interacción y exposición al lenguaje, y algunas estrategias parecen favorecer la participación activa del niño. No es un tratamiento ni una garantía. Leerle a un niño no asegura que hable más o mejor, y tampoco resuelve por sí sola una dificultad del lenguaje. Además, la mayoría de los estudios son observacionales. Las familias que leen más pueden diferir en otros aspectos del entorno, lo que d</w:t>
      </w:r>
      <w:r>
        <w:rPr>
          <w:rFonts w:ascii="Calibri" w:eastAsia="Calibri" w:hAnsi="Calibri" w:cs="Calibri"/>
          <w:color w:val="3A3A3A"/>
          <w:sz w:val="21"/>
          <w:szCs w:val="21"/>
        </w:rPr>
        <w:t>ificulta atribuir los resultados únicamente a los libros (</w:t>
      </w:r>
      <w:proofErr w:type="spellStart"/>
      <w:r>
        <w:rPr>
          <w:rFonts w:ascii="Calibri" w:eastAsia="Calibri" w:hAnsi="Calibri" w:cs="Calibri"/>
          <w:color w:val="3A3A3A"/>
          <w:sz w:val="21"/>
          <w:szCs w:val="21"/>
        </w:rPr>
        <w:t>Leech</w:t>
      </w:r>
      <w:proofErr w:type="spellEnd"/>
      <w:r>
        <w:rPr>
          <w:rFonts w:ascii="Calibri" w:eastAsia="Calibri" w:hAnsi="Calibri" w:cs="Calibri"/>
          <w:color w:val="3A3A3A"/>
          <w:sz w:val="21"/>
          <w:szCs w:val="21"/>
        </w:rPr>
        <w:t xml:space="preserve"> et al., 2022).</w:t>
      </w:r>
    </w:p>
    <w:p w14:paraId="2066C98F" w14:textId="77777777" w:rsidR="00B65238" w:rsidRDefault="00DB1FD1">
      <w:pPr>
        <w:keepNext/>
        <w:spacing w:before="260" w:after="120"/>
      </w:pPr>
      <w:r>
        <w:rPr>
          <w:rFonts w:ascii="Calibri" w:eastAsia="Calibri" w:hAnsi="Calibri" w:cs="Calibri"/>
          <w:b/>
          <w:bCs/>
          <w:color w:val="0F5C56"/>
          <w:sz w:val="25"/>
          <w:szCs w:val="25"/>
        </w:rPr>
        <w:t>Qué oportunidades de lenguaje puede ofrecer un libro</w:t>
      </w:r>
    </w:p>
    <w:p w14:paraId="224F3CC1" w14:textId="77777777" w:rsidR="00B65238" w:rsidRDefault="00DB1FD1">
      <w:pPr>
        <w:spacing w:after="160" w:line="276" w:lineRule="auto"/>
        <w:jc w:val="both"/>
      </w:pPr>
      <w:r>
        <w:rPr>
          <w:rFonts w:ascii="Calibri" w:eastAsia="Calibri" w:hAnsi="Calibri" w:cs="Calibri"/>
          <w:color w:val="3A3A3A"/>
          <w:sz w:val="21"/>
          <w:szCs w:val="21"/>
        </w:rPr>
        <w:t>Un libro reúne, en un mismo momento, situaciones que en la rutina diaria aparecen de forma dispersa:</w:t>
      </w:r>
    </w:p>
    <w:p w14:paraId="54DA8EBB"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Vocabulario: </w:t>
      </w:r>
      <w:r>
        <w:rPr>
          <w:rFonts w:ascii="Calibri" w:eastAsia="Calibri" w:hAnsi="Calibri" w:cs="Calibri"/>
          <w:color w:val="3A3A3A"/>
          <w:sz w:val="21"/>
          <w:szCs w:val="21"/>
        </w:rPr>
        <w:t>nombres de objetos, animales y acciones, incluidos algunos que el niño rara vez ve en casa. Nombrar lo que aparece en las imágenes es una de las estrategias más frecuentes de los cuidadores (</w:t>
      </w:r>
      <w:proofErr w:type="spellStart"/>
      <w:r>
        <w:rPr>
          <w:rFonts w:ascii="Calibri" w:eastAsia="Calibri" w:hAnsi="Calibri" w:cs="Calibri"/>
          <w:color w:val="3A3A3A"/>
          <w:sz w:val="21"/>
          <w:szCs w:val="21"/>
        </w:rPr>
        <w:t>Chen</w:t>
      </w:r>
      <w:proofErr w:type="spellEnd"/>
      <w:r>
        <w:rPr>
          <w:rFonts w:ascii="Calibri" w:eastAsia="Calibri" w:hAnsi="Calibri" w:cs="Calibri"/>
          <w:color w:val="3A3A3A"/>
          <w:sz w:val="21"/>
          <w:szCs w:val="21"/>
        </w:rPr>
        <w:t xml:space="preserve"> et al., 2024).</w:t>
      </w:r>
    </w:p>
    <w:p w14:paraId="5FA274DF"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Atención conjunta y gestos: </w:t>
      </w:r>
      <w:r>
        <w:rPr>
          <w:rFonts w:ascii="Calibri" w:eastAsia="Calibri" w:hAnsi="Calibri" w:cs="Calibri"/>
          <w:color w:val="3A3A3A"/>
          <w:sz w:val="21"/>
          <w:szCs w:val="21"/>
        </w:rPr>
        <w:t>mirar el mismo dibujo, señalar, mostrar.</w:t>
      </w:r>
    </w:p>
    <w:p w14:paraId="766A8027"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Turnos de comunicación: </w:t>
      </w:r>
      <w:r>
        <w:rPr>
          <w:rFonts w:ascii="Calibri" w:eastAsia="Calibri" w:hAnsi="Calibri" w:cs="Calibri"/>
          <w:color w:val="3A3A3A"/>
          <w:sz w:val="21"/>
          <w:szCs w:val="21"/>
        </w:rPr>
        <w:t>el adulto habla, el niño responde con un sonido, un gesto o una palabra, y el adulto retoma.</w:t>
      </w:r>
    </w:p>
    <w:p w14:paraId="6EC33CA5"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Lenguaje más allá del “aquí y ahora”: </w:t>
      </w:r>
      <w:r>
        <w:rPr>
          <w:rFonts w:ascii="Calibri" w:eastAsia="Calibri" w:hAnsi="Calibri" w:cs="Calibri"/>
          <w:color w:val="3A3A3A"/>
          <w:sz w:val="21"/>
          <w:szCs w:val="21"/>
        </w:rPr>
        <w:t>lo que pasó, lo que sigue, lo que sienten los personajes.</w:t>
      </w:r>
    </w:p>
    <w:p w14:paraId="52FA761C"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Repetición natural: </w:t>
      </w:r>
      <w:r>
        <w:rPr>
          <w:rFonts w:ascii="Calibri" w:eastAsia="Calibri" w:hAnsi="Calibri" w:cs="Calibri"/>
          <w:color w:val="3A3A3A"/>
          <w:sz w:val="21"/>
          <w:szCs w:val="21"/>
        </w:rPr>
        <w:t>los niños suelen pedir el mismo libro muchas veces, lo que permite volver sobre las mismas palabras.</w:t>
      </w:r>
    </w:p>
    <w:p w14:paraId="6D91E6DD" w14:textId="77777777" w:rsidR="00B65238" w:rsidRDefault="00DB1FD1">
      <w:pPr>
        <w:spacing w:after="160" w:line="276" w:lineRule="auto"/>
        <w:jc w:val="both"/>
      </w:pPr>
      <w:r>
        <w:rPr>
          <w:rFonts w:ascii="Calibri" w:eastAsia="Calibri" w:hAnsi="Calibri" w:cs="Calibri"/>
          <w:color w:val="3A3A3A"/>
          <w:sz w:val="21"/>
          <w:szCs w:val="21"/>
        </w:rPr>
        <w:t>Estas son oportunidades, no resultados asegurados. Que se aprovechen depende de cómo se use el libro y de cada niño.</w:t>
      </w:r>
    </w:p>
    <w:p w14:paraId="11528C32" w14:textId="77777777" w:rsidR="00B65238" w:rsidRDefault="00DB1FD1">
      <w:pPr>
        <w:keepNext/>
        <w:spacing w:before="260" w:after="120"/>
      </w:pPr>
      <w:r>
        <w:rPr>
          <w:rFonts w:ascii="Calibri" w:eastAsia="Calibri" w:hAnsi="Calibri" w:cs="Calibri"/>
          <w:b/>
          <w:bCs/>
          <w:color w:val="0F5C56"/>
          <w:sz w:val="25"/>
          <w:szCs w:val="25"/>
        </w:rPr>
        <w:t>Estrategias para hacer la lectura más interactiva</w:t>
      </w:r>
    </w:p>
    <w:p w14:paraId="26D920D3" w14:textId="77777777" w:rsidR="00B65238" w:rsidRDefault="00DB1FD1">
      <w:pPr>
        <w:spacing w:after="160" w:line="276" w:lineRule="auto"/>
        <w:jc w:val="both"/>
      </w:pPr>
      <w:r>
        <w:rPr>
          <w:rFonts w:ascii="Calibri" w:eastAsia="Calibri" w:hAnsi="Calibri" w:cs="Calibri"/>
          <w:color w:val="3A3A3A"/>
          <w:sz w:val="21"/>
          <w:szCs w:val="21"/>
        </w:rPr>
        <w:t>Las ideas que siguen provienen de los enfoques de lectura interactiva descritos en la literatura y de la práctica fonoaudiológica. La evidencia disponible no permite señalar cuál de estas estrategias, por separado, es la que produce cambios. Son opciones para probar, no una receta.</w:t>
      </w:r>
    </w:p>
    <w:p w14:paraId="72CCFD24" w14:textId="77777777" w:rsidR="00B65238" w:rsidRDefault="00DB1FD1">
      <w:pPr>
        <w:keepNext/>
        <w:spacing w:before="180" w:after="90"/>
      </w:pPr>
      <w:r>
        <w:rPr>
          <w:rFonts w:ascii="Calibri" w:eastAsia="Calibri" w:hAnsi="Calibri" w:cs="Calibri"/>
          <w:b/>
          <w:bCs/>
          <w:color w:val="1A1A1A"/>
          <w:sz w:val="22"/>
          <w:szCs w:val="22"/>
        </w:rPr>
        <w:t>Conversar sobre las imágenes</w:t>
      </w:r>
    </w:p>
    <w:p w14:paraId="3D183AA6" w14:textId="77777777" w:rsidR="00B65238" w:rsidRDefault="00DB1FD1">
      <w:pPr>
        <w:spacing w:after="160" w:line="276" w:lineRule="auto"/>
        <w:jc w:val="both"/>
      </w:pPr>
      <w:r>
        <w:rPr>
          <w:rFonts w:ascii="Calibri" w:eastAsia="Calibri" w:hAnsi="Calibri" w:cs="Calibri"/>
          <w:color w:val="3A3A3A"/>
          <w:sz w:val="21"/>
          <w:szCs w:val="21"/>
        </w:rPr>
        <w:t>Las imágenes son un punto de partida para hablar, y el texto no siempre tiene que leerse completo. Se puede señalar y comentar lo que se ve (“Mira, el perro está durmiendo”), describir lo que ocurre o invitar al niño a mostrar algo (“¿Dónde está el gato?”). En niños más pequeños, un gesto o una mirada hacia la imagen ya es una forma de participar.</w:t>
      </w:r>
    </w:p>
    <w:p w14:paraId="658ED3C9" w14:textId="77777777" w:rsidR="00B65238" w:rsidRDefault="00DB1FD1">
      <w:pPr>
        <w:keepNext/>
        <w:spacing w:before="180" w:after="90"/>
      </w:pPr>
      <w:r>
        <w:rPr>
          <w:rFonts w:ascii="Calibri" w:eastAsia="Calibri" w:hAnsi="Calibri" w:cs="Calibri"/>
          <w:b/>
          <w:bCs/>
          <w:color w:val="1A1A1A"/>
          <w:sz w:val="22"/>
          <w:szCs w:val="22"/>
        </w:rPr>
        <w:t>Ampliar lo que dice el niño</w:t>
      </w:r>
    </w:p>
    <w:p w14:paraId="335FABEC" w14:textId="77777777" w:rsidR="00B65238" w:rsidRDefault="00DB1FD1">
      <w:pPr>
        <w:spacing w:after="160" w:line="276" w:lineRule="auto"/>
        <w:jc w:val="both"/>
      </w:pPr>
      <w:r>
        <w:rPr>
          <w:rFonts w:ascii="Calibri" w:eastAsia="Calibri" w:hAnsi="Calibri" w:cs="Calibri"/>
          <w:color w:val="3A3A3A"/>
          <w:sz w:val="21"/>
          <w:szCs w:val="21"/>
        </w:rPr>
        <w:t>Cuando el niño dice algo, el adulto puede retomarlo y agregarle un poco más, sin corregir. Si el niño dice “perro corre”, el adulto puede responder “Sí, el perro corre muy rápido detrás de la pelota”. Así el niño escucha su propia idea con un poco más de lenguaje, sin sentir que se le evalúa.</w:t>
      </w:r>
    </w:p>
    <w:p w14:paraId="785357C5" w14:textId="77777777" w:rsidR="00B65238" w:rsidRDefault="00DB1FD1">
      <w:pPr>
        <w:keepNext/>
        <w:spacing w:before="180" w:after="90"/>
      </w:pPr>
      <w:r>
        <w:rPr>
          <w:rFonts w:ascii="Calibri" w:eastAsia="Calibri" w:hAnsi="Calibri" w:cs="Calibri"/>
          <w:b/>
          <w:bCs/>
          <w:color w:val="1A1A1A"/>
          <w:sz w:val="22"/>
          <w:szCs w:val="22"/>
        </w:rPr>
        <w:t>Introducir y repetir vocabulario de manera natural</w:t>
      </w:r>
    </w:p>
    <w:p w14:paraId="305B1502" w14:textId="77777777" w:rsidR="00B65238" w:rsidRDefault="00DB1FD1">
      <w:pPr>
        <w:spacing w:after="160" w:line="276" w:lineRule="auto"/>
        <w:jc w:val="both"/>
      </w:pPr>
      <w:r>
        <w:rPr>
          <w:rFonts w:ascii="Calibri" w:eastAsia="Calibri" w:hAnsi="Calibri" w:cs="Calibri"/>
          <w:color w:val="3A3A3A"/>
          <w:sz w:val="21"/>
          <w:szCs w:val="21"/>
        </w:rPr>
        <w:t>No es necesario “enseñar” listas de palabras. Basta con usar algunas palabras nuevas en la conversación sobre el libro y volver a usarlas en otras lecturas y en otros momentos del día. Releer un libro que al niño le gusta suele ser una ventaja, no un problema.</w:t>
      </w:r>
    </w:p>
    <w:p w14:paraId="3141AB8B" w14:textId="77777777" w:rsidR="00B65238" w:rsidRDefault="00DB1FD1">
      <w:pPr>
        <w:keepNext/>
        <w:spacing w:before="180" w:after="90"/>
      </w:pPr>
      <w:r>
        <w:rPr>
          <w:rFonts w:ascii="Calibri" w:eastAsia="Calibri" w:hAnsi="Calibri" w:cs="Calibri"/>
          <w:b/>
          <w:bCs/>
          <w:color w:val="1A1A1A"/>
          <w:sz w:val="22"/>
          <w:szCs w:val="22"/>
        </w:rPr>
        <w:t>Hacer preguntas sin convertir la lectura en un interrogatorio</w:t>
      </w:r>
    </w:p>
    <w:p w14:paraId="3F5EC7B7" w14:textId="77777777" w:rsidR="00B65238" w:rsidRDefault="00DB1FD1">
      <w:pPr>
        <w:spacing w:after="160" w:line="276" w:lineRule="auto"/>
        <w:jc w:val="both"/>
      </w:pPr>
      <w:r>
        <w:rPr>
          <w:rFonts w:ascii="Calibri" w:eastAsia="Calibri" w:hAnsi="Calibri" w:cs="Calibri"/>
          <w:color w:val="3A3A3A"/>
          <w:sz w:val="21"/>
          <w:szCs w:val="21"/>
        </w:rPr>
        <w:t>Las preguntas invitan a participar, pero encadenadas pueden cansar o generar presión. Es útil alternarlas con comentarios, esperar unos segundos antes de continuar y aceptar respuestas de cualquier tipo: una palabra, un sonido, un gesto o una mirada. Cuando el niño todavía no responde con palabras, comentar y nombrar suele funcionar mejor que preguntar.</w:t>
      </w:r>
    </w:p>
    <w:p w14:paraId="3220979D" w14:textId="77777777" w:rsidR="00B65238" w:rsidRDefault="00DB1FD1">
      <w:pPr>
        <w:keepNext/>
        <w:spacing w:before="180" w:after="90"/>
      </w:pPr>
      <w:r>
        <w:rPr>
          <w:rFonts w:ascii="Calibri" w:eastAsia="Calibri" w:hAnsi="Calibri" w:cs="Calibri"/>
          <w:b/>
          <w:bCs/>
          <w:color w:val="1A1A1A"/>
          <w:sz w:val="22"/>
          <w:szCs w:val="22"/>
        </w:rPr>
        <w:t>Seguir los intereses y las respuestas del niño</w:t>
      </w:r>
    </w:p>
    <w:p w14:paraId="27653D99" w14:textId="77777777" w:rsidR="00B65238" w:rsidRDefault="00DB1FD1">
      <w:pPr>
        <w:spacing w:after="160" w:line="276" w:lineRule="auto"/>
        <w:jc w:val="both"/>
      </w:pPr>
      <w:r>
        <w:rPr>
          <w:rFonts w:ascii="Calibri" w:eastAsia="Calibri" w:hAnsi="Calibri" w:cs="Calibri"/>
          <w:color w:val="3A3A3A"/>
          <w:sz w:val="21"/>
          <w:szCs w:val="21"/>
        </w:rPr>
        <w:t>Si el niño se detiene en una página, esa es la página de la conversación. No hace falta avanzar a toda costa. Dejar que pase las hojas, elija el libro o repita una escena favorita le da un papel activo, y mantener su interés importa más que terminar el cuento.</w:t>
      </w:r>
    </w:p>
    <w:p w14:paraId="71F8EF12" w14:textId="77777777" w:rsidR="00B65238" w:rsidRDefault="00DB1FD1">
      <w:pPr>
        <w:keepNext/>
        <w:spacing w:before="260" w:after="120"/>
      </w:pPr>
      <w:r>
        <w:rPr>
          <w:rFonts w:ascii="Calibri" w:eastAsia="Calibri" w:hAnsi="Calibri" w:cs="Calibri"/>
          <w:b/>
          <w:bCs/>
          <w:color w:val="0F5C56"/>
          <w:sz w:val="25"/>
          <w:szCs w:val="25"/>
        </w:rPr>
        <w:t>Qué hacer cuando el niño no quiere permanecer sentado o no responde</w:t>
      </w:r>
    </w:p>
    <w:p w14:paraId="75F8733B" w14:textId="77777777" w:rsidR="00B65238" w:rsidRDefault="00DB1FD1">
      <w:pPr>
        <w:spacing w:after="160" w:line="276" w:lineRule="auto"/>
        <w:jc w:val="both"/>
      </w:pPr>
      <w:r>
        <w:rPr>
          <w:rFonts w:ascii="Calibri" w:eastAsia="Calibri" w:hAnsi="Calibri" w:cs="Calibri"/>
          <w:color w:val="3A3A3A"/>
          <w:sz w:val="21"/>
          <w:szCs w:val="21"/>
        </w:rPr>
        <w:t>Muchos niños, especialmente los más pequeños, no se quedan quietos durante toda una lectura, y eso es esperable. Algunas opciones que suelen ayudar:</w:t>
      </w:r>
    </w:p>
    <w:p w14:paraId="57699BA3"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Leer en momentos más tranquilos y en periodos breves, y retomar después si el niño se va.</w:t>
      </w:r>
    </w:p>
    <w:p w14:paraId="0984AA23"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Elegir libros con solapas, texturas, sonidos o imágenes grandes que inviten a tocar y explorar.</w:t>
      </w:r>
    </w:p>
    <w:p w14:paraId="417FC619"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Leer mientras el niño juega o se mueve, comentando lo que muestra el libro sin exigir atención sostenida.</w:t>
      </w:r>
    </w:p>
    <w:p w14:paraId="5DDF8E90"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No forzar la actividad. Si se convierte en un conflicto, pierde su sentido.</w:t>
      </w:r>
    </w:p>
    <w:p w14:paraId="646D1037" w14:textId="77777777" w:rsidR="00B65238" w:rsidRDefault="00DB1FD1">
      <w:pPr>
        <w:spacing w:after="160" w:line="276" w:lineRule="auto"/>
        <w:jc w:val="both"/>
      </w:pPr>
      <w:r>
        <w:rPr>
          <w:rFonts w:ascii="Calibri" w:eastAsia="Calibri" w:hAnsi="Calibri" w:cs="Calibri"/>
          <w:color w:val="3A3A3A"/>
          <w:sz w:val="21"/>
          <w:szCs w:val="21"/>
        </w:rPr>
        <w:t>Que un niño no conteste las preguntas durante la lectura no es, por sí solo, una señal de alarma. Puede estar cansado, distraído, poco interesado en ese libro o no tener aún las palabras. Distinto es que la falta de respuesta se extienda a otras situaciones, como no responder a su nombre, no señalar o no compartir la atención con otras personas. En ese caso, conviene comentarlo con un profesional.</w:t>
      </w:r>
    </w:p>
    <w:p w14:paraId="4713E905" w14:textId="77777777" w:rsidR="00B65238" w:rsidRDefault="00DB1FD1">
      <w:pPr>
        <w:keepNext/>
        <w:spacing w:before="260" w:after="120"/>
      </w:pPr>
      <w:r>
        <w:rPr>
          <w:rFonts w:ascii="Calibri" w:eastAsia="Calibri" w:hAnsi="Calibri" w:cs="Calibri"/>
          <w:b/>
          <w:bCs/>
          <w:color w:val="0F5C56"/>
          <w:sz w:val="25"/>
          <w:szCs w:val="25"/>
        </w:rPr>
        <w:t>Cómo adaptar la lectura según la edad y el nivel de desarrollo</w:t>
      </w:r>
    </w:p>
    <w:p w14:paraId="61DF32E4" w14:textId="77777777" w:rsidR="00B65238" w:rsidRDefault="00DB1FD1">
      <w:pPr>
        <w:spacing w:after="160" w:line="276" w:lineRule="auto"/>
        <w:jc w:val="both"/>
      </w:pPr>
      <w:r>
        <w:rPr>
          <w:rFonts w:ascii="Calibri" w:eastAsia="Calibri" w:hAnsi="Calibri" w:cs="Calibri"/>
          <w:color w:val="3A3A3A"/>
          <w:sz w:val="21"/>
          <w:szCs w:val="21"/>
        </w:rPr>
        <w:t>Las edades que siguen son orientativas. Cada niño interactúa con los libros de forma distinta, y sus intereses cambian con el tiempo.</w:t>
      </w:r>
    </w:p>
    <w:p w14:paraId="4AB03902" w14:textId="77777777" w:rsidR="00B65238" w:rsidRDefault="00DB1FD1">
      <w:pPr>
        <w:spacing w:after="160" w:line="276" w:lineRule="auto"/>
        <w:jc w:val="both"/>
      </w:pPr>
      <w:r>
        <w:rPr>
          <w:rFonts w:ascii="Calibri" w:eastAsia="Calibri" w:hAnsi="Calibri" w:cs="Calibri"/>
          <w:b/>
          <w:bCs/>
          <w:color w:val="3A3A3A"/>
          <w:sz w:val="21"/>
          <w:szCs w:val="21"/>
        </w:rPr>
        <w:t xml:space="preserve">Bebés y primeros meses. </w:t>
      </w:r>
      <w:r>
        <w:rPr>
          <w:rFonts w:ascii="Calibri" w:eastAsia="Calibri" w:hAnsi="Calibri" w:cs="Calibri"/>
          <w:color w:val="3A3A3A"/>
          <w:sz w:val="21"/>
          <w:szCs w:val="21"/>
        </w:rPr>
        <w:t>La lectura puede empezar desde muy temprano, y los estudios con bebés desde los 6 y 9 meses muestran asociaciones con el lenguaje posterior (</w:t>
      </w:r>
      <w:proofErr w:type="spellStart"/>
      <w:r>
        <w:rPr>
          <w:rFonts w:ascii="Calibri" w:eastAsia="Calibri" w:hAnsi="Calibri" w:cs="Calibri"/>
          <w:color w:val="3A3A3A"/>
          <w:sz w:val="21"/>
          <w:szCs w:val="21"/>
        </w:rPr>
        <w:t>Chen</w:t>
      </w:r>
      <w:proofErr w:type="spellEnd"/>
      <w:r>
        <w:rPr>
          <w:rFonts w:ascii="Calibri" w:eastAsia="Calibri" w:hAnsi="Calibri" w:cs="Calibri"/>
          <w:color w:val="3A3A3A"/>
          <w:sz w:val="21"/>
          <w:szCs w:val="21"/>
        </w:rPr>
        <w:t xml:space="preserve"> et al., 2024; </w:t>
      </w:r>
      <w:proofErr w:type="spellStart"/>
      <w:r>
        <w:rPr>
          <w:rFonts w:ascii="Calibri" w:eastAsia="Calibri" w:hAnsi="Calibri" w:cs="Calibri"/>
          <w:color w:val="3A3A3A"/>
          <w:sz w:val="21"/>
          <w:szCs w:val="21"/>
        </w:rPr>
        <w:t>Karousou</w:t>
      </w:r>
      <w:proofErr w:type="spellEnd"/>
      <w:r>
        <w:rPr>
          <w:rFonts w:ascii="Calibri" w:eastAsia="Calibri" w:hAnsi="Calibri" w:cs="Calibri"/>
          <w:color w:val="3A3A3A"/>
          <w:sz w:val="21"/>
          <w:szCs w:val="21"/>
        </w:rPr>
        <w:t xml:space="preserve"> &amp; </w:t>
      </w:r>
      <w:proofErr w:type="spellStart"/>
      <w:r>
        <w:rPr>
          <w:rFonts w:ascii="Calibri" w:eastAsia="Calibri" w:hAnsi="Calibri" w:cs="Calibri"/>
          <w:color w:val="3A3A3A"/>
          <w:sz w:val="21"/>
          <w:szCs w:val="21"/>
        </w:rPr>
        <w:t>Economacou</w:t>
      </w:r>
      <w:proofErr w:type="spellEnd"/>
      <w:r>
        <w:rPr>
          <w:rFonts w:ascii="Calibri" w:eastAsia="Calibri" w:hAnsi="Calibri" w:cs="Calibri"/>
          <w:color w:val="3A3A3A"/>
          <w:sz w:val="21"/>
          <w:szCs w:val="21"/>
        </w:rPr>
        <w:t xml:space="preserve">, 2024; </w:t>
      </w:r>
      <w:proofErr w:type="spellStart"/>
      <w:r>
        <w:rPr>
          <w:rFonts w:ascii="Calibri" w:eastAsia="Calibri" w:hAnsi="Calibri" w:cs="Calibri"/>
          <w:color w:val="3A3A3A"/>
          <w:sz w:val="21"/>
          <w:szCs w:val="21"/>
        </w:rPr>
        <w:t>Leech</w:t>
      </w:r>
      <w:proofErr w:type="spellEnd"/>
      <w:r>
        <w:rPr>
          <w:rFonts w:ascii="Calibri" w:eastAsia="Calibri" w:hAnsi="Calibri" w:cs="Calibri"/>
          <w:color w:val="3A3A3A"/>
          <w:sz w:val="21"/>
          <w:szCs w:val="21"/>
        </w:rPr>
        <w:t xml:space="preserve"> et al., 2022). Se pueden usar libros de cartón o tela, con imágenes simples, y aprovechar la entonación, los sonidos y las rimas. Los sonidos y gestos del bebé pueden tratarse como turnos de conversación: el adulto responde y espera.</w:t>
      </w:r>
    </w:p>
    <w:p w14:paraId="6587D5F2" w14:textId="77777777" w:rsidR="00B65238" w:rsidRDefault="00DB1FD1">
      <w:pPr>
        <w:spacing w:after="160" w:line="276" w:lineRule="auto"/>
        <w:jc w:val="both"/>
      </w:pPr>
      <w:r>
        <w:rPr>
          <w:rFonts w:ascii="Calibri" w:eastAsia="Calibri" w:hAnsi="Calibri" w:cs="Calibri"/>
          <w:b/>
          <w:bCs/>
          <w:color w:val="3A3A3A"/>
          <w:sz w:val="21"/>
          <w:szCs w:val="21"/>
        </w:rPr>
        <w:t xml:space="preserve">Niños que empiezan a decir palabras. </w:t>
      </w:r>
      <w:r>
        <w:rPr>
          <w:rFonts w:ascii="Calibri" w:eastAsia="Calibri" w:hAnsi="Calibri" w:cs="Calibri"/>
          <w:color w:val="3A3A3A"/>
          <w:sz w:val="21"/>
          <w:szCs w:val="21"/>
        </w:rPr>
        <w:t>Nombrar lo que se ve, señalar, esperar a que el niño imite o intente y repetir los mismos libros ayuda a que las palabras se consoliden. Aquí las imágenes de objetos y acciones cotidianas suelen funcionar bien.</w:t>
      </w:r>
    </w:p>
    <w:p w14:paraId="2727850D" w14:textId="77777777" w:rsidR="00B65238" w:rsidRDefault="00DB1FD1">
      <w:pPr>
        <w:spacing w:after="160" w:line="276" w:lineRule="auto"/>
        <w:jc w:val="both"/>
      </w:pPr>
      <w:r>
        <w:rPr>
          <w:rFonts w:ascii="Calibri" w:eastAsia="Calibri" w:hAnsi="Calibri" w:cs="Calibri"/>
          <w:b/>
          <w:bCs/>
          <w:color w:val="3A3A3A"/>
          <w:sz w:val="21"/>
          <w:szCs w:val="21"/>
        </w:rPr>
        <w:t xml:space="preserve">Niños que ya combinan palabras o producen frases. </w:t>
      </w:r>
      <w:r>
        <w:rPr>
          <w:rFonts w:ascii="Calibri" w:eastAsia="Calibri" w:hAnsi="Calibri" w:cs="Calibri"/>
          <w:color w:val="3A3A3A"/>
          <w:sz w:val="21"/>
          <w:szCs w:val="21"/>
        </w:rPr>
        <w:t>Es un buen momento para ampliar lo que dicen, hablar de lo que pasó y de lo que podría pasar, preguntar el porqué y relacionar la historia con experiencias propias. La conversación sobre el libro puede ser más larga que la lectura misma.</w:t>
      </w:r>
    </w:p>
    <w:p w14:paraId="3227F8EC" w14:textId="77777777" w:rsidR="00B65238" w:rsidRDefault="00DB1FD1">
      <w:pPr>
        <w:spacing w:after="160" w:line="276" w:lineRule="auto"/>
        <w:jc w:val="both"/>
      </w:pPr>
      <w:r>
        <w:rPr>
          <w:rFonts w:ascii="Calibri" w:eastAsia="Calibri" w:hAnsi="Calibri" w:cs="Calibri"/>
          <w:b/>
          <w:bCs/>
          <w:color w:val="3A3A3A"/>
          <w:sz w:val="21"/>
          <w:szCs w:val="21"/>
        </w:rPr>
        <w:t xml:space="preserve">Niños con diferencias en el desarrollo. </w:t>
      </w:r>
      <w:r>
        <w:rPr>
          <w:rFonts w:ascii="Calibri" w:eastAsia="Calibri" w:hAnsi="Calibri" w:cs="Calibri"/>
          <w:color w:val="3A3A3A"/>
          <w:sz w:val="21"/>
          <w:szCs w:val="21"/>
        </w:rPr>
        <w:t>Los estudios sugieren que la lectura interactiva también puede usarse en niños con dificultades del lenguaje, autismo, discapacidad intelectual o síndrome de Down, aunque la evidencia es limitada y las adaptaciones necesarias varían mucho de un niño a otro (</w:t>
      </w:r>
      <w:proofErr w:type="spellStart"/>
      <w:r>
        <w:rPr>
          <w:rFonts w:ascii="Calibri" w:eastAsia="Calibri" w:hAnsi="Calibri" w:cs="Calibri"/>
          <w:color w:val="3A3A3A"/>
          <w:sz w:val="21"/>
          <w:szCs w:val="21"/>
        </w:rPr>
        <w:t>Jeremic</w:t>
      </w:r>
      <w:proofErr w:type="spellEnd"/>
      <w:r>
        <w:rPr>
          <w:rFonts w:ascii="Calibri" w:eastAsia="Calibri" w:hAnsi="Calibri" w:cs="Calibri"/>
          <w:color w:val="3A3A3A"/>
          <w:sz w:val="21"/>
          <w:szCs w:val="21"/>
        </w:rPr>
        <w:t xml:space="preserve"> et al., 2023; </w:t>
      </w:r>
      <w:proofErr w:type="spellStart"/>
      <w:r>
        <w:rPr>
          <w:rFonts w:ascii="Calibri" w:eastAsia="Calibri" w:hAnsi="Calibri" w:cs="Calibri"/>
          <w:color w:val="3A3A3A"/>
          <w:sz w:val="21"/>
          <w:szCs w:val="21"/>
        </w:rPr>
        <w:t>Towson</w:t>
      </w:r>
      <w:proofErr w:type="spellEnd"/>
      <w:r>
        <w:rPr>
          <w:rFonts w:ascii="Calibri" w:eastAsia="Calibri" w:hAnsi="Calibri" w:cs="Calibri"/>
          <w:color w:val="3A3A3A"/>
          <w:sz w:val="21"/>
          <w:szCs w:val="21"/>
        </w:rPr>
        <w:t xml:space="preserve"> et al., 2021). En estos casos, un fonoaudiólogo puede orientar cómo ajustar la actividad.</w:t>
      </w:r>
    </w:p>
    <w:p w14:paraId="42854E3A" w14:textId="77777777" w:rsidR="00B65238" w:rsidRDefault="00DB1FD1">
      <w:pPr>
        <w:keepNext/>
        <w:spacing w:before="260" w:after="120"/>
      </w:pPr>
      <w:r>
        <w:rPr>
          <w:rFonts w:ascii="Calibri" w:eastAsia="Calibri" w:hAnsi="Calibri" w:cs="Calibri"/>
          <w:b/>
          <w:bCs/>
          <w:color w:val="0F5C56"/>
          <w:sz w:val="25"/>
          <w:szCs w:val="25"/>
        </w:rPr>
        <w:t>Cómo incorporar la lectura compartida a la vida cotidiana sin convertirla en una obligación</w:t>
      </w:r>
    </w:p>
    <w:p w14:paraId="0F16CE68" w14:textId="77777777" w:rsidR="00B65238" w:rsidRDefault="00DB1FD1">
      <w:pPr>
        <w:spacing w:after="160" w:line="276" w:lineRule="auto"/>
        <w:jc w:val="both"/>
      </w:pPr>
      <w:r>
        <w:rPr>
          <w:rFonts w:ascii="Calibri" w:eastAsia="Calibri" w:hAnsi="Calibri" w:cs="Calibri"/>
          <w:color w:val="3A3A3A"/>
          <w:sz w:val="21"/>
          <w:szCs w:val="21"/>
        </w:rPr>
        <w:t>Las familias tienen rutinas, recursos, tiempos y culturas distintos, y no existe una única forma correcta de leer. Tampoco hay una cantidad de minutos diarios respaldada por la evidencia. Estas ideas pueden servir:</w:t>
      </w:r>
    </w:p>
    <w:p w14:paraId="78F91C42"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Elegir momentos que ya existen en el día: antes de dormir, después del baño, durante un viaje o en una sala de espera.</w:t>
      </w:r>
    </w:p>
    <w:p w14:paraId="07BDFDD3"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Aceptar lecturas breves, incompletas o interrumpidas.</w:t>
      </w:r>
    </w:p>
    <w:p w14:paraId="1EBF4612"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Usar también libros sin texto, fotografías familiares, revistas o cuentos narrados oralmente. El punto es la conversación, no el formato.</w:t>
      </w:r>
    </w:p>
    <w:p w14:paraId="2AEFDFC8"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Contar y leer en la lengua o las lenguas en las que la familia se sienta más cómoda.</w:t>
      </w:r>
    </w:p>
    <w:p w14:paraId="4F68BAD2"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Recurrir a bibliotecas o a libros prestados, ya que no hace falta tener muchos.</w:t>
      </w:r>
    </w:p>
    <w:p w14:paraId="7FD3E8D8"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Recordar que otros adultos de la familia (padres, abuelos, hermanos mayores) también pueden compartir libros.</w:t>
      </w:r>
    </w:p>
    <w:p w14:paraId="7F98AF82" w14:textId="77777777" w:rsidR="00B65238" w:rsidRDefault="00DB1FD1">
      <w:pPr>
        <w:spacing w:after="160" w:line="276" w:lineRule="auto"/>
        <w:jc w:val="both"/>
      </w:pPr>
      <w:r>
        <w:rPr>
          <w:rFonts w:ascii="Calibri" w:eastAsia="Calibri" w:hAnsi="Calibri" w:cs="Calibri"/>
          <w:color w:val="3A3A3A"/>
          <w:sz w:val="21"/>
          <w:szCs w:val="21"/>
        </w:rPr>
        <w:t>Si la lectura empieza a vivirse como una tarea o una fuente de culpa, conviene revisar la forma, no forzar más.</w:t>
      </w:r>
    </w:p>
    <w:p w14:paraId="1F9216F9" w14:textId="77777777" w:rsidR="00B65238" w:rsidRDefault="00DB1FD1">
      <w:pPr>
        <w:keepNext/>
        <w:spacing w:before="260" w:after="120"/>
      </w:pPr>
      <w:r>
        <w:rPr>
          <w:rFonts w:ascii="Calibri" w:eastAsia="Calibri" w:hAnsi="Calibri" w:cs="Calibri"/>
          <w:b/>
          <w:bCs/>
          <w:color w:val="0F5C56"/>
          <w:sz w:val="25"/>
          <w:szCs w:val="25"/>
        </w:rPr>
        <w:t>Cuándo la lectura compartida es acompañamiento y cuándo buscar orientación profesional</w:t>
      </w:r>
    </w:p>
    <w:p w14:paraId="428814F7" w14:textId="77777777" w:rsidR="00B65238" w:rsidRDefault="00DB1FD1">
      <w:pPr>
        <w:spacing w:after="160" w:line="276" w:lineRule="auto"/>
        <w:jc w:val="both"/>
      </w:pPr>
      <w:r>
        <w:rPr>
          <w:rFonts w:ascii="Calibri" w:eastAsia="Calibri" w:hAnsi="Calibri" w:cs="Calibri"/>
          <w:color w:val="3A3A3A"/>
          <w:sz w:val="21"/>
          <w:szCs w:val="21"/>
        </w:rPr>
        <w:t>La lectura compartida puede ser una forma de acompañar el desarrollo de la comunicación. No sustituye una valoración profesional ni funciona como método de detección o de tratamiento.</w:t>
      </w:r>
    </w:p>
    <w:p w14:paraId="79991EA5" w14:textId="77777777" w:rsidR="00B65238" w:rsidRDefault="00DB1FD1">
      <w:pPr>
        <w:spacing w:after="160" w:line="276" w:lineRule="auto"/>
        <w:jc w:val="both"/>
      </w:pPr>
      <w:r>
        <w:rPr>
          <w:rFonts w:ascii="Calibri" w:eastAsia="Calibri" w:hAnsi="Calibri" w:cs="Calibri"/>
          <w:color w:val="3A3A3A"/>
          <w:sz w:val="21"/>
          <w:szCs w:val="21"/>
        </w:rPr>
        <w:t>Puede ser recomendable consultar con un profesional en fonoaudiología si ocurre alguna de estas situaciones:</w:t>
      </w:r>
    </w:p>
    <w:p w14:paraId="023994C2"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El niño deja de usar palabras, gestos o sonidos que ya tenía. Esto debe evaluarse sin demora (Rupert et al., 2023).</w:t>
      </w:r>
    </w:p>
    <w:p w14:paraId="760C90D8"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Hay dificultades sostenidas para comprender o para expresarse.</w:t>
      </w:r>
    </w:p>
    <w:p w14:paraId="5B1D9B6A"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La familia mantiene una preocupación persistente. La observación de quienes conviven a diario con el niño tiene valor clínico (Rupert et al., 2023).</w:t>
      </w:r>
    </w:p>
    <w:p w14:paraId="19E02653"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Las dificultades de comunicación interfieren con la participación, el juego o la vida cotidiana.</w:t>
      </w:r>
    </w:p>
    <w:p w14:paraId="472AF872" w14:textId="77777777" w:rsidR="00B65238" w:rsidRDefault="00DB1FD1">
      <w:pPr>
        <w:spacing w:after="160" w:line="276" w:lineRule="auto"/>
        <w:jc w:val="both"/>
      </w:pPr>
      <w:r>
        <w:rPr>
          <w:rFonts w:ascii="Calibri" w:eastAsia="Calibri" w:hAnsi="Calibri" w:cs="Calibri"/>
          <w:color w:val="3A3A3A"/>
          <w:sz w:val="21"/>
          <w:szCs w:val="21"/>
        </w:rPr>
        <w:t>Consultar no significa que exista un diagnóstico. Es una forma de saber en qué punto está el niño y de contar con orientación para acompañarlo mejor.</w:t>
      </w:r>
    </w:p>
    <w:p w14:paraId="568A1364" w14:textId="77777777" w:rsidR="00B65238" w:rsidRDefault="00DB1FD1">
      <w:pPr>
        <w:keepNext/>
        <w:spacing w:before="260" w:after="120"/>
      </w:pPr>
      <w:r>
        <w:rPr>
          <w:rFonts w:ascii="Calibri" w:eastAsia="Calibri" w:hAnsi="Calibri" w:cs="Calibri"/>
          <w:b/>
          <w:bCs/>
          <w:color w:val="0F5C56"/>
          <w:sz w:val="25"/>
          <w:szCs w:val="25"/>
        </w:rPr>
        <w:t>Para cerrar</w:t>
      </w:r>
    </w:p>
    <w:p w14:paraId="0A16C557" w14:textId="77777777" w:rsidR="00B65238" w:rsidRDefault="00DB1FD1">
      <w:pPr>
        <w:spacing w:after="160" w:line="276" w:lineRule="auto"/>
        <w:jc w:val="both"/>
      </w:pPr>
      <w:r>
        <w:rPr>
          <w:rFonts w:ascii="Calibri" w:eastAsia="Calibri" w:hAnsi="Calibri" w:cs="Calibri"/>
          <w:color w:val="3A3A3A"/>
          <w:sz w:val="21"/>
          <w:szCs w:val="21"/>
        </w:rPr>
        <w:t>No hay trucos para “hacer hablar” a los niños. Lo que sí existe son oportunidades de comunicación que las familias pueden crear con recursos sencillos, y la lectura compartida es una de ellas. Leer con intención, esperar, escuchar, seguir el interés del niño y celebrar sus intentos de comunicarse es una forma de acompañamiento.</w:t>
      </w:r>
    </w:p>
    <w:p w14:paraId="269D3E33" w14:textId="77777777" w:rsidR="00B65238" w:rsidRDefault="00DB1FD1">
      <w:pPr>
        <w:spacing w:before="200" w:after="120"/>
        <w:jc w:val="center"/>
      </w:pPr>
      <w:r>
        <w:rPr>
          <w:rFonts w:ascii="Calibri" w:eastAsia="Calibri" w:hAnsi="Calibri" w:cs="Calibri"/>
          <w:i/>
          <w:iCs/>
          <w:color w:val="0F5C56"/>
          <w:sz w:val="23"/>
          <w:szCs w:val="23"/>
        </w:rPr>
        <w:t>Estimular con intención cambia trayectorias.</w:t>
      </w:r>
    </w:p>
    <w:p w14:paraId="7967E8B7" w14:textId="77777777" w:rsidR="00B65238" w:rsidRDefault="00DB1FD1">
      <w:pPr>
        <w:pBdr>
          <w:top w:val="single" w:sz="6" w:space="8" w:color="E7F1F0"/>
        </w:pBdr>
        <w:spacing w:before="200"/>
      </w:pPr>
      <w:r>
        <w:rPr>
          <w:rFonts w:ascii="Calibri" w:eastAsia="Calibri" w:hAnsi="Calibri" w:cs="Calibri"/>
          <w:b/>
          <w:bCs/>
          <w:color w:val="0F5C56"/>
          <w:sz w:val="19"/>
          <w:szCs w:val="19"/>
        </w:rPr>
        <w:t>Título SEO</w:t>
      </w:r>
    </w:p>
    <w:p w14:paraId="2257AB8B" w14:textId="77777777" w:rsidR="00B65238" w:rsidRDefault="00DB1FD1">
      <w:pPr>
        <w:spacing w:after="160" w:line="276" w:lineRule="auto"/>
        <w:jc w:val="both"/>
      </w:pPr>
      <w:r>
        <w:rPr>
          <w:rFonts w:ascii="Calibri" w:eastAsia="Calibri" w:hAnsi="Calibri" w:cs="Calibri"/>
          <w:color w:val="3A3A3A"/>
          <w:sz w:val="19"/>
          <w:szCs w:val="19"/>
        </w:rPr>
        <w:t>Lectura compartida y lenguaje infantil: cómo hacerla en casa</w:t>
      </w:r>
    </w:p>
    <w:p w14:paraId="185CBF1A" w14:textId="77777777" w:rsidR="00B65238" w:rsidRDefault="00DB1FD1">
      <w:pPr>
        <w:spacing w:before="60" w:after="20"/>
      </w:pPr>
      <w:r>
        <w:rPr>
          <w:rFonts w:ascii="Calibri" w:eastAsia="Calibri" w:hAnsi="Calibri" w:cs="Calibri"/>
          <w:b/>
          <w:bCs/>
          <w:color w:val="0F5C56"/>
          <w:sz w:val="19"/>
          <w:szCs w:val="19"/>
        </w:rPr>
        <w:t>Meta descripción</w:t>
      </w:r>
    </w:p>
    <w:p w14:paraId="391C067D" w14:textId="77777777" w:rsidR="00B65238" w:rsidRDefault="00DB1FD1">
      <w:pPr>
        <w:spacing w:after="160" w:line="276" w:lineRule="auto"/>
        <w:jc w:val="both"/>
      </w:pPr>
      <w:r>
        <w:rPr>
          <w:rFonts w:ascii="Calibri" w:eastAsia="Calibri" w:hAnsi="Calibri" w:cs="Calibri"/>
          <w:color w:val="3A3A3A"/>
          <w:sz w:val="19"/>
          <w:szCs w:val="19"/>
        </w:rPr>
        <w:t>Qué aporta la lectura compartida al lenguaje infantil, cómo hacerla interactiva y adaptarla a cada edad, y qué dice la evidencia científica actual.</w:t>
      </w:r>
    </w:p>
    <w:p w14:paraId="0331AC2D" w14:textId="77777777" w:rsidR="00B65238" w:rsidRDefault="00DB1FD1">
      <w:pPr>
        <w:spacing w:before="60" w:after="20"/>
      </w:pPr>
      <w:r>
        <w:rPr>
          <w:rFonts w:ascii="Calibri" w:eastAsia="Calibri" w:hAnsi="Calibri" w:cs="Calibri"/>
          <w:b/>
          <w:bCs/>
          <w:color w:val="0F5C56"/>
          <w:sz w:val="19"/>
          <w:szCs w:val="19"/>
        </w:rPr>
        <w:t>URL sugerida</w:t>
      </w:r>
    </w:p>
    <w:p w14:paraId="23A6E7C2" w14:textId="77777777" w:rsidR="00B65238" w:rsidRDefault="00DB1FD1">
      <w:pPr>
        <w:spacing w:after="160" w:line="276" w:lineRule="auto"/>
        <w:jc w:val="both"/>
      </w:pPr>
      <w:r>
        <w:rPr>
          <w:rFonts w:ascii="Calibri" w:eastAsia="Calibri" w:hAnsi="Calibri" w:cs="Calibri"/>
          <w:color w:val="3A3A3A"/>
          <w:sz w:val="19"/>
          <w:szCs w:val="19"/>
        </w:rPr>
        <w:t>/lectura-compartida-lenguaje-infantil-estrategias-en-casa</w:t>
      </w:r>
    </w:p>
    <w:p w14:paraId="5515B3CD" w14:textId="77777777" w:rsidR="00B65238" w:rsidRDefault="00B65238">
      <w:pPr>
        <w:pageBreakBefore/>
      </w:pPr>
    </w:p>
    <w:p w14:paraId="3C9FA467" w14:textId="77777777" w:rsidR="00B65238" w:rsidRDefault="00DB1FD1">
      <w:pPr>
        <w:spacing w:after="200"/>
      </w:pPr>
      <w:r>
        <w:rPr>
          <w:rFonts w:ascii="Calibri" w:eastAsia="Calibri" w:hAnsi="Calibri" w:cs="Calibri"/>
          <w:b/>
          <w:bCs/>
          <w:color w:val="0F5C56"/>
          <w:sz w:val="32"/>
          <w:szCs w:val="32"/>
        </w:rPr>
        <w:t>Referencias</w:t>
      </w:r>
    </w:p>
    <w:p w14:paraId="5372D098"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Chen</w:t>
      </w:r>
      <w:proofErr w:type="spellEnd"/>
      <w:r>
        <w:rPr>
          <w:rFonts w:ascii="Calibri" w:eastAsia="Calibri" w:hAnsi="Calibri" w:cs="Calibri"/>
          <w:color w:val="3A3A3A"/>
          <w:sz w:val="19"/>
          <w:szCs w:val="19"/>
        </w:rPr>
        <w:t xml:space="preserve">, Y., Cabrera, N., </w:t>
      </w:r>
      <w:proofErr w:type="spellStart"/>
      <w:r>
        <w:rPr>
          <w:rFonts w:ascii="Calibri" w:eastAsia="Calibri" w:hAnsi="Calibri" w:cs="Calibri"/>
          <w:color w:val="3A3A3A"/>
          <w:sz w:val="19"/>
          <w:szCs w:val="19"/>
        </w:rPr>
        <w:t>Sudduth</w:t>
      </w:r>
      <w:proofErr w:type="spellEnd"/>
      <w:r>
        <w:rPr>
          <w:rFonts w:ascii="Calibri" w:eastAsia="Calibri" w:hAnsi="Calibri" w:cs="Calibri"/>
          <w:color w:val="3A3A3A"/>
          <w:sz w:val="19"/>
          <w:szCs w:val="19"/>
        </w:rPr>
        <w:t xml:space="preserve">, C., &amp; Reich, S. M. (2024). </w:t>
      </w:r>
      <w:proofErr w:type="spellStart"/>
      <w:r>
        <w:rPr>
          <w:rFonts w:ascii="Calibri" w:eastAsia="Calibri" w:hAnsi="Calibri" w:cs="Calibri"/>
          <w:color w:val="3A3A3A"/>
          <w:sz w:val="19"/>
          <w:szCs w:val="19"/>
        </w:rPr>
        <w:t>Contributions</w:t>
      </w:r>
      <w:proofErr w:type="spellEnd"/>
      <w:r>
        <w:rPr>
          <w:rFonts w:ascii="Calibri" w:eastAsia="Calibri" w:hAnsi="Calibri" w:cs="Calibri"/>
          <w:color w:val="3A3A3A"/>
          <w:sz w:val="19"/>
          <w:szCs w:val="19"/>
        </w:rPr>
        <w:t xml:space="preserve"> of </w:t>
      </w:r>
      <w:proofErr w:type="spellStart"/>
      <w:r>
        <w:rPr>
          <w:rFonts w:ascii="Calibri" w:eastAsia="Calibri" w:hAnsi="Calibri" w:cs="Calibri"/>
          <w:color w:val="3A3A3A"/>
          <w:sz w:val="19"/>
          <w:szCs w:val="19"/>
        </w:rPr>
        <w:t>mothers</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fathers</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shared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with</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infants</w:t>
      </w:r>
      <w:proofErr w:type="spellEnd"/>
      <w:r>
        <w:rPr>
          <w:rFonts w:ascii="Calibri" w:eastAsia="Calibri" w:hAnsi="Calibri" w:cs="Calibri"/>
          <w:color w:val="3A3A3A"/>
          <w:sz w:val="19"/>
          <w:szCs w:val="19"/>
        </w:rPr>
        <w:t xml:space="preserve"> at 9 </w:t>
      </w:r>
      <w:proofErr w:type="spellStart"/>
      <w:r>
        <w:rPr>
          <w:rFonts w:ascii="Calibri" w:eastAsia="Calibri" w:hAnsi="Calibri" w:cs="Calibri"/>
          <w:color w:val="3A3A3A"/>
          <w:sz w:val="19"/>
          <w:szCs w:val="19"/>
        </w:rPr>
        <w:t>months</w:t>
      </w:r>
      <w:proofErr w:type="spellEnd"/>
      <w:r>
        <w:rPr>
          <w:rFonts w:ascii="Calibri" w:eastAsia="Calibri" w:hAnsi="Calibri" w:cs="Calibri"/>
          <w:color w:val="3A3A3A"/>
          <w:sz w:val="19"/>
          <w:szCs w:val="19"/>
        </w:rPr>
        <w:t xml:space="preserve"> to </w:t>
      </w:r>
      <w:proofErr w:type="spellStart"/>
      <w:r>
        <w:rPr>
          <w:rFonts w:ascii="Calibri" w:eastAsia="Calibri" w:hAnsi="Calibri" w:cs="Calibri"/>
          <w:color w:val="3A3A3A"/>
          <w:sz w:val="19"/>
          <w:szCs w:val="19"/>
        </w:rPr>
        <w:t>language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skills</w:t>
      </w:r>
      <w:proofErr w:type="spellEnd"/>
      <w:r>
        <w:rPr>
          <w:rFonts w:ascii="Calibri" w:eastAsia="Calibri" w:hAnsi="Calibri" w:cs="Calibri"/>
          <w:color w:val="3A3A3A"/>
          <w:sz w:val="19"/>
          <w:szCs w:val="19"/>
        </w:rPr>
        <w:t xml:space="preserve"> at 18 </w:t>
      </w:r>
      <w:proofErr w:type="spellStart"/>
      <w:r>
        <w:rPr>
          <w:rFonts w:ascii="Calibri" w:eastAsia="Calibri" w:hAnsi="Calibri" w:cs="Calibri"/>
          <w:color w:val="3A3A3A"/>
          <w:sz w:val="19"/>
          <w:szCs w:val="19"/>
        </w:rPr>
        <w:t>months</w:t>
      </w:r>
      <w:proofErr w:type="spellEnd"/>
      <w:r>
        <w:rPr>
          <w:rFonts w:ascii="Calibri" w:eastAsia="Calibri" w:hAnsi="Calibri" w:cs="Calibri"/>
          <w:color w:val="3A3A3A"/>
          <w:sz w:val="19"/>
          <w:szCs w:val="19"/>
        </w:rPr>
        <w:t xml:space="preserve"> in </w:t>
      </w:r>
      <w:proofErr w:type="spellStart"/>
      <w:r>
        <w:rPr>
          <w:rFonts w:ascii="Calibri" w:eastAsia="Calibri" w:hAnsi="Calibri" w:cs="Calibri"/>
          <w:color w:val="3A3A3A"/>
          <w:sz w:val="19"/>
          <w:szCs w:val="19"/>
        </w:rPr>
        <w:t>ethnically</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socioeconomically</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diverse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families</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Infant</w:t>
      </w:r>
      <w:proofErr w:type="spellEnd"/>
      <w:r>
        <w:rPr>
          <w:rFonts w:ascii="Calibri" w:eastAsia="Calibri" w:hAnsi="Calibri" w:cs="Calibri"/>
          <w:i/>
          <w:iCs/>
          <w:color w:val="3A3A3A"/>
          <w:sz w:val="19"/>
          <w:szCs w:val="19"/>
        </w:rPr>
        <w:t xml:space="preserve"> and </w:t>
      </w:r>
      <w:proofErr w:type="spellStart"/>
      <w:r>
        <w:rPr>
          <w:rFonts w:ascii="Calibri" w:eastAsia="Calibri" w:hAnsi="Calibri" w:cs="Calibri"/>
          <w:i/>
          <w:iCs/>
          <w:color w:val="3A3A3A"/>
          <w:sz w:val="19"/>
          <w:szCs w:val="19"/>
        </w:rPr>
        <w:t>Child</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Development</w:t>
      </w:r>
      <w:proofErr w:type="spellEnd"/>
      <w:r>
        <w:rPr>
          <w:rFonts w:ascii="Calibri" w:eastAsia="Calibri" w:hAnsi="Calibri" w:cs="Calibri"/>
          <w:color w:val="3A3A3A"/>
          <w:sz w:val="19"/>
          <w:szCs w:val="19"/>
        </w:rPr>
        <w:t>. https://pmc.ncbi.nlm.nih.gov/articles/PMC12349905/</w:t>
      </w:r>
    </w:p>
    <w:p w14:paraId="76B93480"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Dowdall</w:t>
      </w:r>
      <w:proofErr w:type="spellEnd"/>
      <w:r>
        <w:rPr>
          <w:rFonts w:ascii="Calibri" w:eastAsia="Calibri" w:hAnsi="Calibri" w:cs="Calibri"/>
          <w:color w:val="3A3A3A"/>
          <w:sz w:val="19"/>
          <w:szCs w:val="19"/>
        </w:rPr>
        <w:t xml:space="preserve">, N., </w:t>
      </w:r>
      <w:proofErr w:type="spellStart"/>
      <w:r>
        <w:rPr>
          <w:rFonts w:ascii="Calibri" w:eastAsia="Calibri" w:hAnsi="Calibri" w:cs="Calibri"/>
          <w:color w:val="3A3A3A"/>
          <w:sz w:val="19"/>
          <w:szCs w:val="19"/>
        </w:rPr>
        <w:t>Melendez</w:t>
      </w:r>
      <w:proofErr w:type="spellEnd"/>
      <w:r>
        <w:rPr>
          <w:rFonts w:ascii="Calibri" w:eastAsia="Calibri" w:hAnsi="Calibri" w:cs="Calibri"/>
          <w:color w:val="3A3A3A"/>
          <w:sz w:val="19"/>
          <w:szCs w:val="19"/>
        </w:rPr>
        <w:t xml:space="preserve">-Torres, G. J., Murray, L., Gardner, F., Hartford, L., &amp; Cooper, P. J. (2020). </w:t>
      </w:r>
      <w:proofErr w:type="spellStart"/>
      <w:r>
        <w:rPr>
          <w:rFonts w:ascii="Calibri" w:eastAsia="Calibri" w:hAnsi="Calibri" w:cs="Calibri"/>
          <w:color w:val="3A3A3A"/>
          <w:sz w:val="19"/>
          <w:szCs w:val="19"/>
        </w:rPr>
        <w:t>Shared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picture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interventions</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for</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child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language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development</w:t>
      </w:r>
      <w:proofErr w:type="spellEnd"/>
      <w:r>
        <w:rPr>
          <w:rFonts w:ascii="Calibri" w:eastAsia="Calibri" w:hAnsi="Calibri" w:cs="Calibri"/>
          <w:color w:val="3A3A3A"/>
          <w:sz w:val="19"/>
          <w:szCs w:val="19"/>
        </w:rPr>
        <w:t xml:space="preserve">: A </w:t>
      </w:r>
      <w:proofErr w:type="spellStart"/>
      <w:r>
        <w:rPr>
          <w:rFonts w:ascii="Calibri" w:eastAsia="Calibri" w:hAnsi="Calibri" w:cs="Calibri"/>
          <w:color w:val="3A3A3A"/>
          <w:sz w:val="19"/>
          <w:szCs w:val="19"/>
        </w:rPr>
        <w:t>systematic</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review</w:t>
      </w:r>
      <w:proofErr w:type="spellEnd"/>
      <w:r>
        <w:rPr>
          <w:rFonts w:ascii="Calibri" w:eastAsia="Calibri" w:hAnsi="Calibri" w:cs="Calibri"/>
          <w:color w:val="3A3A3A"/>
          <w:sz w:val="19"/>
          <w:szCs w:val="19"/>
        </w:rPr>
        <w:t xml:space="preserve"> and meta-</w:t>
      </w:r>
      <w:proofErr w:type="spellStart"/>
      <w:r>
        <w:rPr>
          <w:rFonts w:ascii="Calibri" w:eastAsia="Calibri" w:hAnsi="Calibri" w:cs="Calibri"/>
          <w:color w:val="3A3A3A"/>
          <w:sz w:val="19"/>
          <w:szCs w:val="19"/>
        </w:rPr>
        <w:t>analysis</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Child</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Development</w:t>
      </w:r>
      <w:proofErr w:type="spellEnd"/>
      <w:r>
        <w:rPr>
          <w:rFonts w:ascii="Calibri" w:eastAsia="Calibri" w:hAnsi="Calibri" w:cs="Calibri"/>
          <w:i/>
          <w:iCs/>
          <w:color w:val="3A3A3A"/>
          <w:sz w:val="19"/>
          <w:szCs w:val="19"/>
        </w:rPr>
        <w:t>, 91</w:t>
      </w:r>
      <w:r>
        <w:rPr>
          <w:rFonts w:ascii="Calibri" w:eastAsia="Calibri" w:hAnsi="Calibri" w:cs="Calibri"/>
          <w:color w:val="3A3A3A"/>
          <w:sz w:val="19"/>
          <w:szCs w:val="19"/>
        </w:rPr>
        <w:t>(2), e383–e399. https://doi.org/10.1111/cdev.13225</w:t>
      </w:r>
    </w:p>
    <w:p w14:paraId="3A20182C"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Galea</w:t>
      </w:r>
      <w:proofErr w:type="spellEnd"/>
      <w:r>
        <w:rPr>
          <w:rFonts w:ascii="Calibri" w:eastAsia="Calibri" w:hAnsi="Calibri" w:cs="Calibri"/>
          <w:color w:val="3A3A3A"/>
          <w:sz w:val="19"/>
          <w:szCs w:val="19"/>
        </w:rPr>
        <w:t xml:space="preserve">, C., Jones, A., </w:t>
      </w:r>
      <w:proofErr w:type="spellStart"/>
      <w:r>
        <w:rPr>
          <w:rFonts w:ascii="Calibri" w:eastAsia="Calibri" w:hAnsi="Calibri" w:cs="Calibri"/>
          <w:color w:val="3A3A3A"/>
          <w:sz w:val="19"/>
          <w:szCs w:val="19"/>
        </w:rPr>
        <w:t>Ko</w:t>
      </w:r>
      <w:proofErr w:type="spellEnd"/>
      <w:r>
        <w:rPr>
          <w:rFonts w:ascii="Calibri" w:eastAsia="Calibri" w:hAnsi="Calibri" w:cs="Calibri"/>
          <w:color w:val="3A3A3A"/>
          <w:sz w:val="19"/>
          <w:szCs w:val="19"/>
        </w:rPr>
        <w:t xml:space="preserve">, K., </w:t>
      </w:r>
      <w:proofErr w:type="spellStart"/>
      <w:r>
        <w:rPr>
          <w:rFonts w:ascii="Calibri" w:eastAsia="Calibri" w:hAnsi="Calibri" w:cs="Calibri"/>
          <w:color w:val="3A3A3A"/>
          <w:sz w:val="19"/>
          <w:szCs w:val="19"/>
        </w:rPr>
        <w:t>Salins</w:t>
      </w:r>
      <w:proofErr w:type="spellEnd"/>
      <w:r>
        <w:rPr>
          <w:rFonts w:ascii="Calibri" w:eastAsia="Calibri" w:hAnsi="Calibri" w:cs="Calibri"/>
          <w:color w:val="3A3A3A"/>
          <w:sz w:val="19"/>
          <w:szCs w:val="19"/>
        </w:rPr>
        <w:t xml:space="preserve">, A., </w:t>
      </w:r>
      <w:proofErr w:type="spellStart"/>
      <w:r>
        <w:rPr>
          <w:rFonts w:ascii="Calibri" w:eastAsia="Calibri" w:hAnsi="Calibri" w:cs="Calibri"/>
          <w:color w:val="3A3A3A"/>
          <w:sz w:val="19"/>
          <w:szCs w:val="19"/>
        </w:rPr>
        <w:t>Robidoux</w:t>
      </w:r>
      <w:proofErr w:type="spellEnd"/>
      <w:r>
        <w:rPr>
          <w:rFonts w:ascii="Calibri" w:eastAsia="Calibri" w:hAnsi="Calibri" w:cs="Calibri"/>
          <w:color w:val="3A3A3A"/>
          <w:sz w:val="19"/>
          <w:szCs w:val="19"/>
        </w:rPr>
        <w:t xml:space="preserve">, S., Noble, C., &amp; </w:t>
      </w:r>
      <w:proofErr w:type="spellStart"/>
      <w:r>
        <w:rPr>
          <w:rFonts w:ascii="Calibri" w:eastAsia="Calibri" w:hAnsi="Calibri" w:cs="Calibri"/>
          <w:color w:val="3A3A3A"/>
          <w:sz w:val="19"/>
          <w:szCs w:val="19"/>
        </w:rPr>
        <w:t>McArthur</w:t>
      </w:r>
      <w:proofErr w:type="spellEnd"/>
      <w:r>
        <w:rPr>
          <w:rFonts w:ascii="Calibri" w:eastAsia="Calibri" w:hAnsi="Calibri" w:cs="Calibri"/>
          <w:color w:val="3A3A3A"/>
          <w:sz w:val="19"/>
          <w:szCs w:val="19"/>
        </w:rPr>
        <w:t>, G. (2025). Home-</w:t>
      </w:r>
      <w:proofErr w:type="spellStart"/>
      <w:r>
        <w:rPr>
          <w:rFonts w:ascii="Calibri" w:eastAsia="Calibri" w:hAnsi="Calibri" w:cs="Calibri"/>
          <w:color w:val="3A3A3A"/>
          <w:sz w:val="19"/>
          <w:szCs w:val="19"/>
        </w:rPr>
        <w:t>based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shared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developmental</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outcomes</w:t>
      </w:r>
      <w:proofErr w:type="spellEnd"/>
      <w:r>
        <w:rPr>
          <w:rFonts w:ascii="Calibri" w:eastAsia="Calibri" w:hAnsi="Calibri" w:cs="Calibri"/>
          <w:color w:val="3A3A3A"/>
          <w:sz w:val="19"/>
          <w:szCs w:val="19"/>
        </w:rPr>
        <w:t xml:space="preserve"> in </w:t>
      </w:r>
      <w:proofErr w:type="spellStart"/>
      <w:r>
        <w:rPr>
          <w:rFonts w:ascii="Calibri" w:eastAsia="Calibri" w:hAnsi="Calibri" w:cs="Calibri"/>
          <w:color w:val="3A3A3A"/>
          <w:sz w:val="19"/>
          <w:szCs w:val="19"/>
        </w:rPr>
        <w:t>young</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children</w:t>
      </w:r>
      <w:proofErr w:type="spellEnd"/>
      <w:r>
        <w:rPr>
          <w:rFonts w:ascii="Calibri" w:eastAsia="Calibri" w:hAnsi="Calibri" w:cs="Calibri"/>
          <w:color w:val="3A3A3A"/>
          <w:sz w:val="19"/>
          <w:szCs w:val="19"/>
        </w:rPr>
        <w:t xml:space="preserve">: A </w:t>
      </w:r>
      <w:proofErr w:type="spellStart"/>
      <w:r>
        <w:rPr>
          <w:rFonts w:ascii="Calibri" w:eastAsia="Calibri" w:hAnsi="Calibri" w:cs="Calibri"/>
          <w:color w:val="3A3A3A"/>
          <w:sz w:val="19"/>
          <w:szCs w:val="19"/>
        </w:rPr>
        <w:t>systematic</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review</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with</w:t>
      </w:r>
      <w:proofErr w:type="spellEnd"/>
      <w:r>
        <w:rPr>
          <w:rFonts w:ascii="Calibri" w:eastAsia="Calibri" w:hAnsi="Calibri" w:cs="Calibri"/>
          <w:color w:val="3A3A3A"/>
          <w:sz w:val="19"/>
          <w:szCs w:val="19"/>
        </w:rPr>
        <w:t xml:space="preserve"> meta-</w:t>
      </w:r>
      <w:proofErr w:type="spellStart"/>
      <w:r>
        <w:rPr>
          <w:rFonts w:ascii="Calibri" w:eastAsia="Calibri" w:hAnsi="Calibri" w:cs="Calibri"/>
          <w:color w:val="3A3A3A"/>
          <w:sz w:val="19"/>
          <w:szCs w:val="19"/>
        </w:rPr>
        <w:t>analyses</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Frontiers</w:t>
      </w:r>
      <w:proofErr w:type="spellEnd"/>
      <w:r>
        <w:rPr>
          <w:rFonts w:ascii="Calibri" w:eastAsia="Calibri" w:hAnsi="Calibri" w:cs="Calibri"/>
          <w:i/>
          <w:iCs/>
          <w:color w:val="3A3A3A"/>
          <w:sz w:val="19"/>
          <w:szCs w:val="19"/>
        </w:rPr>
        <w:t xml:space="preserve"> in </w:t>
      </w:r>
      <w:proofErr w:type="spellStart"/>
      <w:r>
        <w:rPr>
          <w:rFonts w:ascii="Calibri" w:eastAsia="Calibri" w:hAnsi="Calibri" w:cs="Calibri"/>
          <w:i/>
          <w:iCs/>
          <w:color w:val="3A3A3A"/>
          <w:sz w:val="19"/>
          <w:szCs w:val="19"/>
        </w:rPr>
        <w:t>Language</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Sciences</w:t>
      </w:r>
      <w:proofErr w:type="spellEnd"/>
      <w:r>
        <w:rPr>
          <w:rFonts w:ascii="Calibri" w:eastAsia="Calibri" w:hAnsi="Calibri" w:cs="Calibri"/>
          <w:i/>
          <w:iCs/>
          <w:color w:val="3A3A3A"/>
          <w:sz w:val="19"/>
          <w:szCs w:val="19"/>
        </w:rPr>
        <w:t>, 4</w:t>
      </w:r>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Article</w:t>
      </w:r>
      <w:proofErr w:type="spellEnd"/>
      <w:r>
        <w:rPr>
          <w:rFonts w:ascii="Calibri" w:eastAsia="Calibri" w:hAnsi="Calibri" w:cs="Calibri"/>
          <w:color w:val="3A3A3A"/>
          <w:sz w:val="19"/>
          <w:szCs w:val="19"/>
        </w:rPr>
        <w:t xml:space="preserve"> 1540562. https://doi.org/10.3389/flang.2025.1540562</w:t>
      </w:r>
    </w:p>
    <w:p w14:paraId="7C4C2B9E"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Jeremic</w:t>
      </w:r>
      <w:proofErr w:type="spellEnd"/>
      <w:r>
        <w:rPr>
          <w:rFonts w:ascii="Calibri" w:eastAsia="Calibri" w:hAnsi="Calibri" w:cs="Calibri"/>
          <w:color w:val="3A3A3A"/>
          <w:sz w:val="19"/>
          <w:szCs w:val="19"/>
        </w:rPr>
        <w:t xml:space="preserve">, M., </w:t>
      </w:r>
      <w:proofErr w:type="spellStart"/>
      <w:r>
        <w:rPr>
          <w:rFonts w:ascii="Calibri" w:eastAsia="Calibri" w:hAnsi="Calibri" w:cs="Calibri"/>
          <w:color w:val="3A3A3A"/>
          <w:sz w:val="19"/>
          <w:szCs w:val="19"/>
        </w:rPr>
        <w:t>Stojanovik</w:t>
      </w:r>
      <w:proofErr w:type="spellEnd"/>
      <w:r>
        <w:rPr>
          <w:rFonts w:ascii="Calibri" w:eastAsia="Calibri" w:hAnsi="Calibri" w:cs="Calibri"/>
          <w:color w:val="3A3A3A"/>
          <w:sz w:val="19"/>
          <w:szCs w:val="19"/>
        </w:rPr>
        <w:t xml:space="preserve">, V., </w:t>
      </w:r>
      <w:proofErr w:type="spellStart"/>
      <w:r>
        <w:rPr>
          <w:rFonts w:ascii="Calibri" w:eastAsia="Calibri" w:hAnsi="Calibri" w:cs="Calibri"/>
          <w:color w:val="3A3A3A"/>
          <w:sz w:val="19"/>
          <w:szCs w:val="19"/>
        </w:rPr>
        <w:t>Burgoyne</w:t>
      </w:r>
      <w:proofErr w:type="spellEnd"/>
      <w:r>
        <w:rPr>
          <w:rFonts w:ascii="Calibri" w:eastAsia="Calibri" w:hAnsi="Calibri" w:cs="Calibri"/>
          <w:color w:val="3A3A3A"/>
          <w:sz w:val="19"/>
          <w:szCs w:val="19"/>
        </w:rPr>
        <w:t xml:space="preserve">, K., &amp; </w:t>
      </w:r>
      <w:proofErr w:type="spellStart"/>
      <w:r>
        <w:rPr>
          <w:rFonts w:ascii="Calibri" w:eastAsia="Calibri" w:hAnsi="Calibri" w:cs="Calibri"/>
          <w:color w:val="3A3A3A"/>
          <w:sz w:val="19"/>
          <w:szCs w:val="19"/>
        </w:rPr>
        <w:t>Pagnamenta</w:t>
      </w:r>
      <w:proofErr w:type="spellEnd"/>
      <w:r>
        <w:rPr>
          <w:rFonts w:ascii="Calibri" w:eastAsia="Calibri" w:hAnsi="Calibri" w:cs="Calibri"/>
          <w:color w:val="3A3A3A"/>
          <w:sz w:val="19"/>
          <w:szCs w:val="19"/>
        </w:rPr>
        <w:t xml:space="preserve">, E. (2023). </w:t>
      </w:r>
      <w:proofErr w:type="spellStart"/>
      <w:r>
        <w:rPr>
          <w:rFonts w:ascii="Calibri" w:eastAsia="Calibri" w:hAnsi="Calibri" w:cs="Calibri"/>
          <w:color w:val="3A3A3A"/>
          <w:sz w:val="19"/>
          <w:szCs w:val="19"/>
        </w:rPr>
        <w:t>Shared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as a </w:t>
      </w:r>
      <w:proofErr w:type="spellStart"/>
      <w:r>
        <w:rPr>
          <w:rFonts w:ascii="Calibri" w:eastAsia="Calibri" w:hAnsi="Calibri" w:cs="Calibri"/>
          <w:color w:val="3A3A3A"/>
          <w:sz w:val="19"/>
          <w:szCs w:val="19"/>
        </w:rPr>
        <w:t>context</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for</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language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intervention</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for</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children</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with</w:t>
      </w:r>
      <w:proofErr w:type="spellEnd"/>
      <w:r>
        <w:rPr>
          <w:rFonts w:ascii="Calibri" w:eastAsia="Calibri" w:hAnsi="Calibri" w:cs="Calibri"/>
          <w:color w:val="3A3A3A"/>
          <w:sz w:val="19"/>
          <w:szCs w:val="19"/>
        </w:rPr>
        <w:t xml:space="preserve"> Down </w:t>
      </w:r>
      <w:proofErr w:type="spellStart"/>
      <w:r>
        <w:rPr>
          <w:rFonts w:ascii="Calibri" w:eastAsia="Calibri" w:hAnsi="Calibri" w:cs="Calibri"/>
          <w:color w:val="3A3A3A"/>
          <w:sz w:val="19"/>
          <w:szCs w:val="19"/>
        </w:rPr>
        <w:t>syndrome</w:t>
      </w:r>
      <w:proofErr w:type="spellEnd"/>
      <w:r>
        <w:rPr>
          <w:rFonts w:ascii="Calibri" w:eastAsia="Calibri" w:hAnsi="Calibri" w:cs="Calibri"/>
          <w:color w:val="3A3A3A"/>
          <w:sz w:val="19"/>
          <w:szCs w:val="19"/>
        </w:rPr>
        <w:t>: A mini-</w:t>
      </w:r>
      <w:proofErr w:type="spellStart"/>
      <w:r>
        <w:rPr>
          <w:rFonts w:ascii="Calibri" w:eastAsia="Calibri" w:hAnsi="Calibri" w:cs="Calibri"/>
          <w:color w:val="3A3A3A"/>
          <w:sz w:val="19"/>
          <w:szCs w:val="19"/>
        </w:rPr>
        <w:t>review</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Frontiers</w:t>
      </w:r>
      <w:proofErr w:type="spellEnd"/>
      <w:r>
        <w:rPr>
          <w:rFonts w:ascii="Calibri" w:eastAsia="Calibri" w:hAnsi="Calibri" w:cs="Calibri"/>
          <w:i/>
          <w:iCs/>
          <w:color w:val="3A3A3A"/>
          <w:sz w:val="19"/>
          <w:szCs w:val="19"/>
        </w:rPr>
        <w:t xml:space="preserve"> in </w:t>
      </w:r>
      <w:proofErr w:type="spellStart"/>
      <w:r>
        <w:rPr>
          <w:rFonts w:ascii="Calibri" w:eastAsia="Calibri" w:hAnsi="Calibri" w:cs="Calibri"/>
          <w:i/>
          <w:iCs/>
          <w:color w:val="3A3A3A"/>
          <w:sz w:val="19"/>
          <w:szCs w:val="19"/>
        </w:rPr>
        <w:t>Psychology</w:t>
      </w:r>
      <w:proofErr w:type="spellEnd"/>
      <w:r>
        <w:rPr>
          <w:rFonts w:ascii="Calibri" w:eastAsia="Calibri" w:hAnsi="Calibri" w:cs="Calibri"/>
          <w:i/>
          <w:iCs/>
          <w:color w:val="3A3A3A"/>
          <w:sz w:val="19"/>
          <w:szCs w:val="19"/>
        </w:rPr>
        <w:t>, 14</w:t>
      </w:r>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Article</w:t>
      </w:r>
      <w:proofErr w:type="spellEnd"/>
      <w:r>
        <w:rPr>
          <w:rFonts w:ascii="Calibri" w:eastAsia="Calibri" w:hAnsi="Calibri" w:cs="Calibri"/>
          <w:color w:val="3A3A3A"/>
          <w:sz w:val="19"/>
          <w:szCs w:val="19"/>
        </w:rPr>
        <w:t xml:space="preserve"> 1176218. https://doi.org/10.3389/fpsyg.2023.1176218</w:t>
      </w:r>
    </w:p>
    <w:p w14:paraId="11325239"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Karousou</w:t>
      </w:r>
      <w:proofErr w:type="spellEnd"/>
      <w:r>
        <w:rPr>
          <w:rFonts w:ascii="Calibri" w:eastAsia="Calibri" w:hAnsi="Calibri" w:cs="Calibri"/>
          <w:color w:val="3A3A3A"/>
          <w:sz w:val="19"/>
          <w:szCs w:val="19"/>
        </w:rPr>
        <w:t xml:space="preserve">, A., &amp; </w:t>
      </w:r>
      <w:proofErr w:type="spellStart"/>
      <w:r>
        <w:rPr>
          <w:rFonts w:ascii="Calibri" w:eastAsia="Calibri" w:hAnsi="Calibri" w:cs="Calibri"/>
          <w:color w:val="3A3A3A"/>
          <w:sz w:val="19"/>
          <w:szCs w:val="19"/>
        </w:rPr>
        <w:t>Economacou</w:t>
      </w:r>
      <w:proofErr w:type="spellEnd"/>
      <w:r>
        <w:rPr>
          <w:rFonts w:ascii="Calibri" w:eastAsia="Calibri" w:hAnsi="Calibri" w:cs="Calibri"/>
          <w:color w:val="3A3A3A"/>
          <w:sz w:val="19"/>
          <w:szCs w:val="19"/>
        </w:rPr>
        <w:t xml:space="preserve">, D. (2024). </w:t>
      </w:r>
      <w:proofErr w:type="spellStart"/>
      <w:r>
        <w:rPr>
          <w:rFonts w:ascii="Calibri" w:eastAsia="Calibri" w:hAnsi="Calibri" w:cs="Calibri"/>
          <w:color w:val="3A3A3A"/>
          <w:sz w:val="19"/>
          <w:szCs w:val="19"/>
        </w:rPr>
        <w:t>Quantity</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quality</w:t>
      </w:r>
      <w:proofErr w:type="spellEnd"/>
      <w:r>
        <w:rPr>
          <w:rFonts w:ascii="Calibri" w:eastAsia="Calibri" w:hAnsi="Calibri" w:cs="Calibri"/>
          <w:color w:val="3A3A3A"/>
          <w:sz w:val="19"/>
          <w:szCs w:val="19"/>
        </w:rPr>
        <w:t xml:space="preserve"> of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to </w:t>
      </w:r>
      <w:proofErr w:type="spellStart"/>
      <w:r>
        <w:rPr>
          <w:rFonts w:ascii="Calibri" w:eastAsia="Calibri" w:hAnsi="Calibri" w:cs="Calibri"/>
          <w:color w:val="3A3A3A"/>
          <w:sz w:val="19"/>
          <w:szCs w:val="19"/>
        </w:rPr>
        <w:t>infants</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toddlers</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Their</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effect</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on</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early</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communication</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language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development</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Psychology</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The</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Journal</w:t>
      </w:r>
      <w:proofErr w:type="spellEnd"/>
      <w:r>
        <w:rPr>
          <w:rFonts w:ascii="Calibri" w:eastAsia="Calibri" w:hAnsi="Calibri" w:cs="Calibri"/>
          <w:i/>
          <w:iCs/>
          <w:color w:val="3A3A3A"/>
          <w:sz w:val="19"/>
          <w:szCs w:val="19"/>
        </w:rPr>
        <w:t xml:space="preserve"> of </w:t>
      </w:r>
      <w:proofErr w:type="spellStart"/>
      <w:r>
        <w:rPr>
          <w:rFonts w:ascii="Calibri" w:eastAsia="Calibri" w:hAnsi="Calibri" w:cs="Calibri"/>
          <w:i/>
          <w:iCs/>
          <w:color w:val="3A3A3A"/>
          <w:sz w:val="19"/>
          <w:szCs w:val="19"/>
        </w:rPr>
        <w:t>the</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Hellenic</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Psychological</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Society</w:t>
      </w:r>
      <w:proofErr w:type="spellEnd"/>
      <w:r>
        <w:rPr>
          <w:rFonts w:ascii="Calibri" w:eastAsia="Calibri" w:hAnsi="Calibri" w:cs="Calibri"/>
          <w:i/>
          <w:iCs/>
          <w:color w:val="3A3A3A"/>
          <w:sz w:val="19"/>
          <w:szCs w:val="19"/>
        </w:rPr>
        <w:t>, 29</w:t>
      </w:r>
      <w:r>
        <w:rPr>
          <w:rFonts w:ascii="Calibri" w:eastAsia="Calibri" w:hAnsi="Calibri" w:cs="Calibri"/>
          <w:color w:val="3A3A3A"/>
          <w:sz w:val="19"/>
          <w:szCs w:val="19"/>
        </w:rPr>
        <w:t>(1), 1–27. https://doi.org/10.12681/psy_hps.34486</w:t>
      </w:r>
    </w:p>
    <w:p w14:paraId="528917EB"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Leech</w:t>
      </w:r>
      <w:proofErr w:type="spellEnd"/>
      <w:r>
        <w:rPr>
          <w:rFonts w:ascii="Calibri" w:eastAsia="Calibri" w:hAnsi="Calibri" w:cs="Calibri"/>
          <w:color w:val="3A3A3A"/>
          <w:sz w:val="19"/>
          <w:szCs w:val="19"/>
        </w:rPr>
        <w:t xml:space="preserve">, K. A., </w:t>
      </w:r>
      <w:proofErr w:type="spellStart"/>
      <w:r>
        <w:rPr>
          <w:rFonts w:ascii="Calibri" w:eastAsia="Calibri" w:hAnsi="Calibri" w:cs="Calibri"/>
          <w:color w:val="3A3A3A"/>
          <w:sz w:val="19"/>
          <w:szCs w:val="19"/>
        </w:rPr>
        <w:t>McNally</w:t>
      </w:r>
      <w:proofErr w:type="spellEnd"/>
      <w:r>
        <w:rPr>
          <w:rFonts w:ascii="Calibri" w:eastAsia="Calibri" w:hAnsi="Calibri" w:cs="Calibri"/>
          <w:color w:val="3A3A3A"/>
          <w:sz w:val="19"/>
          <w:szCs w:val="19"/>
        </w:rPr>
        <w:t xml:space="preserve">, S., </w:t>
      </w:r>
      <w:proofErr w:type="spellStart"/>
      <w:r>
        <w:rPr>
          <w:rFonts w:ascii="Calibri" w:eastAsia="Calibri" w:hAnsi="Calibri" w:cs="Calibri"/>
          <w:color w:val="3A3A3A"/>
          <w:sz w:val="19"/>
          <w:szCs w:val="19"/>
        </w:rPr>
        <w:t>Daly</w:t>
      </w:r>
      <w:proofErr w:type="spellEnd"/>
      <w:r>
        <w:rPr>
          <w:rFonts w:ascii="Calibri" w:eastAsia="Calibri" w:hAnsi="Calibri" w:cs="Calibri"/>
          <w:color w:val="3A3A3A"/>
          <w:sz w:val="19"/>
          <w:szCs w:val="19"/>
        </w:rPr>
        <w:t xml:space="preserve">, M., &amp; </w:t>
      </w:r>
      <w:proofErr w:type="spellStart"/>
      <w:r>
        <w:rPr>
          <w:rFonts w:ascii="Calibri" w:eastAsia="Calibri" w:hAnsi="Calibri" w:cs="Calibri"/>
          <w:color w:val="3A3A3A"/>
          <w:sz w:val="19"/>
          <w:szCs w:val="19"/>
        </w:rPr>
        <w:t>Corriveau</w:t>
      </w:r>
      <w:proofErr w:type="spellEnd"/>
      <w:r>
        <w:rPr>
          <w:rFonts w:ascii="Calibri" w:eastAsia="Calibri" w:hAnsi="Calibri" w:cs="Calibri"/>
          <w:color w:val="3A3A3A"/>
          <w:sz w:val="19"/>
          <w:szCs w:val="19"/>
        </w:rPr>
        <w:t xml:space="preserve">, K. H. (2022). </w:t>
      </w:r>
      <w:proofErr w:type="spellStart"/>
      <w:r>
        <w:rPr>
          <w:rFonts w:ascii="Calibri" w:eastAsia="Calibri" w:hAnsi="Calibri" w:cs="Calibri"/>
          <w:color w:val="3A3A3A"/>
          <w:sz w:val="19"/>
          <w:szCs w:val="19"/>
        </w:rPr>
        <w:t>Unique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effects</w:t>
      </w:r>
      <w:proofErr w:type="spellEnd"/>
      <w:r>
        <w:rPr>
          <w:rFonts w:ascii="Calibri" w:eastAsia="Calibri" w:hAnsi="Calibri" w:cs="Calibri"/>
          <w:color w:val="3A3A3A"/>
          <w:sz w:val="19"/>
          <w:szCs w:val="19"/>
        </w:rPr>
        <w:t xml:space="preserve"> of </w:t>
      </w:r>
      <w:proofErr w:type="spellStart"/>
      <w:r>
        <w:rPr>
          <w:rFonts w:ascii="Calibri" w:eastAsia="Calibri" w:hAnsi="Calibri" w:cs="Calibri"/>
          <w:color w:val="3A3A3A"/>
          <w:sz w:val="19"/>
          <w:szCs w:val="19"/>
        </w:rPr>
        <w:t>book-reading</w:t>
      </w:r>
      <w:proofErr w:type="spellEnd"/>
      <w:r>
        <w:rPr>
          <w:rFonts w:ascii="Calibri" w:eastAsia="Calibri" w:hAnsi="Calibri" w:cs="Calibri"/>
          <w:color w:val="3A3A3A"/>
          <w:sz w:val="19"/>
          <w:szCs w:val="19"/>
        </w:rPr>
        <w:t xml:space="preserve"> at 9-months </w:t>
      </w:r>
      <w:proofErr w:type="spellStart"/>
      <w:r>
        <w:rPr>
          <w:rFonts w:ascii="Calibri" w:eastAsia="Calibri" w:hAnsi="Calibri" w:cs="Calibri"/>
          <w:color w:val="3A3A3A"/>
          <w:sz w:val="19"/>
          <w:szCs w:val="19"/>
        </w:rPr>
        <w:t>on</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vocabulary</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development</w:t>
      </w:r>
      <w:proofErr w:type="spellEnd"/>
      <w:r>
        <w:rPr>
          <w:rFonts w:ascii="Calibri" w:eastAsia="Calibri" w:hAnsi="Calibri" w:cs="Calibri"/>
          <w:color w:val="3A3A3A"/>
          <w:sz w:val="19"/>
          <w:szCs w:val="19"/>
        </w:rPr>
        <w:t xml:space="preserve"> at 36-months: </w:t>
      </w:r>
      <w:proofErr w:type="spellStart"/>
      <w:r>
        <w:rPr>
          <w:rFonts w:ascii="Calibri" w:eastAsia="Calibri" w:hAnsi="Calibri" w:cs="Calibri"/>
          <w:color w:val="3A3A3A"/>
          <w:sz w:val="19"/>
          <w:szCs w:val="19"/>
        </w:rPr>
        <w:t>Insights</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from</w:t>
      </w:r>
      <w:proofErr w:type="spellEnd"/>
      <w:r>
        <w:rPr>
          <w:rFonts w:ascii="Calibri" w:eastAsia="Calibri" w:hAnsi="Calibri" w:cs="Calibri"/>
          <w:color w:val="3A3A3A"/>
          <w:sz w:val="19"/>
          <w:szCs w:val="19"/>
        </w:rPr>
        <w:t xml:space="preserve"> a </w:t>
      </w:r>
      <w:proofErr w:type="spellStart"/>
      <w:r>
        <w:rPr>
          <w:rFonts w:ascii="Calibri" w:eastAsia="Calibri" w:hAnsi="Calibri" w:cs="Calibri"/>
          <w:color w:val="3A3A3A"/>
          <w:sz w:val="19"/>
          <w:szCs w:val="19"/>
        </w:rPr>
        <w:t>nationally</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representative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sample</w:t>
      </w:r>
      <w:proofErr w:type="spellEnd"/>
      <w:r>
        <w:rPr>
          <w:rFonts w:ascii="Calibri" w:eastAsia="Calibri" w:hAnsi="Calibri" w:cs="Calibri"/>
          <w:color w:val="3A3A3A"/>
          <w:sz w:val="19"/>
          <w:szCs w:val="19"/>
        </w:rPr>
        <w:t xml:space="preserve"> of </w:t>
      </w:r>
      <w:proofErr w:type="spellStart"/>
      <w:r>
        <w:rPr>
          <w:rFonts w:ascii="Calibri" w:eastAsia="Calibri" w:hAnsi="Calibri" w:cs="Calibri"/>
          <w:color w:val="3A3A3A"/>
          <w:sz w:val="19"/>
          <w:szCs w:val="19"/>
        </w:rPr>
        <w:t>Irish</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families</w:t>
      </w:r>
      <w:proofErr w:type="spellEnd"/>
      <w:r>
        <w:rPr>
          <w:rFonts w:ascii="Calibri" w:eastAsia="Calibri" w:hAnsi="Calibri" w:cs="Calibri"/>
          <w:color w:val="3A3A3A"/>
          <w:sz w:val="19"/>
          <w:szCs w:val="19"/>
        </w:rPr>
        <w:t xml:space="preserve">. </w:t>
      </w:r>
      <w:proofErr w:type="spellStart"/>
      <w:r>
        <w:rPr>
          <w:rFonts w:ascii="Calibri" w:eastAsia="Calibri" w:hAnsi="Calibri" w:cs="Calibri"/>
          <w:i/>
          <w:iCs/>
          <w:color w:val="3A3A3A"/>
          <w:sz w:val="19"/>
          <w:szCs w:val="19"/>
        </w:rPr>
        <w:t>Early</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Childhood</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Research</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Quarterly</w:t>
      </w:r>
      <w:proofErr w:type="spellEnd"/>
      <w:r>
        <w:rPr>
          <w:rFonts w:ascii="Calibri" w:eastAsia="Calibri" w:hAnsi="Calibri" w:cs="Calibri"/>
          <w:i/>
          <w:iCs/>
          <w:color w:val="3A3A3A"/>
          <w:sz w:val="19"/>
          <w:szCs w:val="19"/>
        </w:rPr>
        <w:t>, 58</w:t>
      </w:r>
      <w:r>
        <w:rPr>
          <w:rFonts w:ascii="Calibri" w:eastAsia="Calibri" w:hAnsi="Calibri" w:cs="Calibri"/>
          <w:color w:val="3A3A3A"/>
          <w:sz w:val="19"/>
          <w:szCs w:val="19"/>
        </w:rPr>
        <w:t>, 242–253. https://doi.org/10.1016/j.ecresq.2021.09.009</w:t>
      </w:r>
    </w:p>
    <w:p w14:paraId="70676996" w14:textId="77777777" w:rsidR="00B65238" w:rsidRDefault="00DB1FD1">
      <w:pPr>
        <w:spacing w:after="160" w:line="264" w:lineRule="auto"/>
        <w:ind w:left="403" w:hanging="403"/>
      </w:pPr>
      <w:r>
        <w:rPr>
          <w:rFonts w:ascii="Calibri" w:eastAsia="Calibri" w:hAnsi="Calibri" w:cs="Calibri"/>
          <w:color w:val="3A3A3A"/>
          <w:sz w:val="19"/>
          <w:szCs w:val="19"/>
        </w:rPr>
        <w:t xml:space="preserve">Rupert, J., Hughes, P., &amp; </w:t>
      </w:r>
      <w:proofErr w:type="spellStart"/>
      <w:r>
        <w:rPr>
          <w:rFonts w:ascii="Calibri" w:eastAsia="Calibri" w:hAnsi="Calibri" w:cs="Calibri"/>
          <w:color w:val="3A3A3A"/>
          <w:sz w:val="19"/>
          <w:szCs w:val="19"/>
        </w:rPr>
        <w:t>Schoenherr</w:t>
      </w:r>
      <w:proofErr w:type="spellEnd"/>
      <w:r>
        <w:rPr>
          <w:rFonts w:ascii="Calibri" w:eastAsia="Calibri" w:hAnsi="Calibri" w:cs="Calibri"/>
          <w:color w:val="3A3A3A"/>
          <w:sz w:val="19"/>
          <w:szCs w:val="19"/>
        </w:rPr>
        <w:t xml:space="preserve">, D. (2023). </w:t>
      </w:r>
      <w:proofErr w:type="spellStart"/>
      <w:r>
        <w:rPr>
          <w:rFonts w:ascii="Calibri" w:eastAsia="Calibri" w:hAnsi="Calibri" w:cs="Calibri"/>
          <w:color w:val="3A3A3A"/>
          <w:sz w:val="19"/>
          <w:szCs w:val="19"/>
        </w:rPr>
        <w:t>Speech</w:t>
      </w:r>
      <w:proofErr w:type="spellEnd"/>
      <w:r>
        <w:rPr>
          <w:rFonts w:ascii="Calibri" w:eastAsia="Calibri" w:hAnsi="Calibri" w:cs="Calibri"/>
          <w:color w:val="3A3A3A"/>
          <w:sz w:val="19"/>
          <w:szCs w:val="19"/>
        </w:rPr>
        <w:t xml:space="preserve"> and </w:t>
      </w:r>
      <w:proofErr w:type="spellStart"/>
      <w:r>
        <w:rPr>
          <w:rFonts w:ascii="Calibri" w:eastAsia="Calibri" w:hAnsi="Calibri" w:cs="Calibri"/>
          <w:color w:val="3A3A3A"/>
          <w:sz w:val="19"/>
          <w:szCs w:val="19"/>
        </w:rPr>
        <w:t>language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delay</w:t>
      </w:r>
      <w:proofErr w:type="spellEnd"/>
      <w:r>
        <w:rPr>
          <w:rFonts w:ascii="Calibri" w:eastAsia="Calibri" w:hAnsi="Calibri" w:cs="Calibri"/>
          <w:color w:val="3A3A3A"/>
          <w:sz w:val="19"/>
          <w:szCs w:val="19"/>
        </w:rPr>
        <w:t xml:space="preserve"> in </w:t>
      </w:r>
      <w:proofErr w:type="spellStart"/>
      <w:r>
        <w:rPr>
          <w:rFonts w:ascii="Calibri" w:eastAsia="Calibri" w:hAnsi="Calibri" w:cs="Calibri"/>
          <w:color w:val="3A3A3A"/>
          <w:sz w:val="19"/>
          <w:szCs w:val="19"/>
        </w:rPr>
        <w:t>children</w:t>
      </w:r>
      <w:proofErr w:type="spellEnd"/>
      <w:r>
        <w:rPr>
          <w:rFonts w:ascii="Calibri" w:eastAsia="Calibri" w:hAnsi="Calibri" w:cs="Calibri"/>
          <w:color w:val="3A3A3A"/>
          <w:sz w:val="19"/>
          <w:szCs w:val="19"/>
        </w:rPr>
        <w:t xml:space="preserve">. </w:t>
      </w:r>
      <w:r>
        <w:rPr>
          <w:rFonts w:ascii="Calibri" w:eastAsia="Calibri" w:hAnsi="Calibri" w:cs="Calibri"/>
          <w:i/>
          <w:iCs/>
          <w:color w:val="3A3A3A"/>
          <w:sz w:val="19"/>
          <w:szCs w:val="19"/>
        </w:rPr>
        <w:t xml:space="preserve">American </w:t>
      </w:r>
      <w:proofErr w:type="spellStart"/>
      <w:r>
        <w:rPr>
          <w:rFonts w:ascii="Calibri" w:eastAsia="Calibri" w:hAnsi="Calibri" w:cs="Calibri"/>
          <w:i/>
          <w:iCs/>
          <w:color w:val="3A3A3A"/>
          <w:sz w:val="19"/>
          <w:szCs w:val="19"/>
        </w:rPr>
        <w:t>Family</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Physician</w:t>
      </w:r>
      <w:proofErr w:type="spellEnd"/>
      <w:r>
        <w:rPr>
          <w:rFonts w:ascii="Calibri" w:eastAsia="Calibri" w:hAnsi="Calibri" w:cs="Calibri"/>
          <w:i/>
          <w:iCs/>
          <w:color w:val="3A3A3A"/>
          <w:sz w:val="19"/>
          <w:szCs w:val="19"/>
        </w:rPr>
        <w:t>, 108</w:t>
      </w:r>
      <w:r>
        <w:rPr>
          <w:rFonts w:ascii="Calibri" w:eastAsia="Calibri" w:hAnsi="Calibri" w:cs="Calibri"/>
          <w:color w:val="3A3A3A"/>
          <w:sz w:val="19"/>
          <w:szCs w:val="19"/>
        </w:rPr>
        <w:t>(2), 181–188. https://www.aafp.org/afp/2023/0800/speech-language-delay-children</w:t>
      </w:r>
    </w:p>
    <w:p w14:paraId="4A4A89D1" w14:textId="77777777" w:rsidR="00B65238" w:rsidRDefault="00DB1FD1">
      <w:pPr>
        <w:spacing w:after="160" w:line="264" w:lineRule="auto"/>
        <w:ind w:left="403" w:hanging="403"/>
      </w:pPr>
      <w:proofErr w:type="spellStart"/>
      <w:r>
        <w:rPr>
          <w:rFonts w:ascii="Calibri" w:eastAsia="Calibri" w:hAnsi="Calibri" w:cs="Calibri"/>
          <w:color w:val="3A3A3A"/>
          <w:sz w:val="19"/>
          <w:szCs w:val="19"/>
        </w:rPr>
        <w:t>Towson</w:t>
      </w:r>
      <w:proofErr w:type="spellEnd"/>
      <w:r>
        <w:rPr>
          <w:rFonts w:ascii="Calibri" w:eastAsia="Calibri" w:hAnsi="Calibri" w:cs="Calibri"/>
          <w:color w:val="3A3A3A"/>
          <w:sz w:val="19"/>
          <w:szCs w:val="19"/>
        </w:rPr>
        <w:t xml:space="preserve">, J. A., </w:t>
      </w:r>
      <w:proofErr w:type="spellStart"/>
      <w:r>
        <w:rPr>
          <w:rFonts w:ascii="Calibri" w:eastAsia="Calibri" w:hAnsi="Calibri" w:cs="Calibri"/>
          <w:color w:val="3A3A3A"/>
          <w:sz w:val="19"/>
          <w:szCs w:val="19"/>
        </w:rPr>
        <w:t>Akemoglu</w:t>
      </w:r>
      <w:proofErr w:type="spellEnd"/>
      <w:r>
        <w:rPr>
          <w:rFonts w:ascii="Calibri" w:eastAsia="Calibri" w:hAnsi="Calibri" w:cs="Calibri"/>
          <w:color w:val="3A3A3A"/>
          <w:sz w:val="19"/>
          <w:szCs w:val="19"/>
        </w:rPr>
        <w:t xml:space="preserve">, Y., Watkins, L., &amp; </w:t>
      </w:r>
      <w:proofErr w:type="spellStart"/>
      <w:r>
        <w:rPr>
          <w:rFonts w:ascii="Calibri" w:eastAsia="Calibri" w:hAnsi="Calibri" w:cs="Calibri"/>
          <w:color w:val="3A3A3A"/>
          <w:sz w:val="19"/>
          <w:szCs w:val="19"/>
        </w:rPr>
        <w:t>Zeng</w:t>
      </w:r>
      <w:proofErr w:type="spellEnd"/>
      <w:r>
        <w:rPr>
          <w:rFonts w:ascii="Calibri" w:eastAsia="Calibri" w:hAnsi="Calibri" w:cs="Calibri"/>
          <w:color w:val="3A3A3A"/>
          <w:sz w:val="19"/>
          <w:szCs w:val="19"/>
        </w:rPr>
        <w:t xml:space="preserve">, S. (2021). </w:t>
      </w:r>
      <w:proofErr w:type="spellStart"/>
      <w:r>
        <w:rPr>
          <w:rFonts w:ascii="Calibri" w:eastAsia="Calibri" w:hAnsi="Calibri" w:cs="Calibri"/>
          <w:color w:val="3A3A3A"/>
          <w:sz w:val="19"/>
          <w:szCs w:val="19"/>
        </w:rPr>
        <w:t>Shared</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interactive</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book</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reading</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interventions</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for</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young</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children</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with</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disabilities</w:t>
      </w:r>
      <w:proofErr w:type="spellEnd"/>
      <w:r>
        <w:rPr>
          <w:rFonts w:ascii="Calibri" w:eastAsia="Calibri" w:hAnsi="Calibri" w:cs="Calibri"/>
          <w:color w:val="3A3A3A"/>
          <w:sz w:val="19"/>
          <w:szCs w:val="19"/>
        </w:rPr>
        <w:t xml:space="preserve">: A </w:t>
      </w:r>
      <w:proofErr w:type="spellStart"/>
      <w:r>
        <w:rPr>
          <w:rFonts w:ascii="Calibri" w:eastAsia="Calibri" w:hAnsi="Calibri" w:cs="Calibri"/>
          <w:color w:val="3A3A3A"/>
          <w:sz w:val="19"/>
          <w:szCs w:val="19"/>
        </w:rPr>
        <w:t>systematic</w:t>
      </w:r>
      <w:proofErr w:type="spellEnd"/>
      <w:r>
        <w:rPr>
          <w:rFonts w:ascii="Calibri" w:eastAsia="Calibri" w:hAnsi="Calibri" w:cs="Calibri"/>
          <w:color w:val="3A3A3A"/>
          <w:sz w:val="19"/>
          <w:szCs w:val="19"/>
        </w:rPr>
        <w:t xml:space="preserve"> </w:t>
      </w:r>
      <w:proofErr w:type="spellStart"/>
      <w:r>
        <w:rPr>
          <w:rFonts w:ascii="Calibri" w:eastAsia="Calibri" w:hAnsi="Calibri" w:cs="Calibri"/>
          <w:color w:val="3A3A3A"/>
          <w:sz w:val="19"/>
          <w:szCs w:val="19"/>
        </w:rPr>
        <w:t>review</w:t>
      </w:r>
      <w:proofErr w:type="spellEnd"/>
      <w:r>
        <w:rPr>
          <w:rFonts w:ascii="Calibri" w:eastAsia="Calibri" w:hAnsi="Calibri" w:cs="Calibri"/>
          <w:color w:val="3A3A3A"/>
          <w:sz w:val="19"/>
          <w:szCs w:val="19"/>
        </w:rPr>
        <w:t xml:space="preserve">. </w:t>
      </w:r>
      <w:r>
        <w:rPr>
          <w:rFonts w:ascii="Calibri" w:eastAsia="Calibri" w:hAnsi="Calibri" w:cs="Calibri"/>
          <w:i/>
          <w:iCs/>
          <w:color w:val="3A3A3A"/>
          <w:sz w:val="19"/>
          <w:szCs w:val="19"/>
        </w:rPr>
        <w:t xml:space="preserve">American </w:t>
      </w:r>
      <w:proofErr w:type="spellStart"/>
      <w:r>
        <w:rPr>
          <w:rFonts w:ascii="Calibri" w:eastAsia="Calibri" w:hAnsi="Calibri" w:cs="Calibri"/>
          <w:i/>
          <w:iCs/>
          <w:color w:val="3A3A3A"/>
          <w:sz w:val="19"/>
          <w:szCs w:val="19"/>
        </w:rPr>
        <w:t>Journal</w:t>
      </w:r>
      <w:proofErr w:type="spellEnd"/>
      <w:r>
        <w:rPr>
          <w:rFonts w:ascii="Calibri" w:eastAsia="Calibri" w:hAnsi="Calibri" w:cs="Calibri"/>
          <w:i/>
          <w:iCs/>
          <w:color w:val="3A3A3A"/>
          <w:sz w:val="19"/>
          <w:szCs w:val="19"/>
        </w:rPr>
        <w:t xml:space="preserve"> of </w:t>
      </w:r>
      <w:proofErr w:type="spellStart"/>
      <w:r>
        <w:rPr>
          <w:rFonts w:ascii="Calibri" w:eastAsia="Calibri" w:hAnsi="Calibri" w:cs="Calibri"/>
          <w:i/>
          <w:iCs/>
          <w:color w:val="3A3A3A"/>
          <w:sz w:val="19"/>
          <w:szCs w:val="19"/>
        </w:rPr>
        <w:t>Speech-Language</w:t>
      </w:r>
      <w:proofErr w:type="spellEnd"/>
      <w:r>
        <w:rPr>
          <w:rFonts w:ascii="Calibri" w:eastAsia="Calibri" w:hAnsi="Calibri" w:cs="Calibri"/>
          <w:i/>
          <w:iCs/>
          <w:color w:val="3A3A3A"/>
          <w:sz w:val="19"/>
          <w:szCs w:val="19"/>
        </w:rPr>
        <w:t xml:space="preserve"> </w:t>
      </w:r>
      <w:proofErr w:type="spellStart"/>
      <w:r>
        <w:rPr>
          <w:rFonts w:ascii="Calibri" w:eastAsia="Calibri" w:hAnsi="Calibri" w:cs="Calibri"/>
          <w:i/>
          <w:iCs/>
          <w:color w:val="3A3A3A"/>
          <w:sz w:val="19"/>
          <w:szCs w:val="19"/>
        </w:rPr>
        <w:t>Pathology</w:t>
      </w:r>
      <w:proofErr w:type="spellEnd"/>
      <w:r>
        <w:rPr>
          <w:rFonts w:ascii="Calibri" w:eastAsia="Calibri" w:hAnsi="Calibri" w:cs="Calibri"/>
          <w:i/>
          <w:iCs/>
          <w:color w:val="3A3A3A"/>
          <w:sz w:val="19"/>
          <w:szCs w:val="19"/>
        </w:rPr>
        <w:t>, 30</w:t>
      </w:r>
      <w:r>
        <w:rPr>
          <w:rFonts w:ascii="Calibri" w:eastAsia="Calibri" w:hAnsi="Calibri" w:cs="Calibri"/>
          <w:color w:val="3A3A3A"/>
          <w:sz w:val="19"/>
          <w:szCs w:val="19"/>
        </w:rPr>
        <w:t>(6), 2700–2715. https://doi.org/10.1044/2021_AJSLP-20-00401</w:t>
      </w:r>
    </w:p>
    <w:p w14:paraId="2895E72D" w14:textId="77777777" w:rsidR="00B65238" w:rsidRDefault="00DB1FD1">
      <w:pPr>
        <w:spacing w:before="240" w:after="160"/>
      </w:pPr>
      <w:r>
        <w:rPr>
          <w:rFonts w:ascii="Calibri" w:eastAsia="Calibri" w:hAnsi="Calibri" w:cs="Calibri"/>
          <w:b/>
          <w:bCs/>
          <w:color w:val="0F5C56"/>
          <w:sz w:val="32"/>
          <w:szCs w:val="32"/>
        </w:rPr>
        <w:t>Control de evidencia</w:t>
      </w:r>
    </w:p>
    <w:p w14:paraId="19D2716E" w14:textId="77777777" w:rsidR="00B65238" w:rsidRDefault="00DB1FD1">
      <w:pPr>
        <w:keepNext/>
        <w:spacing w:before="180" w:after="90"/>
      </w:pPr>
      <w:r>
        <w:rPr>
          <w:rFonts w:ascii="Calibri" w:eastAsia="Calibri" w:hAnsi="Calibri" w:cs="Calibri"/>
          <w:b/>
          <w:bCs/>
          <w:color w:val="1A1A1A"/>
          <w:sz w:val="22"/>
          <w:szCs w:val="22"/>
        </w:rPr>
        <w:t>1. Principales fuentes, afirmaciones que respaldan y tipo de evidencia</w:t>
      </w:r>
    </w:p>
    <w:p w14:paraId="395658C3"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Galea</w:t>
      </w:r>
      <w:proofErr w:type="spellEnd"/>
      <w:r>
        <w:rPr>
          <w:rFonts w:ascii="Calibri" w:eastAsia="Calibri" w:hAnsi="Calibri" w:cs="Calibri"/>
          <w:b/>
          <w:bCs/>
          <w:color w:val="3A3A3A"/>
          <w:sz w:val="21"/>
          <w:szCs w:val="21"/>
        </w:rPr>
        <w:t xml:space="preserve"> et al. (2025): </w:t>
      </w:r>
      <w:r>
        <w:rPr>
          <w:rFonts w:ascii="Calibri" w:eastAsia="Calibri" w:hAnsi="Calibri" w:cs="Calibri"/>
          <w:color w:val="3A3A3A"/>
          <w:sz w:val="21"/>
          <w:szCs w:val="21"/>
        </w:rPr>
        <w:t xml:space="preserve">respalda que la lectura compartida en casa se asocia con mejores resultados de lenguaje y vocabulario en niños menores de cuatro años. Es una revisión sistemática con </w:t>
      </w:r>
      <w:proofErr w:type="spellStart"/>
      <w:r>
        <w:rPr>
          <w:rFonts w:ascii="Calibri" w:eastAsia="Calibri" w:hAnsi="Calibri" w:cs="Calibri"/>
          <w:color w:val="3A3A3A"/>
          <w:sz w:val="21"/>
          <w:szCs w:val="21"/>
        </w:rPr>
        <w:t>metaanálisis</w:t>
      </w:r>
      <w:proofErr w:type="spellEnd"/>
      <w:r>
        <w:rPr>
          <w:rFonts w:ascii="Calibri" w:eastAsia="Calibri" w:hAnsi="Calibri" w:cs="Calibri"/>
          <w:color w:val="3A3A3A"/>
          <w:sz w:val="21"/>
          <w:szCs w:val="21"/>
        </w:rPr>
        <w:t xml:space="preserve"> de estudios observacionales (transversales y longitudinales), no de experimentos.</w:t>
      </w:r>
    </w:p>
    <w:p w14:paraId="4097F579"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Dowdall</w:t>
      </w:r>
      <w:proofErr w:type="spellEnd"/>
      <w:r>
        <w:rPr>
          <w:rFonts w:ascii="Calibri" w:eastAsia="Calibri" w:hAnsi="Calibri" w:cs="Calibri"/>
          <w:b/>
          <w:bCs/>
          <w:color w:val="3A3A3A"/>
          <w:sz w:val="21"/>
          <w:szCs w:val="21"/>
        </w:rPr>
        <w:t xml:space="preserve"> et al. (2020): </w:t>
      </w:r>
      <w:r>
        <w:rPr>
          <w:rFonts w:ascii="Calibri" w:eastAsia="Calibri" w:hAnsi="Calibri" w:cs="Calibri"/>
          <w:color w:val="3A3A3A"/>
          <w:sz w:val="21"/>
          <w:szCs w:val="21"/>
        </w:rPr>
        <w:t xml:space="preserve">respalda que los programas que enseñan a los cuidadores a compartir libros tienen efectos pequeños sobre el lenguaje expresivo y el receptivo, y que los programas de muy baja dosis tienen un impacto mínimo. Es un </w:t>
      </w:r>
      <w:proofErr w:type="spellStart"/>
      <w:r>
        <w:rPr>
          <w:rFonts w:ascii="Calibri" w:eastAsia="Calibri" w:hAnsi="Calibri" w:cs="Calibri"/>
          <w:color w:val="3A3A3A"/>
          <w:sz w:val="21"/>
          <w:szCs w:val="21"/>
        </w:rPr>
        <w:t>metaanálisis</w:t>
      </w:r>
      <w:proofErr w:type="spellEnd"/>
      <w:r>
        <w:rPr>
          <w:rFonts w:ascii="Calibri" w:eastAsia="Calibri" w:hAnsi="Calibri" w:cs="Calibri"/>
          <w:color w:val="3A3A3A"/>
          <w:sz w:val="21"/>
          <w:szCs w:val="21"/>
        </w:rPr>
        <w:t xml:space="preserve"> de 19 ensayos controlados aleatorizados.</w:t>
      </w:r>
    </w:p>
    <w:p w14:paraId="20B10B7C"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Leech</w:t>
      </w:r>
      <w:proofErr w:type="spellEnd"/>
      <w:r>
        <w:rPr>
          <w:rFonts w:ascii="Calibri" w:eastAsia="Calibri" w:hAnsi="Calibri" w:cs="Calibri"/>
          <w:b/>
          <w:bCs/>
          <w:color w:val="3A3A3A"/>
          <w:sz w:val="21"/>
          <w:szCs w:val="21"/>
        </w:rPr>
        <w:t xml:space="preserve"> et al. (2022): </w:t>
      </w:r>
      <w:r>
        <w:rPr>
          <w:rFonts w:ascii="Calibri" w:eastAsia="Calibri" w:hAnsi="Calibri" w:cs="Calibri"/>
          <w:color w:val="3A3A3A"/>
          <w:sz w:val="21"/>
          <w:szCs w:val="21"/>
        </w:rPr>
        <w:t>respalda que los niños leídos a los 9 meses tienen mayor vocabulario expresivo a los 36 meses, tras controlar por variables sociodemográficas. Es un estudio longitudinal observacional de cohorte nacional.</w:t>
      </w:r>
    </w:p>
    <w:p w14:paraId="4312566F"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Chen</w:t>
      </w:r>
      <w:proofErr w:type="spellEnd"/>
      <w:r>
        <w:rPr>
          <w:rFonts w:ascii="Calibri" w:eastAsia="Calibri" w:hAnsi="Calibri" w:cs="Calibri"/>
          <w:b/>
          <w:bCs/>
          <w:color w:val="3A3A3A"/>
          <w:sz w:val="21"/>
          <w:szCs w:val="21"/>
        </w:rPr>
        <w:t xml:space="preserve"> et al. (2024): </w:t>
      </w:r>
      <w:r>
        <w:rPr>
          <w:rFonts w:ascii="Calibri" w:eastAsia="Calibri" w:hAnsi="Calibri" w:cs="Calibri"/>
          <w:color w:val="3A3A3A"/>
          <w:sz w:val="21"/>
          <w:szCs w:val="21"/>
        </w:rPr>
        <w:t>respalda que la frecuencia de lectura a los 9 meses se asoció con el lenguaje a los 18 meses, sin asociación significativa con la cantidad de estrategias interactivas. Es un estudio longitudinal observacional con análisis de trayectorias.</w:t>
      </w:r>
    </w:p>
    <w:p w14:paraId="318AB79E"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Karousou</w:t>
      </w:r>
      <w:proofErr w:type="spellEnd"/>
      <w:r>
        <w:rPr>
          <w:rFonts w:ascii="Calibri" w:eastAsia="Calibri" w:hAnsi="Calibri" w:cs="Calibri"/>
          <w:b/>
          <w:bCs/>
          <w:color w:val="3A3A3A"/>
          <w:sz w:val="21"/>
          <w:szCs w:val="21"/>
        </w:rPr>
        <w:t xml:space="preserve"> y </w:t>
      </w:r>
      <w:proofErr w:type="spellStart"/>
      <w:r>
        <w:rPr>
          <w:rFonts w:ascii="Calibri" w:eastAsia="Calibri" w:hAnsi="Calibri" w:cs="Calibri"/>
          <w:b/>
          <w:bCs/>
          <w:color w:val="3A3A3A"/>
          <w:sz w:val="21"/>
          <w:szCs w:val="21"/>
        </w:rPr>
        <w:t>Economacou</w:t>
      </w:r>
      <w:proofErr w:type="spellEnd"/>
      <w:r>
        <w:rPr>
          <w:rFonts w:ascii="Calibri" w:eastAsia="Calibri" w:hAnsi="Calibri" w:cs="Calibri"/>
          <w:b/>
          <w:bCs/>
          <w:color w:val="3A3A3A"/>
          <w:sz w:val="21"/>
          <w:szCs w:val="21"/>
        </w:rPr>
        <w:t xml:space="preserve"> (2024): </w:t>
      </w:r>
      <w:r>
        <w:rPr>
          <w:rFonts w:ascii="Calibri" w:eastAsia="Calibri" w:hAnsi="Calibri" w:cs="Calibri"/>
          <w:color w:val="3A3A3A"/>
          <w:sz w:val="21"/>
          <w:szCs w:val="21"/>
        </w:rPr>
        <w:t>respalda las asociaciones entre lectura (frecuencia y estrategias interactivas) y comunicación y lenguaje en niños de 6 a 36 meses. Es un estudio transversal basado en reporte parental.</w:t>
      </w:r>
    </w:p>
    <w:p w14:paraId="31B2F354" w14:textId="77777777" w:rsidR="00B65238" w:rsidRDefault="00DB1FD1">
      <w:pPr>
        <w:pStyle w:val="Prrafodelista"/>
        <w:numPr>
          <w:ilvl w:val="0"/>
          <w:numId w:val="2"/>
        </w:numPr>
        <w:spacing w:after="110" w:line="270" w:lineRule="auto"/>
        <w:jc w:val="both"/>
      </w:pPr>
      <w:proofErr w:type="spellStart"/>
      <w:r>
        <w:rPr>
          <w:rFonts w:ascii="Calibri" w:eastAsia="Calibri" w:hAnsi="Calibri" w:cs="Calibri"/>
          <w:b/>
          <w:bCs/>
          <w:color w:val="3A3A3A"/>
          <w:sz w:val="21"/>
          <w:szCs w:val="21"/>
        </w:rPr>
        <w:t>Towson</w:t>
      </w:r>
      <w:proofErr w:type="spellEnd"/>
      <w:r>
        <w:rPr>
          <w:rFonts w:ascii="Calibri" w:eastAsia="Calibri" w:hAnsi="Calibri" w:cs="Calibri"/>
          <w:b/>
          <w:bCs/>
          <w:color w:val="3A3A3A"/>
          <w:sz w:val="21"/>
          <w:szCs w:val="21"/>
        </w:rPr>
        <w:t xml:space="preserve"> et al. (2021) y </w:t>
      </w:r>
      <w:proofErr w:type="spellStart"/>
      <w:r>
        <w:rPr>
          <w:rFonts w:ascii="Calibri" w:eastAsia="Calibri" w:hAnsi="Calibri" w:cs="Calibri"/>
          <w:b/>
          <w:bCs/>
          <w:color w:val="3A3A3A"/>
          <w:sz w:val="21"/>
          <w:szCs w:val="21"/>
        </w:rPr>
        <w:t>Jeremic</w:t>
      </w:r>
      <w:proofErr w:type="spellEnd"/>
      <w:r>
        <w:rPr>
          <w:rFonts w:ascii="Calibri" w:eastAsia="Calibri" w:hAnsi="Calibri" w:cs="Calibri"/>
          <w:b/>
          <w:bCs/>
          <w:color w:val="3A3A3A"/>
          <w:sz w:val="21"/>
          <w:szCs w:val="21"/>
        </w:rPr>
        <w:t xml:space="preserve"> et al. (2023): </w:t>
      </w:r>
      <w:r>
        <w:rPr>
          <w:rFonts w:ascii="Calibri" w:eastAsia="Calibri" w:hAnsi="Calibri" w:cs="Calibri"/>
          <w:color w:val="3A3A3A"/>
          <w:sz w:val="21"/>
          <w:szCs w:val="21"/>
        </w:rPr>
        <w:t>respaldan que la lectura interactiva puede usarse en niños con discapacidad o retraso del desarrollo, con resultados generalmente favorables pero variables, y con evidencia limitada en síndrome de Down. Son revisiones sistemáticas y una revisión breve, basadas sobre todo en estudios pequeños o de caso único.</w:t>
      </w:r>
    </w:p>
    <w:p w14:paraId="392DA992" w14:textId="77777777" w:rsidR="00B65238" w:rsidRDefault="00DB1FD1">
      <w:pPr>
        <w:pStyle w:val="Prrafodelista"/>
        <w:numPr>
          <w:ilvl w:val="0"/>
          <w:numId w:val="2"/>
        </w:numPr>
        <w:spacing w:after="110" w:line="270" w:lineRule="auto"/>
        <w:jc w:val="both"/>
      </w:pPr>
      <w:r>
        <w:rPr>
          <w:rFonts w:ascii="Calibri" w:eastAsia="Calibri" w:hAnsi="Calibri" w:cs="Calibri"/>
          <w:b/>
          <w:bCs/>
          <w:color w:val="3A3A3A"/>
          <w:sz w:val="21"/>
          <w:szCs w:val="21"/>
        </w:rPr>
        <w:t xml:space="preserve">Rupert et al. (2023): </w:t>
      </w:r>
      <w:r>
        <w:rPr>
          <w:rFonts w:ascii="Calibri" w:eastAsia="Calibri" w:hAnsi="Calibri" w:cs="Calibri"/>
          <w:color w:val="3A3A3A"/>
          <w:sz w:val="21"/>
          <w:szCs w:val="21"/>
        </w:rPr>
        <w:t>respalda cuándo consultar (pérdida de habilidades, preocupación persistente) y que la observación de la familia tiene valor clínico. Es una revisión clínica revisada por pares.</w:t>
      </w:r>
    </w:p>
    <w:p w14:paraId="27CF0787" w14:textId="77777777" w:rsidR="00B65238" w:rsidRDefault="00DB1FD1">
      <w:pPr>
        <w:keepNext/>
        <w:spacing w:before="180" w:after="90"/>
      </w:pPr>
      <w:r>
        <w:rPr>
          <w:rFonts w:ascii="Calibri" w:eastAsia="Calibri" w:hAnsi="Calibri" w:cs="Calibri"/>
          <w:b/>
          <w:bCs/>
          <w:color w:val="1A1A1A"/>
          <w:sz w:val="22"/>
          <w:szCs w:val="22"/>
        </w:rPr>
        <w:t>2. Fuentes anteriores a 2021</w:t>
      </w:r>
    </w:p>
    <w:p w14:paraId="4C609671" w14:textId="77777777" w:rsidR="00B65238" w:rsidRDefault="00DB1FD1">
      <w:pPr>
        <w:spacing w:after="160" w:line="276" w:lineRule="auto"/>
        <w:jc w:val="both"/>
      </w:pPr>
      <w:r>
        <w:rPr>
          <w:rFonts w:ascii="Calibri" w:eastAsia="Calibri" w:hAnsi="Calibri" w:cs="Calibri"/>
          <w:color w:val="3A3A3A"/>
          <w:sz w:val="21"/>
          <w:szCs w:val="21"/>
        </w:rPr>
        <w:t xml:space="preserve">Solo </w:t>
      </w:r>
      <w:proofErr w:type="spellStart"/>
      <w:r>
        <w:rPr>
          <w:rFonts w:ascii="Calibri" w:eastAsia="Calibri" w:hAnsi="Calibri" w:cs="Calibri"/>
          <w:color w:val="3A3A3A"/>
          <w:sz w:val="21"/>
          <w:szCs w:val="21"/>
        </w:rPr>
        <w:t>Dowdall</w:t>
      </w:r>
      <w:proofErr w:type="spellEnd"/>
      <w:r>
        <w:rPr>
          <w:rFonts w:ascii="Calibri" w:eastAsia="Calibri" w:hAnsi="Calibri" w:cs="Calibri"/>
          <w:color w:val="3A3A3A"/>
          <w:sz w:val="21"/>
          <w:szCs w:val="21"/>
        </w:rPr>
        <w:t xml:space="preserve"> et al. (2020), publicada un año antes del rango preferente. Fue necesaria porque es el </w:t>
      </w:r>
      <w:proofErr w:type="spellStart"/>
      <w:r>
        <w:rPr>
          <w:rFonts w:ascii="Calibri" w:eastAsia="Calibri" w:hAnsi="Calibri" w:cs="Calibri"/>
          <w:color w:val="3A3A3A"/>
          <w:sz w:val="21"/>
          <w:szCs w:val="21"/>
        </w:rPr>
        <w:t>metaanálisis</w:t>
      </w:r>
      <w:proofErr w:type="spellEnd"/>
      <w:r>
        <w:rPr>
          <w:rFonts w:ascii="Calibri" w:eastAsia="Calibri" w:hAnsi="Calibri" w:cs="Calibri"/>
          <w:color w:val="3A3A3A"/>
          <w:sz w:val="21"/>
          <w:szCs w:val="21"/>
        </w:rPr>
        <w:t xml:space="preserve"> de ensayos aleatorizados más completo que se encontró, con tamaños de efecto y análisis de dosis. La revisión de 2025 no lo sustituye, ya que su alcance es correlacional y no evalúa el efecto de intervenciones. Además, la propia revisión de 2025 lo cita como referencia central.</w:t>
      </w:r>
    </w:p>
    <w:p w14:paraId="30784312" w14:textId="77777777" w:rsidR="00B65238" w:rsidRDefault="00DB1FD1">
      <w:pPr>
        <w:keepNext/>
        <w:spacing w:before="180" w:after="90"/>
      </w:pPr>
      <w:r>
        <w:rPr>
          <w:rFonts w:ascii="Calibri" w:eastAsia="Calibri" w:hAnsi="Calibri" w:cs="Calibri"/>
          <w:b/>
          <w:bCs/>
          <w:color w:val="1A1A1A"/>
          <w:sz w:val="22"/>
          <w:szCs w:val="22"/>
        </w:rPr>
        <w:t>3. Afirmaciones que se matizaron por las limitaciones de la evidencia</w:t>
      </w:r>
    </w:p>
    <w:p w14:paraId="10B1D119"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Se cambió el título propuesto (“la herramienta más poderosa”), porque ningún estudio respalda una afirmación comparativa de ese tipo. El título usa “oportunidad”.</w:t>
      </w:r>
    </w:p>
    <w:p w14:paraId="10AF7178"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Se presentó por separado lo asociativo y lo experimental, y se aclaró que la mayoría de los estudios son observacionales y no permiten inferir causalidad.</w:t>
      </w:r>
    </w:p>
    <w:p w14:paraId="35A0C3B7"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 xml:space="preserve">No se recomendó una cantidad de minutos. La “dosis” reportada por </w:t>
      </w:r>
      <w:proofErr w:type="spellStart"/>
      <w:r>
        <w:rPr>
          <w:rFonts w:ascii="Calibri" w:eastAsia="Calibri" w:hAnsi="Calibri" w:cs="Calibri"/>
          <w:color w:val="3A3A3A"/>
          <w:sz w:val="21"/>
          <w:szCs w:val="21"/>
        </w:rPr>
        <w:t>Dowdall</w:t>
      </w:r>
      <w:proofErr w:type="spellEnd"/>
      <w:r>
        <w:rPr>
          <w:rFonts w:ascii="Calibri" w:eastAsia="Calibri" w:hAnsi="Calibri" w:cs="Calibri"/>
          <w:color w:val="3A3A3A"/>
          <w:sz w:val="21"/>
          <w:szCs w:val="21"/>
        </w:rPr>
        <w:t xml:space="preserve"> se refiere a la duración de los programas, no a la lectura diaria.</w:t>
      </w:r>
    </w:p>
    <w:p w14:paraId="73810304"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No se afirmó que la calidad de la lectura pese más que la frecuencia (ni al revés): los resultados entre estudios no coinciden.</w:t>
      </w:r>
    </w:p>
    <w:p w14:paraId="375DB1DB"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Se señaló que las asociaciones pueden reflejar otras características del entorno familiar (</w:t>
      </w:r>
      <w:proofErr w:type="spellStart"/>
      <w:r>
        <w:rPr>
          <w:rFonts w:ascii="Calibri" w:eastAsia="Calibri" w:hAnsi="Calibri" w:cs="Calibri"/>
          <w:color w:val="3A3A3A"/>
          <w:sz w:val="21"/>
          <w:szCs w:val="21"/>
        </w:rPr>
        <w:t>Leech</w:t>
      </w:r>
      <w:proofErr w:type="spellEnd"/>
      <w:r>
        <w:rPr>
          <w:rFonts w:ascii="Calibri" w:eastAsia="Calibri" w:hAnsi="Calibri" w:cs="Calibri"/>
          <w:color w:val="3A3A3A"/>
          <w:sz w:val="21"/>
          <w:szCs w:val="21"/>
        </w:rPr>
        <w:t xml:space="preserve"> et al., 2022).</w:t>
      </w:r>
    </w:p>
    <w:p w14:paraId="207CECB6" w14:textId="77777777" w:rsidR="00B65238" w:rsidRDefault="00DB1FD1">
      <w:pPr>
        <w:pStyle w:val="Prrafodelista"/>
        <w:numPr>
          <w:ilvl w:val="0"/>
          <w:numId w:val="2"/>
        </w:numPr>
        <w:spacing w:after="110" w:line="270" w:lineRule="auto"/>
        <w:jc w:val="both"/>
      </w:pPr>
      <w:r>
        <w:rPr>
          <w:rFonts w:ascii="Calibri" w:eastAsia="Calibri" w:hAnsi="Calibri" w:cs="Calibri"/>
          <w:color w:val="3A3A3A"/>
          <w:sz w:val="21"/>
          <w:szCs w:val="21"/>
        </w:rPr>
        <w:t>Para niños con discapacidad, se señaló que la evidencia es limitada y de baja calidad.</w:t>
      </w:r>
    </w:p>
    <w:p w14:paraId="7391C6E6" w14:textId="77777777" w:rsidR="00B65238" w:rsidRDefault="00DB1FD1">
      <w:pPr>
        <w:keepNext/>
        <w:spacing w:before="180" w:after="90"/>
      </w:pPr>
      <w:r>
        <w:rPr>
          <w:rFonts w:ascii="Calibri" w:eastAsia="Calibri" w:hAnsi="Calibri" w:cs="Calibri"/>
          <w:b/>
          <w:bCs/>
          <w:color w:val="1A1A1A"/>
          <w:sz w:val="22"/>
          <w:szCs w:val="22"/>
        </w:rPr>
        <w:t>4. Aspectos que dependen de la práctica clínica y no de una fuente específica</w:t>
      </w:r>
    </w:p>
    <w:p w14:paraId="3A885C04" w14:textId="77777777" w:rsidR="00B65238" w:rsidRDefault="00DB1FD1">
      <w:pPr>
        <w:spacing w:after="160" w:line="276" w:lineRule="auto"/>
        <w:jc w:val="both"/>
      </w:pPr>
      <w:r>
        <w:rPr>
          <w:rFonts w:ascii="Calibri" w:eastAsia="Calibri" w:hAnsi="Calibri" w:cs="Calibri"/>
          <w:color w:val="3A3A3A"/>
          <w:sz w:val="21"/>
          <w:szCs w:val="21"/>
        </w:rPr>
        <w:t>Las estrategias concretas (comentar imágenes, ampliar lo que dice el niño, alternar preguntas y comentarios, adaptar según la edad) provienen de los enfoques de lectura interactiva descritos en la literatura y de la práctica fonoaudiológica. No se encontró evidencia que permita atribuir efectos a cada estrategia por separado. Lo mismo aplica a las sugerencias sobre libros sin texto, lectura en la lengua familiar y uso de bibliotecas. Los estudios revisados se realizaron, en su mayoría, en contextos distinto</w:t>
      </w:r>
      <w:r>
        <w:rPr>
          <w:rFonts w:ascii="Calibri" w:eastAsia="Calibri" w:hAnsi="Calibri" w:cs="Calibri"/>
          <w:color w:val="3A3A3A"/>
          <w:sz w:val="21"/>
          <w:szCs w:val="21"/>
        </w:rPr>
        <w:t>s al de las familias hispanohablantes de México, lo que conviene tener presente.</w:t>
      </w:r>
    </w:p>
    <w:p w14:paraId="1C3EE60A" w14:textId="77777777" w:rsidR="00B65238" w:rsidRDefault="00DB1FD1">
      <w:pPr>
        <w:keepNext/>
        <w:spacing w:before="180" w:after="90"/>
      </w:pPr>
      <w:r>
        <w:rPr>
          <w:rFonts w:ascii="Calibri" w:eastAsia="Calibri" w:hAnsi="Calibri" w:cs="Calibri"/>
          <w:b/>
          <w:bCs/>
          <w:color w:val="1A1A1A"/>
          <w:sz w:val="22"/>
          <w:szCs w:val="22"/>
        </w:rPr>
        <w:t>5. Verificación pendiente antes de publicar</w:t>
      </w:r>
    </w:p>
    <w:p w14:paraId="340BC648" w14:textId="77777777" w:rsidR="00B65238" w:rsidRDefault="00DB1FD1">
      <w:pPr>
        <w:spacing w:after="160" w:line="276" w:lineRule="auto"/>
        <w:jc w:val="both"/>
      </w:pPr>
      <w:r>
        <w:rPr>
          <w:rFonts w:ascii="Calibri" w:eastAsia="Calibri" w:hAnsi="Calibri" w:cs="Calibri"/>
          <w:color w:val="3A3A3A"/>
          <w:sz w:val="21"/>
          <w:szCs w:val="21"/>
        </w:rPr>
        <w:t xml:space="preserve">De </w:t>
      </w:r>
      <w:proofErr w:type="spellStart"/>
      <w:r>
        <w:rPr>
          <w:rFonts w:ascii="Calibri" w:eastAsia="Calibri" w:hAnsi="Calibri" w:cs="Calibri"/>
          <w:color w:val="3A3A3A"/>
          <w:sz w:val="21"/>
          <w:szCs w:val="21"/>
        </w:rPr>
        <w:t>Chen</w:t>
      </w:r>
      <w:proofErr w:type="spellEnd"/>
      <w:r>
        <w:rPr>
          <w:rFonts w:ascii="Calibri" w:eastAsia="Calibri" w:hAnsi="Calibri" w:cs="Calibri"/>
          <w:color w:val="3A3A3A"/>
          <w:sz w:val="21"/>
          <w:szCs w:val="21"/>
        </w:rPr>
        <w:t xml:space="preserve"> et al. (2024) no se pudo confirmar en la búsqueda el DOI ni el volumen y las páginas. La referencia incluye el enlace verificado a la fuente, y conviene completar esos datos en la revista antes de publicar. Tampoco se cubrieron pantallas o libros digitales, por no haberse revisado evidencia suficiente en esta búsqueda.</w:t>
      </w:r>
    </w:p>
    <w:sectPr w:rsidR="00B65238">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6EB7" w14:textId="77777777" w:rsidR="00DB1FD1" w:rsidRDefault="00DB1FD1">
      <w:r>
        <w:separator/>
      </w:r>
    </w:p>
  </w:endnote>
  <w:endnote w:type="continuationSeparator" w:id="0">
    <w:p w14:paraId="1A6B30FA" w14:textId="77777777" w:rsidR="00DB1FD1" w:rsidRDefault="00DB1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E81E" w14:textId="77777777" w:rsidR="00B65238" w:rsidRDefault="00DB1FD1">
    <w:pPr>
      <w:pBdr>
        <w:top w:val="single" w:sz="4" w:space="4" w:color="CCCCCC"/>
      </w:pBdr>
      <w:tabs>
        <w:tab w:val="right" w:pos="9720"/>
      </w:tabs>
    </w:pPr>
    <w:r>
      <w:rPr>
        <w:rFonts w:ascii="Calibri" w:eastAsia="Calibri" w:hAnsi="Calibri" w:cs="Calibri"/>
        <w:color w:val="6B6B6B"/>
        <w:sz w:val="16"/>
        <w:szCs w:val="16"/>
      </w:rPr>
      <w:t>Fga. Elena Sibaja — Estimular con intención cambia trayectorias</w:t>
    </w:r>
    <w:r>
      <w:tab/>
    </w:r>
    <w:r>
      <w:rPr>
        <w:rFonts w:ascii="Calibri" w:eastAsia="Calibri" w:hAnsi="Calibri" w:cs="Calibri"/>
        <w:color w:val="6B6B6B"/>
        <w:sz w:val="16"/>
        <w:szCs w:val="16"/>
      </w:rPr>
      <w:t xml:space="preserve">Página </w:t>
    </w:r>
    <w:r>
      <w:rPr>
        <w:rFonts w:ascii="Calibri" w:eastAsia="Calibri" w:hAnsi="Calibri" w:cs="Calibri"/>
        <w:color w:val="6B6B6B"/>
        <w:sz w:val="16"/>
        <w:szCs w:val="16"/>
      </w:rPr>
      <w:fldChar w:fldCharType="begin"/>
    </w:r>
    <w:r>
      <w:rPr>
        <w:rFonts w:ascii="Calibri" w:eastAsia="Calibri" w:hAnsi="Calibri" w:cs="Calibri"/>
        <w:color w:val="6B6B6B"/>
        <w:sz w:val="16"/>
        <w:szCs w:val="16"/>
      </w:rPr>
      <w:instrText>PAGE</w:instrText>
    </w:r>
    <w:r>
      <w:rPr>
        <w:rFonts w:ascii="Calibri" w:eastAsia="Calibri" w:hAnsi="Calibri" w:cs="Calibri"/>
        <w:color w:val="6B6B6B"/>
        <w:sz w:val="16"/>
        <w:szCs w:val="16"/>
      </w:rPr>
      <w:fldChar w:fldCharType="separate"/>
    </w:r>
    <w:r>
      <w:rPr>
        <w:rFonts w:ascii="Calibri" w:eastAsia="Calibri" w:hAnsi="Calibri" w:cs="Calibri"/>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6251" w14:textId="77777777" w:rsidR="00DB1FD1" w:rsidRDefault="00DB1FD1">
      <w:r>
        <w:separator/>
      </w:r>
    </w:p>
  </w:footnote>
  <w:footnote w:type="continuationSeparator" w:id="0">
    <w:p w14:paraId="73794704" w14:textId="77777777" w:rsidR="00DB1FD1" w:rsidRDefault="00DB1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7EA1"/>
    <w:multiLevelType w:val="hybridMultilevel"/>
    <w:tmpl w:val="FFFFFFFF"/>
    <w:lvl w:ilvl="0" w:tplc="579EC986">
      <w:start w:val="1"/>
      <w:numFmt w:val="bullet"/>
      <w:lvlText w:val="●"/>
      <w:lvlJc w:val="left"/>
      <w:pPr>
        <w:ind w:left="720" w:hanging="360"/>
      </w:pPr>
    </w:lvl>
    <w:lvl w:ilvl="1" w:tplc="C70EE2CE">
      <w:start w:val="1"/>
      <w:numFmt w:val="bullet"/>
      <w:lvlText w:val="○"/>
      <w:lvlJc w:val="left"/>
      <w:pPr>
        <w:ind w:left="1440" w:hanging="360"/>
      </w:pPr>
    </w:lvl>
    <w:lvl w:ilvl="2" w:tplc="A86E1A36">
      <w:start w:val="1"/>
      <w:numFmt w:val="bullet"/>
      <w:lvlText w:val="■"/>
      <w:lvlJc w:val="left"/>
      <w:pPr>
        <w:ind w:left="2160" w:hanging="360"/>
      </w:pPr>
    </w:lvl>
    <w:lvl w:ilvl="3" w:tplc="EF6A35AE">
      <w:start w:val="1"/>
      <w:numFmt w:val="bullet"/>
      <w:lvlText w:val="●"/>
      <w:lvlJc w:val="left"/>
      <w:pPr>
        <w:ind w:left="2880" w:hanging="360"/>
      </w:pPr>
    </w:lvl>
    <w:lvl w:ilvl="4" w:tplc="B9E2B32C">
      <w:start w:val="1"/>
      <w:numFmt w:val="bullet"/>
      <w:lvlText w:val="○"/>
      <w:lvlJc w:val="left"/>
      <w:pPr>
        <w:ind w:left="3600" w:hanging="360"/>
      </w:pPr>
    </w:lvl>
    <w:lvl w:ilvl="5" w:tplc="2CD07994">
      <w:start w:val="1"/>
      <w:numFmt w:val="bullet"/>
      <w:lvlText w:val="■"/>
      <w:lvlJc w:val="left"/>
      <w:pPr>
        <w:ind w:left="4320" w:hanging="360"/>
      </w:pPr>
    </w:lvl>
    <w:lvl w:ilvl="6" w:tplc="A8262760">
      <w:start w:val="1"/>
      <w:numFmt w:val="bullet"/>
      <w:lvlText w:val="●"/>
      <w:lvlJc w:val="left"/>
      <w:pPr>
        <w:ind w:left="5040" w:hanging="360"/>
      </w:pPr>
    </w:lvl>
    <w:lvl w:ilvl="7" w:tplc="0DF8666A">
      <w:start w:val="1"/>
      <w:numFmt w:val="bullet"/>
      <w:lvlText w:val="●"/>
      <w:lvlJc w:val="left"/>
      <w:pPr>
        <w:ind w:left="5760" w:hanging="360"/>
      </w:pPr>
    </w:lvl>
    <w:lvl w:ilvl="8" w:tplc="5E28A762">
      <w:start w:val="1"/>
      <w:numFmt w:val="bullet"/>
      <w:lvlText w:val="●"/>
      <w:lvlJc w:val="left"/>
      <w:pPr>
        <w:ind w:left="6480" w:hanging="360"/>
      </w:pPr>
    </w:lvl>
  </w:abstractNum>
  <w:abstractNum w:abstractNumId="1" w15:restartNumberingAfterBreak="0">
    <w:nsid w:val="2B7B3785"/>
    <w:multiLevelType w:val="hybridMultilevel"/>
    <w:tmpl w:val="FFFFFFFF"/>
    <w:lvl w:ilvl="0" w:tplc="7500FCE8">
      <w:start w:val="1"/>
      <w:numFmt w:val="bullet"/>
      <w:lvlText w:val="•"/>
      <w:lvlJc w:val="left"/>
      <w:pPr>
        <w:ind w:left="403" w:hanging="316"/>
      </w:pPr>
    </w:lvl>
    <w:lvl w:ilvl="1" w:tplc="1BEEF130">
      <w:numFmt w:val="decimal"/>
      <w:lvlText w:val=""/>
      <w:lvlJc w:val="left"/>
    </w:lvl>
    <w:lvl w:ilvl="2" w:tplc="71EC0EAA">
      <w:numFmt w:val="decimal"/>
      <w:lvlText w:val=""/>
      <w:lvlJc w:val="left"/>
    </w:lvl>
    <w:lvl w:ilvl="3" w:tplc="DA72BF4C">
      <w:numFmt w:val="decimal"/>
      <w:lvlText w:val=""/>
      <w:lvlJc w:val="left"/>
    </w:lvl>
    <w:lvl w:ilvl="4" w:tplc="709443E6">
      <w:numFmt w:val="decimal"/>
      <w:lvlText w:val=""/>
      <w:lvlJc w:val="left"/>
    </w:lvl>
    <w:lvl w:ilvl="5" w:tplc="1B5A996E">
      <w:numFmt w:val="decimal"/>
      <w:lvlText w:val=""/>
      <w:lvlJc w:val="left"/>
    </w:lvl>
    <w:lvl w:ilvl="6" w:tplc="85908A58">
      <w:numFmt w:val="decimal"/>
      <w:lvlText w:val=""/>
      <w:lvlJc w:val="left"/>
    </w:lvl>
    <w:lvl w:ilvl="7" w:tplc="BA4ED482">
      <w:numFmt w:val="decimal"/>
      <w:lvlText w:val=""/>
      <w:lvlJc w:val="left"/>
    </w:lvl>
    <w:lvl w:ilvl="8" w:tplc="334677E2">
      <w:numFmt w:val="decimal"/>
      <w:lvlText w:val=""/>
      <w:lvlJc w:val="left"/>
    </w:lvl>
  </w:abstractNum>
  <w:num w:numId="1" w16cid:durableId="1798254126">
    <w:abstractNumId w:val="0"/>
    <w:lvlOverride w:ilvl="0">
      <w:startOverride w:val="1"/>
    </w:lvlOverride>
  </w:num>
  <w:num w:numId="2" w16cid:durableId="1872259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238"/>
    <w:rsid w:val="00A271B1"/>
    <w:rsid w:val="00B65238"/>
    <w:rsid w:val="00B70826"/>
    <w:rsid w:val="00DB1F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9C6141C"/>
  <w15:docId w15:val="{ECA114F6-7DED-C84E-A4D4-2EE3DACEE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3044</Words>
  <Characters>16745</Characters>
  <Application>Microsoft Office Word</Application>
  <DocSecurity>0</DocSecurity>
  <Lines>139</Lines>
  <Paragraphs>39</Paragraphs>
  <ScaleCrop>false</ScaleCrop>
  <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elena sibaja</cp:lastModifiedBy>
  <cp:revision>2</cp:revision>
  <dcterms:created xsi:type="dcterms:W3CDTF">2026-09-28T02:56:00Z</dcterms:created>
  <dcterms:modified xsi:type="dcterms:W3CDTF">2026-09-28T02:56:00Z</dcterms:modified>
</cp:coreProperties>
</file>