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E3" w:rsidRDefault="00E624E3" w:rsidP="00E624E3">
      <w:pPr>
        <w:pStyle w:val="1"/>
        <w:jc w:val="center"/>
      </w:pPr>
      <w:proofErr w:type="spellStart"/>
      <w:r w:rsidRPr="00E624E3">
        <w:t>TeraSense</w:t>
      </w:r>
      <w:proofErr w:type="spellEnd"/>
      <w:r w:rsidRPr="00E624E3">
        <w:t xml:space="preserve"> USB API 2.0</w:t>
      </w:r>
    </w:p>
    <w:p w:rsidR="00F41669" w:rsidRPr="005D27F1" w:rsidRDefault="004E22FD" w:rsidP="004B7D14">
      <w:pPr>
        <w:pStyle w:val="af1"/>
      </w:pPr>
      <w:r>
        <w:t>Версия документа 0.</w:t>
      </w:r>
      <w:r w:rsidRPr="005D27F1">
        <w:t>2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Введение</w:t>
      </w:r>
    </w:p>
    <w:p w:rsidR="00E624E3" w:rsidRDefault="00E624E3" w:rsidP="00E624E3">
      <w:pPr>
        <w:pStyle w:val="a3"/>
      </w:pPr>
      <w:r>
        <w:t xml:space="preserve">Настоящий документ посвящен описанию архитектуры интерфейса доступа к камерам </w:t>
      </w:r>
      <w:proofErr w:type="spellStart"/>
      <w:r>
        <w:rPr>
          <w:lang w:val="en-US"/>
        </w:rPr>
        <w:t>TeraSense</w:t>
      </w:r>
      <w:proofErr w:type="spellEnd"/>
      <w:r w:rsidRPr="00E624E3">
        <w:t xml:space="preserve"> </w:t>
      </w:r>
      <w:r>
        <w:t>по шине</w:t>
      </w:r>
      <w:r w:rsidRPr="00E624E3">
        <w:t xml:space="preserve"> </w:t>
      </w:r>
      <w:r>
        <w:rPr>
          <w:lang w:val="en-US"/>
        </w:rPr>
        <w:t>USB</w:t>
      </w:r>
      <w:r w:rsidRPr="00E624E3">
        <w:t xml:space="preserve"> </w:t>
      </w:r>
      <w:r>
        <w:t>версии 2.0. Рассмотрены основные отличия от архитектуры протокола версии 1.0 и преимущества, которые дает новый протокол разработчикам и пользователям.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Основные отличия от протокола версии 1.0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Протокол версии 2.0 является органичным развитием протокола версии 1.0, основанного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proofErr w:type="spellStart"/>
      <w:r w:rsidRPr="00E624E3">
        <w:rPr>
          <w:rFonts w:eastAsia="Times New Roman" w:cs="Times New Roman"/>
          <w:szCs w:val="24"/>
          <w:lang w:val="en-US" w:eastAsia="ru-RU"/>
        </w:rPr>
        <w:t>OpalKelly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производителем библиотек. Новый протокол разработан с целью устранить основные недостатки протокола версии 1.0 перечисленные ниже: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val="en-US"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Зависимость от </w:t>
      </w:r>
      <w:r w:rsidR="00590831">
        <w:rPr>
          <w:rFonts w:eastAsia="Times New Roman" w:cs="Times New Roman"/>
          <w:szCs w:val="24"/>
          <w:lang w:eastAsia="ru-RU"/>
        </w:rPr>
        <w:t xml:space="preserve">производителя </w:t>
      </w:r>
      <w:r w:rsidR="00590831">
        <w:rPr>
          <w:rFonts w:eastAsia="Times New Roman" w:cs="Times New Roman"/>
          <w:szCs w:val="24"/>
          <w:lang w:val="en-US" w:eastAsia="ru-RU"/>
        </w:rPr>
        <w:t>FPGA</w:t>
      </w:r>
      <w:r w:rsidR="00590831" w:rsidRPr="00590831">
        <w:rPr>
          <w:rFonts w:eastAsia="Times New Roman" w:cs="Times New Roman"/>
          <w:szCs w:val="24"/>
          <w:lang w:eastAsia="ru-RU"/>
        </w:rPr>
        <w:t xml:space="preserve"> </w:t>
      </w:r>
      <w:r w:rsidR="00590831">
        <w:rPr>
          <w:rFonts w:eastAsia="Times New Roman" w:cs="Times New Roman"/>
          <w:szCs w:val="24"/>
          <w:lang w:eastAsia="ru-RU"/>
        </w:rPr>
        <w:t>модулей</w:t>
      </w:r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им закрытых библиотек. Новый протокол основан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r w:rsidRPr="00E624E3">
        <w:rPr>
          <w:rFonts w:eastAsia="Times New Roman" w:cs="Times New Roman"/>
          <w:szCs w:val="24"/>
          <w:lang w:val="en-US" w:eastAsia="ru-RU"/>
        </w:rPr>
        <w:t>ZTEX</w:t>
      </w:r>
      <w:r w:rsidRPr="00E624E3">
        <w:rPr>
          <w:rFonts w:eastAsia="Times New Roman" w:cs="Times New Roman"/>
          <w:szCs w:val="24"/>
          <w:lang w:eastAsia="ru-RU"/>
        </w:rPr>
        <w:t xml:space="preserve"> с собственной прошивкой. Чужой закрытый код не использоваться.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установки специфических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драйверов. Новый протокол использует режим эмуляции последовательного порта, поэтому для него не требуется установка драйверов (по крайней мере на </w:t>
      </w:r>
      <w:r w:rsidRPr="00E624E3">
        <w:rPr>
          <w:rFonts w:eastAsia="Times New Roman" w:cs="Times New Roman"/>
          <w:szCs w:val="24"/>
          <w:lang w:val="en-US" w:eastAsia="ru-RU"/>
        </w:rPr>
        <w:t>windows</w:t>
      </w:r>
      <w:r w:rsidRPr="00E624E3">
        <w:rPr>
          <w:rFonts w:eastAsia="Times New Roman" w:cs="Times New Roman"/>
          <w:szCs w:val="24"/>
          <w:lang w:eastAsia="ru-RU"/>
        </w:rPr>
        <w:t xml:space="preserve"> 10).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Сложный низкоуровневый протокол версии 1.0 требует использования громоздких библиотек. В новом протоколе есть возможность использования как базовых низкоуровневых команд, так и макрокоманд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старт/стоп), реализующих необходимую последовательность низкоуровневых команд непосредственно в устройстве. В результате для использования протокола 2.0 необходимо минимальное количество кода, который пользователь может написать сам без использования специфических библиотек.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использования настроек (калибровок), специфических для конкретного устройства. В протоколе версии 2.0 добавлена возможность хранения настроек непосредственно в устройстве, их автоматической загрузки в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и последующего использования.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протоколе версии 1.0 отсутствует возможность потоковой передачи данных (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стриминга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) по инициативе устройства. Поскольку только хост может выступать инициатором передачи, длительные периоды неактивности клиентского приложения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вследствие загруженности хоста) приводят к переполнению буфера кадров устройства и потере данных. Новый протокол использует буферизацию данных последовательного порта, реализованную операционной системой, а также возможность передачи данных по инициативе устройства, что уменьшает вероятность потери данных вследствие неактивности клиентского приложения.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lastRenderedPageBreak/>
        <w:t xml:space="preserve">Низкая помехозащищенность, свойственная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устройствам, проявляется в том, что передача данных по протоколу 1.0 может прерваться из-за помех, так что для восстановления работоспособности устройства потребуется его физическое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. Новый протокол поддерживает автоматическое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, после которого устройство продолжит работу без вмешательства пользователя.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Протокол версии 1.0 невозможно прозрачно преобразовать в сетевое соединение (например, чтобы иметь возможность управлять устройством на большом удалении от него). Поскольку протокол версии 2.0 использует эмуляцию последовательного порта, преобразование его в сетевое соединение не требует никакой дополнительной логики.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следующих разделах мы рассмотрим подробнее реализацию описанных выше функциональных особенностей протокола 2.0.</w:t>
      </w:r>
    </w:p>
    <w:p w:rsidR="00F77E81" w:rsidRDefault="00EC1180" w:rsidP="00EC1180">
      <w:pPr>
        <w:pStyle w:val="2"/>
        <w:rPr>
          <w:rFonts w:cs="Arial"/>
          <w:szCs w:val="28"/>
        </w:rPr>
      </w:pPr>
      <w:r>
        <w:t xml:space="preserve">Аппаратная </w:t>
      </w:r>
      <w:r w:rsidRPr="00EC1180">
        <w:rPr>
          <w:rFonts w:cs="Arial"/>
          <w:szCs w:val="28"/>
        </w:rPr>
        <w:t>платформа</w:t>
      </w:r>
    </w:p>
    <w:p w:rsidR="00EC1180" w:rsidRDefault="00EC1180" w:rsidP="00EC1180">
      <w:r>
        <w:t xml:space="preserve">Модули </w:t>
      </w:r>
      <w:r>
        <w:rPr>
          <w:lang w:val="en-US"/>
        </w:rPr>
        <w:t>FPGA</w:t>
      </w:r>
      <w:r w:rsidRPr="00EC1180">
        <w:t xml:space="preserve"> </w:t>
      </w:r>
      <w:r>
        <w:t xml:space="preserve">модули </w:t>
      </w:r>
      <w:r>
        <w:rPr>
          <w:lang w:val="en-US"/>
        </w:rPr>
        <w:t>ZTEX</w:t>
      </w:r>
      <w:r w:rsidRPr="00EC1180">
        <w:t xml:space="preserve"> </w:t>
      </w:r>
      <w:r>
        <w:t>содержат богатый набор аппаратных средств, показанный на следующем рисунке.</w:t>
      </w:r>
    </w:p>
    <w:p w:rsidR="007907FB" w:rsidRDefault="006C7503" w:rsidP="007907FB">
      <w:pPr>
        <w:keepNext/>
      </w:pPr>
      <w:r>
        <w:object w:dxaOrig="8161" w:dyaOrig="3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85pt;height:194.4pt" o:ole="">
            <v:imagedata r:id="rId8" o:title=""/>
          </v:shape>
          <o:OLEObject Type="Embed" ProgID="Visio.Drawing.15" ShapeID="_x0000_i1025" DrawAspect="Content" ObjectID="_1600635013" r:id="rId9"/>
        </w:object>
      </w:r>
    </w:p>
    <w:p w:rsidR="00EC1180" w:rsidRPr="00731E76" w:rsidRDefault="007907FB" w:rsidP="007907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200F">
        <w:rPr>
          <w:noProof/>
        </w:rPr>
        <w:t>1</w:t>
      </w:r>
      <w:r>
        <w:fldChar w:fldCharType="end"/>
      </w:r>
      <w:r w:rsidRPr="00BA498A">
        <w:t xml:space="preserve">. </w:t>
      </w:r>
      <w:r>
        <w:t xml:space="preserve">Аппаратная платформа </w:t>
      </w:r>
      <w:r>
        <w:rPr>
          <w:lang w:val="en-US"/>
        </w:rPr>
        <w:t>ZTEX</w:t>
      </w:r>
      <w:r w:rsidRPr="00BA498A">
        <w:t xml:space="preserve"> 2.01</w:t>
      </w:r>
      <w:r w:rsidR="00731E76">
        <w:t>.</w:t>
      </w:r>
    </w:p>
    <w:p w:rsidR="007907FB" w:rsidRDefault="007907FB" w:rsidP="007907FB">
      <w:r>
        <w:t xml:space="preserve">Центральная роль в реализации протокола отведена </w:t>
      </w:r>
      <w:r>
        <w:rPr>
          <w:lang w:val="en-US"/>
        </w:rPr>
        <w:t>USB</w:t>
      </w:r>
      <w:r w:rsidRPr="007907FB">
        <w:t xml:space="preserve"> </w:t>
      </w:r>
      <w:r>
        <w:t xml:space="preserve">процессору </w:t>
      </w:r>
      <w:r>
        <w:rPr>
          <w:lang w:val="en-US"/>
        </w:rPr>
        <w:t>Cypress</w:t>
      </w:r>
      <w:r w:rsidRPr="007907FB">
        <w:t xml:space="preserve"> </w:t>
      </w:r>
      <w:r>
        <w:rPr>
          <w:lang w:val="en-US"/>
        </w:rPr>
        <w:t>FX</w:t>
      </w:r>
      <w:r w:rsidRPr="007907FB">
        <w:t>2</w:t>
      </w:r>
      <w:r>
        <w:rPr>
          <w:lang w:val="en-US"/>
        </w:rPr>
        <w:t>LP</w:t>
      </w:r>
      <w:r>
        <w:t xml:space="preserve">, который позволяет передавать данные по шине </w:t>
      </w:r>
      <w:r>
        <w:rPr>
          <w:lang w:val="en-US"/>
        </w:rPr>
        <w:t>USB</w:t>
      </w:r>
      <w:r w:rsidRPr="007907FB">
        <w:t xml:space="preserve"> </w:t>
      </w:r>
      <w:r>
        <w:t>на скорости до 480</w:t>
      </w:r>
      <w:r>
        <w:rPr>
          <w:lang w:val="en-US"/>
        </w:rPr>
        <w:t>Mbit</w:t>
      </w:r>
      <w:r w:rsidRPr="007907FB">
        <w:t>/</w:t>
      </w:r>
      <w:r>
        <w:t xml:space="preserve">сек. К нему подключены 3 микросхемы энергонезависимой памяти. Память емкостью </w:t>
      </w:r>
      <w:r w:rsidRPr="007907FB">
        <w:t>16</w:t>
      </w:r>
      <w:r>
        <w:rPr>
          <w:lang w:val="en-US"/>
        </w:rPr>
        <w:t>Kbyte</w:t>
      </w:r>
      <w:r w:rsidRPr="007907FB">
        <w:t xml:space="preserve"> </w:t>
      </w:r>
      <w:r>
        <w:t xml:space="preserve">используется для загрузки программы в </w:t>
      </w:r>
      <w:r>
        <w:rPr>
          <w:lang w:val="en-US"/>
        </w:rPr>
        <w:t>FX</w:t>
      </w:r>
      <w:r w:rsidRPr="007907FB">
        <w:t xml:space="preserve">2 </w:t>
      </w:r>
      <w:r>
        <w:t>при подключении питания</w:t>
      </w:r>
      <w:r w:rsidRPr="007907FB">
        <w:t xml:space="preserve">. </w:t>
      </w:r>
      <w:r w:rsidR="00133FAE">
        <w:t>Флэш-п</w:t>
      </w:r>
      <w:r>
        <w:t xml:space="preserve">амять емкостью 16Мбайт хранит </w:t>
      </w:r>
      <w:r w:rsidR="00133FAE">
        <w:t xml:space="preserve">конфигурационный </w:t>
      </w:r>
      <w:proofErr w:type="spellStart"/>
      <w:r>
        <w:t>битстрим</w:t>
      </w:r>
      <w:proofErr w:type="spellEnd"/>
      <w:r>
        <w:t xml:space="preserve"> для </w:t>
      </w:r>
      <w:r>
        <w:rPr>
          <w:lang w:val="en-US"/>
        </w:rPr>
        <w:t>FPGA</w:t>
      </w:r>
      <w:r>
        <w:t xml:space="preserve">, который автоматически загружается при подключении питания, а также макрокоманды и набор первоначальных настроек для </w:t>
      </w:r>
      <w:r>
        <w:rPr>
          <w:lang w:val="en-US"/>
        </w:rPr>
        <w:t>FPGA</w:t>
      </w:r>
      <w:r>
        <w:t xml:space="preserve">. Последний также хранится в виде макрокоманды </w:t>
      </w:r>
      <w:r>
        <w:rPr>
          <w:lang w:val="en-US"/>
        </w:rPr>
        <w:t>INIT</w:t>
      </w:r>
      <w:r>
        <w:t>, исполняющейся автоматически при подключении питания.</w:t>
      </w:r>
      <w:r w:rsidR="00133FAE">
        <w:t xml:space="preserve"> Микросхема памяти емкостью 128 байт хранит идентификатор модели, уникальный идентификатор устройства, а также набор описателей макрокоманд. Сами макрокоманды хранятся в старших адресах 16 мегабайтной флэш-памяти в виде последовательности низкоуровневых команд.</w:t>
      </w:r>
    </w:p>
    <w:p w:rsidR="007907FB" w:rsidRDefault="00133FAE" w:rsidP="007907FB">
      <w:r>
        <w:lastRenderedPageBreak/>
        <w:t xml:space="preserve">Микросхема </w:t>
      </w:r>
      <w:r>
        <w:rPr>
          <w:lang w:val="en-US"/>
        </w:rPr>
        <w:t>FPGA</w:t>
      </w:r>
      <w:r w:rsidRPr="00133FAE">
        <w:t xml:space="preserve"> </w:t>
      </w:r>
      <w:r>
        <w:t xml:space="preserve">связана с процессором </w:t>
      </w:r>
      <w:r>
        <w:rPr>
          <w:lang w:val="en-US"/>
        </w:rPr>
        <w:t>FX</w:t>
      </w:r>
      <w:r w:rsidRPr="00133FAE">
        <w:t xml:space="preserve">2 </w:t>
      </w:r>
      <w:r>
        <w:t>двумя шинами. Медленная шина управления предназначена дл</w:t>
      </w:r>
      <w:r w:rsidR="001D79B1">
        <w:t xml:space="preserve">я инициализации и проверки статуса, этой шиной управляет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 xml:space="preserve">. Вторая шина предназначена для быстрой передачи потока данных, ей управляет </w:t>
      </w:r>
      <w:r w:rsidR="001D79B1">
        <w:rPr>
          <w:lang w:val="en-US"/>
        </w:rPr>
        <w:t>FPGA</w:t>
      </w:r>
      <w:r w:rsidR="001D79B1">
        <w:t xml:space="preserve">. При этом данные сразу передаются в шину </w:t>
      </w:r>
      <w:r w:rsidR="001D79B1">
        <w:rPr>
          <w:lang w:val="en-US"/>
        </w:rPr>
        <w:t>USB</w:t>
      </w:r>
      <w:r w:rsidR="001D79B1">
        <w:t xml:space="preserve"> без всякой обработки со стороны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>,</w:t>
      </w:r>
      <w:r w:rsidR="001D79B1" w:rsidRPr="001D79B1">
        <w:t xml:space="preserve"> </w:t>
      </w:r>
      <w:r w:rsidR="001D79B1">
        <w:t>что позволяет передавать их на максимальной скорости.</w:t>
      </w:r>
    </w:p>
    <w:p w:rsidR="001D79B1" w:rsidRPr="005D27F1" w:rsidRDefault="00D23A0D" w:rsidP="007907FB">
      <w:r>
        <w:t xml:space="preserve">Поступающие по </w:t>
      </w:r>
      <w:r>
        <w:rPr>
          <w:lang w:val="en-US"/>
        </w:rPr>
        <w:t>USB</w:t>
      </w:r>
      <w:r w:rsidRPr="00D23A0D">
        <w:t xml:space="preserve"> </w:t>
      </w:r>
      <w:r>
        <w:t xml:space="preserve">шине запросы всегда обрабатываются </w:t>
      </w:r>
      <w:r w:rsidR="005D27F1">
        <w:t>процессором команд</w:t>
      </w:r>
      <w:r>
        <w:t xml:space="preserve">. Мы будем называть их управляющими пакетами. Они выполняют функции управления процессором, чтения </w:t>
      </w:r>
      <w:r w:rsidRPr="00D23A0D">
        <w:t>/</w:t>
      </w:r>
      <w:r>
        <w:t xml:space="preserve"> записи</w:t>
      </w:r>
      <w:r w:rsidRPr="00D23A0D">
        <w:t xml:space="preserve"> </w:t>
      </w:r>
      <w:r>
        <w:t xml:space="preserve">памяти, а также управления </w:t>
      </w:r>
      <w:r>
        <w:rPr>
          <w:lang w:val="en-US"/>
        </w:rPr>
        <w:t>FPGA</w:t>
      </w:r>
      <w:r w:rsidRPr="00D23A0D">
        <w:t xml:space="preserve"> </w:t>
      </w:r>
      <w:r>
        <w:t xml:space="preserve">и чтения его статуса. Управляющие запросы могут </w:t>
      </w:r>
      <w:r w:rsidR="005D27F1">
        <w:t>активизировать</w:t>
      </w:r>
      <w:r>
        <w:t xml:space="preserve"> режим потоковой передачи данных от устройства.</w:t>
      </w:r>
      <w:r w:rsidR="005D27F1">
        <w:t xml:space="preserve"> После этого процессор команд может по-прежнему получать команды, но не может отвечать на них. Выход из режима потоковой передачи происходит при получении команды сброса, которая выключает потоковую передачу и переводит </w:t>
      </w:r>
      <w:r w:rsidR="005D27F1">
        <w:rPr>
          <w:lang w:val="en-US"/>
        </w:rPr>
        <w:t>FPGA</w:t>
      </w:r>
      <w:r w:rsidR="005D27F1">
        <w:t xml:space="preserve"> в состояние, идентичное состоянию после включения питания</w:t>
      </w:r>
      <w:r w:rsidR="005D27F1" w:rsidRPr="005D27F1">
        <w:t>.</w:t>
      </w:r>
    </w:p>
    <w:p w:rsidR="00B10EB6" w:rsidRPr="00BA498A" w:rsidRDefault="00B10EB6" w:rsidP="00B10EB6">
      <w:pPr>
        <w:pStyle w:val="2"/>
      </w:pPr>
      <w:r>
        <w:t xml:space="preserve">Проблема помехоустойчивости </w:t>
      </w:r>
      <w:r>
        <w:rPr>
          <w:lang w:val="en-US"/>
        </w:rPr>
        <w:t>USB</w:t>
      </w:r>
    </w:p>
    <w:p w:rsidR="00B10EB6" w:rsidRDefault="0070046F" w:rsidP="00B10EB6">
      <w:r>
        <w:t xml:space="preserve">Данные передаются по шине </w:t>
      </w:r>
      <w:r>
        <w:rPr>
          <w:lang w:val="en-US"/>
        </w:rPr>
        <w:t>USB</w:t>
      </w:r>
      <w:r w:rsidRPr="0070046F">
        <w:t xml:space="preserve"> </w:t>
      </w:r>
      <w:r>
        <w:t xml:space="preserve">в виде пакетов, ограниченных по длине и снабженных контрольной суммой, что позволяет обнаруживать повреждение данных в процессе передачи. В этом эта шина похожа на </w:t>
      </w:r>
      <w:r>
        <w:rPr>
          <w:lang w:val="en-US"/>
        </w:rPr>
        <w:t>Ethernet</w:t>
      </w:r>
      <w:r w:rsidRPr="0070046F">
        <w:t>.</w:t>
      </w:r>
      <w:r>
        <w:t xml:space="preserve"> Теоретически протокол позволяет обрабатывать ошибки передачи данных за счет повторной передачи пакетов, но на практике обнаружение ошибок обычно приводит к разрыву соединения и прекращению передачи данных. Это отчасти связано со сложностью протокола, в котором участвуют и служебные пакеты, потеря которых приводит к непредвиденным последствиям. Разорванное соединение можно </w:t>
      </w:r>
      <w:proofErr w:type="spellStart"/>
      <w:r>
        <w:t>переоткрыть</w:t>
      </w:r>
      <w:proofErr w:type="spellEnd"/>
      <w:r>
        <w:t xml:space="preserve"> заново, но в отличие от </w:t>
      </w:r>
      <w:r>
        <w:rPr>
          <w:lang w:val="en-US"/>
        </w:rPr>
        <w:t>Ethernet</w:t>
      </w:r>
      <w:r w:rsidRPr="0070046F">
        <w:t xml:space="preserve"> </w:t>
      </w:r>
      <w:r>
        <w:t xml:space="preserve">в </w:t>
      </w:r>
      <w:r>
        <w:rPr>
          <w:lang w:val="en-US"/>
        </w:rPr>
        <w:t>USB</w:t>
      </w:r>
      <w:r w:rsidRPr="0070046F">
        <w:t xml:space="preserve"> </w:t>
      </w:r>
      <w:r>
        <w:t xml:space="preserve">деление данных на пакеты непрозрачно для приложений, поэтому приложение в общем случае не в состоянии определить, какая часть отправленных данных была получена адресатом, а какая была потеряна. Точно также оно не в состоянии определить, какая часть принятых данных была потеряна. Однако в одном частном случае </w:t>
      </w:r>
      <w:r w:rsidR="007760A7">
        <w:t xml:space="preserve">детектирование потерянных данных становится возможным. Для этого приложение должно само поделить поток данных на пакеты так, чтобы в каждом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 xml:space="preserve">пакете содержалось целое число пакетов уровня приложения. Для этого достаточно выбрать размер пакета так, чтобы он был делителем максимального размера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>пакета</w:t>
      </w:r>
      <w:r w:rsidR="007760A7">
        <w:rPr>
          <w:rStyle w:val="af"/>
        </w:rPr>
        <w:footnoteReference w:id="1"/>
      </w:r>
      <w:r w:rsidR="007760A7">
        <w:t>. В протоколе версии 2.0 все данные пересылаются пакетами по 64 байта. Каждый пакет снабжен порядковым номером, который позволяет определить, какие пакеты были уже обработаны, а какие – потеряны безвозвратно.</w:t>
      </w:r>
    </w:p>
    <w:p w:rsidR="005D27F1" w:rsidRDefault="00B10EB6" w:rsidP="005D27F1">
      <w:pPr>
        <w:pStyle w:val="2"/>
      </w:pPr>
      <w:r>
        <w:t>Структура пакетов протокола</w:t>
      </w:r>
    </w:p>
    <w:p w:rsidR="005D27F1" w:rsidRPr="00AD3D6B" w:rsidRDefault="005D27F1" w:rsidP="005D27F1">
      <w:r>
        <w:t>В протоколе используются 2 вида пакетов. Управляющие пакеты обрабатываются процессором команд</w:t>
      </w:r>
      <w:r w:rsidR="00AD3D6B">
        <w:t xml:space="preserve">, потоковые пакеты используются для потоковой передачи данных от </w:t>
      </w:r>
      <w:r w:rsidR="00AD3D6B">
        <w:rPr>
          <w:lang w:val="en-US"/>
        </w:rPr>
        <w:t>FPGA</w:t>
      </w:r>
      <w:r w:rsidR="00AD3D6B" w:rsidRPr="00AD3D6B">
        <w:t xml:space="preserve"> </w:t>
      </w:r>
      <w:r w:rsidR="00AD3D6B">
        <w:t xml:space="preserve">к клиенту без всякой обработки со стороны процессора </w:t>
      </w:r>
      <w:r w:rsidR="00AD3D6B">
        <w:rPr>
          <w:lang w:val="en-US"/>
        </w:rPr>
        <w:t>FX</w:t>
      </w:r>
      <w:r w:rsidR="00AD3D6B" w:rsidRPr="00AD3D6B">
        <w:t>2</w:t>
      </w:r>
      <w:r w:rsidR="00AD3D6B">
        <w:t>. Клиент различает эти 2 вида пакетов в зависимости от значения старшего бита первого байта – он равен 1 для управляющих пакетов и 0 для потоковых.</w:t>
      </w:r>
    </w:p>
    <w:p w:rsidR="00A151B3" w:rsidRPr="00651535" w:rsidRDefault="00F1193E" w:rsidP="007907FB">
      <w:pPr>
        <w:rPr>
          <w:b/>
        </w:rPr>
      </w:pPr>
      <w:r>
        <w:lastRenderedPageBreak/>
        <w:t>Следующий рисунок иллюстрирует структуру управляющего пакета.</w:t>
      </w:r>
    </w:p>
    <w:p w:rsidR="00731E76" w:rsidRDefault="00153FC6" w:rsidP="00731E76">
      <w:pPr>
        <w:keepNext/>
      </w:pPr>
      <w:r>
        <w:object w:dxaOrig="5281" w:dyaOrig="3826">
          <v:shape id="_x0000_i1030" type="#_x0000_t75" style="width:263.85pt;height:191.3pt" o:ole="">
            <v:imagedata r:id="rId10" o:title=""/>
          </v:shape>
          <o:OLEObject Type="Embed" ProgID="Visio.Drawing.15" ShapeID="_x0000_i1030" DrawAspect="Content" ObjectID="_1600635014" r:id="rId11"/>
        </w:object>
      </w:r>
    </w:p>
    <w:p w:rsidR="00364F95" w:rsidRDefault="00731E76" w:rsidP="00731E7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200F">
        <w:rPr>
          <w:noProof/>
        </w:rPr>
        <w:t>2</w:t>
      </w:r>
      <w:r>
        <w:fldChar w:fldCharType="end"/>
      </w:r>
      <w:r w:rsidRPr="00A151B3">
        <w:t xml:space="preserve">. </w:t>
      </w:r>
      <w:r>
        <w:t>Структура управляющего пакета.</w:t>
      </w:r>
    </w:p>
    <w:p w:rsidR="00DF2283" w:rsidRDefault="00AD3D6B" w:rsidP="00AD3D6B">
      <w:r>
        <w:t xml:space="preserve">Управляющий пакет начинается с 4 байтного заголовка, за которым следует область данных размером 60 байт. </w:t>
      </w:r>
      <w:r w:rsidR="00DF2283">
        <w:t>Данные конкретной команды могут использовать только часть этой области или не использовать совсем (например, команда сброса не передает данных). Размер данных при необходимости помещается в начало области данных вместе с другими необходимыми полями, специфичными для конкретной команды.</w:t>
      </w:r>
    </w:p>
    <w:p w:rsidR="00AD3D6B" w:rsidRPr="00DF2283" w:rsidRDefault="00AD3D6B" w:rsidP="00AD3D6B">
      <w:r>
        <w:t xml:space="preserve">Назначение полей заголовка </w:t>
      </w:r>
      <w:r w:rsidR="00DF2283">
        <w:t xml:space="preserve">управляющего пакета </w:t>
      </w:r>
      <w:r>
        <w:t>приведено в следующей таблице</w:t>
      </w:r>
      <w:r w:rsidRPr="00DF2283">
        <w:t>:</w:t>
      </w:r>
    </w:p>
    <w:p w:rsidR="00AC1DAA" w:rsidRDefault="00AC1DAA" w:rsidP="00AC1DAA">
      <w:pPr>
        <w:pStyle w:val="a4"/>
        <w:keepNext/>
      </w:pPr>
      <w:proofErr w:type="spellStart"/>
      <w:r>
        <w:t>Ta</w:t>
      </w:r>
      <w:bookmarkStart w:id="0" w:name="_GoBack"/>
      <w:bookmarkEnd w:id="0"/>
      <w:r>
        <w:t>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8200F">
        <w:rPr>
          <w:noProof/>
        </w:rPr>
        <w:t>1</w:t>
      </w:r>
      <w:r>
        <w:fldChar w:fldCharType="end"/>
      </w:r>
      <w:r>
        <w:t>. Поля заголовка управляющего пакета.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35"/>
        <w:gridCol w:w="8244"/>
      </w:tblGrid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DF3B0C">
            <w:pPr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DF3B0C">
            <w:r>
              <w:t>Код команды.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DF3B0C">
            <w:r>
              <w:rPr>
                <w:lang w:val="en-US"/>
              </w:rPr>
              <w:t>SN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DF3B0C">
            <w:r>
              <w:t>Порядковый номер. Используется для сопоставления ответов с запросами, а также для детектирования потерянных пакетов.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AD3D6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AD3D6B">
            <w:r>
              <w:t>В принятом пакете означает запрос подтверждения. В ответе устройства выставляется всегда.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F1193E" w:rsidRDefault="00AD3D6B" w:rsidP="00AD3D6B">
            <w:r>
              <w:rPr>
                <w:lang w:val="en-US"/>
              </w:rPr>
              <w:t>X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D3D6B" w:rsidRDefault="00AD3D6B" w:rsidP="00B510CC">
            <w:r>
              <w:t xml:space="preserve">Флаг, включающий транзакционный режим. Команда с таким флагом выполняется строго один раз. Для этого контроллер запоминает порядковый номер </w:t>
            </w:r>
            <w:r>
              <w:rPr>
                <w:lang w:val="en-US"/>
              </w:rPr>
              <w:t>SN</w:t>
            </w:r>
            <w:r w:rsidRPr="00F1193E">
              <w:t xml:space="preserve"> </w:t>
            </w:r>
            <w:r>
              <w:t>последней выполненной команды и сравнивает его</w:t>
            </w:r>
            <w:r>
              <w:rPr>
                <w:rStyle w:val="af"/>
              </w:rPr>
              <w:footnoteReference w:id="2"/>
            </w:r>
            <w:r>
              <w:t xml:space="preserve"> с номером полученной команды. Если номера при сравнении отличаются более чем на единицу, контроллер </w:t>
            </w:r>
            <w:r w:rsidR="00B510CC">
              <w:t>переходит в состояние ошибки и перестает выполнять транзакционные команды</w:t>
            </w:r>
            <w:r w:rsidR="008E2AB4">
              <w:t>.</w:t>
            </w:r>
            <w:r w:rsidR="00B510CC">
              <w:t xml:space="preserve"> Сброс ошибки возможен с помощью отдельной команды.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153FC6" w:rsidP="00153FC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153FC6" w:rsidRDefault="00153FC6" w:rsidP="00952959">
            <w:r>
              <w:t>Флаг ошибки выполнения команды</w:t>
            </w:r>
            <w:r w:rsidRPr="00153FC6">
              <w:t xml:space="preserve"> </w:t>
            </w:r>
            <w:r>
              <w:t>или 0, если команда завершилась успешно.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952959" w:rsidP="00AD3D6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STATUS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952959" w:rsidRDefault="00952959" w:rsidP="00AD3D6B">
            <w:r>
              <w:t>Статус контроллера</w:t>
            </w:r>
            <w:r w:rsidR="00AD3D6B">
              <w:t>.</w:t>
            </w:r>
            <w:r>
              <w:t xml:space="preserve"> Содержит код последней ошибки и флаг успешной инициализации </w:t>
            </w:r>
            <w:r>
              <w:rPr>
                <w:lang w:val="en-US"/>
              </w:rPr>
              <w:t>FPGA</w:t>
            </w:r>
            <w:r w:rsidRPr="00952959">
              <w:t>.</w:t>
            </w:r>
          </w:p>
        </w:tc>
      </w:tr>
    </w:tbl>
    <w:p w:rsidR="00651535" w:rsidRDefault="00CC2BFA" w:rsidP="00731E76">
      <w:r>
        <w:t xml:space="preserve">Пакеты потоковых данных также начинаются с 4 байтного заголовка, в котором вместо единичного бита </w:t>
      </w:r>
      <w:r>
        <w:rPr>
          <w:lang w:val="en-US"/>
        </w:rPr>
        <w:t>R</w:t>
      </w:r>
      <w:r w:rsidRPr="00CC2BFA">
        <w:t xml:space="preserve"> </w:t>
      </w:r>
      <w:r>
        <w:t>всегда передается нулевой бит. Следующий рисунок иллюстрирует структуру потокового пакета.</w:t>
      </w:r>
    </w:p>
    <w:p w:rsidR="00651535" w:rsidRDefault="005D27F1" w:rsidP="00651535">
      <w:pPr>
        <w:keepNext/>
      </w:pPr>
      <w:r>
        <w:object w:dxaOrig="5281" w:dyaOrig="3826">
          <v:shape id="_x0000_i1027" type="#_x0000_t75" style="width:263.85pt;height:191.3pt" o:ole="">
            <v:imagedata r:id="rId12" o:title=""/>
          </v:shape>
          <o:OLEObject Type="Embed" ProgID="Visio.Drawing.15" ShapeID="_x0000_i1027" DrawAspect="Content" ObjectID="_1600635015" r:id="rId13"/>
        </w:object>
      </w:r>
    </w:p>
    <w:p w:rsidR="00651535" w:rsidRDefault="00651535" w:rsidP="0065153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200F">
        <w:rPr>
          <w:noProof/>
        </w:rPr>
        <w:t>3</w:t>
      </w:r>
      <w:r>
        <w:fldChar w:fldCharType="end"/>
      </w:r>
      <w:r w:rsidRPr="00651535">
        <w:t xml:space="preserve">. </w:t>
      </w:r>
      <w:r>
        <w:t>Структура потокового пакета.</w:t>
      </w:r>
    </w:p>
    <w:p w:rsidR="00590372" w:rsidRPr="00590372" w:rsidRDefault="00590372" w:rsidP="00731E76">
      <w:r>
        <w:t xml:space="preserve">Порядковый номер </w:t>
      </w:r>
      <w:r>
        <w:rPr>
          <w:lang w:val="en-US"/>
        </w:rPr>
        <w:t>SN</w:t>
      </w:r>
      <w:r w:rsidRPr="00590372">
        <w:t xml:space="preserve"> </w:t>
      </w:r>
      <w:r>
        <w:t xml:space="preserve">используется для обнаружения потерянных пакетов. Клиент, обнаружив потерю пакета, посылает контроллеру команду сброса, после чего заново активизирует режим передачи данных. Поле </w:t>
      </w:r>
      <w:r>
        <w:rPr>
          <w:lang w:val="en-US"/>
        </w:rPr>
        <w:t>SOURCE</w:t>
      </w:r>
      <w:r w:rsidRPr="00590372">
        <w:t xml:space="preserve"> </w:t>
      </w:r>
      <w:r>
        <w:t xml:space="preserve">может использоваться для маркировки источника данных в случае, если их несколько. В текущей </w:t>
      </w:r>
      <w:proofErr w:type="gramStart"/>
      <w:r>
        <w:t>версии это</w:t>
      </w:r>
      <w:proofErr w:type="gramEnd"/>
      <w:r>
        <w:t xml:space="preserve"> поле содержит нули. Поле </w:t>
      </w:r>
      <w:r>
        <w:rPr>
          <w:lang w:val="en-US"/>
        </w:rPr>
        <w:t>HW</w:t>
      </w:r>
      <w:r w:rsidRPr="00590372">
        <w:t>_</w:t>
      </w:r>
      <w:r>
        <w:rPr>
          <w:lang w:val="en-US"/>
        </w:rPr>
        <w:t>STATUS</w:t>
      </w:r>
      <w:r w:rsidRPr="00590372">
        <w:t xml:space="preserve"> </w:t>
      </w:r>
      <w:r>
        <w:t xml:space="preserve">содержит </w:t>
      </w:r>
      <w:r w:rsidR="00972DE4">
        <w:t xml:space="preserve">аппаратный </w:t>
      </w:r>
      <w:r>
        <w:t>статус</w:t>
      </w:r>
      <w:r w:rsidR="00C30E0A">
        <w:t xml:space="preserve"> </w:t>
      </w:r>
      <w:r w:rsidR="00C30E0A">
        <w:rPr>
          <w:lang w:val="en-US"/>
        </w:rPr>
        <w:t>FPGA</w:t>
      </w:r>
      <w:r>
        <w:t xml:space="preserve">, специфичный для конкретной </w:t>
      </w:r>
      <w:r w:rsidR="00C30E0A">
        <w:t>реализации</w:t>
      </w:r>
      <w:r w:rsidR="0062339F">
        <w:t xml:space="preserve"> измерительных алгоритмов</w:t>
      </w:r>
      <w:r w:rsidRPr="00590372">
        <w:t>.</w:t>
      </w:r>
    </w:p>
    <w:p w:rsidR="00731E76" w:rsidRPr="00651535" w:rsidRDefault="00DF2283" w:rsidP="00731E76">
      <w:r>
        <w:t>Потоковые данные всегда</w:t>
      </w:r>
      <w:r w:rsidR="00651535">
        <w:t xml:space="preserve"> </w:t>
      </w:r>
      <w:r>
        <w:t xml:space="preserve">используют всю доступную область </w:t>
      </w:r>
      <w:r w:rsidR="006F663E">
        <w:t xml:space="preserve">данных пакета </w:t>
      </w:r>
      <w:r>
        <w:t>размером 60 байт. Пакет передается только после полного заполнения этой области</w:t>
      </w:r>
      <w:r w:rsidR="00651535">
        <w:t>.</w:t>
      </w:r>
    </w:p>
    <w:p w:rsidR="00C87575" w:rsidRDefault="00651535" w:rsidP="00651535">
      <w:pPr>
        <w:pStyle w:val="2"/>
      </w:pPr>
      <w:r>
        <w:t>Структура конфигурационных данных</w:t>
      </w:r>
    </w:p>
    <w:p w:rsidR="00F82982" w:rsidRPr="006D61F6" w:rsidRDefault="006D61F6" w:rsidP="00F82982">
      <w:r>
        <w:t>Конфигурационная память содержит 128 байт доступных для записи и 6 байт с уникальным идентификатором устройства, запрограммированны</w:t>
      </w:r>
      <w:r w:rsidR="00F326CF">
        <w:t>м</w:t>
      </w:r>
      <w:r>
        <w:t xml:space="preserve"> на заводе изготовителе. Первые 128 байт поделены на 2 равные части. В первой части содержится информация о модели устройства – идентификатор модели, версия и размеры сенсора в пикселах. Далее следует область дополнительных конфигурационных данных </w:t>
      </w:r>
      <w:r>
        <w:rPr>
          <w:lang w:val="en-US"/>
        </w:rPr>
        <w:t>XDATA</w:t>
      </w:r>
      <w:r w:rsidR="002221E5">
        <w:t>,</w:t>
      </w:r>
      <w:r w:rsidRPr="006D61F6">
        <w:t xml:space="preserve"> </w:t>
      </w:r>
      <w:r>
        <w:t xml:space="preserve">специфичных для конкретной модели сенсора. В двумерных </w:t>
      </w:r>
      <w:r w:rsidR="00A614C1">
        <w:t>камерах</w:t>
      </w:r>
      <w:r>
        <w:t xml:space="preserve"> здесь хранится информация о паттерне пикселей в выходном потоке данных, поскольку в общем случае пиксели читаются не построчно, а </w:t>
      </w:r>
      <w:proofErr w:type="spellStart"/>
      <w:r>
        <w:t>поблочно</w:t>
      </w:r>
      <w:proofErr w:type="spellEnd"/>
      <w:r>
        <w:t>.</w:t>
      </w:r>
      <w:r w:rsidR="00960D77">
        <w:t xml:space="preserve"> Для линейного сенсора эта область не используется.</w:t>
      </w:r>
    </w:p>
    <w:p w:rsidR="00F82982" w:rsidRDefault="00F82982" w:rsidP="00F82982">
      <w:pPr>
        <w:keepNext/>
      </w:pPr>
      <w:r>
        <w:object w:dxaOrig="5281" w:dyaOrig="7756">
          <v:shape id="_x0000_i1028" type="#_x0000_t75" style="width:263.85pt;height:388.3pt" o:ole="">
            <v:imagedata r:id="rId14" o:title=""/>
          </v:shape>
          <o:OLEObject Type="Embed" ProgID="Visio.Drawing.15" ShapeID="_x0000_i1028" DrawAspect="Content" ObjectID="_1600635016" r:id="rId15"/>
        </w:object>
      </w:r>
    </w:p>
    <w:p w:rsidR="00F82982" w:rsidRDefault="00F82982" w:rsidP="00F8298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200F">
        <w:rPr>
          <w:noProof/>
        </w:rPr>
        <w:t>4</w:t>
      </w:r>
      <w:r>
        <w:fldChar w:fldCharType="end"/>
      </w:r>
      <w:r w:rsidRPr="00BA498A">
        <w:t xml:space="preserve">. </w:t>
      </w:r>
      <w:r>
        <w:t>Структура данных в конфигурационной памяти.</w:t>
      </w:r>
    </w:p>
    <w:p w:rsidR="00F82982" w:rsidRPr="00590831" w:rsidRDefault="00590831" w:rsidP="00F82982">
      <w:r>
        <w:t xml:space="preserve">Во второй половине конфигурационной памяти содержится до 16 дескрипторов макрокоманд. Каждый из них состоит из поля смещения в адресном пространстве </w:t>
      </w:r>
      <w:r>
        <w:rPr>
          <w:lang w:val="en-US"/>
        </w:rPr>
        <w:t>flash</w:t>
      </w:r>
      <w:r>
        <w:t xml:space="preserve">-памяти, измеренном в килобайтах, и поля длины последовательности управляющих команд, которая хранится по этому смещению. Первый элемент таблицы макрокоманд соответствует команде </w:t>
      </w:r>
      <w:r>
        <w:rPr>
          <w:lang w:val="en-US"/>
        </w:rPr>
        <w:t>INIT</w:t>
      </w:r>
      <w:r>
        <w:t xml:space="preserve">, которая выполняется автоматически при включении питания для инициализации </w:t>
      </w:r>
      <w:r>
        <w:rPr>
          <w:lang w:val="en-US"/>
        </w:rPr>
        <w:t>FPGA</w:t>
      </w:r>
      <w:r>
        <w:t>. Остальные макрокоманды исполняются при получении соответствующих управляющих пакетов. Неиспользованные элементы таблицы макрокоманд заполняются нулями</w:t>
      </w:r>
      <w:r>
        <w:rPr>
          <w:rStyle w:val="af"/>
        </w:rPr>
        <w:footnoteReference w:id="3"/>
      </w:r>
      <w:r>
        <w:t>.</w:t>
      </w:r>
    </w:p>
    <w:sectPr w:rsidR="00F82982" w:rsidRPr="005908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48A" w:rsidRDefault="0019448A" w:rsidP="00364F95">
      <w:pPr>
        <w:spacing w:before="0" w:after="0" w:line="240" w:lineRule="auto"/>
      </w:pPr>
      <w:r>
        <w:separator/>
      </w:r>
    </w:p>
  </w:endnote>
  <w:endnote w:type="continuationSeparator" w:id="0">
    <w:p w:rsidR="0019448A" w:rsidRDefault="0019448A" w:rsidP="00364F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48A" w:rsidRDefault="0019448A" w:rsidP="00364F95">
      <w:pPr>
        <w:spacing w:before="0" w:after="0" w:line="240" w:lineRule="auto"/>
      </w:pPr>
      <w:r>
        <w:separator/>
      </w:r>
    </w:p>
  </w:footnote>
  <w:footnote w:type="continuationSeparator" w:id="0">
    <w:p w:rsidR="0019448A" w:rsidRDefault="0019448A" w:rsidP="00364F95">
      <w:pPr>
        <w:spacing w:before="0" w:after="0" w:line="240" w:lineRule="auto"/>
      </w:pPr>
      <w:r>
        <w:continuationSeparator/>
      </w:r>
    </w:p>
  </w:footnote>
  <w:footnote w:id="1">
    <w:p w:rsidR="007760A7" w:rsidRDefault="007760A7">
      <w:pPr>
        <w:pStyle w:val="ad"/>
      </w:pPr>
      <w:r>
        <w:rPr>
          <w:rStyle w:val="af"/>
        </w:rPr>
        <w:footnoteRef/>
      </w:r>
      <w:r>
        <w:t xml:space="preserve"> 64 байта для полной скорости, 512 байт для высокой скорости.</w:t>
      </w:r>
    </w:p>
  </w:footnote>
  <w:footnote w:id="2">
    <w:p w:rsidR="00AD3D6B" w:rsidRPr="00F1193E" w:rsidRDefault="00AD3D6B" w:rsidP="00AD3D6B">
      <w:pPr>
        <w:pStyle w:val="ad"/>
      </w:pPr>
      <w:r>
        <w:rPr>
          <w:rStyle w:val="af"/>
        </w:rPr>
        <w:footnoteRef/>
      </w:r>
      <w:r>
        <w:t xml:space="preserve"> С учетом возможного переполнения</w:t>
      </w:r>
      <w:r w:rsidRPr="00F1193E">
        <w:t>.</w:t>
      </w:r>
    </w:p>
  </w:footnote>
  <w:footnote w:id="3">
    <w:p w:rsidR="00590831" w:rsidRPr="00590831" w:rsidRDefault="00590831">
      <w:pPr>
        <w:pStyle w:val="ad"/>
      </w:pPr>
      <w:r>
        <w:rPr>
          <w:rStyle w:val="af"/>
        </w:rPr>
        <w:footnoteRef/>
      </w:r>
      <w:r>
        <w:t xml:space="preserve"> Нулевое смещение не может использоваться для хранения макрокоманд, поскольку по нулевому смещению хранится конфигурационный </w:t>
      </w:r>
      <w:proofErr w:type="spellStart"/>
      <w:r>
        <w:t>битстрим</w:t>
      </w:r>
      <w:proofErr w:type="spellEnd"/>
      <w:r>
        <w:t xml:space="preserve"> </w:t>
      </w:r>
      <w:r>
        <w:rPr>
          <w:lang w:val="en-US"/>
        </w:rPr>
        <w:t>FPGA</w:t>
      </w:r>
      <w:r w:rsidRPr="0059083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F1526"/>
    <w:multiLevelType w:val="multilevel"/>
    <w:tmpl w:val="F8D8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E3"/>
    <w:rsid w:val="00133FAE"/>
    <w:rsid w:val="00153FC6"/>
    <w:rsid w:val="0019342E"/>
    <w:rsid w:val="0019448A"/>
    <w:rsid w:val="001950D4"/>
    <w:rsid w:val="001B3318"/>
    <w:rsid w:val="001D79B1"/>
    <w:rsid w:val="002221E5"/>
    <w:rsid w:val="002F004C"/>
    <w:rsid w:val="00364F95"/>
    <w:rsid w:val="003E0C34"/>
    <w:rsid w:val="00441755"/>
    <w:rsid w:val="004B7D14"/>
    <w:rsid w:val="004E22FD"/>
    <w:rsid w:val="00590372"/>
    <w:rsid w:val="00590831"/>
    <w:rsid w:val="005955D2"/>
    <w:rsid w:val="005D27F1"/>
    <w:rsid w:val="005E48C8"/>
    <w:rsid w:val="00600725"/>
    <w:rsid w:val="0062339F"/>
    <w:rsid w:val="00651535"/>
    <w:rsid w:val="006C7503"/>
    <w:rsid w:val="006D61F6"/>
    <w:rsid w:val="006F663E"/>
    <w:rsid w:val="0070046F"/>
    <w:rsid w:val="00731E76"/>
    <w:rsid w:val="007333C2"/>
    <w:rsid w:val="00756734"/>
    <w:rsid w:val="00762746"/>
    <w:rsid w:val="007760A7"/>
    <w:rsid w:val="007907FB"/>
    <w:rsid w:val="00822758"/>
    <w:rsid w:val="008352E0"/>
    <w:rsid w:val="0088200F"/>
    <w:rsid w:val="0089274D"/>
    <w:rsid w:val="008E2AB4"/>
    <w:rsid w:val="00952959"/>
    <w:rsid w:val="00960D77"/>
    <w:rsid w:val="00972DE4"/>
    <w:rsid w:val="00995D64"/>
    <w:rsid w:val="009B7792"/>
    <w:rsid w:val="009F4EFC"/>
    <w:rsid w:val="00A151B3"/>
    <w:rsid w:val="00A23455"/>
    <w:rsid w:val="00A614C1"/>
    <w:rsid w:val="00A62DA4"/>
    <w:rsid w:val="00AC1DAA"/>
    <w:rsid w:val="00AD3D6B"/>
    <w:rsid w:val="00B10EB6"/>
    <w:rsid w:val="00B510CC"/>
    <w:rsid w:val="00B60F32"/>
    <w:rsid w:val="00BA498A"/>
    <w:rsid w:val="00BD2B5E"/>
    <w:rsid w:val="00C261BC"/>
    <w:rsid w:val="00C30E0A"/>
    <w:rsid w:val="00C70498"/>
    <w:rsid w:val="00C87575"/>
    <w:rsid w:val="00CC2BFA"/>
    <w:rsid w:val="00D1091F"/>
    <w:rsid w:val="00D23A0D"/>
    <w:rsid w:val="00D46BEE"/>
    <w:rsid w:val="00DD35B1"/>
    <w:rsid w:val="00DF2283"/>
    <w:rsid w:val="00E624E3"/>
    <w:rsid w:val="00EC1180"/>
    <w:rsid w:val="00F1193E"/>
    <w:rsid w:val="00F326CF"/>
    <w:rsid w:val="00F41669"/>
    <w:rsid w:val="00F77E81"/>
    <w:rsid w:val="00F82982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0F3A"/>
  <w15:chartTrackingRefBased/>
  <w15:docId w15:val="{9FD7980C-7636-496E-9ECE-A2F9810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180"/>
    <w:pPr>
      <w:spacing w:before="100" w:beforeAutospacing="1" w:after="115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E624E3"/>
    <w:pPr>
      <w:keepNext/>
      <w:spacing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180"/>
    <w:pPr>
      <w:keepNext/>
      <w:keepLines/>
      <w:spacing w:before="40" w:after="0"/>
      <w:outlineLvl w:val="1"/>
    </w:pPr>
    <w:rPr>
      <w:rFonts w:ascii="Arial" w:eastAsiaTheme="majorEastAsia" w:hAnsi="Arial" w:cstheme="majorBidi"/>
      <w:i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4E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C1180"/>
    <w:rPr>
      <w:rFonts w:ascii="Arial" w:eastAsiaTheme="majorEastAsia" w:hAnsi="Arial" w:cstheme="majorBidi"/>
      <w:i/>
      <w:color w:val="2E74B5" w:themeColor="accent1" w:themeShade="BF"/>
      <w:sz w:val="28"/>
      <w:szCs w:val="26"/>
      <w:lang w:val="ru-RU"/>
    </w:rPr>
  </w:style>
  <w:style w:type="paragraph" w:styleId="a3">
    <w:name w:val="Normal (Web)"/>
    <w:basedOn w:val="a"/>
    <w:uiPriority w:val="99"/>
    <w:semiHidden/>
    <w:unhideWhenUsed/>
    <w:rsid w:val="00E624E3"/>
    <w:pPr>
      <w:spacing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907F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64F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4F9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4F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4F95"/>
    <w:rPr>
      <w:rFonts w:ascii="Times New Roman" w:hAnsi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64F9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4F95"/>
    <w:rPr>
      <w:rFonts w:ascii="Segoe UI" w:hAnsi="Segoe UI" w:cs="Segoe UI"/>
      <w:sz w:val="18"/>
      <w:szCs w:val="18"/>
      <w:lang w:val="ru-RU"/>
    </w:rPr>
  </w:style>
  <w:style w:type="paragraph" w:styleId="ac">
    <w:name w:val="Revision"/>
    <w:hidden/>
    <w:uiPriority w:val="99"/>
    <w:semiHidden/>
    <w:rsid w:val="00364F9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footnote text"/>
    <w:basedOn w:val="a"/>
    <w:link w:val="ae"/>
    <w:uiPriority w:val="99"/>
    <w:semiHidden/>
    <w:unhideWhenUsed/>
    <w:rsid w:val="00364F95"/>
    <w:pPr>
      <w:spacing w:before="0"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364F95"/>
    <w:rPr>
      <w:vertAlign w:val="superscript"/>
    </w:rPr>
  </w:style>
  <w:style w:type="table" w:styleId="af0">
    <w:name w:val="Table Grid"/>
    <w:basedOn w:val="a1"/>
    <w:uiPriority w:val="39"/>
    <w:rsid w:val="00A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F1193E"/>
    <w:pPr>
      <w:spacing w:after="0" w:line="240" w:lineRule="auto"/>
    </w:pPr>
    <w:rPr>
      <w:rFonts w:eastAsiaTheme="minorEastAsia"/>
      <w:lang w:val="ru-RU"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f1">
    <w:name w:val="Intense Quote"/>
    <w:basedOn w:val="a"/>
    <w:next w:val="a"/>
    <w:link w:val="af2"/>
    <w:uiPriority w:val="30"/>
    <w:qFormat/>
    <w:rsid w:val="00F416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F41669"/>
    <w:rPr>
      <w:rFonts w:ascii="Times New Roman" w:hAnsi="Times New Roman"/>
      <w:i/>
      <w:iCs/>
      <w:color w:val="5B9BD5" w:themeColor="accent1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4087D-E4D0-4C78-9DB7-3A99204D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47</cp:revision>
  <cp:lastPrinted>2018-10-09T21:02:00Z</cp:lastPrinted>
  <dcterms:created xsi:type="dcterms:W3CDTF">2018-10-08T12:20:00Z</dcterms:created>
  <dcterms:modified xsi:type="dcterms:W3CDTF">2018-10-09T21:03:00Z</dcterms:modified>
</cp:coreProperties>
</file>