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0BF45" w14:textId="745ACC06" w:rsidR="002E5F88" w:rsidRDefault="00100090">
      <w:pPr>
        <w:ind w:left="90"/>
      </w:pPr>
      <w:r>
        <w:tab/>
      </w:r>
      <w:r>
        <w:tab/>
      </w:r>
      <w:r>
        <w:tab/>
      </w:r>
      <w:r>
        <w:tab/>
        <w:t xml:space="preserve">            </w:t>
      </w:r>
      <w:r>
        <w:tab/>
      </w:r>
      <w:r>
        <w:tab/>
        <w:t xml:space="preserve">       </w:t>
      </w:r>
      <w:r>
        <w:tab/>
      </w:r>
      <w:r>
        <w:tab/>
      </w:r>
      <w:r w:rsidR="006A6B73">
        <w:tab/>
      </w:r>
      <w:r w:rsidR="006A6B73">
        <w:tab/>
      </w:r>
      <w:r>
        <w:t xml:space="preserve"> </w:t>
      </w:r>
      <w:r>
        <w:rPr>
          <w:b/>
        </w:rPr>
        <w:t>Proposal Date:</w:t>
      </w:r>
      <w:r>
        <w:t xml:space="preserve"> Jun 7, 2021</w:t>
      </w:r>
    </w:p>
    <w:p w14:paraId="104FEF82" w14:textId="77777777" w:rsidR="002E5F88" w:rsidRDefault="002E5F88">
      <w:pPr>
        <w:ind w:left="90"/>
        <w:rPr>
          <w:b/>
        </w:rPr>
      </w:pPr>
    </w:p>
    <w:p w14:paraId="5ED3F438" w14:textId="60521D65" w:rsidR="002E5F88" w:rsidRDefault="002E5F88">
      <w:pPr>
        <w:spacing w:after="240" w:line="240" w:lineRule="auto"/>
        <w:ind w:left="720"/>
      </w:pPr>
    </w:p>
    <w:p w14:paraId="044CE57C" w14:textId="5E8A1BAE" w:rsidR="002E5F88" w:rsidRDefault="00100090">
      <w:pPr>
        <w:spacing w:before="240" w:after="240"/>
        <w:jc w:val="center"/>
      </w:pPr>
      <w:r>
        <w:rPr>
          <w:rFonts w:ascii="Arial" w:eastAsia="Arial" w:hAnsi="Arial" w:cs="Arial"/>
          <w:sz w:val="24"/>
          <w:szCs w:val="24"/>
        </w:rPr>
        <w:t xml:space="preserve"> </w:t>
      </w:r>
      <w:r w:rsidR="006A6B73">
        <w:rPr>
          <w:b/>
          <w:sz w:val="44"/>
          <w:szCs w:val="44"/>
        </w:rPr>
        <w:t>Document Title</w:t>
      </w:r>
      <w:r w:rsidR="006A6B73">
        <w:rPr>
          <w:b/>
          <w:sz w:val="44"/>
          <w:szCs w:val="44"/>
        </w:rPr>
        <w:br/>
        <w:t>sow/design</w:t>
      </w:r>
    </w:p>
    <w:p w14:paraId="150C710F" w14:textId="77777777" w:rsidR="002E5F88" w:rsidRDefault="002E5F88"/>
    <w:p w14:paraId="195A09F8" w14:textId="77777777" w:rsidR="002E5F88" w:rsidRDefault="00100090">
      <w:pPr>
        <w:jc w:val="center"/>
      </w:pPr>
      <w:r>
        <w:t>Version 1</w:t>
      </w:r>
    </w:p>
    <w:p w14:paraId="2E3D2771" w14:textId="77777777" w:rsidR="002E5F88" w:rsidRDefault="002E5F88">
      <w:pPr>
        <w:rPr>
          <w:b/>
        </w:rPr>
      </w:pPr>
    </w:p>
    <w:p w14:paraId="7B1EE44D" w14:textId="6F583509" w:rsidR="002E5F88" w:rsidRDefault="006A6B73">
      <w:pPr>
        <w:jc w:val="center"/>
        <w:rPr>
          <w:b/>
          <w:u w:val="single"/>
        </w:rPr>
      </w:pPr>
      <w:r>
        <w:rPr>
          <w:b/>
          <w:u w:val="single"/>
        </w:rPr>
        <w:t>[customer logo]</w:t>
      </w:r>
    </w:p>
    <w:p w14:paraId="6B295E66" w14:textId="77777777" w:rsidR="002E5F88" w:rsidRDefault="002E5F88">
      <w:pPr>
        <w:rPr>
          <w:b/>
          <w:u w:val="single"/>
        </w:rPr>
      </w:pPr>
    </w:p>
    <w:p w14:paraId="2D1755C8" w14:textId="77777777" w:rsidR="002E5F88" w:rsidRDefault="002E5F88">
      <w:pPr>
        <w:rPr>
          <w:b/>
          <w:u w:val="single"/>
        </w:rPr>
      </w:pPr>
    </w:p>
    <w:p w14:paraId="7342B4B1" w14:textId="77777777" w:rsidR="002E5F88" w:rsidRDefault="002E5F88">
      <w:pPr>
        <w:rPr>
          <w:b/>
          <w:u w:val="single"/>
        </w:rPr>
      </w:pPr>
    </w:p>
    <w:p w14:paraId="611ADEBD" w14:textId="77777777" w:rsidR="002E5F88" w:rsidRDefault="002E5F88">
      <w:pPr>
        <w:rPr>
          <w:b/>
          <w:u w:val="single"/>
        </w:rPr>
      </w:pPr>
    </w:p>
    <w:p w14:paraId="5EDFDCFD" w14:textId="77777777" w:rsidR="002E5F88" w:rsidRDefault="002E5F88">
      <w:pPr>
        <w:rPr>
          <w:b/>
          <w:u w:val="single"/>
        </w:rPr>
      </w:pPr>
    </w:p>
    <w:p w14:paraId="4D2DB811" w14:textId="77777777" w:rsidR="002E5F88" w:rsidRDefault="00100090">
      <w:pPr>
        <w:rPr>
          <w:b/>
          <w:u w:val="single"/>
        </w:rPr>
      </w:pPr>
      <w:r>
        <w:rPr>
          <w:b/>
          <w:u w:val="single"/>
        </w:rPr>
        <w:t>Solution Provided By</w:t>
      </w:r>
      <w:r>
        <w:rPr>
          <w:b/>
          <w:u w:val="single"/>
        </w:rPr>
        <w:br/>
      </w:r>
    </w:p>
    <w:p w14:paraId="6DFB3C10" w14:textId="0E7D69DC" w:rsidR="002E5F88" w:rsidRDefault="005C1E6A">
      <w:r>
        <w:t>David Gidony</w:t>
      </w:r>
      <w:r w:rsidR="00100090">
        <w:t>, Solution Architect</w:t>
      </w:r>
    </w:p>
    <w:p w14:paraId="5A3C347C" w14:textId="53E342B7" w:rsidR="002E5F88" w:rsidRDefault="00100090">
      <w:r>
        <w:t>Tera</w:t>
      </w:r>
      <w:r w:rsidR="005C1E6A">
        <w:t>S</w:t>
      </w:r>
      <w:r>
        <w:t>ky</w:t>
      </w:r>
    </w:p>
    <w:p w14:paraId="52B670DB" w14:textId="17B70F26" w:rsidR="002E5F88" w:rsidRDefault="005C1E6A">
      <w:r>
        <w:t>davidg</w:t>
      </w:r>
      <w:hyperlink r:id="rId7">
        <w:r w:rsidR="00100090">
          <w:rPr>
            <w:color w:val="0000FF"/>
            <w:u w:val="single"/>
          </w:rPr>
          <w:t>@terasky.com</w:t>
        </w:r>
      </w:hyperlink>
    </w:p>
    <w:p w14:paraId="3C146C68" w14:textId="38EEF215" w:rsidR="002E5F88" w:rsidRDefault="00100090">
      <w:r>
        <w:t>+972 5</w:t>
      </w:r>
      <w:r w:rsidR="005C1E6A">
        <w:t>2</w:t>
      </w:r>
      <w:r>
        <w:t>-</w:t>
      </w:r>
      <w:r w:rsidR="005C1E6A">
        <w:t>280</w:t>
      </w:r>
      <w:r>
        <w:t>-</w:t>
      </w:r>
      <w:r w:rsidR="005C1E6A">
        <w:t>8442</w:t>
      </w:r>
    </w:p>
    <w:p w14:paraId="768FAC5E" w14:textId="77777777" w:rsidR="002E5F88" w:rsidRDefault="002E5F88"/>
    <w:p w14:paraId="00D48325" w14:textId="77777777" w:rsidR="002E5F88" w:rsidRDefault="00100090">
      <w:pPr>
        <w:rPr>
          <w:b/>
        </w:rPr>
      </w:pPr>
      <w:r>
        <w:rPr>
          <w:b/>
        </w:rPr>
        <w:t>TeraSky Ltd.</w:t>
      </w:r>
    </w:p>
    <w:p w14:paraId="73B7D29E" w14:textId="77777777" w:rsidR="002E5F88" w:rsidRDefault="002E5F88">
      <w:pPr>
        <w:spacing w:before="240" w:after="240"/>
        <w:rPr>
          <w:rFonts w:ascii="Arial" w:eastAsia="Arial" w:hAnsi="Arial" w:cs="Arial"/>
          <w:sz w:val="24"/>
          <w:szCs w:val="24"/>
        </w:rPr>
      </w:pPr>
    </w:p>
    <w:p w14:paraId="6E17EFBB" w14:textId="77777777" w:rsidR="002E5F88" w:rsidRDefault="002E5F88">
      <w:pPr>
        <w:rPr>
          <w:rFonts w:ascii="Arial" w:eastAsia="Arial" w:hAnsi="Arial" w:cs="Arial"/>
        </w:rPr>
      </w:pPr>
    </w:p>
    <w:p w14:paraId="2754D9BD" w14:textId="77777777" w:rsidR="002E5F88" w:rsidRDefault="002E5F88">
      <w:pPr>
        <w:rPr>
          <w:rFonts w:ascii="Arial" w:eastAsia="Arial" w:hAnsi="Arial" w:cs="Arial"/>
        </w:rPr>
      </w:pPr>
    </w:p>
    <w:p w14:paraId="7D31E46C" w14:textId="77777777" w:rsidR="002E5F88" w:rsidRDefault="002E5F88">
      <w:pPr>
        <w:rPr>
          <w:rFonts w:ascii="Arial" w:eastAsia="Arial" w:hAnsi="Arial" w:cs="Arial"/>
        </w:rPr>
      </w:pPr>
    </w:p>
    <w:p w14:paraId="7E150F59" w14:textId="77777777" w:rsidR="002E5F88" w:rsidRDefault="002E5F88">
      <w:pPr>
        <w:rPr>
          <w:rFonts w:ascii="Arial" w:eastAsia="Arial" w:hAnsi="Arial" w:cs="Arial"/>
        </w:rPr>
      </w:pPr>
    </w:p>
    <w:p w14:paraId="08FABCF3" w14:textId="77777777" w:rsidR="002E5F88" w:rsidRDefault="002E5F88">
      <w:pPr>
        <w:rPr>
          <w:rFonts w:ascii="Arial" w:eastAsia="Arial" w:hAnsi="Arial" w:cs="Arial"/>
        </w:rPr>
      </w:pPr>
    </w:p>
    <w:p w14:paraId="162F743F" w14:textId="77777777" w:rsidR="002E5F88" w:rsidRDefault="00100090">
      <w:pPr>
        <w:jc w:val="center"/>
        <w:rPr>
          <w:b/>
          <w:sz w:val="32"/>
          <w:szCs w:val="32"/>
          <w:u w:val="single"/>
        </w:rPr>
      </w:pPr>
      <w:bookmarkStart w:id="0" w:name="_gjdgxs" w:colFirst="0" w:colLast="0"/>
      <w:bookmarkEnd w:id="0"/>
      <w:r>
        <w:rPr>
          <w:b/>
          <w:sz w:val="32"/>
          <w:szCs w:val="32"/>
          <w:u w:val="single"/>
        </w:rPr>
        <w:lastRenderedPageBreak/>
        <w:br/>
        <w:t>Table of Contents</w:t>
      </w:r>
    </w:p>
    <w:p w14:paraId="358B50AE" w14:textId="77777777" w:rsidR="002E5F88" w:rsidRDefault="002E5F88">
      <w:pPr>
        <w:keepNext/>
        <w:keepLines/>
        <w:spacing w:before="240"/>
        <w:rPr>
          <w:b/>
          <w:color w:val="0070C0"/>
          <w:sz w:val="28"/>
          <w:szCs w:val="28"/>
          <w:u w:val="single"/>
        </w:rPr>
      </w:pPr>
    </w:p>
    <w:sdt>
      <w:sdtPr>
        <w:id w:val="1390605498"/>
        <w:docPartObj>
          <w:docPartGallery w:val="Table of Contents"/>
          <w:docPartUnique/>
        </w:docPartObj>
      </w:sdtPr>
      <w:sdtContent>
        <w:p w14:paraId="3CA2FB1A" w14:textId="77777777" w:rsidR="002E5F88" w:rsidRDefault="00100090">
          <w:pPr>
            <w:tabs>
              <w:tab w:val="right" w:pos="10203"/>
            </w:tabs>
            <w:spacing w:before="80" w:line="240" w:lineRule="auto"/>
            <w:rPr>
              <w:rFonts w:ascii="Arial" w:eastAsia="Arial" w:hAnsi="Arial" w:cs="Arial"/>
              <w:b/>
              <w:color w:val="000000"/>
            </w:rPr>
          </w:pPr>
          <w:r>
            <w:fldChar w:fldCharType="begin"/>
          </w:r>
          <w:r>
            <w:instrText xml:space="preserve"> TOC \h \u \z </w:instrText>
          </w:r>
          <w:r>
            <w:fldChar w:fldCharType="separate"/>
          </w:r>
          <w:hyperlink w:anchor="_o1696r7nszm9">
            <w:r>
              <w:rPr>
                <w:rFonts w:ascii="Arial" w:eastAsia="Arial" w:hAnsi="Arial" w:cs="Arial"/>
                <w:b/>
                <w:color w:val="000000"/>
              </w:rPr>
              <w:t>Introduction</w:t>
            </w:r>
          </w:hyperlink>
          <w:r>
            <w:rPr>
              <w:rFonts w:ascii="Arial" w:eastAsia="Arial" w:hAnsi="Arial" w:cs="Arial"/>
              <w:b/>
              <w:color w:val="000000"/>
            </w:rPr>
            <w:tab/>
          </w:r>
          <w:r>
            <w:fldChar w:fldCharType="begin"/>
          </w:r>
          <w:r>
            <w:instrText xml:space="preserve"> PAGEREF _o1696r7nszm9 \h </w:instrText>
          </w:r>
          <w:r>
            <w:fldChar w:fldCharType="separate"/>
          </w:r>
          <w:r>
            <w:rPr>
              <w:rFonts w:ascii="Arial" w:eastAsia="Arial" w:hAnsi="Arial" w:cs="Arial"/>
              <w:b/>
              <w:color w:val="000000"/>
            </w:rPr>
            <w:t>5</w:t>
          </w:r>
          <w:r>
            <w:fldChar w:fldCharType="end"/>
          </w:r>
        </w:p>
        <w:p w14:paraId="5387F0C2" w14:textId="77777777" w:rsidR="002E5F88" w:rsidRDefault="00000000">
          <w:pPr>
            <w:tabs>
              <w:tab w:val="right" w:pos="10203"/>
            </w:tabs>
            <w:spacing w:before="200" w:line="240" w:lineRule="auto"/>
            <w:rPr>
              <w:rFonts w:ascii="Arial" w:eastAsia="Arial" w:hAnsi="Arial" w:cs="Arial"/>
            </w:rPr>
          </w:pPr>
          <w:hyperlink w:anchor="_92ux8nsksk6u">
            <w:r w:rsidR="00100090">
              <w:rPr>
                <w:rFonts w:ascii="Arial" w:eastAsia="Arial" w:hAnsi="Arial" w:cs="Arial"/>
                <w:b/>
              </w:rPr>
              <w:t>New VCF High Level Solution Scheme</w:t>
            </w:r>
          </w:hyperlink>
          <w:r w:rsidR="00100090">
            <w:rPr>
              <w:rFonts w:ascii="Arial" w:eastAsia="Arial" w:hAnsi="Arial" w:cs="Arial"/>
              <w:b/>
            </w:rPr>
            <w:tab/>
          </w:r>
          <w:r w:rsidR="00100090">
            <w:fldChar w:fldCharType="begin"/>
          </w:r>
          <w:r w:rsidR="00100090">
            <w:instrText xml:space="preserve"> PAGEREF _92ux8nsksk6u \h </w:instrText>
          </w:r>
          <w:r w:rsidR="00100090">
            <w:fldChar w:fldCharType="separate"/>
          </w:r>
          <w:r w:rsidR="00100090">
            <w:rPr>
              <w:rFonts w:ascii="Arial" w:eastAsia="Arial" w:hAnsi="Arial" w:cs="Arial"/>
              <w:b/>
            </w:rPr>
            <w:t>6</w:t>
          </w:r>
          <w:r w:rsidR="00100090">
            <w:fldChar w:fldCharType="end"/>
          </w:r>
        </w:p>
        <w:p w14:paraId="212C13ED" w14:textId="77777777" w:rsidR="002E5F88" w:rsidRDefault="00000000">
          <w:pPr>
            <w:tabs>
              <w:tab w:val="right" w:pos="10203"/>
            </w:tabs>
            <w:spacing w:before="60" w:line="240" w:lineRule="auto"/>
            <w:ind w:left="360"/>
            <w:rPr>
              <w:rFonts w:ascii="Arial" w:eastAsia="Arial" w:hAnsi="Arial" w:cs="Arial"/>
            </w:rPr>
          </w:pPr>
          <w:hyperlink w:anchor="_yt0jtzkphq7l">
            <w:r w:rsidR="00100090">
              <w:rPr>
                <w:rFonts w:ascii="Arial" w:eastAsia="Arial" w:hAnsi="Arial" w:cs="Arial"/>
              </w:rPr>
              <w:t>TKG High Level Design</w:t>
            </w:r>
          </w:hyperlink>
          <w:r w:rsidR="00100090">
            <w:rPr>
              <w:rFonts w:ascii="Arial" w:eastAsia="Arial" w:hAnsi="Arial" w:cs="Arial"/>
            </w:rPr>
            <w:tab/>
          </w:r>
          <w:r w:rsidR="00100090">
            <w:fldChar w:fldCharType="begin"/>
          </w:r>
          <w:r w:rsidR="00100090">
            <w:instrText xml:space="preserve"> PAGEREF _yt0jtzkphq7l \h </w:instrText>
          </w:r>
          <w:r w:rsidR="00100090">
            <w:fldChar w:fldCharType="separate"/>
          </w:r>
          <w:r w:rsidR="00100090">
            <w:rPr>
              <w:rFonts w:ascii="Arial" w:eastAsia="Arial" w:hAnsi="Arial" w:cs="Arial"/>
            </w:rPr>
            <w:t>7</w:t>
          </w:r>
          <w:r w:rsidR="00100090">
            <w:fldChar w:fldCharType="end"/>
          </w:r>
        </w:p>
        <w:p w14:paraId="33052F95" w14:textId="77777777" w:rsidR="002E5F88" w:rsidRDefault="00000000">
          <w:pPr>
            <w:tabs>
              <w:tab w:val="right" w:pos="10203"/>
            </w:tabs>
            <w:spacing w:before="200" w:line="240" w:lineRule="auto"/>
            <w:rPr>
              <w:rFonts w:ascii="Arial" w:eastAsia="Arial" w:hAnsi="Arial" w:cs="Arial"/>
            </w:rPr>
          </w:pPr>
          <w:hyperlink w:anchor="_4w0fdqcwcfda">
            <w:r w:rsidR="00100090">
              <w:rPr>
                <w:rFonts w:ascii="Arial" w:eastAsia="Arial" w:hAnsi="Arial" w:cs="Arial"/>
                <w:b/>
              </w:rPr>
              <w:t>Project Scope</w:t>
            </w:r>
          </w:hyperlink>
          <w:r w:rsidR="00100090">
            <w:rPr>
              <w:rFonts w:ascii="Arial" w:eastAsia="Arial" w:hAnsi="Arial" w:cs="Arial"/>
              <w:b/>
            </w:rPr>
            <w:tab/>
          </w:r>
          <w:r w:rsidR="00100090">
            <w:fldChar w:fldCharType="begin"/>
          </w:r>
          <w:r w:rsidR="00100090">
            <w:instrText xml:space="preserve"> PAGEREF _4w0fdqcwcfda \h </w:instrText>
          </w:r>
          <w:r w:rsidR="00100090">
            <w:fldChar w:fldCharType="separate"/>
          </w:r>
          <w:r w:rsidR="00100090">
            <w:rPr>
              <w:rFonts w:ascii="Arial" w:eastAsia="Arial" w:hAnsi="Arial" w:cs="Arial"/>
              <w:b/>
            </w:rPr>
            <w:t>9</w:t>
          </w:r>
          <w:r w:rsidR="00100090">
            <w:fldChar w:fldCharType="end"/>
          </w:r>
        </w:p>
        <w:p w14:paraId="68FF41B7" w14:textId="77777777" w:rsidR="002E5F88" w:rsidRDefault="00000000">
          <w:pPr>
            <w:tabs>
              <w:tab w:val="right" w:pos="10203"/>
            </w:tabs>
            <w:spacing w:before="60" w:line="240" w:lineRule="auto"/>
            <w:ind w:left="360"/>
            <w:rPr>
              <w:rFonts w:ascii="Arial" w:eastAsia="Arial" w:hAnsi="Arial" w:cs="Arial"/>
            </w:rPr>
          </w:pPr>
          <w:hyperlink w:anchor="_x77w4olplba2">
            <w:r w:rsidR="00100090">
              <w:rPr>
                <w:rFonts w:ascii="Arial" w:eastAsia="Arial" w:hAnsi="Arial" w:cs="Arial"/>
              </w:rPr>
              <w:t>Phase 1: Project Kickoff</w:t>
            </w:r>
          </w:hyperlink>
          <w:r w:rsidR="00100090">
            <w:rPr>
              <w:rFonts w:ascii="Arial" w:eastAsia="Arial" w:hAnsi="Arial" w:cs="Arial"/>
            </w:rPr>
            <w:tab/>
          </w:r>
          <w:r w:rsidR="00100090">
            <w:fldChar w:fldCharType="begin"/>
          </w:r>
          <w:r w:rsidR="00100090">
            <w:instrText xml:space="preserve"> PAGEREF _x77w4olplba2 \h </w:instrText>
          </w:r>
          <w:r w:rsidR="00100090">
            <w:fldChar w:fldCharType="separate"/>
          </w:r>
          <w:r w:rsidR="00100090">
            <w:rPr>
              <w:rFonts w:ascii="Arial" w:eastAsia="Arial" w:hAnsi="Arial" w:cs="Arial"/>
            </w:rPr>
            <w:t>10</w:t>
          </w:r>
          <w:r w:rsidR="00100090">
            <w:fldChar w:fldCharType="end"/>
          </w:r>
        </w:p>
        <w:p w14:paraId="2388FA79" w14:textId="77777777" w:rsidR="002E5F88" w:rsidRDefault="00000000">
          <w:pPr>
            <w:tabs>
              <w:tab w:val="right" w:pos="10203"/>
            </w:tabs>
            <w:spacing w:before="60" w:line="240" w:lineRule="auto"/>
            <w:ind w:left="360"/>
            <w:rPr>
              <w:rFonts w:ascii="Arial" w:eastAsia="Arial" w:hAnsi="Arial" w:cs="Arial"/>
            </w:rPr>
          </w:pPr>
          <w:hyperlink w:anchor="_3j2qqm3">
            <w:r w:rsidR="00100090">
              <w:rPr>
                <w:rFonts w:ascii="Arial" w:eastAsia="Arial" w:hAnsi="Arial" w:cs="Arial"/>
              </w:rPr>
              <w:t>Phase 2: Design Workshop</w:t>
            </w:r>
          </w:hyperlink>
          <w:r w:rsidR="00100090">
            <w:rPr>
              <w:rFonts w:ascii="Arial" w:eastAsia="Arial" w:hAnsi="Arial" w:cs="Arial"/>
            </w:rPr>
            <w:tab/>
          </w:r>
          <w:r w:rsidR="00100090">
            <w:fldChar w:fldCharType="begin"/>
          </w:r>
          <w:r w:rsidR="00100090">
            <w:instrText xml:space="preserve"> PAGEREF _3j2qqm3 \h </w:instrText>
          </w:r>
          <w:r w:rsidR="00100090">
            <w:fldChar w:fldCharType="separate"/>
          </w:r>
          <w:r w:rsidR="00100090">
            <w:rPr>
              <w:rFonts w:ascii="Arial" w:eastAsia="Arial" w:hAnsi="Arial" w:cs="Arial"/>
            </w:rPr>
            <w:t>10</w:t>
          </w:r>
          <w:r w:rsidR="00100090">
            <w:fldChar w:fldCharType="end"/>
          </w:r>
        </w:p>
        <w:p w14:paraId="58FDCA7F" w14:textId="77777777" w:rsidR="002E5F88" w:rsidRDefault="00000000">
          <w:pPr>
            <w:tabs>
              <w:tab w:val="right" w:pos="10203"/>
            </w:tabs>
            <w:spacing w:before="60" w:line="240" w:lineRule="auto"/>
            <w:ind w:left="360"/>
            <w:rPr>
              <w:rFonts w:ascii="Arial" w:eastAsia="Arial" w:hAnsi="Arial" w:cs="Arial"/>
            </w:rPr>
          </w:pPr>
          <w:hyperlink w:anchor="_4i7ojhp">
            <w:r w:rsidR="00100090">
              <w:rPr>
                <w:rFonts w:ascii="Arial" w:eastAsia="Arial" w:hAnsi="Arial" w:cs="Arial"/>
              </w:rPr>
              <w:t>Phase 3: VMware Cloud Infrastructure Bring-up</w:t>
            </w:r>
          </w:hyperlink>
          <w:r w:rsidR="00100090">
            <w:rPr>
              <w:rFonts w:ascii="Arial" w:eastAsia="Arial" w:hAnsi="Arial" w:cs="Arial"/>
            </w:rPr>
            <w:tab/>
          </w:r>
          <w:r w:rsidR="00100090">
            <w:fldChar w:fldCharType="begin"/>
          </w:r>
          <w:r w:rsidR="00100090">
            <w:instrText xml:space="preserve"> PAGEREF _4i7ojhp \h </w:instrText>
          </w:r>
          <w:r w:rsidR="00100090">
            <w:fldChar w:fldCharType="separate"/>
          </w:r>
          <w:r w:rsidR="00100090">
            <w:rPr>
              <w:rFonts w:ascii="Arial" w:eastAsia="Arial" w:hAnsi="Arial" w:cs="Arial"/>
            </w:rPr>
            <w:t>12</w:t>
          </w:r>
          <w:r w:rsidR="00100090">
            <w:fldChar w:fldCharType="end"/>
          </w:r>
        </w:p>
        <w:p w14:paraId="1B4E6279" w14:textId="77777777" w:rsidR="002E5F88" w:rsidRDefault="00000000">
          <w:pPr>
            <w:tabs>
              <w:tab w:val="right" w:pos="10203"/>
            </w:tabs>
            <w:spacing w:before="60" w:line="240" w:lineRule="auto"/>
            <w:ind w:left="360"/>
            <w:rPr>
              <w:rFonts w:ascii="Arial" w:eastAsia="Arial" w:hAnsi="Arial" w:cs="Arial"/>
            </w:rPr>
          </w:pPr>
          <w:hyperlink w:anchor="_ournta9h3614">
            <w:r w:rsidR="00100090">
              <w:rPr>
                <w:rFonts w:ascii="Arial" w:eastAsia="Arial" w:hAnsi="Arial" w:cs="Arial"/>
              </w:rPr>
              <w:t>Phase 4: VMware Cloud Infrastructure Configuration</w:t>
            </w:r>
          </w:hyperlink>
          <w:r w:rsidR="00100090">
            <w:rPr>
              <w:rFonts w:ascii="Arial" w:eastAsia="Arial" w:hAnsi="Arial" w:cs="Arial"/>
            </w:rPr>
            <w:tab/>
          </w:r>
          <w:r w:rsidR="00100090">
            <w:fldChar w:fldCharType="begin"/>
          </w:r>
          <w:r w:rsidR="00100090">
            <w:instrText xml:space="preserve"> PAGEREF _ournta9h3614 \h </w:instrText>
          </w:r>
          <w:r w:rsidR="00100090">
            <w:fldChar w:fldCharType="separate"/>
          </w:r>
          <w:r w:rsidR="00100090">
            <w:rPr>
              <w:rFonts w:ascii="Arial" w:eastAsia="Arial" w:hAnsi="Arial" w:cs="Arial"/>
            </w:rPr>
            <w:t>14</w:t>
          </w:r>
          <w:r w:rsidR="00100090">
            <w:fldChar w:fldCharType="end"/>
          </w:r>
        </w:p>
        <w:p w14:paraId="29248ADC" w14:textId="77777777" w:rsidR="002E5F88" w:rsidRDefault="00000000">
          <w:pPr>
            <w:tabs>
              <w:tab w:val="right" w:pos="10203"/>
            </w:tabs>
            <w:spacing w:before="60" w:line="240" w:lineRule="auto"/>
            <w:ind w:left="360"/>
            <w:rPr>
              <w:rFonts w:ascii="Arial" w:eastAsia="Arial" w:hAnsi="Arial" w:cs="Arial"/>
            </w:rPr>
          </w:pPr>
          <w:hyperlink w:anchor="_odebmyjcd27t">
            <w:r w:rsidR="00100090">
              <w:rPr>
                <w:rFonts w:ascii="Arial" w:eastAsia="Arial" w:hAnsi="Arial" w:cs="Arial"/>
              </w:rPr>
              <w:t>Phase 5: VMware Tanzu Implementation</w:t>
            </w:r>
          </w:hyperlink>
          <w:r w:rsidR="00100090">
            <w:rPr>
              <w:rFonts w:ascii="Arial" w:eastAsia="Arial" w:hAnsi="Arial" w:cs="Arial"/>
            </w:rPr>
            <w:tab/>
          </w:r>
          <w:r w:rsidR="00100090">
            <w:fldChar w:fldCharType="begin"/>
          </w:r>
          <w:r w:rsidR="00100090">
            <w:instrText xml:space="preserve"> PAGEREF _odebmyjcd27t \h </w:instrText>
          </w:r>
          <w:r w:rsidR="00100090">
            <w:fldChar w:fldCharType="separate"/>
          </w:r>
          <w:r w:rsidR="00100090">
            <w:rPr>
              <w:rFonts w:ascii="Arial" w:eastAsia="Arial" w:hAnsi="Arial" w:cs="Arial"/>
            </w:rPr>
            <w:t>15</w:t>
          </w:r>
          <w:r w:rsidR="00100090">
            <w:fldChar w:fldCharType="end"/>
          </w:r>
        </w:p>
        <w:p w14:paraId="79EFD7A9" w14:textId="77777777" w:rsidR="002E5F88" w:rsidRDefault="00000000">
          <w:pPr>
            <w:tabs>
              <w:tab w:val="right" w:pos="10203"/>
            </w:tabs>
            <w:spacing w:before="60" w:line="240" w:lineRule="auto"/>
            <w:ind w:left="360"/>
            <w:rPr>
              <w:rFonts w:ascii="Arial" w:eastAsia="Arial" w:hAnsi="Arial" w:cs="Arial"/>
            </w:rPr>
          </w:pPr>
          <w:hyperlink w:anchor="_wudjuplnqyd1">
            <w:r w:rsidR="00100090">
              <w:rPr>
                <w:rFonts w:ascii="Arial" w:eastAsia="Arial" w:hAnsi="Arial" w:cs="Arial"/>
              </w:rPr>
              <w:t>Phase 6: Usability Test</w:t>
            </w:r>
          </w:hyperlink>
          <w:r w:rsidR="00100090">
            <w:rPr>
              <w:rFonts w:ascii="Arial" w:eastAsia="Arial" w:hAnsi="Arial" w:cs="Arial"/>
            </w:rPr>
            <w:tab/>
          </w:r>
          <w:r w:rsidR="00100090">
            <w:fldChar w:fldCharType="begin"/>
          </w:r>
          <w:r w:rsidR="00100090">
            <w:instrText xml:space="preserve"> PAGEREF _wudjuplnqyd1 \h </w:instrText>
          </w:r>
          <w:r w:rsidR="00100090">
            <w:fldChar w:fldCharType="separate"/>
          </w:r>
          <w:r w:rsidR="00100090">
            <w:rPr>
              <w:rFonts w:ascii="Arial" w:eastAsia="Arial" w:hAnsi="Arial" w:cs="Arial"/>
            </w:rPr>
            <w:t>17</w:t>
          </w:r>
          <w:r w:rsidR="00100090">
            <w:fldChar w:fldCharType="end"/>
          </w:r>
        </w:p>
        <w:p w14:paraId="01316203" w14:textId="77777777" w:rsidR="002E5F88" w:rsidRDefault="00000000">
          <w:pPr>
            <w:tabs>
              <w:tab w:val="right" w:pos="10203"/>
            </w:tabs>
            <w:spacing w:before="60" w:line="240" w:lineRule="auto"/>
            <w:ind w:left="360"/>
            <w:rPr>
              <w:rFonts w:ascii="Arial" w:eastAsia="Arial" w:hAnsi="Arial" w:cs="Arial"/>
            </w:rPr>
          </w:pPr>
          <w:hyperlink w:anchor="_h85vkm6pg434">
            <w:r w:rsidR="00100090">
              <w:rPr>
                <w:rFonts w:ascii="Arial" w:eastAsia="Arial" w:hAnsi="Arial" w:cs="Arial"/>
              </w:rPr>
              <w:t>Phase 7: Validation</w:t>
            </w:r>
          </w:hyperlink>
          <w:r w:rsidR="00100090">
            <w:rPr>
              <w:rFonts w:ascii="Arial" w:eastAsia="Arial" w:hAnsi="Arial" w:cs="Arial"/>
            </w:rPr>
            <w:tab/>
          </w:r>
          <w:r w:rsidR="00100090">
            <w:fldChar w:fldCharType="begin"/>
          </w:r>
          <w:r w:rsidR="00100090">
            <w:instrText xml:space="preserve"> PAGEREF _h85vkm6pg434 \h </w:instrText>
          </w:r>
          <w:r w:rsidR="00100090">
            <w:fldChar w:fldCharType="separate"/>
          </w:r>
          <w:r w:rsidR="00100090">
            <w:rPr>
              <w:rFonts w:ascii="Arial" w:eastAsia="Arial" w:hAnsi="Arial" w:cs="Arial"/>
            </w:rPr>
            <w:t>18</w:t>
          </w:r>
          <w:r w:rsidR="00100090">
            <w:fldChar w:fldCharType="end"/>
          </w:r>
        </w:p>
        <w:p w14:paraId="5E89CB0E" w14:textId="77777777" w:rsidR="002E5F88" w:rsidRDefault="00000000">
          <w:pPr>
            <w:tabs>
              <w:tab w:val="right" w:pos="10203"/>
            </w:tabs>
            <w:spacing w:before="60" w:line="240" w:lineRule="auto"/>
            <w:ind w:left="360"/>
            <w:rPr>
              <w:rFonts w:ascii="Arial" w:eastAsia="Arial" w:hAnsi="Arial" w:cs="Arial"/>
            </w:rPr>
          </w:pPr>
          <w:hyperlink w:anchor="_qsh70q">
            <w:r w:rsidR="00100090">
              <w:rPr>
                <w:rFonts w:ascii="Arial" w:eastAsia="Arial" w:hAnsi="Arial" w:cs="Arial"/>
              </w:rPr>
              <w:t>Phase 8: Knowledge Transfer</w:t>
            </w:r>
          </w:hyperlink>
          <w:r w:rsidR="00100090">
            <w:rPr>
              <w:rFonts w:ascii="Arial" w:eastAsia="Arial" w:hAnsi="Arial" w:cs="Arial"/>
            </w:rPr>
            <w:tab/>
          </w:r>
          <w:r w:rsidR="00100090">
            <w:fldChar w:fldCharType="begin"/>
          </w:r>
          <w:r w:rsidR="00100090">
            <w:instrText xml:space="preserve"> PAGEREF _qsh70q \h </w:instrText>
          </w:r>
          <w:r w:rsidR="00100090">
            <w:fldChar w:fldCharType="separate"/>
          </w:r>
          <w:r w:rsidR="00100090">
            <w:rPr>
              <w:rFonts w:ascii="Arial" w:eastAsia="Arial" w:hAnsi="Arial" w:cs="Arial"/>
            </w:rPr>
            <w:t>18</w:t>
          </w:r>
          <w:r w:rsidR="00100090">
            <w:fldChar w:fldCharType="end"/>
          </w:r>
        </w:p>
        <w:p w14:paraId="673FBA3E" w14:textId="77777777" w:rsidR="002E5F88" w:rsidRDefault="00000000">
          <w:pPr>
            <w:tabs>
              <w:tab w:val="right" w:pos="10203"/>
            </w:tabs>
            <w:spacing w:before="200" w:line="240" w:lineRule="auto"/>
            <w:rPr>
              <w:rFonts w:ascii="Arial" w:eastAsia="Arial" w:hAnsi="Arial" w:cs="Arial"/>
            </w:rPr>
          </w:pPr>
          <w:hyperlink w:anchor="_3as4poj">
            <w:r w:rsidR="00100090">
              <w:rPr>
                <w:rFonts w:ascii="Arial" w:eastAsia="Arial" w:hAnsi="Arial" w:cs="Arial"/>
                <w:b/>
              </w:rPr>
              <w:t>Deliverables</w:t>
            </w:r>
          </w:hyperlink>
          <w:r w:rsidR="00100090">
            <w:rPr>
              <w:rFonts w:ascii="Arial" w:eastAsia="Arial" w:hAnsi="Arial" w:cs="Arial"/>
              <w:b/>
            </w:rPr>
            <w:tab/>
          </w:r>
          <w:r w:rsidR="00100090">
            <w:fldChar w:fldCharType="begin"/>
          </w:r>
          <w:r w:rsidR="00100090">
            <w:instrText xml:space="preserve"> PAGEREF _3as4poj \h </w:instrText>
          </w:r>
          <w:r w:rsidR="00100090">
            <w:fldChar w:fldCharType="separate"/>
          </w:r>
          <w:r w:rsidR="00100090">
            <w:rPr>
              <w:rFonts w:ascii="Arial" w:eastAsia="Arial" w:hAnsi="Arial" w:cs="Arial"/>
              <w:b/>
            </w:rPr>
            <w:t>19</w:t>
          </w:r>
          <w:r w:rsidR="00100090">
            <w:fldChar w:fldCharType="end"/>
          </w:r>
        </w:p>
        <w:p w14:paraId="12D8BFE2" w14:textId="77777777" w:rsidR="002E5F88" w:rsidRDefault="00000000">
          <w:pPr>
            <w:tabs>
              <w:tab w:val="right" w:pos="10203"/>
            </w:tabs>
            <w:spacing w:before="200" w:line="240" w:lineRule="auto"/>
            <w:rPr>
              <w:rFonts w:ascii="Arial" w:eastAsia="Arial" w:hAnsi="Arial" w:cs="Arial"/>
              <w:b/>
              <w:color w:val="000000"/>
            </w:rPr>
          </w:pPr>
          <w:hyperlink w:anchor="_1pxezwc">
            <w:r w:rsidR="00100090">
              <w:rPr>
                <w:rFonts w:ascii="Arial" w:eastAsia="Arial" w:hAnsi="Arial" w:cs="Arial"/>
                <w:b/>
                <w:color w:val="000000"/>
              </w:rPr>
              <w:t>Out Of Scope</w:t>
            </w:r>
          </w:hyperlink>
          <w:r w:rsidR="00100090">
            <w:rPr>
              <w:rFonts w:ascii="Arial" w:eastAsia="Arial" w:hAnsi="Arial" w:cs="Arial"/>
              <w:b/>
              <w:color w:val="000000"/>
            </w:rPr>
            <w:tab/>
          </w:r>
          <w:r w:rsidR="00100090">
            <w:fldChar w:fldCharType="begin"/>
          </w:r>
          <w:r w:rsidR="00100090">
            <w:instrText xml:space="preserve"> PAGEREF _1pxezwc \h </w:instrText>
          </w:r>
          <w:r w:rsidR="00100090">
            <w:fldChar w:fldCharType="separate"/>
          </w:r>
          <w:r w:rsidR="00100090">
            <w:rPr>
              <w:rFonts w:ascii="Arial" w:eastAsia="Arial" w:hAnsi="Arial" w:cs="Arial"/>
              <w:b/>
              <w:color w:val="000000"/>
            </w:rPr>
            <w:t>20</w:t>
          </w:r>
          <w:r w:rsidR="00100090">
            <w:fldChar w:fldCharType="end"/>
          </w:r>
        </w:p>
        <w:p w14:paraId="2045EF09" w14:textId="77777777" w:rsidR="002E5F88" w:rsidRDefault="00000000">
          <w:pPr>
            <w:tabs>
              <w:tab w:val="right" w:pos="10203"/>
            </w:tabs>
            <w:spacing w:before="200" w:after="80" w:line="240" w:lineRule="auto"/>
            <w:rPr>
              <w:rFonts w:ascii="Arial" w:eastAsia="Arial" w:hAnsi="Arial" w:cs="Arial"/>
              <w:b/>
              <w:color w:val="000000"/>
            </w:rPr>
          </w:pPr>
          <w:hyperlink w:anchor="_88lcpjf4wpsz">
            <w:r w:rsidR="00100090">
              <w:rPr>
                <w:rFonts w:ascii="Arial" w:eastAsia="Arial" w:hAnsi="Arial" w:cs="Arial"/>
                <w:b/>
                <w:color w:val="000000"/>
              </w:rPr>
              <w:t>Commercial Offering</w:t>
            </w:r>
          </w:hyperlink>
          <w:r w:rsidR="00100090">
            <w:rPr>
              <w:rFonts w:ascii="Arial" w:eastAsia="Arial" w:hAnsi="Arial" w:cs="Arial"/>
              <w:b/>
              <w:color w:val="000000"/>
            </w:rPr>
            <w:tab/>
          </w:r>
          <w:r w:rsidR="00100090">
            <w:fldChar w:fldCharType="begin"/>
          </w:r>
          <w:r w:rsidR="00100090">
            <w:instrText xml:space="preserve"> PAGEREF _88lcpjf4wpsz \h </w:instrText>
          </w:r>
          <w:r w:rsidR="00100090">
            <w:fldChar w:fldCharType="separate"/>
          </w:r>
          <w:r w:rsidR="00100090">
            <w:rPr>
              <w:rFonts w:ascii="Arial" w:eastAsia="Arial" w:hAnsi="Arial" w:cs="Arial"/>
              <w:b/>
              <w:color w:val="000000"/>
            </w:rPr>
            <w:t>21</w:t>
          </w:r>
          <w:r w:rsidR="00100090">
            <w:fldChar w:fldCharType="end"/>
          </w:r>
          <w:r w:rsidR="00100090">
            <w:fldChar w:fldCharType="end"/>
          </w:r>
        </w:p>
      </w:sdtContent>
    </w:sdt>
    <w:p w14:paraId="35EFED02" w14:textId="77777777" w:rsidR="002E5F88" w:rsidRDefault="002E5F88">
      <w:pPr>
        <w:rPr>
          <w:b/>
          <w:color w:val="0070C0"/>
          <w:sz w:val="28"/>
          <w:szCs w:val="28"/>
          <w:u w:val="single"/>
        </w:rPr>
      </w:pPr>
    </w:p>
    <w:p w14:paraId="50643D2B" w14:textId="77777777" w:rsidR="002E5F88" w:rsidRDefault="002E5F88"/>
    <w:p w14:paraId="308B737D" w14:textId="77777777" w:rsidR="002E5F88" w:rsidRDefault="00100090">
      <w:pPr>
        <w:rPr>
          <w:color w:val="0070C0"/>
          <w:sz w:val="32"/>
          <w:szCs w:val="32"/>
        </w:rPr>
      </w:pPr>
      <w:bookmarkStart w:id="1" w:name="_30j0zll" w:colFirst="0" w:colLast="0"/>
      <w:bookmarkEnd w:id="1"/>
      <w:r>
        <w:br w:type="page"/>
      </w:r>
      <w:r>
        <w:rPr>
          <w:b/>
          <w:sz w:val="28"/>
          <w:szCs w:val="28"/>
          <w:u w:val="single"/>
        </w:rPr>
        <w:lastRenderedPageBreak/>
        <w:t>About TeraSky Group</w:t>
      </w:r>
    </w:p>
    <w:p w14:paraId="70DA4638" w14:textId="77777777" w:rsidR="002E5F88" w:rsidRDefault="00100090">
      <w:pPr>
        <w:ind w:right="-344"/>
      </w:pPr>
      <w:r>
        <w:rPr>
          <w:b/>
        </w:rPr>
        <w:t xml:space="preserve">TeraSky Group </w:t>
      </w:r>
      <w:r>
        <w:t>is a world leader in digital innovation solutions that drive the cloud and digital transformations that are essential for all today’s businesses – from the smallest companies to the largest global enterprises. TeraSky Group comprises multiple companies, each providing high-level professional services and architectural solutions focused on their unique areas of expertise and experience. By leveraging our highly experienced engineering teams, we help our customers by assessing, designing, providing a Proof of Concept (POC), implementing, selling and supporting a wide range of large-scale new information technology solutions. These solutions overcome critical business and technology challenges, as well as enable our customers to innovate in preparation for the future.</w:t>
      </w:r>
    </w:p>
    <w:p w14:paraId="00C4BAF3" w14:textId="77777777" w:rsidR="002E5F88" w:rsidRDefault="002E5F88">
      <w:pPr>
        <w:ind w:right="-344"/>
      </w:pPr>
    </w:p>
    <w:p w14:paraId="16449F46" w14:textId="77777777" w:rsidR="002E5F88" w:rsidRDefault="00100090">
      <w:pPr>
        <w:spacing w:after="80"/>
      </w:pPr>
      <w:r>
        <w:rPr>
          <w:b/>
        </w:rPr>
        <w:t>TeraSky Modern IT</w:t>
      </w:r>
      <w:r>
        <w:t xml:space="preserve"> specializes in designing, integrating, implementing, and supporting modern IT infrastructure solutions. Its technology solution offerings are based on vast experience and an unparalleled professional reputation in the following areas – </w:t>
      </w:r>
    </w:p>
    <w:tbl>
      <w:tblPr>
        <w:tblStyle w:val="a"/>
        <w:tblW w:w="9450" w:type="dxa"/>
        <w:tblInd w:w="-90" w:type="dxa"/>
        <w:tblBorders>
          <w:top w:val="nil"/>
          <w:left w:val="nil"/>
          <w:bottom w:val="nil"/>
          <w:right w:val="nil"/>
          <w:insideH w:val="single" w:sz="4" w:space="0" w:color="9CC2E5"/>
          <w:insideV w:val="nil"/>
        </w:tblBorders>
        <w:tblLayout w:type="fixed"/>
        <w:tblLook w:val="0400" w:firstRow="0" w:lastRow="0" w:firstColumn="0" w:lastColumn="0" w:noHBand="0" w:noVBand="1"/>
      </w:tblPr>
      <w:tblGrid>
        <w:gridCol w:w="4762"/>
        <w:gridCol w:w="4688"/>
      </w:tblGrid>
      <w:tr w:rsidR="002E5F88" w14:paraId="501EC359" w14:textId="77777777">
        <w:tc>
          <w:tcPr>
            <w:tcW w:w="4762" w:type="dxa"/>
          </w:tcPr>
          <w:p w14:paraId="619EED3C" w14:textId="77777777" w:rsidR="002E5F88" w:rsidRDefault="00100090">
            <w:pPr>
              <w:numPr>
                <w:ilvl w:val="0"/>
                <w:numId w:val="3"/>
              </w:numPr>
              <w:spacing w:after="40"/>
              <w:rPr>
                <w:rFonts w:ascii="Calibri" w:eastAsia="Calibri" w:hAnsi="Calibri" w:cs="Calibri"/>
                <w:color w:val="3C3C3C"/>
              </w:rPr>
            </w:pPr>
            <w:r>
              <w:rPr>
                <w:rFonts w:ascii="Calibri" w:eastAsia="Calibri" w:hAnsi="Calibri" w:cs="Calibri"/>
                <w:color w:val="3C3C3C"/>
              </w:rPr>
              <w:t>Software Defined Data Center (SDDC)</w:t>
            </w:r>
          </w:p>
          <w:p w14:paraId="290013F7" w14:textId="77777777" w:rsidR="002E5F88" w:rsidRDefault="00100090">
            <w:pPr>
              <w:numPr>
                <w:ilvl w:val="0"/>
                <w:numId w:val="3"/>
              </w:numPr>
              <w:spacing w:after="40"/>
              <w:rPr>
                <w:rFonts w:ascii="Calibri" w:eastAsia="Calibri" w:hAnsi="Calibri" w:cs="Calibri"/>
                <w:color w:val="3C3C3C"/>
              </w:rPr>
            </w:pPr>
            <w:r>
              <w:rPr>
                <w:rFonts w:ascii="Calibri" w:eastAsia="Calibri" w:hAnsi="Calibri" w:cs="Calibri"/>
                <w:color w:val="3C3C3C"/>
              </w:rPr>
              <w:t>On-Premise / Hybrid / Multi-Cloud</w:t>
            </w:r>
          </w:p>
          <w:p w14:paraId="030AC1F3" w14:textId="77777777" w:rsidR="002E5F88" w:rsidRDefault="00100090">
            <w:pPr>
              <w:numPr>
                <w:ilvl w:val="0"/>
                <w:numId w:val="3"/>
              </w:numPr>
              <w:spacing w:after="40"/>
              <w:rPr>
                <w:rFonts w:ascii="Calibri" w:eastAsia="Calibri" w:hAnsi="Calibri" w:cs="Calibri"/>
                <w:color w:val="3C3C3C"/>
              </w:rPr>
            </w:pPr>
            <w:r>
              <w:rPr>
                <w:rFonts w:ascii="Calibri" w:eastAsia="Calibri" w:hAnsi="Calibri" w:cs="Calibri"/>
                <w:color w:val="3C3C3C"/>
              </w:rPr>
              <w:t xml:space="preserve">Virtualization and IT Automation &amp; Modernization </w:t>
            </w:r>
          </w:p>
          <w:p w14:paraId="4EBF4B3D" w14:textId="77777777" w:rsidR="002E5F88" w:rsidRDefault="00100090">
            <w:pPr>
              <w:numPr>
                <w:ilvl w:val="0"/>
                <w:numId w:val="3"/>
              </w:numPr>
              <w:spacing w:after="40"/>
              <w:rPr>
                <w:rFonts w:ascii="Calibri" w:eastAsia="Calibri" w:hAnsi="Calibri" w:cs="Calibri"/>
                <w:color w:val="3C3C3C"/>
              </w:rPr>
            </w:pPr>
            <w:r>
              <w:rPr>
                <w:rFonts w:ascii="Calibri" w:eastAsia="Calibri" w:hAnsi="Calibri" w:cs="Calibri"/>
                <w:color w:val="3C3C3C"/>
              </w:rPr>
              <w:t>End User Computing (EUC)</w:t>
            </w:r>
          </w:p>
        </w:tc>
        <w:tc>
          <w:tcPr>
            <w:tcW w:w="4688" w:type="dxa"/>
          </w:tcPr>
          <w:p w14:paraId="1BB63357" w14:textId="77777777" w:rsidR="002E5F88" w:rsidRDefault="00100090">
            <w:pPr>
              <w:numPr>
                <w:ilvl w:val="0"/>
                <w:numId w:val="3"/>
              </w:numPr>
              <w:spacing w:after="40"/>
              <w:rPr>
                <w:rFonts w:ascii="Calibri" w:eastAsia="Calibri" w:hAnsi="Calibri" w:cs="Calibri"/>
                <w:color w:val="3C3C3C"/>
              </w:rPr>
            </w:pPr>
            <w:r>
              <w:rPr>
                <w:rFonts w:ascii="Calibri" w:eastAsia="Calibri" w:hAnsi="Calibri" w:cs="Calibri"/>
                <w:color w:val="3C3C3C"/>
              </w:rPr>
              <w:t>Storage and Data Protection</w:t>
            </w:r>
          </w:p>
          <w:p w14:paraId="37DC425C" w14:textId="77777777" w:rsidR="002E5F88" w:rsidRDefault="00100090">
            <w:pPr>
              <w:numPr>
                <w:ilvl w:val="0"/>
                <w:numId w:val="3"/>
              </w:numPr>
              <w:spacing w:after="40"/>
              <w:rPr>
                <w:rFonts w:ascii="Calibri" w:eastAsia="Calibri" w:hAnsi="Calibri" w:cs="Calibri"/>
                <w:color w:val="3C3C3C"/>
              </w:rPr>
            </w:pPr>
            <w:r>
              <w:rPr>
                <w:rFonts w:ascii="Calibri" w:eastAsia="Calibri" w:hAnsi="Calibri" w:cs="Calibri"/>
                <w:color w:val="3C3C3C"/>
              </w:rPr>
              <w:t xml:space="preserve">Hyperconverged Solutions </w:t>
            </w:r>
          </w:p>
          <w:p w14:paraId="17EA8E47" w14:textId="77777777" w:rsidR="002E5F88" w:rsidRDefault="00100090">
            <w:pPr>
              <w:numPr>
                <w:ilvl w:val="0"/>
                <w:numId w:val="3"/>
              </w:numPr>
              <w:spacing w:after="40"/>
              <w:rPr>
                <w:rFonts w:ascii="Calibri" w:eastAsia="Calibri" w:hAnsi="Calibri" w:cs="Calibri"/>
                <w:color w:val="3C3C3C"/>
              </w:rPr>
            </w:pPr>
            <w:r>
              <w:rPr>
                <w:rFonts w:ascii="Calibri" w:eastAsia="Calibri" w:hAnsi="Calibri" w:cs="Calibri"/>
                <w:color w:val="3C3C3C"/>
              </w:rPr>
              <w:t>Cybersecurity</w:t>
            </w:r>
          </w:p>
          <w:p w14:paraId="1C60FEE1" w14:textId="77777777" w:rsidR="002E5F88" w:rsidRDefault="00100090">
            <w:pPr>
              <w:numPr>
                <w:ilvl w:val="0"/>
                <w:numId w:val="3"/>
              </w:numPr>
              <w:spacing w:after="40"/>
              <w:rPr>
                <w:rFonts w:ascii="Calibri" w:eastAsia="Calibri" w:hAnsi="Calibri" w:cs="Calibri"/>
                <w:color w:val="3C3C3C"/>
              </w:rPr>
            </w:pPr>
            <w:r>
              <w:rPr>
                <w:rFonts w:ascii="Calibri" w:eastAsia="Calibri" w:hAnsi="Calibri" w:cs="Calibri"/>
                <w:color w:val="3C3C3C"/>
              </w:rPr>
              <w:t>Professional &amp; Managed Services and Technical Support</w:t>
            </w:r>
          </w:p>
        </w:tc>
      </w:tr>
    </w:tbl>
    <w:p w14:paraId="4738FD5B" w14:textId="77777777" w:rsidR="002E5F88" w:rsidRDefault="002E5F88">
      <w:pPr>
        <w:keepNext/>
        <w:spacing w:before="160"/>
        <w:rPr>
          <w:b/>
        </w:rPr>
      </w:pPr>
    </w:p>
    <w:p w14:paraId="705C6598" w14:textId="77777777" w:rsidR="002E5F88" w:rsidRDefault="00100090">
      <w:pPr>
        <w:keepNext/>
        <w:spacing w:before="160"/>
      </w:pPr>
      <w:r>
        <w:rPr>
          <w:b/>
        </w:rPr>
        <w:t>TeraSky Cloud &amp; DevOps</w:t>
      </w:r>
      <w:r>
        <w:t xml:space="preserve"> specializes in designing, implementing, and supporting a wide range of cloud platforms and CI/CD automated pipelines. Its reputation is based on having successfully delivered cloud services that require comprehensive knowledge of the inner workings and interactions between applications, infrastructure, automation, processes, and people. TeraSky Cloud &amp; DevOps technology offerings cover the following areas – </w:t>
      </w:r>
    </w:p>
    <w:tbl>
      <w:tblPr>
        <w:tblStyle w:val="a0"/>
        <w:tblW w:w="9450" w:type="dxa"/>
        <w:tblInd w:w="-90" w:type="dxa"/>
        <w:tblBorders>
          <w:top w:val="nil"/>
          <w:left w:val="nil"/>
          <w:bottom w:val="nil"/>
          <w:right w:val="nil"/>
          <w:insideH w:val="single" w:sz="4" w:space="0" w:color="9CC2E5"/>
          <w:insideV w:val="nil"/>
        </w:tblBorders>
        <w:tblLayout w:type="fixed"/>
        <w:tblLook w:val="0400" w:firstRow="0" w:lastRow="0" w:firstColumn="0" w:lastColumn="0" w:noHBand="0" w:noVBand="1"/>
      </w:tblPr>
      <w:tblGrid>
        <w:gridCol w:w="4767"/>
        <w:gridCol w:w="4683"/>
      </w:tblGrid>
      <w:tr w:rsidR="002E5F88" w14:paraId="6D192364" w14:textId="77777777">
        <w:tc>
          <w:tcPr>
            <w:tcW w:w="4767" w:type="dxa"/>
          </w:tcPr>
          <w:p w14:paraId="23B27ABF" w14:textId="77777777" w:rsidR="002E5F88" w:rsidRDefault="00100090">
            <w:pPr>
              <w:numPr>
                <w:ilvl w:val="0"/>
                <w:numId w:val="3"/>
              </w:numPr>
              <w:spacing w:after="40"/>
              <w:rPr>
                <w:rFonts w:ascii="Calibri" w:eastAsia="Calibri" w:hAnsi="Calibri" w:cs="Calibri"/>
                <w:color w:val="3C3C3C"/>
              </w:rPr>
            </w:pPr>
            <w:r>
              <w:rPr>
                <w:rFonts w:ascii="Calibri" w:eastAsia="Calibri" w:hAnsi="Calibri" w:cs="Calibri"/>
                <w:color w:val="3C3C3C"/>
              </w:rPr>
              <w:t xml:space="preserve">Public and Multi-Cloud Platforms </w:t>
            </w:r>
          </w:p>
          <w:p w14:paraId="111BB50D" w14:textId="77777777" w:rsidR="002E5F88" w:rsidRDefault="00100090">
            <w:pPr>
              <w:numPr>
                <w:ilvl w:val="0"/>
                <w:numId w:val="3"/>
              </w:numPr>
              <w:spacing w:after="40"/>
              <w:rPr>
                <w:rFonts w:ascii="Calibri" w:eastAsia="Calibri" w:hAnsi="Calibri" w:cs="Calibri"/>
                <w:color w:val="3C3C3C"/>
              </w:rPr>
            </w:pPr>
            <w:r>
              <w:rPr>
                <w:rFonts w:ascii="Calibri" w:eastAsia="Calibri" w:hAnsi="Calibri" w:cs="Calibri"/>
                <w:color w:val="3C3C3C"/>
              </w:rPr>
              <w:t>Cloud-Native Applications</w:t>
            </w:r>
          </w:p>
          <w:p w14:paraId="6EFD6805" w14:textId="77777777" w:rsidR="002E5F88" w:rsidRDefault="00100090">
            <w:pPr>
              <w:numPr>
                <w:ilvl w:val="0"/>
                <w:numId w:val="3"/>
              </w:numPr>
              <w:spacing w:after="40"/>
              <w:rPr>
                <w:rFonts w:ascii="Calibri" w:eastAsia="Calibri" w:hAnsi="Calibri" w:cs="Calibri"/>
                <w:color w:val="3C3C3C"/>
              </w:rPr>
            </w:pPr>
            <w:r>
              <w:rPr>
                <w:rFonts w:ascii="Calibri" w:eastAsia="Calibri" w:hAnsi="Calibri" w:cs="Calibri"/>
                <w:color w:val="3C3C3C"/>
              </w:rPr>
              <w:t>Kubernetes</w:t>
            </w:r>
          </w:p>
          <w:p w14:paraId="0A8C7FC8" w14:textId="77777777" w:rsidR="002E5F88" w:rsidRDefault="00100090">
            <w:pPr>
              <w:numPr>
                <w:ilvl w:val="0"/>
                <w:numId w:val="3"/>
              </w:numPr>
              <w:rPr>
                <w:rFonts w:ascii="Calibri" w:eastAsia="Calibri" w:hAnsi="Calibri" w:cs="Calibri"/>
                <w:color w:val="3C3C3C"/>
              </w:rPr>
            </w:pPr>
            <w:r>
              <w:rPr>
                <w:rFonts w:ascii="Calibri" w:eastAsia="Calibri" w:hAnsi="Calibri" w:cs="Calibri"/>
                <w:color w:val="3C3C3C"/>
              </w:rPr>
              <w:t>Immutable Infrastructure</w:t>
            </w:r>
          </w:p>
        </w:tc>
        <w:tc>
          <w:tcPr>
            <w:tcW w:w="4683" w:type="dxa"/>
          </w:tcPr>
          <w:p w14:paraId="4B0EC7CA" w14:textId="77777777" w:rsidR="002E5F88" w:rsidRDefault="00100090">
            <w:pPr>
              <w:numPr>
                <w:ilvl w:val="0"/>
                <w:numId w:val="3"/>
              </w:numPr>
              <w:spacing w:after="40"/>
              <w:rPr>
                <w:rFonts w:ascii="Calibri" w:eastAsia="Calibri" w:hAnsi="Calibri" w:cs="Calibri"/>
                <w:color w:val="3C3C3C"/>
              </w:rPr>
            </w:pPr>
            <w:r>
              <w:rPr>
                <w:rFonts w:ascii="Calibri" w:eastAsia="Calibri" w:hAnsi="Calibri" w:cs="Calibri"/>
                <w:color w:val="3C3C3C"/>
              </w:rPr>
              <w:t>Infrastructure Observability</w:t>
            </w:r>
          </w:p>
          <w:p w14:paraId="111369B3" w14:textId="77777777" w:rsidR="002E5F88" w:rsidRDefault="00100090">
            <w:pPr>
              <w:numPr>
                <w:ilvl w:val="0"/>
                <w:numId w:val="3"/>
              </w:numPr>
              <w:spacing w:after="40"/>
              <w:rPr>
                <w:rFonts w:ascii="Calibri" w:eastAsia="Calibri" w:hAnsi="Calibri" w:cs="Calibri"/>
                <w:color w:val="3C3C3C"/>
              </w:rPr>
            </w:pPr>
            <w:r>
              <w:rPr>
                <w:rFonts w:ascii="Calibri" w:eastAsia="Calibri" w:hAnsi="Calibri" w:cs="Calibri"/>
                <w:color w:val="3C3C3C"/>
              </w:rPr>
              <w:t>DevOps and DevSecOps</w:t>
            </w:r>
          </w:p>
          <w:p w14:paraId="30CABF49" w14:textId="77777777" w:rsidR="002E5F88" w:rsidRDefault="00100090">
            <w:pPr>
              <w:numPr>
                <w:ilvl w:val="0"/>
                <w:numId w:val="3"/>
              </w:numPr>
              <w:spacing w:after="40"/>
              <w:rPr>
                <w:rFonts w:ascii="Calibri" w:eastAsia="Calibri" w:hAnsi="Calibri" w:cs="Calibri"/>
                <w:color w:val="3C3C3C"/>
              </w:rPr>
            </w:pPr>
            <w:r>
              <w:rPr>
                <w:rFonts w:ascii="Calibri" w:eastAsia="Calibri" w:hAnsi="Calibri" w:cs="Calibri"/>
                <w:color w:val="3C3C3C"/>
              </w:rPr>
              <w:t>Professional Services</w:t>
            </w:r>
          </w:p>
        </w:tc>
      </w:tr>
    </w:tbl>
    <w:p w14:paraId="786FA54A" w14:textId="77777777" w:rsidR="002E5F88" w:rsidRDefault="002E5F88">
      <w:pPr>
        <w:rPr>
          <w:b/>
        </w:rPr>
      </w:pPr>
    </w:p>
    <w:p w14:paraId="6E2512B9" w14:textId="77777777" w:rsidR="002E5F88" w:rsidRDefault="002E5F88">
      <w:pPr>
        <w:keepNext/>
        <w:spacing w:after="80"/>
        <w:rPr>
          <w:b/>
        </w:rPr>
      </w:pPr>
    </w:p>
    <w:p w14:paraId="1F4C3361" w14:textId="77777777" w:rsidR="002E5F88" w:rsidRDefault="00100090">
      <w:pPr>
        <w:keepNext/>
        <w:spacing w:after="80"/>
      </w:pPr>
      <w:r>
        <w:rPr>
          <w:b/>
        </w:rPr>
        <w:t xml:space="preserve">TeraSky Artificial Intelligence (AI) </w:t>
      </w:r>
      <w:r>
        <w:t xml:space="preserve">helps organizations build optimized AI infrastructures by combining best-of-breed computing, storage, networking, and other types of required hardware. We ensure compatibility between this high-performance hardware and the software solutions in order to best take advantage of these unique devices. Our experts help our customers achieve an optimal AI infrastructure for their needs by training and </w:t>
      </w:r>
      <w:r>
        <w:lastRenderedPageBreak/>
        <w:t xml:space="preserve">inference. Our technology offering is based on extensive experience and on an outstanding professional reputation in the following areas – </w:t>
      </w:r>
    </w:p>
    <w:p w14:paraId="495BC091" w14:textId="77777777" w:rsidR="002E5F88" w:rsidRDefault="00100090">
      <w:pPr>
        <w:keepNext/>
        <w:numPr>
          <w:ilvl w:val="0"/>
          <w:numId w:val="3"/>
        </w:numPr>
        <w:spacing w:line="240" w:lineRule="auto"/>
        <w:rPr>
          <w:color w:val="3C3C3C"/>
        </w:rPr>
      </w:pPr>
      <w:r>
        <w:rPr>
          <w:color w:val="3C3C3C"/>
        </w:rPr>
        <w:t>Artificial Intelligence (AI) Infrastructure</w:t>
      </w:r>
    </w:p>
    <w:p w14:paraId="5FF75A95" w14:textId="77777777" w:rsidR="002E5F88" w:rsidRDefault="00100090">
      <w:pPr>
        <w:keepNext/>
        <w:numPr>
          <w:ilvl w:val="0"/>
          <w:numId w:val="3"/>
        </w:numPr>
        <w:spacing w:line="240" w:lineRule="auto"/>
        <w:rPr>
          <w:color w:val="3C3C3C"/>
        </w:rPr>
      </w:pPr>
      <w:r>
        <w:rPr>
          <w:color w:val="3C3C3C"/>
        </w:rPr>
        <w:t>Machine Learning (ML)</w:t>
      </w:r>
    </w:p>
    <w:p w14:paraId="2F5AF327" w14:textId="77777777" w:rsidR="002E5F88" w:rsidRDefault="00100090">
      <w:pPr>
        <w:keepNext/>
        <w:numPr>
          <w:ilvl w:val="0"/>
          <w:numId w:val="3"/>
        </w:numPr>
        <w:spacing w:line="240" w:lineRule="auto"/>
        <w:rPr>
          <w:color w:val="3C3C3C"/>
        </w:rPr>
      </w:pPr>
      <w:r>
        <w:rPr>
          <w:color w:val="3C3C3C"/>
        </w:rPr>
        <w:t>Deep Learning (DL)</w:t>
      </w:r>
    </w:p>
    <w:p w14:paraId="4F2EDDA8" w14:textId="77777777" w:rsidR="002E5F88" w:rsidRDefault="00100090">
      <w:pPr>
        <w:keepNext/>
        <w:numPr>
          <w:ilvl w:val="0"/>
          <w:numId w:val="3"/>
        </w:numPr>
        <w:spacing w:line="240" w:lineRule="auto"/>
        <w:rPr>
          <w:color w:val="3C3C3C"/>
        </w:rPr>
      </w:pPr>
      <w:r>
        <w:rPr>
          <w:color w:val="3C3C3C"/>
        </w:rPr>
        <w:t>Graphics Processing Units (GPUs)</w:t>
      </w:r>
    </w:p>
    <w:p w14:paraId="53FA629A" w14:textId="77777777" w:rsidR="002E5F88" w:rsidRDefault="00100090">
      <w:pPr>
        <w:keepNext/>
        <w:numPr>
          <w:ilvl w:val="0"/>
          <w:numId w:val="3"/>
        </w:numPr>
        <w:spacing w:after="160" w:line="240" w:lineRule="auto"/>
        <w:rPr>
          <w:color w:val="3C3C3C"/>
        </w:rPr>
      </w:pPr>
      <w:r>
        <w:rPr>
          <w:color w:val="3C3C3C"/>
        </w:rPr>
        <w:t>Professional Services</w:t>
      </w:r>
    </w:p>
    <w:p w14:paraId="47A58F5A" w14:textId="77777777" w:rsidR="002E5F88" w:rsidRDefault="00100090">
      <w:r>
        <w:t>Our team has proven experience in advanced AI infrastructures that may contain multiple training machines connected via sophisticated networking that feed off state-of the-art storage systems – both on-premises and in the cloud. Our successes have positioned TeraSky as the leading AI solutions integrator that it is today.</w:t>
      </w:r>
    </w:p>
    <w:p w14:paraId="35794EA1" w14:textId="77777777" w:rsidR="002E5F88" w:rsidRDefault="00100090">
      <w:r>
        <w:t xml:space="preserve">  </w:t>
      </w:r>
    </w:p>
    <w:p w14:paraId="09CA55A7" w14:textId="77777777" w:rsidR="002E5F88" w:rsidRDefault="00100090">
      <w:r>
        <w:rPr>
          <w:b/>
        </w:rPr>
        <w:t xml:space="preserve">TeraSky End User Computing (EUC) </w:t>
      </w:r>
      <w:r>
        <w:t xml:space="preserve">specializes in achieving the ultimate user experience, in synergy with our customer’s IT and security requirements. TeraSky experts deliver a wide range of professional services using the leading IT workspace management solutions on the market and our company’s proprietary methodology. The high impact that End User Computing solutions have on an organization drives our commitment to providing the highest quality professional services. TeraSky improves the user experience during the transformation journey to the digital workspace, thus closing the ever-expanding gap between modern users’ digital workspace requirements and legacy IT workspaces.  </w:t>
      </w:r>
    </w:p>
    <w:p w14:paraId="32448F02" w14:textId="77777777" w:rsidR="002E5F88" w:rsidRDefault="00100090">
      <w:r>
        <w:rPr>
          <w:b/>
        </w:rPr>
        <w:t>Sky-TQ</w:t>
      </w:r>
      <w:r>
        <w:t xml:space="preserve"> is a joint venture of </w:t>
      </w:r>
      <w:r>
        <w:rPr>
          <w:b/>
        </w:rPr>
        <w:t>TeraSky</w:t>
      </w:r>
      <w:r>
        <w:t xml:space="preserve"> and </w:t>
      </w:r>
      <w:r>
        <w:rPr>
          <w:b/>
        </w:rPr>
        <w:t>ITQ</w:t>
      </w:r>
      <w:r>
        <w:t xml:space="preserve"> and an important member of TeraSky Group. Both are global award winners for outstanding technology and professional service capabilities. ITQ</w:t>
      </w:r>
      <w:r>
        <w:rPr>
          <w:b/>
        </w:rPr>
        <w:t xml:space="preserve"> </w:t>
      </w:r>
      <w:r>
        <w:t xml:space="preserve">is a Dutch company that has an internationally recognized professional services reputation for VMware technology-based solutions. Sky-TQ provides worldwide 24x7 technical support services from our European facilities that help our global customers meet all the critical criteria required by their business’s SLAs. </w:t>
      </w:r>
    </w:p>
    <w:p w14:paraId="0B2F0111" w14:textId="77777777" w:rsidR="002E5F88" w:rsidRDefault="00100090">
      <w:r>
        <w:t xml:space="preserve">  </w:t>
      </w:r>
    </w:p>
    <w:p w14:paraId="2548ABA4" w14:textId="77777777" w:rsidR="002E5F88" w:rsidRDefault="00100090">
      <w:pPr>
        <w:rPr>
          <w:b/>
        </w:rPr>
      </w:pPr>
      <w:r>
        <w:rPr>
          <w:b/>
        </w:rPr>
        <w:t>TeraSky Group</w:t>
      </w:r>
      <w:r>
        <w:t xml:space="preserve"> management invests significant resources to ensure that our team of experts has the most advanced training in the latest technologies. Our professional service teams are recognized as one of the best in the industry. Among other reasons, this is because they have acquired all the necessarily highest-level certifications and expert-level competencies from our global industry partners.</w:t>
      </w:r>
    </w:p>
    <w:p w14:paraId="6FED6A79" w14:textId="77777777" w:rsidR="002E5F88" w:rsidRDefault="002E5F88"/>
    <w:p w14:paraId="021A9122" w14:textId="77777777" w:rsidR="002E5F88" w:rsidRDefault="002E5F88">
      <w:pPr>
        <w:ind w:left="720"/>
      </w:pPr>
      <w:bookmarkStart w:id="2" w:name="_1fob9te" w:colFirst="0" w:colLast="0"/>
      <w:bookmarkEnd w:id="2"/>
    </w:p>
    <w:p w14:paraId="503E6B7D" w14:textId="77777777" w:rsidR="002E5F88" w:rsidRDefault="002E5F88">
      <w:pPr>
        <w:ind w:left="720"/>
      </w:pPr>
    </w:p>
    <w:p w14:paraId="05AE85B7" w14:textId="77777777" w:rsidR="002E5F88" w:rsidRDefault="002E5F88">
      <w:pPr>
        <w:ind w:left="720"/>
      </w:pPr>
    </w:p>
    <w:p w14:paraId="134C65CC" w14:textId="77777777" w:rsidR="002E5F88" w:rsidRDefault="002E5F88"/>
    <w:p w14:paraId="74E9EBF1" w14:textId="77777777" w:rsidR="002E5F88" w:rsidRDefault="00100090">
      <w:pPr>
        <w:pStyle w:val="Heading1"/>
        <w:rPr>
          <w:color w:val="FF0000"/>
          <w:sz w:val="34"/>
          <w:szCs w:val="34"/>
        </w:rPr>
      </w:pPr>
      <w:bookmarkStart w:id="3" w:name="_o1696r7nszm9" w:colFirst="0" w:colLast="0"/>
      <w:bookmarkEnd w:id="3"/>
      <w:r>
        <w:lastRenderedPageBreak/>
        <w:t>Introduction</w:t>
      </w:r>
    </w:p>
    <w:p w14:paraId="4D0D7C87" w14:textId="77777777" w:rsidR="002E5F88" w:rsidRDefault="00100090">
      <w:r>
        <w:t xml:space="preserve">Chubb is in the process of establishing a new service, which will allow their business units to consume Kubernetes as a service from IT in a self service manner. </w:t>
      </w:r>
    </w:p>
    <w:p w14:paraId="59785D82" w14:textId="34C5F2F6" w:rsidR="002E5F88" w:rsidRDefault="00100090" w:rsidP="006A6B73">
      <w:r>
        <w:t xml:space="preserve">In order to achieve this goal, Chubb has chosen VMware vCloud Foundation which will take advantage of the VMware SDDC building blocks to form this service into an operational, production ready cloud infrastructure for all agile teams within Chubb. </w:t>
      </w:r>
    </w:p>
    <w:p w14:paraId="79A83836" w14:textId="77777777" w:rsidR="002E5F88" w:rsidRDefault="002E5F88"/>
    <w:p w14:paraId="458176B6" w14:textId="77777777" w:rsidR="002E5F88" w:rsidRDefault="00100090">
      <w:r>
        <w:t>The purpose of this document is to elaborate, based on high level design,  the scope of work required to complete the implementation of VCF which will address Chubb business requirements.</w:t>
      </w:r>
    </w:p>
    <w:p w14:paraId="21025092" w14:textId="467891A9" w:rsidR="002E5F88" w:rsidRPr="006A6B73" w:rsidRDefault="00100090" w:rsidP="006A6B73">
      <w:pPr>
        <w:pStyle w:val="Heading1"/>
      </w:pPr>
      <w:bookmarkStart w:id="4" w:name="_2et92p0" w:colFirst="0" w:colLast="0"/>
      <w:bookmarkEnd w:id="4"/>
      <w:r>
        <w:br w:type="page"/>
      </w:r>
      <w:bookmarkStart w:id="5" w:name="_92ux8nsksk6u" w:colFirst="0" w:colLast="0"/>
      <w:bookmarkEnd w:id="5"/>
      <w:r>
        <w:lastRenderedPageBreak/>
        <w:t xml:space="preserve">High Level Solution </w:t>
      </w:r>
      <w:r w:rsidR="006A6B73">
        <w:t>Diagram</w:t>
      </w:r>
    </w:p>
    <w:p w14:paraId="70D9B73F" w14:textId="22D9CC6E" w:rsidR="002E5F88" w:rsidRDefault="006A6B73">
      <w:r>
        <w:t>[Diagram]</w:t>
      </w:r>
    </w:p>
    <w:p w14:paraId="6B57CD4B" w14:textId="77777777" w:rsidR="002E5F88" w:rsidRDefault="002E5F88"/>
    <w:p w14:paraId="226B952F" w14:textId="39322530" w:rsidR="002E5F88" w:rsidRDefault="006A6B73">
      <w:pPr>
        <w:numPr>
          <w:ilvl w:val="0"/>
          <w:numId w:val="21"/>
        </w:numPr>
      </w:pPr>
      <w:r>
        <w:t>Describe your solution in words</w:t>
      </w:r>
    </w:p>
    <w:p w14:paraId="1446E4F3" w14:textId="72F50EC3" w:rsidR="002E5F88" w:rsidRDefault="006A6B73">
      <w:pPr>
        <w:numPr>
          <w:ilvl w:val="0"/>
          <w:numId w:val="21"/>
        </w:numPr>
      </w:pPr>
      <w:r>
        <w:t>Bla bla</w:t>
      </w:r>
    </w:p>
    <w:p w14:paraId="3E4434AB" w14:textId="0F443381" w:rsidR="006A6B73" w:rsidRDefault="006A6B73">
      <w:pPr>
        <w:numPr>
          <w:ilvl w:val="0"/>
          <w:numId w:val="21"/>
        </w:numPr>
      </w:pPr>
      <w:r>
        <w:t>Bla bla</w:t>
      </w:r>
    </w:p>
    <w:p w14:paraId="490A08D6" w14:textId="1A78EA45" w:rsidR="002E5F88" w:rsidRDefault="002E5F88" w:rsidP="006A6B73">
      <w:pPr>
        <w:rPr>
          <w:sz w:val="28"/>
          <w:szCs w:val="28"/>
          <w:u w:val="single"/>
        </w:rPr>
      </w:pPr>
    </w:p>
    <w:p w14:paraId="2BC025CB" w14:textId="7ACFDA54" w:rsidR="006A6B73" w:rsidRDefault="007744C4" w:rsidP="007744C4">
      <w:pPr>
        <w:pStyle w:val="Heading1"/>
      </w:pPr>
      <w:r>
        <w:t>Solution Components</w:t>
      </w:r>
    </w:p>
    <w:p w14:paraId="12F7B70A" w14:textId="45D6C932" w:rsidR="007744C4" w:rsidRDefault="007744C4" w:rsidP="007744C4">
      <w:r>
        <w:t>Describe the solution components in words / diagrams. Whether those are cloud services or hardware.</w:t>
      </w:r>
    </w:p>
    <w:p w14:paraId="5BF14C5E" w14:textId="3786D03C" w:rsidR="007744C4" w:rsidRPr="007744C4" w:rsidRDefault="007744C4" w:rsidP="007744C4">
      <w:r>
        <w:t xml:space="preserve">In case of hardware, provide detailed tables of the specs </w:t>
      </w:r>
    </w:p>
    <w:p w14:paraId="00AEB7C5" w14:textId="77777777" w:rsidR="002E5F88" w:rsidRDefault="00100090">
      <w:pPr>
        <w:pStyle w:val="Heading1"/>
      </w:pPr>
      <w:bookmarkStart w:id="6" w:name="_yt0jtzkphq7l" w:colFirst="0" w:colLast="0"/>
      <w:bookmarkStart w:id="7" w:name="_4w0fdqcwcfda" w:colFirst="0" w:colLast="0"/>
      <w:bookmarkEnd w:id="6"/>
      <w:bookmarkEnd w:id="7"/>
      <w:r>
        <w:t>Project Scope</w:t>
      </w:r>
    </w:p>
    <w:p w14:paraId="49CCAB46" w14:textId="77777777" w:rsidR="002E5F88" w:rsidRDefault="00100090">
      <w:r>
        <w:t>This section defines the expected project activities, and deliverables.</w:t>
      </w:r>
    </w:p>
    <w:p w14:paraId="4BD38ACD" w14:textId="77777777" w:rsidR="002E5F88" w:rsidRDefault="00100090">
      <w:r>
        <w:t>The following components are included in this SOW and referring to the maximum components per product.</w:t>
      </w:r>
    </w:p>
    <w:tbl>
      <w:tblPr>
        <w:tblStyle w:val="a1"/>
        <w:tblW w:w="957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4170"/>
        <w:gridCol w:w="5400"/>
      </w:tblGrid>
      <w:tr w:rsidR="002E5F88" w14:paraId="2C5693C7" w14:textId="77777777">
        <w:trPr>
          <w:trHeight w:val="435"/>
        </w:trPr>
        <w:tc>
          <w:tcPr>
            <w:tcW w:w="4170" w:type="dxa"/>
            <w:tcBorders>
              <w:top w:val="single" w:sz="8" w:space="0" w:color="000000"/>
              <w:left w:val="single" w:sz="8" w:space="0" w:color="000000"/>
              <w:bottom w:val="single" w:sz="8" w:space="0" w:color="000000"/>
              <w:right w:val="single" w:sz="8" w:space="0" w:color="000000"/>
            </w:tcBorders>
            <w:shd w:val="clear" w:color="auto" w:fill="D9D9D9"/>
          </w:tcPr>
          <w:p w14:paraId="0D80AEC5" w14:textId="77777777" w:rsidR="002E5F88" w:rsidRDefault="00100090">
            <w:pPr>
              <w:spacing w:line="360" w:lineRule="auto"/>
              <w:rPr>
                <w:rFonts w:ascii="Calibri" w:eastAsia="Calibri" w:hAnsi="Calibri" w:cs="Calibri"/>
                <w:b/>
              </w:rPr>
            </w:pPr>
            <w:r>
              <w:rPr>
                <w:rFonts w:ascii="Calibri" w:eastAsia="Calibri" w:hAnsi="Calibri" w:cs="Calibri"/>
                <w:b/>
              </w:rPr>
              <w:t>Product</w:t>
            </w:r>
          </w:p>
        </w:tc>
        <w:tc>
          <w:tcPr>
            <w:tcW w:w="5400" w:type="dxa"/>
            <w:tcBorders>
              <w:top w:val="single" w:sz="8" w:space="0" w:color="000000"/>
              <w:left w:val="single" w:sz="8" w:space="0" w:color="000000"/>
              <w:bottom w:val="single" w:sz="8" w:space="0" w:color="000000"/>
              <w:right w:val="single" w:sz="8" w:space="0" w:color="000000"/>
            </w:tcBorders>
            <w:shd w:val="clear" w:color="auto" w:fill="D9D9D9"/>
          </w:tcPr>
          <w:p w14:paraId="1CBD7C4F" w14:textId="77777777" w:rsidR="002E5F88" w:rsidRDefault="00100090">
            <w:pPr>
              <w:spacing w:line="360" w:lineRule="auto"/>
              <w:rPr>
                <w:rFonts w:ascii="Calibri" w:eastAsia="Calibri" w:hAnsi="Calibri" w:cs="Calibri"/>
                <w:b/>
              </w:rPr>
            </w:pPr>
            <w:r>
              <w:rPr>
                <w:rFonts w:ascii="Calibri" w:eastAsia="Calibri" w:hAnsi="Calibri" w:cs="Calibri"/>
                <w:b/>
              </w:rPr>
              <w:t># of Components</w:t>
            </w:r>
          </w:p>
        </w:tc>
      </w:tr>
      <w:tr w:rsidR="002E5F88" w14:paraId="52BE4BFD" w14:textId="77777777">
        <w:trPr>
          <w:trHeight w:val="545"/>
        </w:trPr>
        <w:tc>
          <w:tcPr>
            <w:tcW w:w="4170" w:type="dxa"/>
            <w:shd w:val="clear" w:color="auto" w:fill="auto"/>
          </w:tcPr>
          <w:p w14:paraId="10701229" w14:textId="0330A78E" w:rsidR="002E5F88" w:rsidRDefault="00DE09CA">
            <w:pPr>
              <w:spacing w:line="360" w:lineRule="auto"/>
              <w:rPr>
                <w:rFonts w:ascii="Calibri" w:eastAsia="Calibri" w:hAnsi="Calibri" w:cs="Calibri"/>
              </w:rPr>
            </w:pPr>
            <w:r>
              <w:rPr>
                <w:rFonts w:ascii="Calibri" w:eastAsia="Calibri" w:hAnsi="Calibri" w:cs="Calibri"/>
              </w:rPr>
              <w:t>Cloud service A</w:t>
            </w:r>
          </w:p>
        </w:tc>
        <w:tc>
          <w:tcPr>
            <w:tcW w:w="5400" w:type="dxa"/>
          </w:tcPr>
          <w:p w14:paraId="367572B5" w14:textId="437922F2" w:rsidR="002E5F88" w:rsidRDefault="00100090">
            <w:pPr>
              <w:spacing w:line="360" w:lineRule="auto"/>
              <w:rPr>
                <w:rFonts w:ascii="Calibri" w:eastAsia="Calibri" w:hAnsi="Calibri" w:cs="Calibri"/>
              </w:rPr>
            </w:pPr>
            <w:r>
              <w:rPr>
                <w:rFonts w:ascii="Calibri" w:eastAsia="Calibri" w:hAnsi="Calibri" w:cs="Calibri"/>
              </w:rPr>
              <w:t>1 x instance</w:t>
            </w:r>
            <w:r w:rsidR="00DE09CA">
              <w:rPr>
                <w:rFonts w:ascii="Calibri" w:eastAsia="Calibri" w:hAnsi="Calibri" w:cs="Calibri"/>
              </w:rPr>
              <w:t xml:space="preserve"> in two AZs</w:t>
            </w:r>
          </w:p>
        </w:tc>
      </w:tr>
      <w:tr w:rsidR="002E5F88" w14:paraId="59153DB2" w14:textId="77777777">
        <w:trPr>
          <w:trHeight w:val="545"/>
        </w:trPr>
        <w:tc>
          <w:tcPr>
            <w:tcW w:w="4170" w:type="dxa"/>
            <w:shd w:val="clear" w:color="auto" w:fill="auto"/>
          </w:tcPr>
          <w:p w14:paraId="697618A0" w14:textId="3C88510D" w:rsidR="002E5F88" w:rsidRDefault="00DE09CA">
            <w:pPr>
              <w:spacing w:line="360" w:lineRule="auto"/>
              <w:rPr>
                <w:rFonts w:ascii="Calibri" w:eastAsia="Calibri" w:hAnsi="Calibri" w:cs="Calibri"/>
              </w:rPr>
            </w:pPr>
            <w:r>
              <w:rPr>
                <w:rFonts w:ascii="Calibri" w:eastAsia="Calibri" w:hAnsi="Calibri" w:cs="Calibri"/>
              </w:rPr>
              <w:t>Product X</w:t>
            </w:r>
            <w:r w:rsidR="00100090">
              <w:rPr>
                <w:rFonts w:ascii="Calibri" w:eastAsia="Calibri" w:hAnsi="Calibri" w:cs="Calibri"/>
              </w:rPr>
              <w:t xml:space="preserve"> </w:t>
            </w:r>
          </w:p>
        </w:tc>
        <w:tc>
          <w:tcPr>
            <w:tcW w:w="5400" w:type="dxa"/>
          </w:tcPr>
          <w:p w14:paraId="729BABA8" w14:textId="77777777" w:rsidR="002E5F88" w:rsidRDefault="00100090">
            <w:pPr>
              <w:spacing w:line="360" w:lineRule="auto"/>
              <w:rPr>
                <w:rFonts w:ascii="Calibri" w:eastAsia="Calibri" w:hAnsi="Calibri" w:cs="Calibri"/>
              </w:rPr>
            </w:pPr>
            <w:r>
              <w:rPr>
                <w:rFonts w:ascii="Calibri" w:eastAsia="Calibri" w:hAnsi="Calibri" w:cs="Calibri"/>
              </w:rPr>
              <w:t>1 x instance</w:t>
            </w:r>
          </w:p>
        </w:tc>
      </w:tr>
    </w:tbl>
    <w:p w14:paraId="31097750" w14:textId="77777777" w:rsidR="002E5F88" w:rsidRDefault="002E5F88"/>
    <w:p w14:paraId="53330D54" w14:textId="77777777" w:rsidR="002E5F88" w:rsidRDefault="00100090" w:rsidP="00910E41">
      <w:pPr>
        <w:pStyle w:val="Heading3"/>
      </w:pPr>
      <w:r>
        <w:t>Work assumptions:</w:t>
      </w:r>
    </w:p>
    <w:p w14:paraId="6893447A" w14:textId="5038CB60" w:rsidR="002E5F88" w:rsidRDefault="00910E41">
      <w:pPr>
        <w:numPr>
          <w:ilvl w:val="0"/>
          <w:numId w:val="19"/>
        </w:numPr>
      </w:pPr>
      <w:r>
        <w:t xml:space="preserve">Elaborate all your working assumption which you expect the customer to be aware of. </w:t>
      </w:r>
    </w:p>
    <w:p w14:paraId="5D468BDA" w14:textId="77777777" w:rsidR="002E5F88" w:rsidRDefault="00100090">
      <w:pPr>
        <w:pStyle w:val="Heading2"/>
      </w:pPr>
      <w:bookmarkStart w:id="8" w:name="_z337ya" w:colFirst="0" w:colLast="0"/>
      <w:bookmarkEnd w:id="8"/>
      <w:r>
        <w:br w:type="page"/>
      </w:r>
    </w:p>
    <w:p w14:paraId="76701A6F" w14:textId="77777777" w:rsidR="002E5F88" w:rsidRDefault="00100090">
      <w:pPr>
        <w:pStyle w:val="Heading2"/>
      </w:pPr>
      <w:bookmarkStart w:id="9" w:name="_x77w4olplba2" w:colFirst="0" w:colLast="0"/>
      <w:bookmarkEnd w:id="9"/>
      <w:r>
        <w:lastRenderedPageBreak/>
        <w:t>Phase 1: Project Kickoff</w:t>
      </w:r>
    </w:p>
    <w:p w14:paraId="45B31846" w14:textId="77777777" w:rsidR="002E5F88" w:rsidRDefault="00100090">
      <w:pPr>
        <w:spacing w:before="120" w:after="120"/>
        <w:rPr>
          <w:rFonts w:ascii="Arial" w:eastAsia="Arial" w:hAnsi="Arial" w:cs="Arial"/>
          <w:sz w:val="20"/>
          <w:szCs w:val="20"/>
        </w:rPr>
      </w:pPr>
      <w:r>
        <w:rPr>
          <w:rFonts w:ascii="Arial" w:eastAsia="Arial" w:hAnsi="Arial" w:cs="Arial"/>
          <w:sz w:val="20"/>
          <w:szCs w:val="20"/>
        </w:rPr>
        <w:t>The Terasky engagement team will lead Chubb project sponsors and stakeholders in an engagement kickoff meeting to review expectations about the purpose of the engagement, the delivery approach, and timelines, the amount of time and effort required from the participants, expected schedule, activities and work products. Meeting objectives include the following:</w:t>
      </w:r>
    </w:p>
    <w:p w14:paraId="02B70A54" w14:textId="77777777" w:rsidR="002E5F88" w:rsidRDefault="00100090">
      <w:pPr>
        <w:numPr>
          <w:ilvl w:val="0"/>
          <w:numId w:val="14"/>
        </w:numPr>
        <w:spacing w:before="120" w:after="120"/>
        <w:rPr>
          <w:rFonts w:ascii="Arial" w:eastAsia="Arial" w:hAnsi="Arial" w:cs="Arial"/>
        </w:rPr>
      </w:pPr>
      <w:r>
        <w:rPr>
          <w:rFonts w:ascii="Arial" w:eastAsia="Arial" w:hAnsi="Arial" w:cs="Arial"/>
          <w:sz w:val="20"/>
          <w:szCs w:val="20"/>
        </w:rPr>
        <w:t>Introduce the Terasky team, roles, and responsibilities.</w:t>
      </w:r>
    </w:p>
    <w:p w14:paraId="4313E446" w14:textId="77777777" w:rsidR="002E5F88" w:rsidRDefault="00100090">
      <w:pPr>
        <w:numPr>
          <w:ilvl w:val="0"/>
          <w:numId w:val="14"/>
        </w:numPr>
        <w:spacing w:before="120" w:after="120"/>
        <w:rPr>
          <w:rFonts w:ascii="Arial" w:eastAsia="Arial" w:hAnsi="Arial" w:cs="Arial"/>
        </w:rPr>
      </w:pPr>
      <w:r>
        <w:rPr>
          <w:rFonts w:ascii="Arial" w:eastAsia="Arial" w:hAnsi="Arial" w:cs="Arial"/>
          <w:sz w:val="20"/>
          <w:szCs w:val="20"/>
        </w:rPr>
        <w:t>Describe the project phases and agreement of key dates.</w:t>
      </w:r>
    </w:p>
    <w:p w14:paraId="6D292E44" w14:textId="77777777" w:rsidR="002E5F88" w:rsidRDefault="00100090">
      <w:pPr>
        <w:numPr>
          <w:ilvl w:val="0"/>
          <w:numId w:val="14"/>
        </w:numPr>
        <w:spacing w:before="120" w:after="120"/>
        <w:rPr>
          <w:rFonts w:ascii="Arial" w:eastAsia="Arial" w:hAnsi="Arial" w:cs="Arial"/>
        </w:rPr>
      </w:pPr>
      <w:r>
        <w:rPr>
          <w:rFonts w:ascii="Arial" w:eastAsia="Arial" w:hAnsi="Arial" w:cs="Arial"/>
          <w:sz w:val="20"/>
          <w:szCs w:val="20"/>
        </w:rPr>
        <w:t>Agree on communication and reporting processes.</w:t>
      </w:r>
    </w:p>
    <w:p w14:paraId="5FE0D991" w14:textId="77777777" w:rsidR="002E5F88" w:rsidRDefault="00100090">
      <w:pPr>
        <w:numPr>
          <w:ilvl w:val="0"/>
          <w:numId w:val="14"/>
        </w:numPr>
        <w:spacing w:before="120" w:after="120"/>
        <w:rPr>
          <w:rFonts w:ascii="Arial" w:eastAsia="Arial" w:hAnsi="Arial" w:cs="Arial"/>
        </w:rPr>
      </w:pPr>
      <w:r>
        <w:rPr>
          <w:rFonts w:ascii="Arial" w:eastAsia="Arial" w:hAnsi="Arial" w:cs="Arial"/>
          <w:sz w:val="20"/>
          <w:szCs w:val="20"/>
        </w:rPr>
        <w:t>Validate the project expectations and clarify roles and responsibilities.</w:t>
      </w:r>
    </w:p>
    <w:p w14:paraId="50077B0C" w14:textId="77777777" w:rsidR="002E5F88" w:rsidRDefault="00100090">
      <w:pPr>
        <w:numPr>
          <w:ilvl w:val="0"/>
          <w:numId w:val="14"/>
        </w:numPr>
        <w:spacing w:before="120" w:after="120"/>
        <w:rPr>
          <w:rFonts w:ascii="Arial" w:eastAsia="Arial" w:hAnsi="Arial" w:cs="Arial"/>
        </w:rPr>
      </w:pPr>
      <w:r>
        <w:rPr>
          <w:rFonts w:ascii="Arial" w:eastAsia="Arial" w:hAnsi="Arial" w:cs="Arial"/>
          <w:sz w:val="20"/>
          <w:szCs w:val="20"/>
        </w:rPr>
        <w:t>Explain the expected project results.</w:t>
      </w:r>
    </w:p>
    <w:p w14:paraId="4A08605D" w14:textId="77777777" w:rsidR="002E5F88" w:rsidRDefault="00100090">
      <w:pPr>
        <w:numPr>
          <w:ilvl w:val="0"/>
          <w:numId w:val="14"/>
        </w:numPr>
        <w:spacing w:before="120" w:after="120"/>
        <w:rPr>
          <w:rFonts w:ascii="Arial" w:eastAsia="Arial" w:hAnsi="Arial" w:cs="Arial"/>
        </w:rPr>
      </w:pPr>
      <w:r>
        <w:rPr>
          <w:rFonts w:ascii="Arial" w:eastAsia="Arial" w:hAnsi="Arial" w:cs="Arial"/>
          <w:sz w:val="20"/>
          <w:szCs w:val="20"/>
        </w:rPr>
        <w:t>Provide key stakeholders with the required terminology and knowledge to discuss and make decisions throughout the design process.</w:t>
      </w:r>
    </w:p>
    <w:p w14:paraId="3E65A3EE" w14:textId="77777777" w:rsidR="002E5F88" w:rsidRDefault="00100090">
      <w:pPr>
        <w:numPr>
          <w:ilvl w:val="0"/>
          <w:numId w:val="14"/>
        </w:numPr>
        <w:spacing w:before="120" w:after="120"/>
        <w:rPr>
          <w:rFonts w:ascii="Arial" w:eastAsia="Arial" w:hAnsi="Arial" w:cs="Arial"/>
        </w:rPr>
      </w:pPr>
      <w:r>
        <w:rPr>
          <w:rFonts w:ascii="Arial" w:eastAsia="Arial" w:hAnsi="Arial" w:cs="Arial"/>
          <w:sz w:val="20"/>
          <w:szCs w:val="20"/>
        </w:rPr>
        <w:t>Attendance by key representatives from the various teams is considered mandatory.</w:t>
      </w:r>
    </w:p>
    <w:p w14:paraId="5C4EBAA0" w14:textId="77777777" w:rsidR="002E5F88" w:rsidRDefault="00100090">
      <w:pPr>
        <w:numPr>
          <w:ilvl w:val="0"/>
          <w:numId w:val="14"/>
        </w:numPr>
        <w:spacing w:before="120" w:after="120"/>
        <w:rPr>
          <w:rFonts w:ascii="Arial" w:eastAsia="Arial" w:hAnsi="Arial" w:cs="Arial"/>
        </w:rPr>
      </w:pPr>
      <w:r>
        <w:rPr>
          <w:rFonts w:ascii="Arial" w:eastAsia="Arial" w:hAnsi="Arial" w:cs="Arial"/>
          <w:sz w:val="20"/>
          <w:szCs w:val="20"/>
        </w:rPr>
        <w:t>Use the session to facilitate discussions and provoke thought.</w:t>
      </w:r>
    </w:p>
    <w:p w14:paraId="535A6BCF" w14:textId="77777777" w:rsidR="002E5F88" w:rsidRDefault="00100090">
      <w:pPr>
        <w:numPr>
          <w:ilvl w:val="0"/>
          <w:numId w:val="14"/>
        </w:numPr>
        <w:spacing w:before="120" w:after="120"/>
        <w:rPr>
          <w:rFonts w:ascii="Arial" w:eastAsia="Arial" w:hAnsi="Arial" w:cs="Arial"/>
        </w:rPr>
      </w:pPr>
      <w:r>
        <w:rPr>
          <w:rFonts w:ascii="Arial" w:eastAsia="Arial" w:hAnsi="Arial" w:cs="Arial"/>
          <w:sz w:val="20"/>
          <w:szCs w:val="20"/>
        </w:rPr>
        <w:t>Remind Chubb participants that the session is intended to give them a quick understanding of the solution so that they can participate in the next phase (which covers design).</w:t>
      </w:r>
    </w:p>
    <w:p w14:paraId="4EE6BC50" w14:textId="77777777" w:rsidR="002E5F88" w:rsidRDefault="00100090">
      <w:pPr>
        <w:numPr>
          <w:ilvl w:val="0"/>
          <w:numId w:val="14"/>
        </w:numPr>
        <w:spacing w:before="120" w:after="120"/>
        <w:rPr>
          <w:rFonts w:ascii="Arial" w:eastAsia="Arial" w:hAnsi="Arial" w:cs="Arial"/>
        </w:rPr>
      </w:pPr>
      <w:r>
        <w:rPr>
          <w:rFonts w:ascii="Arial" w:eastAsia="Arial" w:hAnsi="Arial" w:cs="Arial"/>
          <w:sz w:val="20"/>
          <w:szCs w:val="20"/>
        </w:rPr>
        <w:t>Keep a running list of questions and issues for consideration in the next phase.</w:t>
      </w:r>
    </w:p>
    <w:p w14:paraId="04D33A48" w14:textId="77777777" w:rsidR="002E5F88" w:rsidRDefault="00100090">
      <w:pPr>
        <w:numPr>
          <w:ilvl w:val="0"/>
          <w:numId w:val="14"/>
        </w:numPr>
        <w:rPr>
          <w:rFonts w:ascii="Arial" w:eastAsia="Arial" w:hAnsi="Arial" w:cs="Arial"/>
        </w:rPr>
      </w:pPr>
      <w:r>
        <w:rPr>
          <w:rFonts w:ascii="Arial" w:eastAsia="Arial" w:hAnsi="Arial" w:cs="Arial"/>
          <w:sz w:val="20"/>
          <w:szCs w:val="20"/>
        </w:rPr>
        <w:t>End the session by discussing, defining, and scheduling the subsequent detailed requirements gathering and design sessions</w:t>
      </w:r>
    </w:p>
    <w:p w14:paraId="366FA13E" w14:textId="77777777" w:rsidR="002E5F88" w:rsidRDefault="00100090">
      <w:pPr>
        <w:pStyle w:val="Heading2"/>
        <w:spacing w:after="120"/>
        <w:rPr>
          <w:b w:val="0"/>
          <w:sz w:val="28"/>
          <w:szCs w:val="28"/>
        </w:rPr>
      </w:pPr>
      <w:bookmarkStart w:id="10" w:name="_3j2qqm3" w:colFirst="0" w:colLast="0"/>
      <w:bookmarkEnd w:id="10"/>
      <w:r>
        <w:rPr>
          <w:sz w:val="28"/>
          <w:szCs w:val="28"/>
        </w:rPr>
        <w:t>Phase 2: Design Workshop</w:t>
      </w:r>
    </w:p>
    <w:p w14:paraId="73898D21" w14:textId="26D1031B" w:rsidR="002E5F88" w:rsidRDefault="00100090">
      <w:r>
        <w:t xml:space="preserve">TeraSky conducts design workshops </w:t>
      </w:r>
      <w:r w:rsidR="00070970">
        <w:t>to adopt customer environment requirement into a proper LLD and project plan. The workshop will include the following aspects:</w:t>
      </w:r>
    </w:p>
    <w:p w14:paraId="2F3E65D5" w14:textId="37A2A8EC" w:rsidR="00070970" w:rsidRDefault="00070970" w:rsidP="00070970">
      <w:pPr>
        <w:pStyle w:val="ListParagraph"/>
        <w:numPr>
          <w:ilvl w:val="0"/>
          <w:numId w:val="25"/>
        </w:numPr>
      </w:pPr>
      <w:r>
        <w:t>1</w:t>
      </w:r>
    </w:p>
    <w:p w14:paraId="76373B3A" w14:textId="4854E839" w:rsidR="00070970" w:rsidRDefault="00070970" w:rsidP="00070970">
      <w:pPr>
        <w:pStyle w:val="ListParagraph"/>
        <w:numPr>
          <w:ilvl w:val="0"/>
          <w:numId w:val="25"/>
        </w:numPr>
      </w:pPr>
      <w:r>
        <w:t>2</w:t>
      </w:r>
    </w:p>
    <w:p w14:paraId="7C5DA32D" w14:textId="43D6AE8A" w:rsidR="00070970" w:rsidRDefault="00070970" w:rsidP="00070970">
      <w:pPr>
        <w:pStyle w:val="ListParagraph"/>
        <w:numPr>
          <w:ilvl w:val="0"/>
          <w:numId w:val="25"/>
        </w:numPr>
      </w:pPr>
      <w:r>
        <w:t>3</w:t>
      </w:r>
    </w:p>
    <w:p w14:paraId="1DF2B0DD" w14:textId="77777777" w:rsidR="00070970" w:rsidRDefault="00070970" w:rsidP="00070970"/>
    <w:p w14:paraId="41E612BB" w14:textId="77777777" w:rsidR="002E5F88" w:rsidRDefault="00100090">
      <w:pPr>
        <w:rPr>
          <w:b/>
        </w:rPr>
      </w:pPr>
      <w:r>
        <w:rPr>
          <w:b/>
        </w:rPr>
        <w:t xml:space="preserve">Following the design workshop, Terasky professional services will create the LLD for the project along with a project workbook to gather all relevant system configurations. </w:t>
      </w:r>
    </w:p>
    <w:p w14:paraId="32696953" w14:textId="77777777" w:rsidR="002E5F88" w:rsidRDefault="002E5F88"/>
    <w:p w14:paraId="10FA6361" w14:textId="0735BBD9" w:rsidR="002E5F88" w:rsidRDefault="00100090">
      <w:pPr>
        <w:pStyle w:val="Heading2"/>
        <w:spacing w:after="120"/>
        <w:rPr>
          <w:b w:val="0"/>
          <w:sz w:val="28"/>
          <w:szCs w:val="28"/>
        </w:rPr>
      </w:pPr>
      <w:bookmarkStart w:id="11" w:name="_4i7ojhp" w:colFirst="0" w:colLast="0"/>
      <w:bookmarkEnd w:id="11"/>
      <w:r>
        <w:rPr>
          <w:sz w:val="28"/>
          <w:szCs w:val="28"/>
        </w:rPr>
        <w:lastRenderedPageBreak/>
        <w:t xml:space="preserve">Phase 3: </w:t>
      </w:r>
      <w:r w:rsidR="004318F2">
        <w:rPr>
          <w:sz w:val="28"/>
          <w:szCs w:val="28"/>
        </w:rPr>
        <w:t xml:space="preserve">Environment setup / group of activities </w:t>
      </w:r>
    </w:p>
    <w:p w14:paraId="35ED4748" w14:textId="77777777" w:rsidR="002E5F88" w:rsidRDefault="00100090">
      <w:r>
        <w:t>The following table describe all the activities for this phase:</w:t>
      </w:r>
    </w:p>
    <w:tbl>
      <w:tblPr>
        <w:tblStyle w:val="a3"/>
        <w:tblW w:w="1032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00" w:firstRow="0" w:lastRow="0" w:firstColumn="0" w:lastColumn="0" w:noHBand="0" w:noVBand="1"/>
      </w:tblPr>
      <w:tblGrid>
        <w:gridCol w:w="1770"/>
        <w:gridCol w:w="1305"/>
        <w:gridCol w:w="5625"/>
        <w:gridCol w:w="1620"/>
      </w:tblGrid>
      <w:tr w:rsidR="002E5F88" w14:paraId="00558F15" w14:textId="77777777">
        <w:trPr>
          <w:trHeight w:val="320"/>
        </w:trPr>
        <w:tc>
          <w:tcPr>
            <w:tcW w:w="17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D4779C" w14:textId="77777777" w:rsidR="002E5F88" w:rsidRDefault="00100090">
            <w:pPr>
              <w:rPr>
                <w:rFonts w:ascii="Calibri" w:eastAsia="Calibri" w:hAnsi="Calibri" w:cs="Calibri"/>
              </w:rPr>
            </w:pPr>
            <w:r>
              <w:rPr>
                <w:rFonts w:ascii="Calibri" w:eastAsia="Calibri" w:hAnsi="Calibri" w:cs="Calibri"/>
              </w:rPr>
              <w:t>Activity</w:t>
            </w:r>
          </w:p>
        </w:tc>
        <w:tc>
          <w:tcPr>
            <w:tcW w:w="1305" w:type="dxa"/>
            <w:tcBorders>
              <w:top w:val="single" w:sz="4" w:space="0" w:color="000000"/>
              <w:left w:val="nil"/>
              <w:bottom w:val="single" w:sz="4" w:space="0" w:color="000000"/>
              <w:right w:val="single" w:sz="4" w:space="0" w:color="000000"/>
            </w:tcBorders>
            <w:shd w:val="clear" w:color="auto" w:fill="D9D9D9"/>
            <w:vAlign w:val="center"/>
          </w:tcPr>
          <w:p w14:paraId="73FD8F6F" w14:textId="77777777" w:rsidR="002E5F88" w:rsidRDefault="00100090">
            <w:pPr>
              <w:rPr>
                <w:rFonts w:ascii="Calibri" w:eastAsia="Calibri" w:hAnsi="Calibri" w:cs="Calibri"/>
              </w:rPr>
            </w:pPr>
            <w:r>
              <w:rPr>
                <w:rFonts w:ascii="Calibri" w:eastAsia="Calibri" w:hAnsi="Calibri" w:cs="Calibri"/>
              </w:rPr>
              <w:t>Parameter</w:t>
            </w:r>
          </w:p>
        </w:tc>
        <w:tc>
          <w:tcPr>
            <w:tcW w:w="5625" w:type="dxa"/>
            <w:tcBorders>
              <w:top w:val="single" w:sz="4" w:space="0" w:color="000000"/>
              <w:left w:val="nil"/>
              <w:bottom w:val="single" w:sz="4" w:space="0" w:color="000000"/>
              <w:right w:val="single" w:sz="4" w:space="0" w:color="000000"/>
            </w:tcBorders>
            <w:shd w:val="clear" w:color="auto" w:fill="D9D9D9"/>
            <w:vAlign w:val="center"/>
          </w:tcPr>
          <w:p w14:paraId="61748797" w14:textId="77777777" w:rsidR="002E5F88" w:rsidRDefault="00100090">
            <w:pPr>
              <w:rPr>
                <w:rFonts w:ascii="Calibri" w:eastAsia="Calibri" w:hAnsi="Calibri" w:cs="Calibri"/>
                <w:b/>
                <w:sz w:val="20"/>
                <w:szCs w:val="20"/>
              </w:rPr>
            </w:pPr>
            <w:r>
              <w:rPr>
                <w:rFonts w:ascii="Calibri" w:eastAsia="Calibri" w:hAnsi="Calibri" w:cs="Calibri"/>
                <w:b/>
                <w:sz w:val="20"/>
                <w:szCs w:val="20"/>
              </w:rPr>
              <w:t>Description</w:t>
            </w:r>
          </w:p>
        </w:tc>
        <w:tc>
          <w:tcPr>
            <w:tcW w:w="1620" w:type="dxa"/>
            <w:tcBorders>
              <w:top w:val="single" w:sz="4" w:space="0" w:color="000000"/>
              <w:left w:val="nil"/>
              <w:bottom w:val="single" w:sz="4" w:space="0" w:color="000000"/>
              <w:right w:val="single" w:sz="4" w:space="0" w:color="000000"/>
            </w:tcBorders>
            <w:shd w:val="clear" w:color="auto" w:fill="D9D9D9"/>
            <w:vAlign w:val="center"/>
          </w:tcPr>
          <w:p w14:paraId="4E8285D8" w14:textId="77777777" w:rsidR="002E5F88" w:rsidRDefault="00100090">
            <w:pPr>
              <w:rPr>
                <w:rFonts w:ascii="Calibri" w:eastAsia="Calibri" w:hAnsi="Calibri" w:cs="Calibri"/>
                <w:b/>
                <w:sz w:val="20"/>
                <w:szCs w:val="20"/>
              </w:rPr>
            </w:pPr>
            <w:r>
              <w:rPr>
                <w:rFonts w:ascii="Calibri" w:eastAsia="Calibri" w:hAnsi="Calibri" w:cs="Calibri"/>
                <w:b/>
                <w:sz w:val="20"/>
                <w:szCs w:val="20"/>
              </w:rPr>
              <w:t>Responsibility</w:t>
            </w:r>
          </w:p>
        </w:tc>
      </w:tr>
      <w:tr w:rsidR="002E5F88" w14:paraId="7C4293C8" w14:textId="77777777">
        <w:trPr>
          <w:trHeight w:val="340"/>
        </w:trPr>
        <w:tc>
          <w:tcPr>
            <w:tcW w:w="1770" w:type="dxa"/>
            <w:tcBorders>
              <w:top w:val="single" w:sz="8" w:space="0" w:color="000000"/>
              <w:left w:val="single" w:sz="8" w:space="0" w:color="000000"/>
              <w:bottom w:val="single" w:sz="8" w:space="0" w:color="000000"/>
              <w:right w:val="single" w:sz="8" w:space="0" w:color="000000"/>
            </w:tcBorders>
            <w:tcMar>
              <w:top w:w="20" w:type="dxa"/>
              <w:left w:w="160" w:type="dxa"/>
              <w:bottom w:w="20" w:type="dxa"/>
              <w:right w:w="20" w:type="dxa"/>
            </w:tcMar>
          </w:tcPr>
          <w:p w14:paraId="6D5EC369" w14:textId="641BD16B" w:rsidR="002E5F88" w:rsidRDefault="004318F2">
            <w:pPr>
              <w:spacing w:after="120" w:line="360" w:lineRule="auto"/>
              <w:rPr>
                <w:rFonts w:ascii="Calibri" w:eastAsia="Calibri" w:hAnsi="Calibri" w:cs="Calibri"/>
              </w:rPr>
            </w:pPr>
            <w:r>
              <w:rPr>
                <w:rFonts w:ascii="Calibri" w:eastAsia="Calibri" w:hAnsi="Calibri" w:cs="Calibri"/>
              </w:rPr>
              <w:t>Activity name</w:t>
            </w:r>
          </w:p>
        </w:tc>
        <w:tc>
          <w:tcPr>
            <w:tcW w:w="1305" w:type="dxa"/>
            <w:tcBorders>
              <w:top w:val="single" w:sz="8" w:space="0" w:color="000000"/>
              <w:left w:val="nil"/>
              <w:bottom w:val="single" w:sz="8" w:space="0" w:color="000000"/>
              <w:right w:val="single" w:sz="8" w:space="0" w:color="000000"/>
            </w:tcBorders>
            <w:tcMar>
              <w:top w:w="20" w:type="dxa"/>
              <w:left w:w="160" w:type="dxa"/>
              <w:bottom w:w="20" w:type="dxa"/>
              <w:right w:w="20" w:type="dxa"/>
            </w:tcMar>
          </w:tcPr>
          <w:p w14:paraId="677B887B" w14:textId="77777777" w:rsidR="002E5F88" w:rsidRDefault="00100090">
            <w:pPr>
              <w:spacing w:after="120" w:line="360" w:lineRule="auto"/>
              <w:rPr>
                <w:rFonts w:ascii="Calibri" w:eastAsia="Calibri" w:hAnsi="Calibri" w:cs="Calibri"/>
              </w:rPr>
            </w:pPr>
            <w:r>
              <w:rPr>
                <w:rFonts w:ascii="Calibri" w:eastAsia="Calibri" w:hAnsi="Calibri" w:cs="Calibri"/>
              </w:rPr>
              <w:t xml:space="preserve">Up to One (1) </w:t>
            </w:r>
          </w:p>
        </w:tc>
        <w:tc>
          <w:tcPr>
            <w:tcW w:w="5625" w:type="dxa"/>
            <w:tcBorders>
              <w:top w:val="single" w:sz="8" w:space="0" w:color="000000"/>
              <w:left w:val="nil"/>
              <w:bottom w:val="single" w:sz="8" w:space="0" w:color="000000"/>
              <w:right w:val="single" w:sz="8" w:space="0" w:color="000000"/>
            </w:tcBorders>
            <w:tcMar>
              <w:top w:w="20" w:type="dxa"/>
              <w:left w:w="160" w:type="dxa"/>
              <w:bottom w:w="20" w:type="dxa"/>
              <w:right w:w="20" w:type="dxa"/>
            </w:tcMar>
          </w:tcPr>
          <w:p w14:paraId="0A50DFC8" w14:textId="1A3DE48B" w:rsidR="002E5F88" w:rsidRDefault="00100090">
            <w:pPr>
              <w:spacing w:line="360" w:lineRule="auto"/>
              <w:rPr>
                <w:rFonts w:ascii="Calibri" w:eastAsia="Calibri" w:hAnsi="Calibri" w:cs="Calibri"/>
              </w:rPr>
            </w:pPr>
            <w:r>
              <w:rPr>
                <w:rFonts w:ascii="Calibri" w:eastAsia="Calibri" w:hAnsi="Calibri" w:cs="Calibri"/>
              </w:rPr>
              <w:t xml:space="preserve"> </w:t>
            </w:r>
          </w:p>
        </w:tc>
        <w:tc>
          <w:tcPr>
            <w:tcW w:w="1620" w:type="dxa"/>
            <w:tcBorders>
              <w:top w:val="single" w:sz="8" w:space="0" w:color="000000"/>
              <w:left w:val="nil"/>
              <w:bottom w:val="single" w:sz="8" w:space="0" w:color="000000"/>
              <w:right w:val="single" w:sz="8" w:space="0" w:color="000000"/>
            </w:tcBorders>
            <w:tcMar>
              <w:top w:w="20" w:type="dxa"/>
              <w:left w:w="160" w:type="dxa"/>
              <w:bottom w:w="20" w:type="dxa"/>
              <w:right w:w="20" w:type="dxa"/>
            </w:tcMar>
          </w:tcPr>
          <w:p w14:paraId="5BA5A1F1" w14:textId="537566D6" w:rsidR="002E5F88" w:rsidRDefault="002E5F88">
            <w:pPr>
              <w:spacing w:line="360" w:lineRule="auto"/>
              <w:rPr>
                <w:rFonts w:ascii="Calibri" w:eastAsia="Calibri" w:hAnsi="Calibri" w:cs="Calibri"/>
              </w:rPr>
            </w:pPr>
          </w:p>
        </w:tc>
      </w:tr>
    </w:tbl>
    <w:p w14:paraId="274DED46" w14:textId="77777777" w:rsidR="002E5F88" w:rsidRDefault="002E5F88">
      <w:pPr>
        <w:rPr>
          <w:color w:val="548DD4"/>
          <w:sz w:val="28"/>
          <w:szCs w:val="28"/>
        </w:rPr>
      </w:pPr>
    </w:p>
    <w:p w14:paraId="6EE06471" w14:textId="7FC6FCDC" w:rsidR="002E5F88" w:rsidRDefault="00100090">
      <w:pPr>
        <w:pStyle w:val="Heading2"/>
        <w:spacing w:after="120"/>
        <w:rPr>
          <w:b w:val="0"/>
          <w:sz w:val="28"/>
          <w:szCs w:val="28"/>
        </w:rPr>
      </w:pPr>
      <w:bookmarkStart w:id="12" w:name="_b1z6d5tpyod7" w:colFirst="0" w:colLast="0"/>
      <w:bookmarkStart w:id="13" w:name="_ournta9h3614" w:colFirst="0" w:colLast="0"/>
      <w:bookmarkStart w:id="14" w:name="_wudjuplnqyd1" w:colFirst="0" w:colLast="0"/>
      <w:bookmarkEnd w:id="12"/>
      <w:bookmarkEnd w:id="13"/>
      <w:bookmarkEnd w:id="14"/>
      <w:r>
        <w:rPr>
          <w:sz w:val="28"/>
          <w:szCs w:val="28"/>
        </w:rPr>
        <w:t xml:space="preserve">Phase </w:t>
      </w:r>
      <w:r w:rsidR="004318F2">
        <w:rPr>
          <w:sz w:val="28"/>
          <w:szCs w:val="28"/>
        </w:rPr>
        <w:t>4</w:t>
      </w:r>
      <w:r>
        <w:rPr>
          <w:sz w:val="28"/>
          <w:szCs w:val="28"/>
        </w:rPr>
        <w:t>: Usability Test</w:t>
      </w:r>
    </w:p>
    <w:p w14:paraId="317A2DE6" w14:textId="77777777" w:rsidR="002E5F88" w:rsidRDefault="00100090">
      <w:r>
        <w:t xml:space="preserve">The deliverables of phase 3 and 5 comprise the Beta version of the system. In order to finalize and promote to the GA version, it is a requirement to conduct a usability test on a designated group of users to test and validate the applicability of the features and user’s experience/satisfaction. </w:t>
      </w:r>
      <w:r>
        <w:br/>
        <w:t>This phase will include the following:</w:t>
      </w:r>
    </w:p>
    <w:p w14:paraId="373FAB4B" w14:textId="77777777" w:rsidR="002E5F88" w:rsidRDefault="00100090">
      <w:pPr>
        <w:numPr>
          <w:ilvl w:val="0"/>
          <w:numId w:val="10"/>
        </w:numPr>
        <w:rPr>
          <w:rFonts w:ascii="Arial" w:eastAsia="Arial" w:hAnsi="Arial" w:cs="Arial"/>
        </w:rPr>
      </w:pPr>
      <w:r>
        <w:t xml:space="preserve">Usability test preparation – Chubb it to nominate a group of users. Those are “Usability Test Group Members”. </w:t>
      </w:r>
    </w:p>
    <w:p w14:paraId="209B34D0" w14:textId="77777777" w:rsidR="002E5F88" w:rsidRDefault="00100090">
      <w:pPr>
        <w:numPr>
          <w:ilvl w:val="0"/>
          <w:numId w:val="10"/>
        </w:numPr>
        <w:rPr>
          <w:rFonts w:ascii="Arial" w:eastAsia="Arial" w:hAnsi="Arial" w:cs="Arial"/>
        </w:rPr>
      </w:pPr>
      <w:r>
        <w:t>During/post the usability test, Terasky professional services will modify/rectify the features according to the feedback of the usability test group members.</w:t>
      </w:r>
    </w:p>
    <w:p w14:paraId="7D45DDDC" w14:textId="77777777" w:rsidR="002E5F88" w:rsidRDefault="00100090">
      <w:pPr>
        <w:numPr>
          <w:ilvl w:val="0"/>
          <w:numId w:val="10"/>
        </w:numPr>
        <w:rPr>
          <w:rFonts w:ascii="Arial" w:eastAsia="Arial" w:hAnsi="Arial" w:cs="Arial"/>
        </w:rPr>
      </w:pPr>
      <w:r>
        <w:t>The changes are bound to the services and features stated in this document.</w:t>
      </w:r>
    </w:p>
    <w:p w14:paraId="7C5D3A01" w14:textId="77777777" w:rsidR="002E5F88" w:rsidRDefault="00100090">
      <w:pPr>
        <w:ind w:left="720"/>
        <w:rPr>
          <w:rFonts w:ascii="Arial" w:eastAsia="Arial" w:hAnsi="Arial" w:cs="Arial"/>
        </w:rPr>
      </w:pPr>
      <w:r>
        <w:t xml:space="preserve">Any other enhancement requests will be considered as “change management” and will be out of scope for this project.  </w:t>
      </w:r>
    </w:p>
    <w:p w14:paraId="1F872696" w14:textId="77777777" w:rsidR="002E5F88" w:rsidRDefault="00100090">
      <w:pPr>
        <w:rPr>
          <w:b/>
        </w:rPr>
      </w:pPr>
      <w:r>
        <w:rPr>
          <w:b/>
        </w:rPr>
        <w:t xml:space="preserve">The deliverables of this phase would be validation of user experience and measure satisfaction from the new services which were established during the project.  </w:t>
      </w:r>
    </w:p>
    <w:p w14:paraId="1EE00377" w14:textId="77777777" w:rsidR="002E5F88" w:rsidRDefault="002E5F88">
      <w:pPr>
        <w:rPr>
          <w:b/>
        </w:rPr>
      </w:pPr>
    </w:p>
    <w:p w14:paraId="12F19DD6" w14:textId="4BB87B01" w:rsidR="002E5F88" w:rsidRDefault="00100090">
      <w:pPr>
        <w:pStyle w:val="Heading2"/>
      </w:pPr>
      <w:bookmarkStart w:id="15" w:name="_h85vkm6pg434" w:colFirst="0" w:colLast="0"/>
      <w:bookmarkEnd w:id="15"/>
      <w:r>
        <w:t xml:space="preserve">Phase </w:t>
      </w:r>
      <w:r w:rsidR="00F35594">
        <w:t>5</w:t>
      </w:r>
      <w:r>
        <w:t>: Validation</w:t>
      </w:r>
      <w:r w:rsidR="00F35594">
        <w:t xml:space="preserve"> (Success Criteria’s)</w:t>
      </w:r>
    </w:p>
    <w:p w14:paraId="5A40D7A8" w14:textId="77777777" w:rsidR="002E5F88" w:rsidRDefault="00100090">
      <w:r>
        <w:t xml:space="preserve">During this phase, the Terasky professional services works with the designated Chubb stakeholders to validate the cloud platform readiness for production from the infrastructure level: </w:t>
      </w:r>
    </w:p>
    <w:p w14:paraId="049E3BB9" w14:textId="77777777" w:rsidR="002E5F88" w:rsidRDefault="00100090">
      <w:pPr>
        <w:numPr>
          <w:ilvl w:val="0"/>
          <w:numId w:val="12"/>
        </w:numPr>
        <w:rPr>
          <w:rFonts w:ascii="Arial" w:eastAsia="Arial" w:hAnsi="Arial" w:cs="Arial"/>
        </w:rPr>
      </w:pPr>
      <w:r>
        <w:t>On the infrastructure level – redundancy test.</w:t>
      </w:r>
    </w:p>
    <w:p w14:paraId="4565ED11" w14:textId="77777777" w:rsidR="002E5F88" w:rsidRDefault="00100090">
      <w:pPr>
        <w:numPr>
          <w:ilvl w:val="0"/>
          <w:numId w:val="12"/>
        </w:numPr>
      </w:pPr>
      <w:r>
        <w:t>On the services level - all services are applicable and functioning according to the design</w:t>
      </w:r>
    </w:p>
    <w:p w14:paraId="72447C3D" w14:textId="77777777" w:rsidR="002E5F88" w:rsidRDefault="00100090">
      <w:pPr>
        <w:numPr>
          <w:ilvl w:val="0"/>
          <w:numId w:val="12"/>
        </w:numPr>
        <w:rPr>
          <w:rFonts w:ascii="Arial" w:eastAsia="Arial" w:hAnsi="Arial" w:cs="Arial"/>
        </w:rPr>
      </w:pPr>
      <w:r>
        <w:t>On the operational level – all components are being monitored.</w:t>
      </w:r>
    </w:p>
    <w:p w14:paraId="485F32E9" w14:textId="77777777" w:rsidR="002E5F88" w:rsidRDefault="00100090">
      <w:r>
        <w:lastRenderedPageBreak/>
        <w:t xml:space="preserve">An Acceptance Test Procedure (ATP) will be defined for this stage. The ATP will be accepted by both Terasky and Chubb stakeholders prior to project implementation. The ATP will not exceed Five (5) days of Terasky consultant. </w:t>
      </w:r>
    </w:p>
    <w:p w14:paraId="0730ED23" w14:textId="4B15D14D" w:rsidR="002E5F88" w:rsidRDefault="00100090">
      <w:pPr>
        <w:pStyle w:val="Heading2"/>
        <w:spacing w:after="120"/>
        <w:rPr>
          <w:b w:val="0"/>
          <w:sz w:val="28"/>
          <w:szCs w:val="28"/>
        </w:rPr>
      </w:pPr>
      <w:bookmarkStart w:id="16" w:name="_qsh70q" w:colFirst="0" w:colLast="0"/>
      <w:bookmarkEnd w:id="16"/>
      <w:r>
        <w:rPr>
          <w:sz w:val="28"/>
          <w:szCs w:val="28"/>
        </w:rPr>
        <w:t xml:space="preserve">Phase </w:t>
      </w:r>
      <w:r w:rsidR="00F35594">
        <w:rPr>
          <w:sz w:val="28"/>
          <w:szCs w:val="28"/>
        </w:rPr>
        <w:t>6</w:t>
      </w:r>
      <w:r>
        <w:rPr>
          <w:sz w:val="28"/>
          <w:szCs w:val="28"/>
        </w:rPr>
        <w:t>: Knowledge Transfer</w:t>
      </w:r>
    </w:p>
    <w:p w14:paraId="7B061F0B" w14:textId="77777777" w:rsidR="002E5F88" w:rsidRDefault="00100090">
      <w:r>
        <w:t>During this phase, Terasky professional services provides Chubb operators, administrators and users with a knowledge transfer session on the deployment and operating procedures.</w:t>
      </w:r>
    </w:p>
    <w:p w14:paraId="34E1E634" w14:textId="77777777" w:rsidR="002E5F88" w:rsidRDefault="00100090">
      <w:r>
        <w:t>The knowledge transfer sessions will include the following KT Packages:</w:t>
      </w:r>
    </w:p>
    <w:p w14:paraId="59492072" w14:textId="3B197CAC" w:rsidR="002E5F88" w:rsidRDefault="00F35594" w:rsidP="00F35594">
      <w:pPr>
        <w:pStyle w:val="ListParagraph"/>
        <w:numPr>
          <w:ilvl w:val="0"/>
          <w:numId w:val="26"/>
        </w:numPr>
      </w:pPr>
      <w:r>
        <w:t>Subject 1</w:t>
      </w:r>
    </w:p>
    <w:p w14:paraId="5BD0A667" w14:textId="72C67828" w:rsidR="00F35594" w:rsidRDefault="00F35594" w:rsidP="00F35594">
      <w:pPr>
        <w:pStyle w:val="ListParagraph"/>
        <w:numPr>
          <w:ilvl w:val="0"/>
          <w:numId w:val="26"/>
        </w:numPr>
      </w:pPr>
      <w:r>
        <w:t>Subject 2</w:t>
      </w:r>
    </w:p>
    <w:p w14:paraId="413339C6" w14:textId="4C300DC3" w:rsidR="002E5F88" w:rsidRDefault="00100090">
      <w:r>
        <w:t xml:space="preserve">Knowledge transfer will be done in Israel (or remotely via Zoom or any other remote session tool) and will not exceed </w:t>
      </w:r>
      <w:r w:rsidR="00F35594">
        <w:t>x</w:t>
      </w:r>
      <w:r>
        <w:t xml:space="preserve"> (</w:t>
      </w:r>
      <w:r w:rsidR="00F35594">
        <w:t>x</w:t>
      </w:r>
      <w:r>
        <w:t xml:space="preserve">) days of Terasky consultant. </w:t>
      </w:r>
    </w:p>
    <w:p w14:paraId="653C4615" w14:textId="77777777" w:rsidR="002E5F88" w:rsidRDefault="002E5F88">
      <w:pPr>
        <w:rPr>
          <w:rFonts w:ascii="Arial" w:eastAsia="Arial" w:hAnsi="Arial" w:cs="Arial"/>
        </w:rPr>
      </w:pPr>
    </w:p>
    <w:p w14:paraId="545975B6" w14:textId="77777777" w:rsidR="002E5F88" w:rsidRDefault="00100090">
      <w:pPr>
        <w:pStyle w:val="Heading1"/>
        <w:spacing w:before="400"/>
        <w:rPr>
          <w:b w:val="0"/>
          <w:sz w:val="28"/>
          <w:szCs w:val="28"/>
          <w:u w:val="single"/>
        </w:rPr>
      </w:pPr>
      <w:bookmarkStart w:id="17" w:name="_3as4poj" w:colFirst="0" w:colLast="0"/>
      <w:bookmarkEnd w:id="17"/>
      <w:r>
        <w:rPr>
          <w:sz w:val="28"/>
          <w:szCs w:val="28"/>
          <w:u w:val="single"/>
        </w:rPr>
        <w:t>Deliverables</w:t>
      </w:r>
    </w:p>
    <w:p w14:paraId="0705980B" w14:textId="77777777" w:rsidR="002E5F88" w:rsidRDefault="00100090">
      <w:r>
        <w:t>The following are the expected deliverables from the project phases:</w:t>
      </w:r>
    </w:p>
    <w:p w14:paraId="6AF447D2" w14:textId="6EF1A840" w:rsidR="00F35594" w:rsidRDefault="00F35594">
      <w:pPr>
        <w:numPr>
          <w:ilvl w:val="0"/>
          <w:numId w:val="6"/>
        </w:numPr>
      </w:pPr>
      <w:r>
        <w:t>Project Low Level Design.</w:t>
      </w:r>
    </w:p>
    <w:p w14:paraId="7CA69810" w14:textId="12FF65E2" w:rsidR="002E5F88" w:rsidRDefault="00100090">
      <w:pPr>
        <w:numPr>
          <w:ilvl w:val="0"/>
          <w:numId w:val="6"/>
        </w:numPr>
      </w:pPr>
      <w:r>
        <w:t>Cloud infrastructure installed and configured. This includes the following:</w:t>
      </w:r>
    </w:p>
    <w:p w14:paraId="1E249540" w14:textId="77777777" w:rsidR="002E5F88" w:rsidRDefault="00100090">
      <w:pPr>
        <w:numPr>
          <w:ilvl w:val="1"/>
          <w:numId w:val="6"/>
        </w:numPr>
      </w:pPr>
      <w:r>
        <w:t>1 x management WLD and 2 x VI WLD</w:t>
      </w:r>
    </w:p>
    <w:p w14:paraId="7C7E8067" w14:textId="77777777" w:rsidR="002E5F88" w:rsidRDefault="00100090">
      <w:pPr>
        <w:numPr>
          <w:ilvl w:val="1"/>
          <w:numId w:val="6"/>
        </w:numPr>
      </w:pPr>
      <w:r>
        <w:t>NSX-T installed and configured on all WLDs</w:t>
      </w:r>
    </w:p>
    <w:p w14:paraId="1C10EC8D" w14:textId="77777777" w:rsidR="002E5F88" w:rsidRDefault="00100090">
      <w:pPr>
        <w:numPr>
          <w:ilvl w:val="1"/>
          <w:numId w:val="6"/>
        </w:numPr>
      </w:pPr>
      <w:r>
        <w:t>vSAN is configured on the management WLD while VI WLD are using central storage</w:t>
      </w:r>
    </w:p>
    <w:p w14:paraId="504F9DE3" w14:textId="77777777" w:rsidR="002E5F88" w:rsidRDefault="00100090">
      <w:pPr>
        <w:numPr>
          <w:ilvl w:val="0"/>
          <w:numId w:val="6"/>
        </w:numPr>
      </w:pPr>
      <w:r>
        <w:t>Cloud management platform</w:t>
      </w:r>
    </w:p>
    <w:p w14:paraId="1968DDF1" w14:textId="77777777" w:rsidR="002E5F88" w:rsidRDefault="00100090">
      <w:pPr>
        <w:numPr>
          <w:ilvl w:val="1"/>
          <w:numId w:val="6"/>
        </w:numPr>
      </w:pPr>
      <w:r>
        <w:t>vRLI and vROPS collects data from all the new WLDs.</w:t>
      </w:r>
    </w:p>
    <w:p w14:paraId="67171D2C" w14:textId="77777777" w:rsidR="002E5F88" w:rsidRDefault="00100090">
      <w:pPr>
        <w:numPr>
          <w:ilvl w:val="1"/>
          <w:numId w:val="6"/>
        </w:numPr>
      </w:pPr>
      <w:r>
        <w:t>K8s management packed is implemented within vROPS</w:t>
      </w:r>
    </w:p>
    <w:p w14:paraId="7CC70AC8" w14:textId="77777777" w:rsidR="002E5F88" w:rsidRDefault="00100090">
      <w:pPr>
        <w:numPr>
          <w:ilvl w:val="0"/>
          <w:numId w:val="6"/>
        </w:numPr>
      </w:pPr>
      <w:r>
        <w:t>Tanzu K8s monitoring and logging</w:t>
      </w:r>
    </w:p>
    <w:p w14:paraId="7AF586C6" w14:textId="77777777" w:rsidR="002E5F88" w:rsidRDefault="00100090">
      <w:pPr>
        <w:numPr>
          <w:ilvl w:val="1"/>
          <w:numId w:val="6"/>
        </w:numPr>
      </w:pPr>
      <w:r>
        <w:t>vROPS dashboards for K8s are implemented</w:t>
      </w:r>
    </w:p>
    <w:p w14:paraId="38405E54" w14:textId="77777777" w:rsidR="002E5F88" w:rsidRDefault="00100090">
      <w:pPr>
        <w:numPr>
          <w:ilvl w:val="1"/>
          <w:numId w:val="6"/>
        </w:numPr>
      </w:pPr>
      <w:r>
        <w:t>Logs from Tanzu K8s clusters are forwarded to vRLI</w:t>
      </w:r>
    </w:p>
    <w:p w14:paraId="186F94DC" w14:textId="77777777" w:rsidR="002E5F88" w:rsidRDefault="00100090">
      <w:pPr>
        <w:numPr>
          <w:ilvl w:val="1"/>
          <w:numId w:val="6"/>
        </w:numPr>
      </w:pPr>
      <w:r>
        <w:t>Prometheus deployed and configured on all the new Tanzu clusters</w:t>
      </w:r>
    </w:p>
    <w:p w14:paraId="0BAE7552" w14:textId="77777777" w:rsidR="002E5F88" w:rsidRDefault="00100090">
      <w:pPr>
        <w:numPr>
          <w:ilvl w:val="1"/>
          <w:numId w:val="6"/>
        </w:numPr>
      </w:pPr>
      <w:r>
        <w:t xml:space="preserve">Grafana present dashboards on all the new Tanzu clusters </w:t>
      </w:r>
    </w:p>
    <w:p w14:paraId="3ED78383" w14:textId="77777777" w:rsidR="002E5F88" w:rsidRDefault="00100090">
      <w:pPr>
        <w:numPr>
          <w:ilvl w:val="0"/>
          <w:numId w:val="6"/>
        </w:numPr>
      </w:pPr>
      <w:r>
        <w:t>Harbor is deployed and configured allowing Chubb to store images and HelmCharts.</w:t>
      </w:r>
    </w:p>
    <w:p w14:paraId="6CDCFF52" w14:textId="77777777" w:rsidR="002E5F88" w:rsidRDefault="00100090">
      <w:pPr>
        <w:numPr>
          <w:ilvl w:val="0"/>
          <w:numId w:val="6"/>
        </w:numPr>
      </w:pPr>
      <w:r>
        <w:t xml:space="preserve">Active Directory is the identity source for Tanzu K8s clusters using vCenter SSO. </w:t>
      </w:r>
    </w:p>
    <w:p w14:paraId="753BD89C" w14:textId="77777777" w:rsidR="002E5F88" w:rsidRDefault="00100090">
      <w:pPr>
        <w:numPr>
          <w:ilvl w:val="0"/>
          <w:numId w:val="6"/>
        </w:numPr>
      </w:pPr>
      <w:r>
        <w:lastRenderedPageBreak/>
        <w:t xml:space="preserve">Chubb infrastructure administrators are equipt with all relevant knoledge to support the day to day operations of the entire VMware SDDC. </w:t>
      </w:r>
    </w:p>
    <w:p w14:paraId="13F1C133" w14:textId="77777777" w:rsidR="002E5F88" w:rsidRDefault="00100090">
      <w:pPr>
        <w:numPr>
          <w:ilvl w:val="0"/>
          <w:numId w:val="6"/>
        </w:numPr>
      </w:pPr>
      <w:r>
        <w:t xml:space="preserve">Chubb existing vRA is able to deploy cloud templates on the new WLD. </w:t>
      </w:r>
    </w:p>
    <w:p w14:paraId="3C8D83FD" w14:textId="5DF021F2" w:rsidR="002E5F88" w:rsidRDefault="00100090">
      <w:pPr>
        <w:numPr>
          <w:ilvl w:val="0"/>
          <w:numId w:val="6"/>
        </w:numPr>
      </w:pPr>
      <w:r>
        <w:t xml:space="preserve">Chubb agile teams (DevOps, Developers,  so on and so forth)  are able to deploy K8s clusters as code. </w:t>
      </w:r>
    </w:p>
    <w:p w14:paraId="60531CC6" w14:textId="5C2F5570" w:rsidR="001007C6" w:rsidRDefault="001007C6">
      <w:pPr>
        <w:numPr>
          <w:ilvl w:val="0"/>
          <w:numId w:val="6"/>
        </w:numPr>
      </w:pPr>
      <w:r>
        <w:t>Knowledge Transfer session.</w:t>
      </w:r>
    </w:p>
    <w:p w14:paraId="1C0D5F2C" w14:textId="2092E586" w:rsidR="002E5F88" w:rsidRDefault="002E5F88">
      <w:pPr>
        <w:rPr>
          <w:color w:val="548DD4"/>
          <w:sz w:val="32"/>
          <w:szCs w:val="32"/>
        </w:rPr>
      </w:pPr>
    </w:p>
    <w:p w14:paraId="4808E1CB" w14:textId="77777777" w:rsidR="002E5F88" w:rsidRDefault="00100090">
      <w:pPr>
        <w:pStyle w:val="Heading1"/>
        <w:spacing w:before="400"/>
        <w:rPr>
          <w:b w:val="0"/>
          <w:sz w:val="28"/>
          <w:szCs w:val="28"/>
          <w:u w:val="single"/>
        </w:rPr>
      </w:pPr>
      <w:bookmarkStart w:id="18" w:name="_1pxezwc" w:colFirst="0" w:colLast="0"/>
      <w:bookmarkEnd w:id="18"/>
      <w:r>
        <w:rPr>
          <w:sz w:val="28"/>
          <w:szCs w:val="28"/>
          <w:u w:val="single"/>
        </w:rPr>
        <w:t>Out Of Scope</w:t>
      </w:r>
    </w:p>
    <w:p w14:paraId="17CAF52D" w14:textId="77777777" w:rsidR="002E5F88" w:rsidRDefault="00100090">
      <w:r>
        <w:t>The following items are not included in this SOW:</w:t>
      </w:r>
    </w:p>
    <w:p w14:paraId="602C7D50" w14:textId="77777777" w:rsidR="002E5F88" w:rsidRDefault="00100090">
      <w:pPr>
        <w:numPr>
          <w:ilvl w:val="0"/>
          <w:numId w:val="2"/>
        </w:numPr>
      </w:pPr>
      <w:bookmarkStart w:id="19" w:name="_4d34og8" w:colFirst="0" w:colLast="0"/>
      <w:bookmarkEnd w:id="19"/>
      <w:r>
        <w:t xml:space="preserve">Capabilities are limited to the current license level of VCF and Tanzu  at Chubb. </w:t>
      </w:r>
    </w:p>
    <w:p w14:paraId="25D04838" w14:textId="77777777" w:rsidR="002E5F88" w:rsidRDefault="00100090">
      <w:pPr>
        <w:numPr>
          <w:ilvl w:val="0"/>
          <w:numId w:val="2"/>
        </w:numPr>
      </w:pPr>
      <w:r>
        <w:t>Any 3rd party upgrades and compatibility which are not mentioned in the document.</w:t>
      </w:r>
    </w:p>
    <w:p w14:paraId="426F643C" w14:textId="77777777" w:rsidR="002E5F88" w:rsidRDefault="00100090">
      <w:pPr>
        <w:numPr>
          <w:ilvl w:val="0"/>
          <w:numId w:val="2"/>
        </w:numPr>
      </w:pPr>
      <w:r>
        <w:t>Installation and configuration of custom or third-party applications and operating systems on deployed virtual machines / K8s clusters.</w:t>
      </w:r>
    </w:p>
    <w:p w14:paraId="46652E1C" w14:textId="77777777" w:rsidR="002E5F88" w:rsidRDefault="00100090">
      <w:pPr>
        <w:numPr>
          <w:ilvl w:val="0"/>
          <w:numId w:val="2"/>
        </w:numPr>
      </w:pPr>
      <w:r>
        <w:t>Operating system administration including the operating system itself or any operating system features or components.</w:t>
      </w:r>
    </w:p>
    <w:p w14:paraId="32A6B99F" w14:textId="77777777" w:rsidR="002E5F88" w:rsidRDefault="00100090">
      <w:pPr>
        <w:numPr>
          <w:ilvl w:val="0"/>
          <w:numId w:val="2"/>
        </w:numPr>
      </w:pPr>
      <w:r>
        <w:t>Management of change to virtual machines, operating systems, custom or third-party applications, databases, and administration of general network changes within Customer control.</w:t>
      </w:r>
    </w:p>
    <w:p w14:paraId="412BCD3F" w14:textId="77777777" w:rsidR="002E5F88" w:rsidRDefault="00100090">
      <w:pPr>
        <w:numPr>
          <w:ilvl w:val="0"/>
          <w:numId w:val="2"/>
        </w:numPr>
      </w:pPr>
      <w:r>
        <w:t>Installation or configuration of other VMware or third party products not included in the scope of this document.</w:t>
      </w:r>
    </w:p>
    <w:p w14:paraId="486DC47A" w14:textId="77777777" w:rsidR="002E5F88" w:rsidRDefault="00100090">
      <w:pPr>
        <w:numPr>
          <w:ilvl w:val="0"/>
          <w:numId w:val="2"/>
        </w:numPr>
      </w:pPr>
      <w:r>
        <w:t>Installation and configuration of Customer-signed certificates.</w:t>
      </w:r>
    </w:p>
    <w:p w14:paraId="361746F3" w14:textId="77777777" w:rsidR="002E5F88" w:rsidRDefault="00100090">
      <w:pPr>
        <w:numPr>
          <w:ilvl w:val="0"/>
          <w:numId w:val="2"/>
        </w:numPr>
      </w:pPr>
      <w:r>
        <w:t>Solution capabilities will be limited to those provided by VMware products. Third-party product capabilities, which were not mentioned in this document, are not included.</w:t>
      </w:r>
    </w:p>
    <w:p w14:paraId="3609AED2" w14:textId="77777777" w:rsidR="002E5F88" w:rsidRDefault="00100090">
      <w:pPr>
        <w:numPr>
          <w:ilvl w:val="0"/>
          <w:numId w:val="2"/>
        </w:numPr>
      </w:pPr>
      <w:r>
        <w:t>Any additional automations, workflows and blueprints which were not mentioned in this document.</w:t>
      </w:r>
    </w:p>
    <w:p w14:paraId="2C848043" w14:textId="77777777" w:rsidR="002E5F88" w:rsidRDefault="00100090">
      <w:pPr>
        <w:numPr>
          <w:ilvl w:val="0"/>
          <w:numId w:val="2"/>
        </w:numPr>
      </w:pPr>
      <w:r>
        <w:t>Templates creation.</w:t>
      </w:r>
    </w:p>
    <w:p w14:paraId="7239593D" w14:textId="77777777" w:rsidR="002E5F88" w:rsidRDefault="00100090">
      <w:pPr>
        <w:numPr>
          <w:ilvl w:val="0"/>
          <w:numId w:val="2"/>
        </w:numPr>
      </w:pPr>
      <w:r>
        <w:rPr>
          <w:rFonts w:ascii="Times New Roman" w:eastAsia="Times New Roman" w:hAnsi="Times New Roman" w:cs="Times New Roman"/>
          <w:sz w:val="14"/>
          <w:szCs w:val="14"/>
        </w:rPr>
        <w:t xml:space="preserve"> </w:t>
      </w:r>
      <w:r>
        <w:t>Custom template for K8s nodes – we will use the default Photon OS.</w:t>
      </w:r>
    </w:p>
    <w:p w14:paraId="1D215D44" w14:textId="77777777" w:rsidR="002E5F88" w:rsidRDefault="00100090">
      <w:pPr>
        <w:numPr>
          <w:ilvl w:val="0"/>
          <w:numId w:val="2"/>
        </w:numPr>
      </w:pPr>
      <w:r>
        <w:t>Firmware, BIOS and any other hardware related activities of equipment which are not mentioned in this document.</w:t>
      </w:r>
    </w:p>
    <w:p w14:paraId="2403C6F5" w14:textId="77777777" w:rsidR="002E5F88" w:rsidRDefault="00100090">
      <w:pPr>
        <w:numPr>
          <w:ilvl w:val="0"/>
          <w:numId w:val="2"/>
        </w:numPr>
      </w:pPr>
      <w:r>
        <w:t>Databases installation and configuration.</w:t>
      </w:r>
    </w:p>
    <w:p w14:paraId="3FF462E5" w14:textId="77777777" w:rsidR="002E5F88" w:rsidRDefault="00100090">
      <w:pPr>
        <w:numPr>
          <w:ilvl w:val="0"/>
          <w:numId w:val="17"/>
        </w:numPr>
      </w:pPr>
      <w:r>
        <w:t xml:space="preserve">Disaster Recovery architecture for all components in the solution.  </w:t>
      </w:r>
    </w:p>
    <w:p w14:paraId="1D82C662" w14:textId="77777777" w:rsidR="002E5F88" w:rsidRDefault="00100090">
      <w:pPr>
        <w:numPr>
          <w:ilvl w:val="0"/>
          <w:numId w:val="17"/>
        </w:numPr>
      </w:pPr>
      <w:r>
        <w:t>Load balancer installation and configurations other than those mentioned in the document</w:t>
      </w:r>
      <w:r>
        <w:br w:type="page"/>
      </w:r>
    </w:p>
    <w:p w14:paraId="3D015340" w14:textId="77777777" w:rsidR="002E5F88" w:rsidRDefault="00100090">
      <w:pPr>
        <w:pStyle w:val="Heading1"/>
        <w:spacing w:before="400"/>
        <w:rPr>
          <w:b w:val="0"/>
          <w:sz w:val="24"/>
          <w:szCs w:val="24"/>
          <w:u w:val="single"/>
        </w:rPr>
      </w:pPr>
      <w:bookmarkStart w:id="20" w:name="_88lcpjf4wpsz" w:colFirst="0" w:colLast="0"/>
      <w:bookmarkEnd w:id="20"/>
      <w:r>
        <w:rPr>
          <w:sz w:val="28"/>
          <w:szCs w:val="28"/>
          <w:u w:val="single"/>
        </w:rPr>
        <w:lastRenderedPageBreak/>
        <w:t xml:space="preserve">Commercial Offering </w:t>
      </w:r>
    </w:p>
    <w:p w14:paraId="76E39A2F" w14:textId="77777777" w:rsidR="002E5F88" w:rsidRDefault="002E5F88">
      <w:pPr>
        <w:rPr>
          <w:sz w:val="18"/>
          <w:szCs w:val="18"/>
        </w:rPr>
      </w:pPr>
    </w:p>
    <w:p w14:paraId="149EF869" w14:textId="77777777" w:rsidR="002E5F88" w:rsidRDefault="002E5F88">
      <w:pPr>
        <w:rPr>
          <w:b/>
        </w:rPr>
      </w:pPr>
    </w:p>
    <w:p w14:paraId="31AC8706" w14:textId="77777777" w:rsidR="002E5F88" w:rsidRDefault="002E5F88">
      <w:pPr>
        <w:rPr>
          <w:b/>
          <w:u w:val="single"/>
        </w:rPr>
      </w:pPr>
    </w:p>
    <w:p w14:paraId="42C4B178" w14:textId="77777777" w:rsidR="002E5F88" w:rsidRDefault="00100090">
      <w:pPr>
        <w:rPr>
          <w:b/>
          <w:u w:val="single"/>
        </w:rPr>
      </w:pPr>
      <w:r>
        <w:rPr>
          <w:b/>
          <w:u w:val="single"/>
        </w:rPr>
        <w:t>Notes:</w:t>
      </w:r>
    </w:p>
    <w:p w14:paraId="0ED91C97" w14:textId="77777777" w:rsidR="002E5F88" w:rsidRDefault="00100090">
      <w:pPr>
        <w:numPr>
          <w:ilvl w:val="0"/>
          <w:numId w:val="20"/>
        </w:numPr>
        <w:jc w:val="both"/>
      </w:pPr>
      <w:r>
        <w:t>The price does not include VAT</w:t>
      </w:r>
    </w:p>
    <w:p w14:paraId="3A2A9816" w14:textId="77777777" w:rsidR="002E5F88" w:rsidRDefault="00100090">
      <w:pPr>
        <w:numPr>
          <w:ilvl w:val="0"/>
          <w:numId w:val="20"/>
        </w:numPr>
        <w:jc w:val="both"/>
      </w:pPr>
      <w:r>
        <w:t>All with 3YRS vendor support</w:t>
      </w:r>
    </w:p>
    <w:p w14:paraId="0F19458F" w14:textId="77777777" w:rsidR="002E5F88" w:rsidRDefault="00100090">
      <w:pPr>
        <w:numPr>
          <w:ilvl w:val="0"/>
          <w:numId w:val="20"/>
        </w:numPr>
        <w:jc w:val="both"/>
      </w:pPr>
      <w:r>
        <w:t>The offer is valid for 90 days</w:t>
      </w:r>
    </w:p>
    <w:p w14:paraId="578E2FF4" w14:textId="77777777" w:rsidR="002E5F88" w:rsidRDefault="00100090">
      <w:pPr>
        <w:numPr>
          <w:ilvl w:val="0"/>
          <w:numId w:val="20"/>
        </w:numPr>
        <w:jc w:val="both"/>
      </w:pPr>
      <w:r>
        <w:t>Terms of payment- current+90 days</w:t>
      </w:r>
    </w:p>
    <w:p w14:paraId="04D2758B" w14:textId="77777777" w:rsidR="002E5F88" w:rsidRDefault="00100090">
      <w:pPr>
        <w:numPr>
          <w:ilvl w:val="0"/>
          <w:numId w:val="20"/>
        </w:numPr>
        <w:jc w:val="both"/>
      </w:pPr>
      <w:r>
        <w:t>The payment is in ILS according to USD rate of exchange at the date of issuing the invoice</w:t>
      </w:r>
    </w:p>
    <w:p w14:paraId="18F3F711" w14:textId="77777777" w:rsidR="002E5F88" w:rsidRDefault="002E5F88"/>
    <w:p w14:paraId="625A0909" w14:textId="77777777" w:rsidR="002E5F88" w:rsidRDefault="002E5F88">
      <w:pPr>
        <w:rPr>
          <w:rFonts w:ascii="Arial" w:eastAsia="Arial" w:hAnsi="Arial" w:cs="Arial"/>
        </w:rPr>
      </w:pPr>
    </w:p>
    <w:sectPr w:rsidR="002E5F88">
      <w:headerReference w:type="default" r:id="rId8"/>
      <w:footerReference w:type="default" r:id="rId9"/>
      <w:headerReference w:type="first" r:id="rId10"/>
      <w:footerReference w:type="first" r:id="rId11"/>
      <w:pgSz w:w="11907" w:h="16839"/>
      <w:pgMar w:top="2268" w:right="851" w:bottom="1559" w:left="851" w:header="709" w:footer="37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40D68" w14:textId="77777777" w:rsidR="00AD45AC" w:rsidRDefault="00AD45AC">
      <w:pPr>
        <w:spacing w:line="240" w:lineRule="auto"/>
      </w:pPr>
      <w:r>
        <w:separator/>
      </w:r>
    </w:p>
  </w:endnote>
  <w:endnote w:type="continuationSeparator" w:id="0">
    <w:p w14:paraId="42E0654D" w14:textId="77777777" w:rsidR="00AD45AC" w:rsidRDefault="00AD4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Quattrocento Sans">
    <w:altName w:val="Quattrocento San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D2056" w14:textId="77777777" w:rsidR="002E5F88" w:rsidRDefault="002E5F88">
    <w:pPr>
      <w:widowControl w:val="0"/>
      <w:pBdr>
        <w:top w:val="nil"/>
        <w:left w:val="nil"/>
        <w:bottom w:val="nil"/>
        <w:right w:val="nil"/>
        <w:between w:val="nil"/>
      </w:pBdr>
      <w:spacing w:line="276" w:lineRule="auto"/>
      <w:rPr>
        <w:color w:val="000000"/>
      </w:rPr>
    </w:pPr>
  </w:p>
  <w:tbl>
    <w:tblPr>
      <w:tblStyle w:val="a6"/>
      <w:tblW w:w="10205" w:type="dxa"/>
      <w:tblBorders>
        <w:top w:val="nil"/>
        <w:left w:val="nil"/>
        <w:bottom w:val="nil"/>
        <w:right w:val="nil"/>
        <w:insideH w:val="nil"/>
        <w:insideV w:val="nil"/>
      </w:tblBorders>
      <w:tblLayout w:type="fixed"/>
      <w:tblLook w:val="0400" w:firstRow="0" w:lastRow="0" w:firstColumn="0" w:lastColumn="0" w:noHBand="0" w:noVBand="1"/>
    </w:tblPr>
    <w:tblGrid>
      <w:gridCol w:w="10205"/>
    </w:tblGrid>
    <w:tr w:rsidR="002E5F88" w14:paraId="0ED2FCEA" w14:textId="77777777">
      <w:tc>
        <w:tcPr>
          <w:tcW w:w="10205" w:type="dxa"/>
        </w:tcPr>
        <w:p w14:paraId="7A2E83D1" w14:textId="77777777" w:rsidR="002E5F88" w:rsidRDefault="00100090">
          <w:pPr>
            <w:pBdr>
              <w:top w:val="nil"/>
              <w:left w:val="nil"/>
              <w:bottom w:val="nil"/>
              <w:right w:val="nil"/>
              <w:between w:val="nil"/>
            </w:pBdr>
            <w:tabs>
              <w:tab w:val="center" w:pos="4680"/>
              <w:tab w:val="right" w:pos="9360"/>
            </w:tabs>
            <w:rPr>
              <w:rFonts w:ascii="Quattrocento Sans" w:eastAsia="Quattrocento Sans" w:hAnsi="Quattrocento Sans" w:cs="Quattrocento Sans"/>
              <w:color w:val="2C2C3E"/>
              <w:sz w:val="20"/>
              <w:szCs w:val="20"/>
            </w:rPr>
          </w:pPr>
          <w:r>
            <w:rPr>
              <w:rFonts w:ascii="Quattrocento Sans" w:eastAsia="Quattrocento Sans" w:hAnsi="Quattrocento Sans" w:cs="Quattrocento Sans"/>
              <w:color w:val="2C2C3E"/>
              <w:sz w:val="20"/>
              <w:szCs w:val="20"/>
            </w:rPr>
            <w:t>17 Yegia Kapayim St., P.O.B. 3878, Petach Tikva, 4913020, Israel</w:t>
          </w:r>
        </w:p>
        <w:p w14:paraId="6583DD70" w14:textId="77777777" w:rsidR="002E5F88" w:rsidRDefault="00100090">
          <w:pPr>
            <w:pBdr>
              <w:top w:val="nil"/>
              <w:left w:val="nil"/>
              <w:bottom w:val="nil"/>
              <w:right w:val="nil"/>
              <w:between w:val="nil"/>
            </w:pBdr>
            <w:tabs>
              <w:tab w:val="center" w:pos="4680"/>
              <w:tab w:val="right" w:pos="9360"/>
            </w:tabs>
            <w:rPr>
              <w:rFonts w:ascii="Quattrocento Sans" w:eastAsia="Quattrocento Sans" w:hAnsi="Quattrocento Sans" w:cs="Quattrocento Sans"/>
              <w:b/>
              <w:color w:val="F07A58"/>
              <w:sz w:val="20"/>
              <w:szCs w:val="20"/>
            </w:rPr>
          </w:pPr>
          <w:r>
            <w:rPr>
              <w:rFonts w:ascii="Quattrocento Sans" w:eastAsia="Quattrocento Sans" w:hAnsi="Quattrocento Sans" w:cs="Quattrocento Sans"/>
              <w:color w:val="2C2C3E"/>
              <w:sz w:val="20"/>
              <w:szCs w:val="20"/>
            </w:rPr>
            <w:t xml:space="preserve">Tel. +972 3 6332525, info@terasky.com, </w:t>
          </w:r>
          <w:r>
            <w:rPr>
              <w:rFonts w:ascii="Quattrocento Sans" w:eastAsia="Quattrocento Sans" w:hAnsi="Quattrocento Sans" w:cs="Quattrocento Sans"/>
              <w:b/>
              <w:color w:val="F07A58"/>
              <w:sz w:val="20"/>
              <w:szCs w:val="20"/>
            </w:rPr>
            <w:t>www.terasky.com</w:t>
          </w:r>
        </w:p>
      </w:tc>
    </w:tr>
  </w:tbl>
  <w:p w14:paraId="4F3D4DB6" w14:textId="77777777" w:rsidR="002E5F88" w:rsidRDefault="00100090">
    <w:pPr>
      <w:pBdr>
        <w:top w:val="nil"/>
        <w:left w:val="nil"/>
        <w:bottom w:val="nil"/>
        <w:right w:val="nil"/>
        <w:between w:val="nil"/>
      </w:pBdr>
      <w:tabs>
        <w:tab w:val="center" w:pos="4680"/>
        <w:tab w:val="right" w:pos="9360"/>
      </w:tabs>
      <w:spacing w:line="240" w:lineRule="auto"/>
      <w:rPr>
        <w:color w:val="000000"/>
      </w:rPr>
    </w:pPr>
    <w:r>
      <w:tab/>
    </w:r>
    <w:r>
      <w:fldChar w:fldCharType="begin"/>
    </w:r>
    <w:r>
      <w:instrText>PAGE</w:instrText>
    </w:r>
    <w:r>
      <w:fldChar w:fldCharType="separate"/>
    </w:r>
    <w:r w:rsidR="006A6B7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5C747" w14:textId="77777777" w:rsidR="002E5F88" w:rsidRDefault="002E5F88">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ABFA" w14:textId="77777777" w:rsidR="00AD45AC" w:rsidRDefault="00AD45AC">
      <w:pPr>
        <w:spacing w:line="240" w:lineRule="auto"/>
      </w:pPr>
      <w:r>
        <w:separator/>
      </w:r>
    </w:p>
  </w:footnote>
  <w:footnote w:type="continuationSeparator" w:id="0">
    <w:p w14:paraId="54090F58" w14:textId="77777777" w:rsidR="00AD45AC" w:rsidRDefault="00AD45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DD126" w14:textId="726556F5" w:rsidR="002E5F88" w:rsidRDefault="00100090" w:rsidP="006A6B73">
    <w:pPr>
      <w:jc w:val="right"/>
      <w:rPr>
        <w:color w:val="000000"/>
      </w:rPr>
    </w:pPr>
    <w:r>
      <w:rPr>
        <w:noProof/>
      </w:rPr>
      <w:drawing>
        <wp:anchor distT="0" distB="0" distL="114300" distR="114300" simplePos="0" relativeHeight="251659264" behindDoc="0" locked="0" layoutInCell="1" hidden="0" allowOverlap="1" wp14:anchorId="053C1C78" wp14:editId="4C3F4510">
          <wp:simplePos x="0" y="0"/>
          <wp:positionH relativeFrom="column">
            <wp:posOffset>142875</wp:posOffset>
          </wp:positionH>
          <wp:positionV relativeFrom="paragraph">
            <wp:posOffset>19050</wp:posOffset>
          </wp:positionV>
          <wp:extent cx="1459889" cy="2403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59889" cy="240348"/>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62AE62FD" wp14:editId="57186158">
          <wp:simplePos x="0" y="0"/>
          <wp:positionH relativeFrom="column">
            <wp:posOffset>5876925</wp:posOffset>
          </wp:positionH>
          <wp:positionV relativeFrom="paragraph">
            <wp:posOffset>-450214</wp:posOffset>
          </wp:positionV>
          <wp:extent cx="1143000" cy="1000125"/>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143000" cy="1000125"/>
                  </a:xfrm>
                  <a:prstGeom prst="rect">
                    <a:avLst/>
                  </a:prstGeom>
                  <a:ln/>
                </pic:spPr>
              </pic:pic>
            </a:graphicData>
          </a:graphic>
        </wp:anchor>
      </w:drawing>
    </w:r>
    <w:r w:rsidR="006A6B73">
      <w:rPr>
        <w:color w:val="000000"/>
      </w:rPr>
      <w:t>[customer Logo]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FC47" w14:textId="77777777" w:rsidR="002E5F88" w:rsidRDefault="00100090">
    <w:r>
      <w:rPr>
        <w:noProof/>
      </w:rPr>
      <w:drawing>
        <wp:anchor distT="0" distB="0" distL="114300" distR="114300" simplePos="0" relativeHeight="251661312" behindDoc="0" locked="0" layoutInCell="1" hidden="0" allowOverlap="1" wp14:anchorId="5D5B5A36" wp14:editId="14A0C361">
          <wp:simplePos x="0" y="0"/>
          <wp:positionH relativeFrom="column">
            <wp:posOffset>114300</wp:posOffset>
          </wp:positionH>
          <wp:positionV relativeFrom="paragraph">
            <wp:posOffset>-2539</wp:posOffset>
          </wp:positionV>
          <wp:extent cx="1937953" cy="315878"/>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37953" cy="315878"/>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76741A14" wp14:editId="5F197A28">
          <wp:simplePos x="0" y="0"/>
          <wp:positionH relativeFrom="column">
            <wp:posOffset>5876925</wp:posOffset>
          </wp:positionH>
          <wp:positionV relativeFrom="paragraph">
            <wp:posOffset>-447674</wp:posOffset>
          </wp:positionV>
          <wp:extent cx="1143000" cy="1000125"/>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143000" cy="10001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61AD"/>
    <w:multiLevelType w:val="hybridMultilevel"/>
    <w:tmpl w:val="0E0AD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30218"/>
    <w:multiLevelType w:val="multilevel"/>
    <w:tmpl w:val="265279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8D125A"/>
    <w:multiLevelType w:val="multilevel"/>
    <w:tmpl w:val="4EA8EB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D549BD"/>
    <w:multiLevelType w:val="multilevel"/>
    <w:tmpl w:val="3B22D108"/>
    <w:lvl w:ilvl="0">
      <w:start w:val="1"/>
      <w:numFmt w:val="bullet"/>
      <w:lvlText w:val="●"/>
      <w:lvlJc w:val="left"/>
      <w:pPr>
        <w:ind w:left="360" w:hanging="360"/>
      </w:pPr>
      <w:rPr>
        <w:rFonts w:ascii="Noto Sans Symbols" w:eastAsia="Noto Sans Symbols" w:hAnsi="Noto Sans Symbols" w:cs="Noto Sans Symbols"/>
        <w:color w:val="F79646"/>
        <w:sz w:val="18"/>
        <w:szCs w:val="18"/>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8683392"/>
    <w:multiLevelType w:val="multilevel"/>
    <w:tmpl w:val="31E20C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95A7EBE"/>
    <w:multiLevelType w:val="multilevel"/>
    <w:tmpl w:val="2810572A"/>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0BC123B9"/>
    <w:multiLevelType w:val="multilevel"/>
    <w:tmpl w:val="6E3EC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77D5326"/>
    <w:multiLevelType w:val="hybridMultilevel"/>
    <w:tmpl w:val="1A269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172683"/>
    <w:multiLevelType w:val="multilevel"/>
    <w:tmpl w:val="5CA0D394"/>
    <w:lvl w:ilvl="0">
      <w:start w:val="1"/>
      <w:numFmt w:val="decimal"/>
      <w:lvlText w:val="%1."/>
      <w:lvlJc w:val="left"/>
      <w:pPr>
        <w:ind w:left="720" w:hanging="360"/>
      </w:p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7BB6250"/>
    <w:multiLevelType w:val="multilevel"/>
    <w:tmpl w:val="C4FC98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AB51C45"/>
    <w:multiLevelType w:val="multilevel"/>
    <w:tmpl w:val="79F0589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43A2F09"/>
    <w:multiLevelType w:val="multilevel"/>
    <w:tmpl w:val="2C062B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4B1493D"/>
    <w:multiLevelType w:val="multilevel"/>
    <w:tmpl w:val="CB90F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8B31FB5"/>
    <w:multiLevelType w:val="multilevel"/>
    <w:tmpl w:val="2A9AB7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C033AE9"/>
    <w:multiLevelType w:val="multilevel"/>
    <w:tmpl w:val="84A8B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C8B1BAA"/>
    <w:multiLevelType w:val="hybridMultilevel"/>
    <w:tmpl w:val="EC44A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2C4835"/>
    <w:multiLevelType w:val="multilevel"/>
    <w:tmpl w:val="B6BE3E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2935FF2"/>
    <w:multiLevelType w:val="hybridMultilevel"/>
    <w:tmpl w:val="07000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CC2C3B"/>
    <w:multiLevelType w:val="multilevel"/>
    <w:tmpl w:val="2D8A6A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BA606C5"/>
    <w:multiLevelType w:val="hybridMultilevel"/>
    <w:tmpl w:val="CE8EC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0D68CC"/>
    <w:multiLevelType w:val="multilevel"/>
    <w:tmpl w:val="5CD4C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3345D5E"/>
    <w:multiLevelType w:val="multilevel"/>
    <w:tmpl w:val="5B5C5BD4"/>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4983352"/>
    <w:multiLevelType w:val="multilevel"/>
    <w:tmpl w:val="1BACF6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4C629C5"/>
    <w:multiLevelType w:val="multilevel"/>
    <w:tmpl w:val="2ECC94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5D40719"/>
    <w:multiLevelType w:val="multilevel"/>
    <w:tmpl w:val="E08046C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7FC5A8F"/>
    <w:multiLevelType w:val="multilevel"/>
    <w:tmpl w:val="AF2490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84137560">
    <w:abstractNumId w:val="21"/>
  </w:num>
  <w:num w:numId="2" w16cid:durableId="965160587">
    <w:abstractNumId w:val="10"/>
  </w:num>
  <w:num w:numId="3" w16cid:durableId="1085226510">
    <w:abstractNumId w:val="3"/>
  </w:num>
  <w:num w:numId="4" w16cid:durableId="2062438673">
    <w:abstractNumId w:val="14"/>
  </w:num>
  <w:num w:numId="5" w16cid:durableId="1207529687">
    <w:abstractNumId w:val="18"/>
  </w:num>
  <w:num w:numId="6" w16cid:durableId="577399014">
    <w:abstractNumId w:val="22"/>
  </w:num>
  <w:num w:numId="7" w16cid:durableId="1190682279">
    <w:abstractNumId w:val="2"/>
  </w:num>
  <w:num w:numId="8" w16cid:durableId="2083529224">
    <w:abstractNumId w:val="9"/>
  </w:num>
  <w:num w:numId="9" w16cid:durableId="1020205499">
    <w:abstractNumId w:val="25"/>
  </w:num>
  <w:num w:numId="10" w16cid:durableId="1578830234">
    <w:abstractNumId w:val="6"/>
  </w:num>
  <w:num w:numId="11" w16cid:durableId="1564026780">
    <w:abstractNumId w:val="13"/>
  </w:num>
  <w:num w:numId="12" w16cid:durableId="1137409443">
    <w:abstractNumId w:val="23"/>
  </w:num>
  <w:num w:numId="13" w16cid:durableId="1342127464">
    <w:abstractNumId w:val="20"/>
  </w:num>
  <w:num w:numId="14" w16cid:durableId="1371607122">
    <w:abstractNumId w:val="16"/>
  </w:num>
  <w:num w:numId="15" w16cid:durableId="1434399527">
    <w:abstractNumId w:val="1"/>
  </w:num>
  <w:num w:numId="16" w16cid:durableId="109394706">
    <w:abstractNumId w:val="4"/>
  </w:num>
  <w:num w:numId="17" w16cid:durableId="2034960423">
    <w:abstractNumId w:val="24"/>
  </w:num>
  <w:num w:numId="18" w16cid:durableId="2095322996">
    <w:abstractNumId w:val="12"/>
  </w:num>
  <w:num w:numId="19" w16cid:durableId="1088189794">
    <w:abstractNumId w:val="11"/>
  </w:num>
  <w:num w:numId="20" w16cid:durableId="496729354">
    <w:abstractNumId w:val="5"/>
  </w:num>
  <w:num w:numId="21" w16cid:durableId="82796923">
    <w:abstractNumId w:val="8"/>
  </w:num>
  <w:num w:numId="22" w16cid:durableId="336074963">
    <w:abstractNumId w:val="19"/>
  </w:num>
  <w:num w:numId="23" w16cid:durableId="1112898244">
    <w:abstractNumId w:val="15"/>
  </w:num>
  <w:num w:numId="24" w16cid:durableId="1257861419">
    <w:abstractNumId w:val="0"/>
  </w:num>
  <w:num w:numId="25" w16cid:durableId="271254845">
    <w:abstractNumId w:val="17"/>
  </w:num>
  <w:num w:numId="26" w16cid:durableId="17317271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F88"/>
    <w:rsid w:val="00070970"/>
    <w:rsid w:val="00100090"/>
    <w:rsid w:val="001007C6"/>
    <w:rsid w:val="002E5F88"/>
    <w:rsid w:val="004318F2"/>
    <w:rsid w:val="005C1E6A"/>
    <w:rsid w:val="006A6B73"/>
    <w:rsid w:val="007744C4"/>
    <w:rsid w:val="007E12D1"/>
    <w:rsid w:val="00910E41"/>
    <w:rsid w:val="00AD45AC"/>
    <w:rsid w:val="00DE09CA"/>
    <w:rsid w:val="00F3559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71748"/>
  <w15:docId w15:val="{8B307885-35FC-0348-8A27-E454D81B4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0"/>
      <w:szCs w:val="40"/>
    </w:rPr>
  </w:style>
  <w:style w:type="paragraph" w:styleId="Heading2">
    <w:name w:val="heading 2"/>
    <w:basedOn w:val="Normal"/>
    <w:next w:val="Normal"/>
    <w:uiPriority w:val="9"/>
    <w:unhideWhenUsed/>
    <w:qFormat/>
    <w:pPr>
      <w:keepNext/>
      <w:keepLines/>
      <w:spacing w:before="360" w:after="80"/>
      <w:outlineLvl w:val="1"/>
    </w:pPr>
    <w:rPr>
      <w:b/>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mbria" w:eastAsia="Cambria" w:hAnsi="Cambria" w:cs="Cambria"/>
    </w:rPr>
    <w:tblPr>
      <w:tblStyleRowBandSize w:val="1"/>
      <w:tblStyleColBandSize w:val="1"/>
      <w:tblCellMar>
        <w:left w:w="115" w:type="dxa"/>
        <w:right w:w="115" w:type="dxa"/>
      </w:tblCellMar>
    </w:tblPr>
  </w:style>
  <w:style w:type="table" w:customStyle="1" w:styleId="a0">
    <w:basedOn w:val="TableNormal"/>
    <w:pPr>
      <w:spacing w:line="240" w:lineRule="auto"/>
    </w:pPr>
    <w:rPr>
      <w:rFonts w:ascii="Cambria" w:eastAsia="Cambria" w:hAnsi="Cambria" w:cs="Cambria"/>
    </w:rPr>
    <w:tblPr>
      <w:tblStyleRowBandSize w:val="1"/>
      <w:tblStyleColBandSize w:val="1"/>
      <w:tblCellMar>
        <w:left w:w="115" w:type="dxa"/>
        <w:right w:w="115" w:type="dxa"/>
      </w:tblCellMar>
    </w:tblPr>
  </w:style>
  <w:style w:type="table" w:customStyle="1" w:styleId="a1">
    <w:basedOn w:val="TableNormal"/>
    <w:pPr>
      <w:spacing w:line="240" w:lineRule="auto"/>
    </w:pPr>
    <w:rPr>
      <w:rFonts w:ascii="Cambria" w:eastAsia="Cambria" w:hAnsi="Cambria" w:cs="Cambria"/>
    </w:rPr>
    <w:tblPr>
      <w:tblStyleRowBandSize w:val="1"/>
      <w:tblStyleColBandSize w:val="1"/>
      <w:tblCellMar>
        <w:left w:w="115" w:type="dxa"/>
        <w:right w:w="115" w:type="dxa"/>
      </w:tblCellMar>
    </w:tblPr>
  </w:style>
  <w:style w:type="table" w:customStyle="1" w:styleId="a2">
    <w:basedOn w:val="TableNormal"/>
    <w:pPr>
      <w:spacing w:line="240" w:lineRule="auto"/>
    </w:pPr>
    <w:rPr>
      <w:rFonts w:ascii="Cambria" w:eastAsia="Cambria" w:hAnsi="Cambria" w:cs="Cambria"/>
    </w:rPr>
    <w:tblPr>
      <w:tblStyleRowBandSize w:val="1"/>
      <w:tblStyleColBandSize w:val="1"/>
      <w:tblCellMar>
        <w:left w:w="115" w:type="dxa"/>
        <w:right w:w="115" w:type="dxa"/>
      </w:tblCellMar>
    </w:tblPr>
  </w:style>
  <w:style w:type="table" w:customStyle="1" w:styleId="a3">
    <w:basedOn w:val="TableNormal"/>
    <w:pPr>
      <w:spacing w:line="240" w:lineRule="auto"/>
    </w:pPr>
    <w:rPr>
      <w:rFonts w:ascii="Cambria" w:eastAsia="Cambria" w:hAnsi="Cambria" w:cs="Cambria"/>
    </w:rPr>
    <w:tblPr>
      <w:tblStyleRowBandSize w:val="1"/>
      <w:tblStyleColBandSize w:val="1"/>
      <w:tblCellMar>
        <w:left w:w="115" w:type="dxa"/>
        <w:right w:w="115" w:type="dxa"/>
      </w:tblCellMar>
    </w:tblPr>
  </w:style>
  <w:style w:type="table" w:customStyle="1" w:styleId="a4">
    <w:basedOn w:val="TableNormal"/>
    <w:pPr>
      <w:spacing w:line="240" w:lineRule="auto"/>
    </w:pPr>
    <w:rPr>
      <w:rFonts w:ascii="Cambria" w:eastAsia="Cambria" w:hAnsi="Cambria" w:cs="Cambria"/>
    </w:rPr>
    <w:tblPr>
      <w:tblStyleRowBandSize w:val="1"/>
      <w:tblStyleColBandSize w:val="1"/>
      <w:tblCellMar>
        <w:left w:w="115" w:type="dxa"/>
        <w:right w:w="115" w:type="dxa"/>
      </w:tblCellMar>
    </w:tblPr>
  </w:style>
  <w:style w:type="table" w:customStyle="1" w:styleId="a5">
    <w:basedOn w:val="TableNormal"/>
    <w:pPr>
      <w:spacing w:line="240" w:lineRule="auto"/>
    </w:pPr>
    <w:rPr>
      <w:rFonts w:ascii="Cambria" w:eastAsia="Cambria" w:hAnsi="Cambria" w:cs="Cambria"/>
    </w:r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6A6B73"/>
    <w:pPr>
      <w:tabs>
        <w:tab w:val="center" w:pos="4680"/>
        <w:tab w:val="right" w:pos="9360"/>
      </w:tabs>
      <w:spacing w:line="240" w:lineRule="auto"/>
    </w:pPr>
  </w:style>
  <w:style w:type="character" w:customStyle="1" w:styleId="HeaderChar">
    <w:name w:val="Header Char"/>
    <w:basedOn w:val="DefaultParagraphFont"/>
    <w:link w:val="Header"/>
    <w:uiPriority w:val="99"/>
    <w:rsid w:val="006A6B73"/>
  </w:style>
  <w:style w:type="paragraph" w:styleId="Footer">
    <w:name w:val="footer"/>
    <w:basedOn w:val="Normal"/>
    <w:link w:val="FooterChar"/>
    <w:uiPriority w:val="99"/>
    <w:unhideWhenUsed/>
    <w:rsid w:val="006A6B73"/>
    <w:pPr>
      <w:tabs>
        <w:tab w:val="center" w:pos="4680"/>
        <w:tab w:val="right" w:pos="9360"/>
      </w:tabs>
      <w:spacing w:line="240" w:lineRule="auto"/>
    </w:pPr>
  </w:style>
  <w:style w:type="character" w:customStyle="1" w:styleId="FooterChar">
    <w:name w:val="Footer Char"/>
    <w:basedOn w:val="DefaultParagraphFont"/>
    <w:link w:val="Footer"/>
    <w:uiPriority w:val="99"/>
    <w:rsid w:val="006A6B73"/>
  </w:style>
  <w:style w:type="paragraph" w:styleId="ListParagraph">
    <w:name w:val="List Paragraph"/>
    <w:basedOn w:val="Normal"/>
    <w:uiPriority w:val="34"/>
    <w:qFormat/>
    <w:rsid w:val="00070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ir@terasky.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2159</Words>
  <Characters>12311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Gidony</cp:lastModifiedBy>
  <cp:revision>6</cp:revision>
  <dcterms:created xsi:type="dcterms:W3CDTF">2022-02-09T14:18:00Z</dcterms:created>
  <dcterms:modified xsi:type="dcterms:W3CDTF">2023-01-31T09:16:00Z</dcterms:modified>
</cp:coreProperties>
</file>