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Pertimbangan Hukum nomor 3.13.6 memberi rambu.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