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mencakup air baku, irigasi, dan bendungan pada 2024.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