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2025d).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Data irigasi 2015 diterbitkan Kementerian PUPR (kini Kementerian Pekerjaan Umum).</w:t>
      </w:r>
    </w:p>
    <w:p>
      <w:r>
        <w:t xml:space="preserve">Rencana Nasional Penanggulangan Bencana (Renas PB) 2025–2029 menetapkan penurunan indeks risiko sebagai sasaran nasional (BNPB, 2025d).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(2025d).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