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 Nilai kab/kota yang belum lengkap pada salah satu tahun tidak dimasukkan ke rerata nasional supaya perbandingan tetap setara.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