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Sejak 2019 lembaga mencatat penurunan (BNPB, 2025b). 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