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Pertimbangan Hukum nomor 3.13.6 mencatat 312 desa terdampak.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