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drawing>
          <wp:inline distT="0" distB="0" distL="0" distR="0">
            <wp:extent cx="5940000" cy="4320000"/>
            <wp:docPr id="1" name="Gambar 1" descr="foto sampul"/>
            <a:graphic>
              <a:graphicData uri="http://schemas.openxmlformats.org/drawingml/2006/picture">
                <pic:pic>
                  <pic:nvPicPr>
                    <pic:cNvPr id="1" name="g1.png"/>
                    <pic:cNvPicPr/>
                  </pic:nvPicPr>
                  <pic:blipFill>
                    <a:blip r:embed="rIdSampul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3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</w:tblPr>
      <w:tblGrid>
        <w:gridCol w:w="9356"/>
      </w:tblGrid>
      <w:tr>
        <w:tc>
          <w:tcPr>
            <w:tcW w:w="9356" w:type="dxa"/>
            <w:shd w:val="clear" w:color="auto" w:fill="051C2C"/>
          </w:tcPr>
          <w:p>
            <w:pPr>
              <w:pStyle w:val="JudulSampul"/>
            </w:pPr>
            <w:r>
              <w:t xml:space="preserve">Grand Design Ketahanan Air Pulau Jawa 2026–2030</w:t>
            </w:r>
          </w:p>
          <w:p>
            <w:pPr>
              <w:pStyle w:val="TeksSampul"/>
            </w:pPr>
            <w:r>
              <w:t xml:space="preserve">Pengelolaan Air pada Musim Kemarau dan Musim Hujan untuk Pengurangan Risiko Bencana</w:t>
            </w:r>
          </w:p>
          <w:p>
            <w:pPr>
              <w:pStyle w:val="TeksSampul"/>
            </w:pPr>
            <w:r>
              <w:t xml:space="preserve">Badan Nasional Penanggulangan Bencana</w:t>
            </w:r>
          </w:p>
          <w:p>
            <w:pPr>
              <w:pStyle w:val="TeksSampul"/>
            </w:pPr>
            <w:r>
              <w:t xml:space="preserve">Oktober 2026</w:t>
            </w:r>
          </w:p>
        </w:tc>
      </w:tr>
    </w:tbl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DaftarIsi"/>
      </w:pPr>
      <w:r>
        <w:t xml:space="preserve">DAFTAR ISI</w:t>
      </w:r>
    </w:p>
    <w:p>
      <w:pPr>
        <w:pStyle w:val="TOC1"/>
      </w:pPr>
      <w:r>
        <w:fldChar w:fldCharType="begin"/>
      </w:r>
      <w:r>
        <w:instrText xml:space="preserve"> TOC \o "1-3" \h \z \u \t "Judul Lampiran,1" </w:instrText>
      </w:r>
      <w:r>
        <w:fldChar w:fldCharType="separate"/>
      </w:r>
      <w:r>
        <w:t xml:space="preserve">DAFTAR TABEL</w:t>
      </w:r>
      <w:r>
        <w:tab/>
      </w:r>
      <w:r>
        <w:t xml:space="preserve">ii</w:t>
      </w:r>
    </w:p>
    <w:p>
      <w:pPr>
        <w:pStyle w:val="TOC1"/>
      </w:pPr>
      <w:r>
        <w:t xml:space="preserve">DAFTAR GAMBAR</w:t>
      </w:r>
      <w:r>
        <w:tab/>
      </w:r>
      <w:r>
        <w:t xml:space="preserve">ii</w:t>
      </w:r>
    </w:p>
    <w:p>
      <w:pPr>
        <w:pStyle w:val="TOC1"/>
      </w:pPr>
      <w:r>
        <w:t xml:space="preserve">BAB 1</w:t>
      </w:r>
      <w:r>
        <w:tab/>
      </w:r>
      <w:r>
        <w:t xml:space="preserve">PENDAHULUAN</w:t>
      </w:r>
      <w:r>
        <w:tab/>
      </w:r>
      <w:r>
        <w:t xml:space="preserve">1</w:t>
      </w:r>
    </w:p>
    <w:p>
      <w:pPr>
        <w:pStyle w:val="TOC2"/>
      </w:pPr>
      <w:r>
        <w:t xml:space="preserve">1.1</w:t>
      </w:r>
      <w:r>
        <w:tab/>
      </w:r>
      <w:r>
        <w:t xml:space="preserve">Latar Belakang</w:t>
      </w:r>
      <w:r>
        <w:tab/>
      </w:r>
      <w:r>
        <w:t xml:space="preserve">1</w:t>
      </w:r>
    </w:p>
    <w:p>
      <w:pPr>
        <w:pStyle w:val="TOC2"/>
      </w:pPr>
      <w:r>
        <w:t xml:space="preserve">1.2</w:t>
      </w:r>
      <w:r>
        <w:tab/>
      </w:r>
      <w:r>
        <w:t xml:space="preserve">Skenario Musim Hujan</w:t>
      </w:r>
      <w:r>
        <w:tab/>
      </w:r>
      <w:r>
        <w:t xml:space="preserve">2</w:t>
      </w:r>
    </w:p>
    <w:p>
      <w:pPr>
        <w:pStyle w:val="TOC1"/>
      </w:pPr>
      <w:r>
        <w:t xml:space="preserve">DAFTAR PUSTAKA</w:t>
      </w:r>
      <w:r>
        <w:tab/>
      </w:r>
      <w:r>
        <w:t xml:space="preserve">3</w:t>
      </w:r>
    </w:p>
    <w:p>
      <w:pPr>
        <w:pStyle w:val="TOC1"/>
      </w:pPr>
      <w:r>
        <w:t xml:space="preserve">Lampiran A. Atribusi Foto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TABEL</w:t>
      </w:r>
    </w:p>
    <w:p>
      <w:pPr>
        <w:pStyle w:val="DaftarObjek"/>
      </w:pPr>
      <w:r>
        <w:fldChar w:fldCharType="begin"/>
      </w:r>
      <w:r>
        <w:instrText xml:space="preserve"> TOC \h \z \c "Tabel" </w:instrText>
      </w:r>
      <w:r>
        <w:fldChar w:fldCharType="separate"/>
      </w:r>
      <w:r>
        <w:rPr>
          <w:b/>
        </w:rPr>
        <w:t xml:space="preserve">Tabel 1.1</w:t>
      </w:r>
      <w:r>
        <w:t xml:space="preserve"> Penduduk kab/kota DI Yogyakarta, 2026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Tabel 1.2</w:t>
      </w:r>
      <w:r>
        <w:t xml:space="preserve"> Musim hujan La Niña setara 2020/2021 di Pulau Jawa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1.3</w:t>
      </w:r>
      <w:r>
        <w:t xml:space="preserve"> Rekomendasi musim hujan 2026–2027</w:t>
      </w:r>
      <w:r>
        <w:tab/>
      </w:r>
      <w:r>
        <w:t xml:space="preserve">2</w:t>
      </w:r>
    </w:p>
    <w:p>
      <w:pPr>
        <w:pStyle w:val="DaftarObjek"/>
      </w:pPr>
      <w:r>
        <w:rPr>
          <w:b/>
        </w:rPr>
        <w:t xml:space="preserve">Tabel A.1</w:t>
      </w:r>
      <w:r>
        <w:t xml:space="preserve"> Foto Wikimedia Commons yang dipakai kajian, akses Oktober 2026</w:t>
      </w:r>
      <w:r>
        <w:tab/>
      </w:r>
      <w:r>
        <w:t xml:space="preserve">5</w:t>
      </w:r>
      <w:r>
        <w:fldChar w:fldCharType="end"/>
      </w:r>
    </w:p>
    <w:p>
      <w:pPr>
        <w:pStyle w:val="JudulDepan"/>
      </w:pPr>
      <w:r>
        <w:t xml:space="preserve">DAFTAR GAMBAR</w:t>
      </w:r>
    </w:p>
    <w:p>
      <w:pPr>
        <w:pStyle w:val="DaftarObjek"/>
      </w:pPr>
      <w:r>
        <w:fldChar w:fldCharType="begin"/>
      </w:r>
      <w:r>
        <w:instrText xml:space="preserve"> TOC \h \z \c "Gambar" </w:instrText>
      </w:r>
      <w:r>
        <w:fldChar w:fldCharType="separate"/>
      </w:r>
      <w:r>
        <w:rPr>
          <w:b/>
        </w:rPr>
        <w:t xml:space="preserve">Gambar 1.1</w:t>
      </w:r>
      <w:r>
        <w:t xml:space="preserve"> Rerata IRBI nasional, 2015 dan 2024</w:t>
      </w:r>
      <w:r>
        <w:tab/>
      </w:r>
      <w:r>
        <w:t xml:space="preserve">1</w:t>
      </w:r>
    </w:p>
    <w:p>
      <w:pPr>
        <w:pStyle w:val="DaftarObjek"/>
      </w:pPr>
      <w:r>
        <w:rPr>
          <w:b/>
        </w:rPr>
        <w:t xml:space="preserve">Gambar 1.2</w:t>
      </w:r>
      <w:r>
        <w:t xml:space="preserve"> Waduk Jatiluhur, Purwakarta, akses Oktober 2026</w:t>
      </w:r>
      <w:r>
        <w:tab/>
      </w:r>
      <w:r>
        <w:t xml:space="preserve">2</w:t>
      </w:r>
      <w:r>
        <w:fldChar w:fldCharType="end"/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lowerRoman" w:start="2"/>
        </w:sectPr>
      </w:pPr>
    </w:p>
    <w:p>
      <w:pPr>
        <w:pStyle w:val="Heading1"/>
      </w:pPr>
      <w:r>
        <w:t xml:space="preserve">PENDAHULUAN</w:t>
      </w:r>
    </w:p>
    <w:p>
      <w:pPr>
        <w:pStyle w:val="Heading2"/>
      </w:pPr>
      <w:r>
        <w:t xml:space="preserve">1.1</w:t>
      </w:r>
      <w:r>
        <w:tab/>
      </w:r>
      <w:r>
        <w:t xml:space="preserve">Latar Belakang</w:t>
      </w:r>
    </w:p>
    <w:p>
      <w:r>
        <w:t xml:space="preserve">Rerata indeks risiko bencana Indonesia turun 17,8% dari 156,43 pada 2015 menjadi 128,52 pada 2024 (Badan Nasional Penanggulangan Bencana [BNPB], 2025d).</w:t>
      </w:r>
    </w:p>
    <w:p>
      <w:r>
        <w:t xml:space="preserve">Haque dkk. (2012) mencatat kematian akibat siklon di Bangladesh turun dari 500.000 jiwa pada 1970 menjadi 4.234 jiwa pada 2007 setelah peringatan dini diperluas.</w:t>
      </w:r>
    </w:p>
    <w:p>
      <w:r>
        <w:t xml:space="preserve">Kajian ini memakai data resmi lembaga.</w:t>
      </w:r>
    </w:p>
    <w:p>
      <w:r>
        <w:t xml:space="preserve">Rencana Nasional Penanggulangan Bencana (Renas PB) 2025–2029 menetapkan penurunan indeks risiko sebagai sasaran nasional (BNPB, 2025d).</w:t>
      </w:r>
    </w:p>
    <w:tbl>
      <w:tblPr>
        <w:tblW w:w="9354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kartu-angka"/>
      </w:tblPr>
      <w:tblGrid>
        <w:gridCol w:w="3118"/>
        <w:gridCol w:w="3118"/>
        <w:gridCol w:w="3118"/>
      </w:tblGrid>
      <w:tr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168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514 kab/kota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dinilai, IRBI 2023</w:t>
            </w:r>
          </w:p>
        </w:tc>
        <w:tc>
          <w:tcPr>
            <w:tcW w:w="3118" w:type="dxa"/>
            <w:tcBorders>
              <w:top w:val="single" w:sz="6" w:space="0" w:color="BFC5CC"/>
              <w:left w:val="single" w:sz="6" w:space="0" w:color="BFC5CC"/>
              <w:bottom w:val="single" w:sz="6" w:space="0" w:color="BFC5CC"/>
              <w:right w:val="single" w:sz="6" w:space="0" w:color="BFC5CC"/>
            </w:tcBorders>
            <w:shd w:val="clear" w:color="auto" w:fill="FFFFFF"/>
          </w:tcPr>
          <w:p>
            <w:pPr>
              <w:pStyle w:val="IsiTabel"/>
            </w:pPr>
            <w:r>
              <w:rPr>
                <w:b/>
                <w:color w:val="051C2C"/>
                <w:sz w:val="36"/>
              </w:rPr>
              <w:t xml:space="preserve">13 provinsi</w:t>
            </w:r>
          </w:p>
          <w:p>
            <w:pPr>
              <w:pStyle w:val="IsiTabel"/>
            </w:pPr>
            <w:r>
              <w:rPr>
                <w:color w:val="6B7280"/>
                <w:sz w:val="17"/>
              </w:rPr>
              <w:t xml:space="preserve">kelas Tinggi, IRBI 2023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InaRISK BNPB, IRBI 2023;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Penduduk kab/kota DI Yogyakarta, 2026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KAB/KOTA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PENDUDUK (jiwa)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1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Kulon Progo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470.913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2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Bantul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1.208.541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3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Gunungkidul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810.910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4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Kab. Sleman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1.249.372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5</w:t>
            </w:r>
          </w:p>
        </w:tc>
        <w:tc>
          <w:tcPr>
            <w:tcW w:w="4678" w:type="dxa"/>
          </w:tcPr>
          <w:p>
            <w:pPr>
              <w:pStyle w:val="LabelTabel"/>
              <w:jc w:val="left"/>
            </w:pPr>
            <w:r>
              <w:t xml:space="preserve">Kota Yogyakarta</w:t>
            </w:r>
          </w:p>
        </w:tc>
        <w:tc>
          <w:tcPr>
            <w:tcW w:w="3555" w:type="dxa"/>
          </w:tcPr>
          <w:p>
            <w:pPr>
              <w:pStyle w:val="IsiTabel"/>
              <w:jc w:val="right"/>
            </w:pPr>
            <w:r>
              <w:t xml:space="preserve">174.017</w:t>
            </w:r>
          </w:p>
        </w:tc>
      </w:tr>
      <w:tr>
        <w:tc>
          <w:tcPr>
            <w:tcW w:w="1123" w:type="dxa"/>
            <w:shd w:val="clear" w:color="auto" w:fill="051C2C"/>
          </w:tcPr>
          <w:p>
            <w:pPr>
              <w:pStyle w:val="TotalTabel"/>
              <w:jc w:val="left"/>
            </w:pPr>
            <w:r>
              <w:t xml:space="preserve">Jumlah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/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TotalTabel"/>
              <w:jc w:val="right"/>
            </w:pPr>
            <w:r>
              <w:t xml:space="preserve">3.913.753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WorldPop 2026;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Rerata IRBI nasional, 2015 dan 2024</w:t>
      </w:r>
    </w:p>
    <w:p>
      <w:pPr>
        <w:jc w:val="center"/>
      </w:pPr>
      <w:r>
        <w:drawing>
          <wp:inline distT="0" distB="0" distL="0" distR="0">
            <wp:extent cx="5940000" cy="1440000"/>
            <wp:docPr id="2" name="Gambar 2" descr="grafik"/>
            <a:graphic>
              <a:graphicData uri="http://schemas.openxmlformats.org/drawingml/2006/picture">
                <pic:pic>
                  <pic:nvPicPr>
                    <pic:cNvPr id="2" name="g2.png"/>
                    <pic:cNvPicPr/>
                  </pic:nvPicPr>
                  <pic:blipFill>
                    <a:blip r:embed="rIdG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InaRISK BNPB, IRBI 2015 dan 2024; data per 23 Okt 2026 </w:t>
      </w:r>
      <w:r>
        <w:rPr>
          <w:b/>
          <w:color w:val="FFFFFF"/>
          <w:spacing w:val="16"/>
          <w:sz w:val="16"/>
          <w:shd w:val="clear" w:color="auto" w:fill="051C2C"/>
        </w:rPr>
        <w:t xml:space="preserve"> Resmi </w:t>
      </w:r>
    </w:p>
    <w:p>
      <w:pPr>
        <w:pStyle w:val="Sumber"/>
      </w:pPr>
      <w:r>
        <w:rPr>
          <w:b/>
        </w:rPr>
        <w:t xml:space="preserve">Catatan: </w:t>
      </w:r>
      <w:r>
        <w:t xml:space="preserve">IRBI 2015 dan 2024 dihitung dengan metode yang sama.</w:t>
      </w:r>
    </w:p>
    <w:p>
      <w:pPr>
        <w:pStyle w:val="Heading2"/>
      </w:pPr>
      <w:r>
        <w:t xml:space="preserve">1.2</w:t>
      </w:r>
      <w:r>
        <w:tab/>
      </w:r>
      <w:r>
        <w:t xml:space="preserve">Skenario Musim Hujan</w:t>
      </w:r>
    </w:p>
    <w:p>
      <w:r>
        <w:t xml:space="preserve">Kartu skenario memakai musim La Niña 2020/2021 sebagai analog dari Data dan Informasi Bencana Indonesia (DIBI) (Tabel 1.2).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Musim hujan La Niña setara 2020/2021 di Pulau Jawa</w:t>
      </w:r>
    </w:p>
    <w:tbl>
      <w:tblPr>
        <w:tblW w:w="9356" w:type="dxa"/>
        <w:tblBorders>
          <w:top w:val="nil"/>
          <w:left w:val="nil"/>
          <w:bottom w:val="nil"/>
          <w:right w:val="nil"/>
          <w:insideH w:val="nil"/>
          <w:insideV w:val="nil" w:sz="4" w:space="0" w:color="BFC5CC"/>
        </w:tblBorders>
        <w:tblLayout w:type="fixed"/>
        <w:tblCaption w:val="skenario"/>
      </w:tblPr>
      <w:tblGrid>
        <w:gridCol w:w="9356"/>
      </w:tblGrid>
      <w:tr>
        <w:tc>
          <w:tcPr>
            <w:tcW w:w="9356" w:type="dxa"/>
            <w:shd w:val="clear" w:color="auto" w:fill="DCEBF8"/>
          </w:tcPr>
          <w:p>
            <w:r>
              <w:rPr>
                <w:b/>
              </w:rPr>
              <w:t xml:space="preserve">Banjir dan banjir bandang: musim hujan La Niña, analog 2020/2021</w:t>
            </w:r>
          </w:p>
        </w:tc>
      </w:tr>
    </w:tbl>
    <w:p>
      <w:pPr>
        <w:jc w:val="left"/>
      </w:pPr>
      <w:r>
        <w:drawing>
          <wp:inline distT="0" distB="0" distL="0" distR="0">
            <wp:extent cx="2898000" cy="900000"/>
            <wp:docPr id="4" name="Gambar 4" descr="matriks mini"/>
            <a:graphic>
              <a:graphicData uri="http://schemas.openxmlformats.org/drawingml/2006/picture">
                <pic:pic>
                  <pic:nvPicPr>
                    <pic:cNvPr id="4" name="g4.png"/>
                    <pic:cNvPicPr/>
                  </pic:nvPicPr>
                  <pic:blipFill>
                    <a:blip r:embed="rIdMatriks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abelBagian"/>
      </w:pPr>
      <w:r>
        <w:t xml:space="preserve">KERUSAKAN DAN KERUGIAN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742"/>
        <w:gridCol w:w="2807"/>
        <w:gridCol w:w="2807"/>
      </w:tblGrid>
      <w:tr>
        <w:trPr>
          <w:tblHeader/>
        </w:trPr>
        <w:tc>
          <w:tcPr>
            <w:tcW w:w="3742" w:type="dxa"/>
            <w:shd w:val="clear" w:color="auto" w:fill="051C2C"/>
          </w:tcPr>
          <w:p>
            <w:pPr>
              <w:pStyle w:val="KepalaTabel"/>
            </w:pPr>
            <w:r>
              <w:t xml:space="preserve">BESARAN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NILAI</w:t>
            </w:r>
          </w:p>
        </w:tc>
        <w:tc>
          <w:tcPr>
            <w:tcW w:w="2807" w:type="dxa"/>
            <w:shd w:val="clear" w:color="auto" w:fill="051C2C"/>
          </w:tcPr>
          <w:p>
            <w:pPr>
              <w:pStyle w:val="KepalaTabel"/>
            </w:pPr>
            <w:r>
              <w:t xml:space="preserve">KEYAKINAN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Korban jiwa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250–550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D9600B"/>
              </w:rPr>
              <w:t xml:space="preserve"> Estimasi model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Pengungsi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178.620 jiwa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  <w:tr>
        <w:tc>
          <w:tcPr>
            <w:tcW w:w="3742" w:type="dxa"/>
          </w:tcPr>
          <w:p>
            <w:pPr>
              <w:pStyle w:val="LabelTabel"/>
              <w:jc w:val="left"/>
            </w:pPr>
            <w:r>
              <w:t xml:space="preserve">Rumah rusak berat</w:t>
            </w:r>
          </w:p>
        </w:tc>
        <w:tc>
          <w:tcPr>
            <w:tcW w:w="2807" w:type="dxa"/>
          </w:tcPr>
          <w:p>
            <w:pPr>
              <w:pStyle w:val="IsiTabel"/>
              <w:jc w:val="right"/>
            </w:pPr>
            <w:r>
              <w:t xml:space="preserve">2.058 unit</w:t>
            </w:r>
          </w:p>
        </w:tc>
        <w:tc>
          <w:tcPr>
            <w:tcW w:w="2807" w:type="dxa"/>
          </w:tcPr>
          <w:p>
            <w:pPr>
              <w:pStyle w:val="IsiTabel"/>
            </w:pPr>
            <w:r>
              <w:rPr>
                <w:b/>
                <w:color w:val="FFFFFF"/>
                <w:spacing w:val="16"/>
                <w:sz w:val="16"/>
                <w:shd w:val="clear" w:color="auto" w:fill="051C2C"/>
              </w:rPr>
              <w:t xml:space="preserve"> Resmi </w:t>
            </w:r>
          </w:p>
        </w:tc>
      </w:tr>
    </w:tbl>
    <w:p>
      <w:pPr>
        <w:pStyle w:val="Sumber"/>
      </w:pPr>
      <w:r>
        <w:t xml:space="preserve">Simulasi skenario Pantau Bencana, belum divalidasi; korban jiwa berupa rentang model.</w:t>
      </w:r>
    </w:p>
    <w:p>
      <w:pPr>
        <w:pStyle w:val="Sumber"/>
      </w:pPr>
      <w:r>
        <w:rPr>
          <w:b/>
        </w:rPr>
        <w:t xml:space="preserve">Sumber: </w:t>
      </w:r>
      <w:r>
        <w:t xml:space="preserve">DIBI BNPB 2008–2026; simulasi skenario Pantau Bencana; data per 23 Okt 2026 </w:t>
      </w:r>
    </w:p>
    <w:p>
      <w:pPr>
        <w:pStyle w:val="Caption"/>
      </w:pPr>
      <w:r>
        <w:t xml:space="preserve">Tabel 1.</w:t>
      </w:r>
      <w:r>
        <w:fldChar w:fldCharType="begin"/>
      </w:r>
      <w:r>
        <w:instrText xml:space="preserve"> SEQ Tabel \* ARABIC </w:instrText>
      </w:r>
      <w:r>
        <w:fldChar w:fldCharType="separate"/>
      </w:r>
      <w:r>
        <w:t xml:space="preserve">3</w:t>
      </w:r>
      <w:r>
        <w:fldChar w:fldCharType="end"/>
      </w:r>
      <w:r>
        <w:rPr>
          <w:b w:val="0"/>
          <w:color w:val="1A1A1A"/>
        </w:rPr>
        <w:t xml:space="preserve"> Rekomendasi musim hujan 2026–2027</w:t>
      </w:r>
    </w:p>
    <w:tbl>
      <w:tblPr>
        <w:tblW w:w="9356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1123"/>
        <w:gridCol w:w="4678"/>
        <w:gridCol w:w="3555"/>
      </w:tblGrid>
      <w:tr>
        <w:trPr>
          <w:tblHeader/>
        </w:trPr>
        <w:tc>
          <w:tcPr>
            <w:tcW w:w="1123" w:type="dxa"/>
            <w:shd w:val="clear" w:color="auto" w:fill="051C2C"/>
          </w:tcPr>
          <w:p>
            <w:pPr>
              <w:pStyle w:val="KepalaTabel"/>
            </w:pPr>
            <w:r>
              <w:t xml:space="preserve">NO</w:t>
            </w:r>
          </w:p>
        </w:tc>
        <w:tc>
          <w:tcPr>
            <w:tcW w:w="4678" w:type="dxa"/>
            <w:shd w:val="clear" w:color="auto" w:fill="051C2C"/>
          </w:tcPr>
          <w:p>
            <w:pPr>
              <w:pStyle w:val="KepalaTabel"/>
            </w:pPr>
            <w:r>
              <w:t xml:space="preserve">LANGKAH</w:t>
            </w:r>
          </w:p>
        </w:tc>
        <w:tc>
          <w:tcPr>
            <w:tcW w:w="3555" w:type="dxa"/>
            <w:shd w:val="clear" w:color="auto" w:fill="051C2C"/>
          </w:tcPr>
          <w:p>
            <w:pPr>
              <w:pStyle w:val="KepalaTabel"/>
            </w:pPr>
            <w:r>
              <w:t xml:space="preserve">WAKTU</w:t>
            </w:r>
          </w:p>
        </w:tc>
      </w:tr>
      <w:tr>
        <w:tc>
          <w:tcPr>
            <w:tcW w:w="1123" w:type="dxa"/>
          </w:tcPr>
          <w:p>
            <w:pPr>
              <w:pStyle w:val="IsiTabel"/>
              <w:jc w:val="center"/>
            </w:pPr>
            <w:r>
              <w:t xml:space="preserve">01</w:t>
            </w:r>
          </w:p>
        </w:tc>
        <w:tc>
          <w:tcPr>
            <w:tcW w:w="4678" w:type="dxa"/>
          </w:tcPr>
          <w:p>
            <w:pPr>
              <w:pStyle w:val="LabelTabel"/>
            </w:pPr>
            <w:r>
              <w:t xml:space="preserve">Perluas peringatan dini banjir kab/kota kelas Tinggi</w:t>
            </w:r>
          </w:p>
          <w:p>
            <w:pPr>
              <w:pStyle w:val="IsiTabel"/>
            </w:pPr>
            <w:r>
              <w:rPr>
                <w:b/>
                <w:color w:val="1A1A1A"/>
                <w:spacing w:val="16"/>
                <w:sz w:val="16"/>
                <w:bdr w:val="single" w:sz="6" w:space="0" w:color="051C2C"/>
              </w:rPr>
              <w:t xml:space="preserve"> Sudah ada, perlu dikembangkan </w:t>
            </w:r>
          </w:p>
        </w:tc>
        <w:tc>
          <w:tcPr>
            <w:tcW w:w="3555" w:type="dxa"/>
          </w:tcPr>
          <w:p>
            <w:pPr>
              <w:pStyle w:val="IsiTabel"/>
              <w:jc w:val="left"/>
            </w:pPr>
            <w:r>
              <w:t xml:space="preserve">2026–2027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Analisis kajian ini; Renas PB 2025–2029; data per 23 Okt 2026 </w:t>
      </w:r>
      <w:r>
        <w:rPr>
          <w:b/>
          <w:color w:val="1A1A1A"/>
          <w:spacing w:val="16"/>
          <w:sz w:val="16"/>
          <w:bdr w:val="single" w:sz="6" w:space="0" w:color="6B7280"/>
        </w:rPr>
        <w:t xml:space="preserve"> Asumsi kebijakan </w:t>
      </w:r>
    </w:p>
    <w:p>
      <w:pPr>
        <w:pStyle w:val="Caption"/>
      </w:pPr>
      <w:r>
        <w:t xml:space="preserve">Gambar 1.</w:t>
      </w:r>
      <w:r>
        <w:fldChar w:fldCharType="begin"/>
      </w:r>
      <w:r>
        <w:instrText xml:space="preserve"> SEQ Gambar \* ARABIC </w:instrText>
      </w:r>
      <w:r>
        <w:fldChar w:fldCharType="separate"/>
      </w:r>
      <w:r>
        <w:t xml:space="preserve">2</w:t>
      </w:r>
      <w:r>
        <w:fldChar w:fldCharType="end"/>
      </w:r>
      <w:r>
        <w:rPr>
          <w:b w:val="0"/>
          <w:color w:val="1A1A1A"/>
        </w:rPr>
        <w:t xml:space="preserve"> Waduk Jatiluhur, Purwakarta, akses Oktober 2026</w:t>
      </w:r>
    </w:p>
    <w:p>
      <w:pPr>
        <w:jc w:val="center"/>
      </w:pPr>
      <w:r>
        <w:drawing>
          <wp:inline distT="0" distB="0" distL="0" distR="0">
            <wp:extent cx="2898000" cy="1800000"/>
            <wp:docPr id="3" name="Gambar 3" descr="foto"/>
            <a:graphic>
              <a:graphicData uri="http://schemas.openxmlformats.org/drawingml/2006/picture">
                <pic:pic>
                  <pic:nvPicPr>
                    <pic:cNvPr id="3" name="g3.png"/>
                    <pic:cNvPicPr/>
                  </pic:nvPicPr>
                  <pic:blipFill>
                    <a:blip r:embed="rIdFoto"/>
                    <a:stretch>
                      <a:fillRect/>
                    </a:stretch>
                  </pic:blipFill>
                  <pic:spPr>
                    <a:xfrm>
                      <a:off x="0" y="0"/>
                      <a:ext cx="2898000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Sumber"/>
      </w:pPr>
      <w:r>
        <w:rPr>
          <w:b/>
        </w:rPr>
        <w:t xml:space="preserve">Sumber: </w:t>
      </w:r>
      <w:r>
        <w:t xml:space="preserve">Wikimedia Commons, Cep Budhi Darma, CC BY-SA 4.0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 w:start="1"/>
        </w:sectPr>
      </w:pPr>
    </w:p>
    <w:p>
      <w:pPr>
        <w:pStyle w:val="JudulDepan"/>
      </w:pPr>
      <w:r>
        <w:t xml:space="preserve">DAFTAR PUSTAKA</w:t>
      </w:r>
    </w:p>
    <w:p>
      <w:pPr>
        <w:pStyle w:val="Pustaka"/>
      </w:pPr>
      <w:r>
        <w:t xml:space="preserve">Badan Nasional Penanggulangan Bencana. (2025d). </w:t>
      </w:r>
      <w:r>
        <w:t xml:space="preserve">Peraturan Badan Nasional Penanggulangan Bencana Nomor 1 Tahun 2025 tentang Rencana Nasional Penanggulangan Bencana Tahun 2025﻿–﻿2029</w:t>
      </w:r>
      <w:r>
        <w:t xml:space="preserve">. </w:t>
      </w:r>
      <w:r>
        <w:t xml:space="preserve">Berita Negara Republik Indonesia Tahun 2025 Nomor 6. </w:t>
      </w:r>
      <w:r>
        <w:t xml:space="preserve">https://jdih.bnpb.go.id/storage/file/2025pbbnpb001.pdf</w:t>
      </w:r>
    </w:p>
    <w:p>
      <w:pPr>
        <w:pStyle w:val="Pustaka"/>
      </w:pPr>
      <w:r>
        <w:t xml:space="preserve">Haque, U., Hashizume, M., Kolivras, K. N., Overgaard, H. J., Das, B., &amp; Yamamoto, T. (2012). </w:t>
      </w:r>
      <w:r>
        <w:t xml:space="preserve">Reduced death rates from cyclones in Bangladesh: What more needs to be done? </w:t>
      </w:r>
      <w:r>
        <w:t xml:space="preserve">Bulletin of the World Health Organization</w:t>
      </w:r>
      <w:r>
        <w:t xml:space="preserve">, </w:t>
      </w:r>
      <w:r>
        <w:t xml:space="preserve">90</w:t>
      </w:r>
      <w:r>
        <w:t xml:space="preserve">(2)</w:t>
      </w:r>
      <w:r>
        <w:t xml:space="preserve">, 150﻿–﻿156. </w:t>
      </w:r>
      <w:r>
        <w:t xml:space="preserve">https://doi.org/10.2471/BLT.11.088302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5" name="Gambar 5" descr="pembatas lampiran"/>
            <a:graphic>
              <a:graphicData uri="http://schemas.openxmlformats.org/drawingml/2006/picture">
                <pic:pic>
                  <pic:nvPicPr>
                    <pic:cNvPr id="5" name="g5.png"/>
                    <pic:cNvPicPr/>
                  </pic:nvPicPr>
                  <pic:blipFill>
                    <a:blip r:embed="rIdPembatas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/>
          <w:color w:val="051C2C"/>
          <w:sz w:val="40"/>
        </w:rPr>
        <w:t xml:space="preserve">LAMPIRAN</w:t>
      </w:r>
    </w:p>
    <w:p>
      <w:r>
        <w:t xml:space="preserve">Lampiran A. Atribusi Foto</w:t>
      </w:r>
    </w:p>
    <w:p>
      <w:pPr>
        <w:sectPr>
          <w:headerReference w:type="default" r:id="rIdH0"/>
          <w:footerReference w:type="default" r:id="rIdF0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pStyle w:val="JudulLampiran"/>
      </w:pPr>
      <w:r>
        <w:t xml:space="preserve">Lampiran A. Atribusi Foto</w:t>
      </w:r>
    </w:p>
    <w:p>
      <w:pPr>
        <w:pStyle w:val="Caption"/>
      </w:pPr>
      <w:r>
        <w:t xml:space="preserve">Tabel A.</w:t>
      </w:r>
      <w:r>
        <w:fldChar w:fldCharType="begin"/>
      </w:r>
      <w:r>
        <w:instrText xml:space="preserve"> SEQ Tabel \* ARABIC \r 1 </w:instrText>
      </w:r>
      <w:r>
        <w:fldChar w:fldCharType="separate"/>
      </w:r>
      <w:r>
        <w:t xml:space="preserve">1</w:t>
      </w:r>
      <w:r>
        <w:fldChar w:fldCharType="end"/>
      </w:r>
      <w:r>
        <w:rPr>
          <w:b w:val="0"/>
          <w:color w:val="1A1A1A"/>
        </w:rPr>
        <w:t xml:space="preserve"> Foto Wikimedia Commons yang dipakai kajian, akses Oktober 2026</w:t>
      </w:r>
    </w:p>
    <w:tbl>
      <w:tblPr>
        <w:tblW w:w="9354" w:type="dxa"/>
        <w:tblBorders>
          <w:top w:val="nil"/>
          <w:left w:val="nil"/>
          <w:bottom w:val="single" w:sz="4" w:space="0" w:color="BFC5CC"/>
          <w:right w:val="nil"/>
          <w:insideH w:val="single" w:sz="4" w:space="0" w:color="BFC5CC"/>
          <w:insideV w:val="nil" w:sz="4" w:space="0" w:color="BFC5CC"/>
        </w:tblBorders>
        <w:tblLayout w:type="fixed"/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FOTO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PENGARANG</w:t>
            </w:r>
          </w:p>
        </w:tc>
        <w:tc>
          <w:tcPr>
            <w:tcW w:w="3118" w:type="dxa"/>
            <w:tcBorders>
              <w:bottom w:val="single" w:sz="8" w:space="0" w:color="6B7280"/>
            </w:tcBorders>
          </w:tcPr>
          <w:p>
            <w:pPr>
              <w:pStyle w:val="KepalaLampiran"/>
            </w:pPr>
            <w:r>
              <w:t xml:space="preserve">LISENSI</w:t>
            </w:r>
          </w:p>
        </w:tc>
      </w:tr>
      <w:tr>
        <w:tc>
          <w:tcPr>
            <w:tcW w:w="3118" w:type="dxa"/>
          </w:tcPr>
          <w:p>
            <w:pPr>
              <w:pStyle w:val="LabelTabel"/>
              <w:jc w:val="left"/>
            </w:pPr>
            <w:r>
              <w:t xml:space="preserve">Waduk Jatiluhur, Purwakarta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Cep Budhi Darma</w:t>
            </w:r>
          </w:p>
        </w:tc>
        <w:tc>
          <w:tcPr>
            <w:tcW w:w="3118" w:type="dxa"/>
          </w:tcPr>
          <w:p>
            <w:pPr>
              <w:pStyle w:val="IsiTabel"/>
              <w:jc w:val="left"/>
            </w:pPr>
            <w:r>
              <w:t xml:space="preserve">CC BY-SA 4.0</w:t>
            </w:r>
          </w:p>
        </w:tc>
      </w:tr>
    </w:tbl>
    <w:p>
      <w:pPr>
        <w:pStyle w:val="Sumber"/>
      </w:pPr>
      <w:r>
        <w:rPr>
          <w:b/>
        </w:rPr>
        <w:t xml:space="preserve">Sumber: </w:t>
      </w:r>
      <w:r>
        <w:t xml:space="preserve">Wikimedia Commons; tanggal akses tercatat di metadata berkas foto </w:t>
      </w:r>
      <w:r>
        <w:rPr>
          <w:b/>
          <w:color w:val="1A1A1A"/>
          <w:spacing w:val="16"/>
          <w:sz w:val="16"/>
          <w:bdr w:val="single" w:sz="6" w:space="0" w:color="5B7A99"/>
        </w:rPr>
        <w:t xml:space="preserve"> Terverifikasi </w:t>
      </w:r>
    </w:p>
    <w:p>
      <w:pPr>
        <w:sectPr>
          <w:headerReference w:type="default" r:id="rIdH"/>
          <w:footerReference w:type="default" r:id="rIdF"/>
          <w:type w:val="nextPage"/>
          <w:pgSz w:w="11907" w:h="16840"/>
          <w:pgMar w:top="1418" w:right="1134" w:bottom="1134" w:left="1418" w:header="680" w:footer="567" w:gutter="0"/>
          <w:pgNumType w:fmt="decimal"/>
        </w:sectPr>
      </w:pPr>
    </w:p>
    <w:p>
      <w:pPr>
        <w:jc w:val="center"/>
      </w:pPr>
      <w:r>
        <w:drawing>
          <wp:inline distT="0" distB="0" distL="0" distR="0">
            <wp:extent cx="5940000" cy="3240000"/>
            <wp:docPr id="6" name="Gambar 6" descr="sampul belakang"/>
            <a:graphic>
              <a:graphicData uri="http://schemas.openxmlformats.org/drawingml/2006/picture">
                <pic:pic>
                  <pic:nvPicPr>
                    <pic:cNvPr id="6" name="g6.png"/>
                    <pic:cNvPicPr/>
                  </pic:nvPicPr>
                  <pic:blipFill>
                    <a:blip r:embed="rIdBelakang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Badan Nasional Penanggulangan Bencana</w:t>
      </w:r>
    </w:p>
    <w:p>
      <w:r>
        <w:t xml:space="preserve">Graha BNPB, Jl. Pramuka Kav. 38, Jakarta Timur 13120</w:t>
      </w:r>
    </w:p>
    <w:p>
      <w:r>
        <w:t xml:space="preserve">Call Center 117</w:t>
      </w:r>
    </w:p>
    <w:p>
      <w:r>
        <w:t xml:space="preserve">www.bnpb.go.id</w:t>
      </w:r>
    </w:p>
    <w:p>
      <w:r>
        <w:t xml:space="preserve">persuratan@bnpb.go.id</w:t>
      </w:r>
    </w:p>
    <w:sectPr>
      <w:headerReference w:type="default" r:id="rIdH0"/>
      <w:footerReference w:type="default" r:id="rIdF0"/>
      <w:type w:val="nextPage"/>
      <w:pgSz w:w="11907" w:h="16840"/>
      <w:pgMar w:top="1418" w:right="1134" w:bottom="1134" w:left="1418" w:header="680" w:footer="567" w:gutter="0"/>
      <w:pgNumType w:fmt="decimal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single" w:sz="4" w:space="0" w:color="BFC5CC"/>
        <w:left w:val="nil"/>
        <w:bottom w:val="nil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51"/>
      <w:gridCol w:w="7654"/>
      <w:gridCol w:w="851"/>
    </w:tblGrid>
    <w:tr>
      <w:tc>
        <w:tcPr>
          <w:tcW w:w="851" w:type="dxa"/>
        </w:tcPr>
        <w:p>
          <w:pPr>
            <w:pStyle w:val="Kaki"/>
          </w:pPr>
        </w:p>
      </w:tc>
      <w:tc>
        <w:tcPr>
          <w:tcW w:w="7654" w:type="dxa"/>
          <w:vAlign w:val="center"/>
        </w:tcPr>
        <w:p>
          <w:pPr>
            <w:pStyle w:val="Kaki"/>
          </w:pPr>
          <w:r>
            <w:t xml:space="preserve">Badan Nasional Penanggulangan Bencana, Graha BNPB, Jl. Pramuka Kav. 38, Jakarta Timur 13120</w:t>
          </w:r>
        </w:p>
        <w:p>
          <w:pPr>
            <w:pStyle w:val="Kaki"/>
          </w:pPr>
          <w:r>
            <w:t xml:space="preserve">Call Center 117, www.bnpb.go.id</w:t>
          </w:r>
        </w:p>
      </w:tc>
      <w:tc>
        <w:tcPr>
          <w:tcW w:w="851" w:type="dxa"/>
          <w:vAlign w:val="center"/>
        </w:tcPr>
        <w:p>
          <w:pPr>
            <w:pStyle w:val="NomorHalaman"/>
          </w:pPr>
          <w:r>
            <w:fldChar w:fldCharType="begin"/>
          </w:r>
          <w:r>
            <w:instrText xml:space="preserve"> PAGE 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</w:p>
      </w:tc>
    </w:tr>
  </w:tbl>
  <w:p>
    <w:pPr>
      <w:pStyle w:val="Kaki"/>
    </w:pPr>
  </w:p>
</w:ftr>
</file>

<file path=word/footer2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aki"/>
    </w:pPr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9356" w:type="dxa"/>
      <w:tblBorders>
        <w:top w:val="nil"/>
        <w:left w:val="nil"/>
        <w:bottom w:val="single" w:sz="6" w:space="0" w:color="1A1A1A"/>
        <w:right w:val="nil"/>
        <w:insideH w:val="nil"/>
        <w:insideV w:val="nil" w:sz="4" w:space="0" w:color="BFC5CC"/>
      </w:tblBorders>
      <w:tblLayout w:type="fixed"/>
      <w:tblCellMar>
        <w:left w:w="0" w:type="dxa"/>
        <w:right w:w="0" w:type="dxa"/>
      </w:tblCellMar>
    </w:tblPr>
    <w:tblGrid>
      <w:gridCol w:w="8676"/>
      <w:gridCol w:w="680"/>
    </w:tblGrid>
    <w:tr>
      <w:tc>
        <w:tcPr>
          <w:tcW w:w="8676" w:type="dxa"/>
        </w:tcPr>
        <w:p>
          <w:pPr>
            <w:pStyle w:val="Kepala"/>
            <w:pBdr>
              <w:left w:val="single" w:sz="16" w:space="4" w:color="D9600B"/>
            </w:pBdr>
            <w:ind w:left="100"/>
          </w:pPr>
          <w:r>
            <w:rPr>
              <w:b/>
            </w:rPr>
            <w:t xml:space="preserve">Kajian Ketahanan Air Pulau Jawa</w:t>
          </w:r>
        </w:p>
        <w:p>
          <w:pPr>
            <w:pStyle w:val="Kepala"/>
            <w:pBdr>
              <w:left w:val="single" w:sz="16" w:space="4" w:color="D9600B"/>
            </w:pBdr>
            <w:ind w:left="100"/>
          </w:pPr>
          <w:r>
            <w:t xml:space="preserve">BNPB, Oktober 2026</w:t>
          </w:r>
        </w:p>
      </w:tc>
      <w:tc>
        <w:tcPr>
          <w:tcW w:w="680" w:type="dxa"/>
        </w:tcPr>
        <w:p>
          <w:pPr>
            <w:pStyle w:val="Kepala"/>
            <w:jc w:val="right"/>
          </w:pPr>
          <w:r>
            <w:drawing>
              <wp:inline distT="0" distB="0" distL="0" distR="0">
                <wp:extent cx="228672" cy="288000"/>
                <wp:docPr id="90" name="Gambar 90" descr="logo BNPB"/>
                <a:graphic>
                  <a:graphicData uri="http://schemas.openxmlformats.org/drawingml/2006/picture">
                    <pic:pic>
                      <pic:nvPicPr>
                        <pic:cNvPr id="90" name="g90.png"/>
                        <pic:cNvPicPr/>
                      </pic:nvPicPr>
                      <pic:blipFill>
                        <a:blip r:embed="rIdLogo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28672" cy="2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Kepala"/>
    </w:pPr>
  </w:p>
</w:hdr>
</file>

<file path=word/header2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Style w:val="Kepala"/>
    </w:pPr>
  </w:p>
</w:hd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abstractNum w:abstractNumId="1">
    <w:multiLevelType w:val="singleLevel"/>
    <w:lvl w:ilvl="0">
      <w:start w:val="1"/>
      <w:numFmt w:val="decimal"/>
      <w:pStyle w:val="Heading1"/>
      <w:suff w:val="space"/>
      <w:lvlText w:val="BAB %1"/>
      <w:lvlJc w:val="left"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updateFields w:val="true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Roboto" w:hAnsi="Roboto" w:eastAsia="Roboto" w:cs="Roboto"/>
        <w:color w:val="1A1A1A"/>
        <w:sz w:val="21"/>
        <w:lang w:val="id-ID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pPr>
      <w:jc w:val="both"/>
    </w:pPr>
  </w:style>
  <w:style w:type="paragraph" w:styleId="Heading1">
    <w:name w:val="heading 1"/>
    <w:basedOn w:val="Normal"/>
    <w:pPr>
      <w:keepNext/>
      <w:pageBreakBefore/>
      <w:numPr>
        <w:ilvl w:val="0"/>
        <w:numId w:val="1"/>
      </w:numPr>
      <w:spacing w:before="0" w:after="240"/>
      <w:jc w:val="left"/>
      <w:outlineLvl w:val="0"/>
    </w:pPr>
    <w:rPr>
      <w:b/>
      <w:color w:val="051C2C"/>
      <w:sz w:val="40"/>
    </w:rPr>
  </w:style>
  <w:style w:type="paragraph" w:styleId="Heading2">
    <w:name w:val="heading 2"/>
    <w:basedOn w:val="Normal"/>
    <w:pPr>
      <w:keepNext/>
      <w:spacing w:before="360" w:after="120"/>
      <w:jc w:val="left"/>
      <w:outlineLvl w:val="1"/>
    </w:pPr>
    <w:rPr>
      <w:b/>
      <w:color w:val="051C2C"/>
      <w:sz w:val="26"/>
    </w:rPr>
  </w:style>
  <w:style w:type="paragraph" w:styleId="Caption">
    <w:name w:val="caption"/>
    <w:basedOn w:val="Normal"/>
    <w:pPr>
      <w:keepNext/>
      <w:spacing w:before="240" w:after="120"/>
      <w:jc w:val="center"/>
    </w:pPr>
    <w:rPr>
      <w:b/>
      <w:color w:val="051C2C"/>
      <w:sz w:val="18"/>
    </w:rPr>
  </w:style>
  <w:style w:type="paragraph" w:styleId="Sumber">
    <w:name w:val="Sumber"/>
    <w:basedOn w:val="Normal"/>
    <w:pPr>
      <w:spacing w:before="60" w:after="240"/>
      <w:jc w:val="left"/>
    </w:pPr>
    <w:rPr>
      <w:color w:val="6B7280"/>
      <w:sz w:val="17"/>
    </w:rPr>
  </w:style>
  <w:style w:type="paragraph" w:styleId="IsiTabel">
    <w:name w:val="Isi Tabel"/>
    <w:basedOn w:val="Normal"/>
    <w:pPr>
      <w:spacing w:before="40" w:after="40"/>
    </w:pPr>
    <w:rPr>
      <w:sz w:val="18"/>
    </w:rPr>
  </w:style>
  <w:style w:type="paragraph" w:styleId="LabelTabel">
    <w:name w:val="Label Tabel"/>
    <w:basedOn w:val="IsiTabel"/>
    <w:pPr/>
    <w:rPr>
      <w:b/>
    </w:rPr>
  </w:style>
  <w:style w:type="paragraph" w:styleId="TotalTabel">
    <w:name w:val="Total Tabel"/>
    <w:basedOn w:val="IsiTabel"/>
    <w:pPr/>
    <w:rPr>
      <w:b/>
      <w:color w:val="FFFFFF"/>
    </w:rPr>
  </w:style>
  <w:style w:type="paragraph" w:styleId="KepalaTabel">
    <w:name w:val="Kepala Tabel"/>
    <w:basedOn w:val="Normal"/>
    <w:pPr>
      <w:spacing w:before="40" w:after="40"/>
      <w:jc w:val="center"/>
    </w:pPr>
    <w:rPr>
      <w:b/>
      <w:color w:val="FFFFFF"/>
      <w:spacing w:val="16"/>
      <w:sz w:val="17"/>
    </w:rPr>
  </w:style>
  <w:style w:type="paragraph" w:styleId="KepalaLampiran">
    <w:name w:val="Kepala Tabel Lampiran"/>
    <w:basedOn w:val="Normal"/>
    <w:pPr>
      <w:spacing w:before="40" w:after="40"/>
      <w:jc w:val="left"/>
    </w:pPr>
    <w:rPr>
      <w:b/>
      <w:color w:val="6B7280"/>
      <w:sz w:val="17"/>
    </w:rPr>
  </w:style>
  <w:style w:type="paragraph" w:styleId="LabelBagian">
    <w:name w:val="Label Bagian"/>
    <w:basedOn w:val="Normal"/>
    <w:pPr>
      <w:keepNext/>
      <w:spacing w:before="180" w:after="60"/>
      <w:jc w:val="left"/>
    </w:pPr>
    <w:rPr>
      <w:b/>
      <w:color w:val="2E3440"/>
      <w:spacing w:val="16"/>
      <w:sz w:val="16"/>
    </w:rPr>
  </w:style>
  <w:style w:type="paragraph" w:styleId="JudulDepan">
    <w:name w:val="Judul Bagian Depan"/>
    <w:basedOn w:val="Normal"/>
    <w:pPr>
      <w:spacing w:before="240" w:after="240"/>
      <w:jc w:val="left"/>
      <w:outlineLvl w:val="0"/>
    </w:pPr>
    <w:rPr>
      <w:b/>
      <w:color w:val="051C2C"/>
      <w:sz w:val="40"/>
    </w:rPr>
  </w:style>
  <w:style w:type="paragraph" w:styleId="JudulDaftarIsi">
    <w:name w:val="Judul Daftar Isi"/>
    <w:basedOn w:val="Normal"/>
    <w:pPr>
      <w:spacing w:before="0" w:after="240"/>
      <w:jc w:val="left"/>
    </w:pPr>
    <w:rPr>
      <w:b/>
      <w:color w:val="051C2C"/>
      <w:sz w:val="40"/>
    </w:rPr>
  </w:style>
  <w:style w:type="paragraph" w:styleId="JudulLampiran">
    <w:name w:val="Judul Lampiran"/>
    <w:basedOn w:val="Normal"/>
    <w:pPr>
      <w:spacing w:before="0" w:after="240"/>
      <w:jc w:val="left"/>
      <w:outlineLvl w:val="0"/>
    </w:pPr>
    <w:rPr>
      <w:b/>
      <w:color w:val="051C2C"/>
      <w:sz w:val="26"/>
    </w:rPr>
  </w:style>
  <w:style w:type="paragraph" w:styleId="JudulSampul">
    <w:name w:val="Judul Sampul"/>
    <w:basedOn w:val="Normal"/>
    <w:pPr>
      <w:spacing w:before="240" w:after="120"/>
      <w:jc w:val="left"/>
    </w:pPr>
    <w:rPr>
      <w:b/>
      <w:color w:val="FFFFFF"/>
      <w:sz w:val="64"/>
    </w:rPr>
  </w:style>
  <w:style w:type="paragraph" w:styleId="TeksSampul">
    <w:name w:val="Teks Sampul"/>
    <w:basedOn w:val="Normal"/>
    <w:pPr>
      <w:spacing w:before="0" w:after="120"/>
      <w:jc w:val="left"/>
    </w:pPr>
    <w:rPr>
      <w:color w:val="FFFFFF"/>
      <w:sz w:val="28"/>
    </w:rPr>
  </w:style>
  <w:style w:type="paragraph" w:styleId="TOC1">
    <w:name w:val="toc 1"/>
    <w:basedOn w:val="Normal"/>
    <w:pPr>
      <w:tabs>
        <w:tab w:val="left" w:pos="907"/>
        <w:tab w:val="right" w:leader="dot" w:pos="9356"/>
      </w:tabs>
      <w:spacing w:before="60" w:after="60"/>
      <w:jc w:val="left"/>
    </w:pPr>
    <w:rPr>
      <w:b/>
      <w:color w:val="051C2C"/>
      <w:sz w:val="21"/>
    </w:rPr>
  </w:style>
  <w:style w:type="paragraph" w:styleId="TOC2">
    <w:name w:val="toc 2"/>
    <w:basedOn w:val="Normal"/>
    <w:pPr>
      <w:tabs>
        <w:tab w:val="left" w:pos="1077"/>
        <w:tab w:val="right" w:leader="dot" w:pos="9356"/>
      </w:tabs>
      <w:spacing w:before="0" w:after="60"/>
      <w:ind w:left="397"/>
      <w:jc w:val="left"/>
    </w:pPr>
    <w:rPr>
      <w:b w:val="0"/>
      <w:color w:val="1A1A1A"/>
      <w:sz w:val="21"/>
    </w:rPr>
  </w:style>
  <w:style w:type="paragraph" w:styleId="DaftarObjek">
    <w:name w:val="table of figures"/>
    <w:basedOn w:val="Normal"/>
    <w:pPr>
      <w:tabs>
        <w:tab w:val="right" w:leader="dot" w:pos="9356"/>
      </w:tabs>
      <w:spacing w:before="0" w:after="60"/>
      <w:jc w:val="left"/>
    </w:pPr>
    <w:rPr>
      <w:sz w:val="21"/>
    </w:rPr>
  </w:style>
  <w:style w:type="paragraph" w:styleId="Pustaka">
    <w:name w:val="Pustaka"/>
    <w:basedOn w:val="Normal"/>
    <w:pPr>
      <w:ind w:left="709" w:hanging="709"/>
      <w:jc w:val="left"/>
    </w:pPr>
    <w:rPr>
      <w:sz w:val="20"/>
    </w:rPr>
  </w:style>
  <w:style w:type="paragraph" w:styleId="Kepala">
    <w:name w:val="header"/>
    <w:basedOn w:val="Normal"/>
    <w:pPr>
      <w:spacing w:before="0" w:after="0"/>
      <w:jc w:val="left"/>
    </w:pPr>
    <w:rPr>
      <w:sz w:val="16"/>
    </w:rPr>
  </w:style>
  <w:style w:type="paragraph" w:styleId="Kaki">
    <w:name w:val="footer"/>
    <w:basedOn w:val="Normal"/>
    <w:pPr>
      <w:spacing w:before="0" w:after="0"/>
      <w:jc w:val="center"/>
    </w:pPr>
    <w:rPr>
      <w:color w:val="6B7280"/>
      <w:sz w:val="16"/>
    </w:rPr>
  </w:style>
  <w:style w:type="paragraph" w:styleId="NomorHalaman">
    <w:name w:val="Nomor Halaman"/>
    <w:basedOn w:val="Kaki"/>
    <w:pPr>
      <w:spacing w:before="0" w:after="0"/>
      <w:jc w:val="right"/>
    </w:pPr>
    <w:rPr>
      <w:b/>
      <w:color w:val="1A1A1A"/>
      <w:sz w:val="18"/>
    </w:rPr>
  </w:style>
</w:styles>
</file>

<file path=word/_rels/document.xml.rels><?xml version="1.0" encoding="UTF-8" standalone="yes"?>
<Relationships xmlns="http://schemas.openxmlformats.org/package/2006/relationships"><Relationship Id="rIdS" Type="http://schemas.openxmlformats.org/officeDocument/2006/relationships/styles" Target="styles.xml"/><Relationship Id="rIdSet" Type="http://schemas.openxmlformats.org/officeDocument/2006/relationships/settings" Target="settings.xml"/><Relationship Id="rIdN" Type="http://schemas.openxmlformats.org/officeDocument/2006/relationships/numbering" Target="numbering.xml"/><Relationship Id="rIdT" Type="http://schemas.openxmlformats.org/officeDocument/2006/relationships/theme" Target="theme/theme1.xml"/><Relationship Id="rIdH" Type="http://schemas.openxmlformats.org/officeDocument/2006/relationships/header" Target="header1.xml"/><Relationship Id="rIdF" Type="http://schemas.openxmlformats.org/officeDocument/2006/relationships/footer" Target="footer1.xml"/><Relationship Id="rIdH0" Type="http://schemas.openxmlformats.org/officeDocument/2006/relationships/header" Target="header2.xml"/><Relationship Id="rIdF0" Type="http://schemas.openxmlformats.org/officeDocument/2006/relationships/footer" Target="footer2.xml"/><Relationship Id="rIdG1" Type="http://schemas.openxmlformats.org/officeDocument/2006/relationships/image" Target="media/grafik.png"/><Relationship Id="rIdFoto" Type="http://schemas.openxmlformats.org/officeDocument/2006/relationships/image" Target="media/foto.png"/><Relationship Id="rIdMatriks" Type="http://schemas.openxmlformats.org/officeDocument/2006/relationships/image" Target="media/matriks.png"/><Relationship Id="rIdSampul" Type="http://schemas.openxmlformats.org/officeDocument/2006/relationships/image" Target="media/sampul.png"/><Relationship Id="rIdPembatas" Type="http://schemas.openxmlformats.org/officeDocument/2006/relationships/image" Target="media/pembatas.png"/><Relationship Id="rIdBelakang" Type="http://schemas.openxmlformats.org/officeDocument/2006/relationships/image" Target="media/belakang.png"/></Relationships>
</file>

<file path=word/_rels/header1.xml.rels><?xml version="1.0" encoding="UTF-8" standalone="yes"?>
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BNPB">
  <a:themeElements>
    <a:clrScheme name="BNPB">
      <a:dk1>
        <a:srgbClr val="1A1A1A"/>
      </a:dk1>
      <a:lt1>
        <a:srgbClr val="FFFFFF"/>
      </a:lt1>
      <a:dk2>
        <a:srgbClr val="051C2C"/>
      </a:dk2>
      <a:lt2>
        <a:srgbClr val="BFC5CC"/>
      </a:lt2>
      <a:accent1>
        <a:srgbClr val="D9600B"/>
      </a:accent1>
      <a:accent2>
        <a:srgbClr val="2F86D1"/>
      </a:accent2>
      <a:accent3>
        <a:srgbClr val="C8102E"/>
      </a:accent3>
      <a:accent4>
        <a:srgbClr val="5B7A99"/>
      </a:accent4>
      <a:accent5>
        <a:srgbClr val="3F5F80"/>
      </a:accent5>
      <a:accent6>
        <a:srgbClr val="8A6A2E"/>
      </a:accent6>
      <a:hlink>
        <a:srgbClr val="00499D"/>
      </a:hlink>
      <a:folHlink>
        <a:srgbClr val="6B7280"/>
      </a:folHlink>
    </a:clrScheme>
    <a:fontScheme name="Roboto">
      <a:majorFont>
        <a:latin typeface="Roboto"/>
        <a:ea typeface=""/>
        <a:cs typeface=""/>
      </a:majorFont>
      <a:minorFont>
        <a:latin typeface="Roboto"/>
        <a:ea typeface=""/>
        <a:cs typeface=""/>
      </a:minorFont>
    </a:fontScheme>
    <a:fmtScheme name="BNPB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>
  <dc:title>Kajian Ketahanan Air Pulau Jawa</dc:title>
</cp:coreProperties>
</file>