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Sejak 2019 lembaga mencatat penurunan (BNPB, 2025d). 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