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spacing w:after="0" w:line="240" w:lineRule="auto"/>
        <w:jc w:val="left"/>
      </w:pPr>
      <w:r>
        <w:rPr>
          <w:b/>
          <w:bCs/>
          <w:color w:val="FFFFFF"/>
          <w:sz w:val="64"/>
          <w:szCs w:val="64"/>
        </w:rPr>
        <w:t xml:space="preserve">Grand Design Mitigasi Bencana Indonesia 2026–2030</w:t>
      </w:r>
    </w:p>
    <w:p>
      <w:pPr>
        <w:pStyle w:val="Sampul"/>
        <w:spacing w:before="240" w:after="0" w:line="264" w:lineRule="auto"/>
      </w:pPr>
      <w:r>
        <w:rPr>
          <w:color w:val="FFFFFF"/>
          <w:sz w:val="28"/>
          <w:szCs w:val="28"/>
        </w:rPr>
        <w:t xml:space="preserve">Strategi Prabencana, Tanggap Darurat, dan Pascabencana</w:t>
      </w:r>
    </w:p>
    <w:p>
      <w:pPr>
        <w:spacing w:before="480" w:after="0" w:line="20" w:lineRule="exact"/>
      </w:pPr>
    </w:p>
    <w:tbl xmlns:a="http://schemas.openxmlformats.org/drawingml/2006/main" xmlns:pic="http://schemas.openxmlformats.org/drawingml/2006/picture">
      <w:tblPr>
        <w:tblW w:w="6072"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70"/>
        <w:gridCol w:w="5102"/>
      </w:tblGrid>
      <w:tr>
        <w:trPr>
          <w:cantSplit/>
        </w:trPr>
        <w:tc>
          <w:tcPr>
            <w:tcW w:w="970" w:type="dxa"/>
            <w:shd w:val="clear" w:color="auto" w:fill="FFFFFF"/>
            <w:vAlign w:val="center"/>
          </w:tcPr>
          <w:p>
            <w:pPr>
              <w:suppressAutoHyphens/>
              <w:spacing w:after="0" w:line="240" w:lineRule="auto"/>
            </w:pPr>
            <w:r>
              <w:drawing>
                <wp:inline distT="0" distB="0" distL="0" distR="0">
                  <wp:extent cx="400000" cy="504000"/>
                  <wp:effectExtent l="0" t="0" r="0" b="0"/>
                  <wp:docPr id="5" name="Gambar 5"/>
                  <wp:cNvGraphicFramePr>
                    <a:graphicFrameLocks noChangeAspect="1"/>
                  </wp:cNvGraphicFramePr>
                  <a:graphic>
                    <a:graphicData uri="http://schemas.openxmlformats.org/drawingml/2006/picture">
                      <pic:pic>
                        <pic:nvPicPr>
                          <pic:cNvPr id="5" name="sumber-bnpb.png"/>
                          <pic:cNvPicPr/>
                        </pic:nvPicPr>
                        <pic:blipFill>
                          <a:blip r:embed="rId14"/>
                          <a:stretch>
                            <a:fillRect/>
                          </a:stretch>
                        </pic:blipFill>
                        <pic:spPr>
                          <a:xfrm>
                            <a:off x="0" y="0"/>
                            <a:ext cx="400000" cy="504000"/>
                          </a:xfrm>
                          <a:prstGeom prst="rect">
                            <a:avLst/>
                          </a:prstGeom>
                        </pic:spPr>
                      </pic:pic>
                    </a:graphicData>
                  </a:graphic>
                </wp:inline>
              </w:drawing>
            </w:r>
          </w:p>
        </w:tc>
        <w:tc>
          <w:tcPr>
            <w:tcW w:w="5102" w:type="dxa"/>
            <w:shd w:val="clear" w:color="auto" w:fill="FFFFFF"/>
            <w:vAlign w:val="center"/>
          </w:tcPr>
          <w:p>
            <w:pPr>
              <w:suppressAutoHyphens/>
              <w:spacing w:after="0" w:line="240" w:lineRule="auto"/>
            </w:pPr>
            <w:r>
              <w:rPr>
                <w:b/>
                <w:bCs/>
                <w:color w:val="051C2C"/>
                <w:sz w:val="22"/>
                <w:szCs w:val="22"/>
              </w:rPr>
              <w:t xml:space="preserve">Badan Nasional Penanggulangan Bencana</w:t>
            </w:r>
          </w:p>
        </w:tc>
      </w:tr>
    </w:tbl>
    <w:p>
      <w:pPr>
        <w:spacing w:before="240" w:after="0"/>
        <w:sectPr>
          <w:headerReference w:type="default" r:id="rId13"/>
          <w:footerReference w:type="default" r:id="rId12"/>
          <w:type w:val="nextPage"/>
          <w:pgSz w:w="11906" w:h="16838"/>
          <w:pgMar w:top="10054" w:right="1134" w:bottom="567" w:left="1417" w:header="680" w:footer="567" w:gutter="0"/>
          <w:pgNumType w:fmt="lowerRoman"/>
          <w:cols w:space="708"/>
          <w:docGrid w:linePitch="360"/>
        </w:sectPr>
      </w:pPr>
      <w:r>
        <w:rPr>
          <w:color w:val="FFFFFF"/>
          <w:sz w:val="24"/>
          <w:szCs w:val="24"/>
        </w:rPr>
        <w:t xml:space="preserve">Oktober 2026</w:t>
      </w:r>
    </w:p>
    <w:p>
      <w:pPr>
        <w:pStyle w:val="JudulDaftarIsi"/>
      </w:pPr>
      <w:bookmarkStart w:id="1" w:name="_Toc00001"/>
      <w:r>
        <w:t xml:space="preserve">KOLOFON</w:t>
      </w:r>
      <w:bookmarkEnd w:id="1"/>
    </w:p>
    <w:tbl>
      <w:tblPr>
        <w:tblW w:w="9354" w:type="dxa"/>
        <w:tblBorders>
          <w:top w:val="single" w:sz="4" w:space="0" w:color="BFC5CC"/>
          <w:bottom w:val="single" w:sz="4" w:space="0" w:color="BFC5CC"/>
          <w:insideH w:val="single" w:sz="4" w:space="0" w:color="BFC5CC"/>
        </w:tblBorders>
        <w:tblLayout w:type="fixed"/>
        <w:tblCellMar>
          <w:top w:w="80" w:type="dxa"/>
          <w:left w:w="85" w:type="dxa"/>
          <w:bottom w:w="80" w:type="dxa"/>
          <w:right w:w="85" w:type="dxa"/>
        </w:tblCellMar>
        <w:tblLook w:val="0000" w:firstRow="0" w:lastRow="0" w:firstColumn="0" w:lastColumn="0" w:noHBand="1" w:noVBand="1"/>
      </w:tblPr>
      <w:tblGrid>
        <w:gridCol w:w="2381"/>
        <w:gridCol w:w="6973"/>
      </w:tblGrid>
      <w:tr>
        <w:trPr>
          <w:cantSplit/>
        </w:trPr>
        <w:tc>
          <w:tcPr>
            <w:tcW w:w="2381" w:type="dxa"/>
          </w:tcPr>
          <w:p>
            <w:pPr>
              <w:pStyle w:val="LabelBagian"/>
              <w:suppressAutoHyphens/>
              <w:spacing w:before="0" w:after="0"/>
            </w:pPr>
            <w:r>
              <w:t xml:space="preserve">JUDUL</w:t>
            </w:r>
          </w:p>
        </w:tc>
        <w:tc>
          <w:tcPr>
            <w:tcW w:w="6973" w:type="dxa"/>
          </w:tcPr>
          <w:p>
            <w:pPr>
              <w:pStyle w:val="IsiTabel"/>
              <w:suppressAutoHyphens/>
              <w:spacing w:after="40" w:line="276" w:lineRule="auto"/>
            </w:pPr>
            <w:r>
              <w:rPr>
                <w:sz w:val="20"/>
                <w:szCs w:val="20"/>
              </w:rPr>
              <w:t xml:space="preserve">Grand Design Mitigasi Bencana Indonesia 2026–2030</w:t>
            </w:r>
          </w:p>
          <w:p>
            <w:pPr>
              <w:pStyle w:val="IsiTabel"/>
              <w:suppressAutoHyphens/>
              <w:spacing w:after="40" w:line="276" w:lineRule="auto"/>
            </w:pPr>
            <w:r>
              <w:rPr>
                <w:sz w:val="20"/>
                <w:szCs w:val="20"/>
              </w:rPr>
              <w:t xml:space="preserve">Strategi Prabencana, Tanggap Darurat, dan Pascabencana</w:t>
            </w:r>
          </w:p>
        </w:tc>
      </w:tr>
      <w:tr>
        <w:trPr>
          <w:cantSplit/>
        </w:trPr>
        <w:tc>
          <w:tcPr>
            <w:tcW w:w="2381" w:type="dxa"/>
          </w:tcPr>
          <w:p>
            <w:pPr>
              <w:pStyle w:val="LabelBagian"/>
              <w:suppressAutoHyphens/>
              <w:spacing w:before="0" w:after="0"/>
            </w:pPr>
            <w:r>
              <w:t xml:space="preserve">PENERBIT</w:t>
            </w:r>
          </w:p>
        </w:tc>
        <w:tc>
          <w:tcPr>
            <w:tcW w:w="6973" w:type="dxa"/>
          </w:tcPr>
          <w:p>
            <w:pPr>
              <w:pStyle w:val="IsiTabel"/>
              <w:suppressAutoHyphens/>
              <w:spacing w:after="40" w:line="276" w:lineRule="auto"/>
            </w:pPr>
            <w:r>
              <w:rPr>
                <w:sz w:val="20"/>
                <w:szCs w:val="20"/>
              </w:rPr>
              <w:t xml:space="preserve">Badan Nasional Penanggulangan Bencana</w:t>
            </w:r>
          </w:p>
          <w:p>
            <w:pPr>
              <w:pStyle w:val="IsiTabel"/>
              <w:suppressAutoHyphens/>
              <w:spacing w:after="40" w:line="276" w:lineRule="auto"/>
            </w:pPr>
            <w:r>
              <w:rPr>
                <w:sz w:val="20"/>
                <w:szCs w:val="20"/>
              </w:rPr>
              <w:t xml:space="preserve">Graha BNPB, Jl. Pramuka Kav. 38, Jakarta Timur 13120</w:t>
            </w:r>
          </w:p>
        </w:tc>
      </w:tr>
      <w:tr>
        <w:trPr>
          <w:cantSplit/>
        </w:trPr>
        <w:tc>
          <w:tcPr>
            <w:tcW w:w="2381" w:type="dxa"/>
          </w:tcPr>
          <w:p>
            <w:pPr>
              <w:pStyle w:val="LabelBagian"/>
              <w:suppressAutoHyphens/>
              <w:spacing w:before="0" w:after="0"/>
            </w:pPr>
            <w:r>
              <w:t xml:space="preserve">DITUJUKAN KEPADA</w:t>
            </w:r>
          </w:p>
        </w:tc>
        <w:tc>
          <w:tcPr>
            <w:tcW w:w="6973" w:type="dxa"/>
          </w:tcPr>
          <w:p>
            <w:pPr>
              <w:pStyle w:val="IsiTabel"/>
              <w:suppressAutoHyphens/>
              <w:spacing w:after="40" w:line="276" w:lineRule="auto"/>
            </w:pPr>
            <w:r>
              <w:rPr>
                <w:sz w:val="20"/>
                <w:szCs w:val="20"/>
              </w:rPr>
              <w:t xml:space="preserve">Kepala Badan Nasional Penanggulangan Bencana</w:t>
            </w:r>
          </w:p>
        </w:tc>
      </w:tr>
      <w:tr>
        <w:trPr>
          <w:cantSplit/>
        </w:trPr>
        <w:tc>
          <w:tcPr>
            <w:tcW w:w="2381" w:type="dxa"/>
          </w:tcPr>
          <w:p>
            <w:pPr>
              <w:pStyle w:val="LabelBagian"/>
              <w:suppressAutoHyphens/>
              <w:spacing w:before="0" w:after="0"/>
            </w:pPr>
            <w:r>
              <w:t xml:space="preserve">DASAR PENYUSUNAN</w:t>
            </w:r>
          </w:p>
        </w:tc>
        <w:tc>
          <w:tcPr>
            <w:tcW w:w="6973" w:type="dxa"/>
          </w:tcPr>
          <w:p>
            <w:pPr>
              <w:pStyle w:val="IsiTabel"/>
              <w:suppressAutoHyphens/>
              <w:spacing w:after="40" w:line="276" w:lineRule="auto"/>
            </w:pPr>
            <w:r>
              <w:rPr>
                <w:sz w:val="20"/>
                <w:szCs w:val="20"/>
              </w:rPr>
              <w:t xml:space="preserve">Undang-Undang Nomor 24 Tahun 2007 tentang Penanggulangan Bencana</w:t>
            </w:r>
          </w:p>
          <w:p>
            <w:pPr>
              <w:pStyle w:val="IsiTabel"/>
              <w:suppressAutoHyphens/>
              <w:spacing w:after="40" w:line="276" w:lineRule="auto"/>
            </w:pPr>
            <w:r>
              <w:rPr>
                <w:sz w:val="20"/>
                <w:szCs w:val="20"/>
              </w:rPr>
              <w:t xml:space="preserve">Peraturan Presiden Nomor 87 Tahun 2020 tentang Rencana Induk Penanggulangan Bencana Tahun 2020–2044</w:t>
            </w:r>
          </w:p>
          <w:p>
            <w:pPr>
              <w:pStyle w:val="IsiTabel"/>
              <w:suppressAutoHyphens/>
              <w:spacing w:after="40" w:line="276" w:lineRule="auto"/>
            </w:pPr>
            <w:r>
              <w:rPr>
                <w:sz w:val="20"/>
                <w:szCs w:val="20"/>
              </w:rPr>
              <w:t xml:space="preserve">Peraturan Badan Nasional Penanggulangan Bencana Nomor 1 Tahun 2025 tentang Rencana Nasional Penanggulangan Bencana Tahun 2025–2029</w:t>
            </w:r>
          </w:p>
        </w:tc>
      </w:tr>
      <w:tr>
        <w:trPr>
          <w:cantSplit/>
        </w:trPr>
        <w:tc>
          <w:tcPr>
            <w:tcW w:w="2381" w:type="dxa"/>
          </w:tcPr>
          <w:p>
            <w:pPr>
              <w:pStyle w:val="LabelBagian"/>
              <w:suppressAutoHyphens/>
              <w:spacing w:before="0" w:after="0"/>
            </w:pPr>
            <w:r>
              <w:t xml:space="preserve">VERSI</w:t>
            </w:r>
          </w:p>
        </w:tc>
        <w:tc>
          <w:tcPr>
            <w:tcW w:w="6973" w:type="dxa"/>
          </w:tcPr>
          <w:p>
            <w:pPr>
              <w:pStyle w:val="IsiTabel"/>
              <w:suppressAutoHyphens/>
              <w:spacing w:after="40" w:line="276" w:lineRule="auto"/>
            </w:pPr>
            <w:r>
              <w:rPr>
                <w:sz w:val="20"/>
                <w:szCs w:val="20"/>
              </w:rPr>
              <w:t xml:space="preserve">Draf, Oktober 2026</w:t>
            </w:r>
          </w:p>
        </w:tc>
      </w:tr>
      <w:tr>
        <w:trPr>
          <w:cantSplit/>
        </w:trPr>
        <w:tc>
          <w:tcPr>
            <w:tcW w:w="2381" w:type="dxa"/>
          </w:tcPr>
          <w:p>
            <w:pPr>
              <w:pStyle w:val="LabelBagian"/>
              <w:suppressAutoHyphens/>
              <w:spacing w:before="0" w:after="0"/>
            </w:pPr>
            <w:r>
              <w:t xml:space="preserve">TAHUN TERBIT</w:t>
            </w:r>
          </w:p>
        </w:tc>
        <w:tc>
          <w:tcPr>
            <w:tcW w:w="6973" w:type="dxa"/>
          </w:tcPr>
          <w:p>
            <w:pPr>
              <w:pStyle w:val="IsiTabel"/>
              <w:suppressAutoHyphens/>
              <w:spacing w:after="40" w:line="276" w:lineRule="auto"/>
            </w:pPr>
            <w:r>
              <w:rPr>
                <w:sz w:val="20"/>
                <w:szCs w:val="20"/>
              </w:rPr>
              <w:t xml:space="preserve">2026</w:t>
            </w:r>
          </w:p>
        </w:tc>
      </w:tr>
      <w:tr>
        <w:trPr>
          <w:cantSplit/>
        </w:trPr>
        <w:tc>
          <w:tcPr>
            <w:tcW w:w="2381" w:type="dxa"/>
          </w:tcPr>
          <w:p>
            <w:pPr>
              <w:pStyle w:val="LabelBagian"/>
              <w:suppressAutoHyphens/>
              <w:spacing w:before="0" w:after="0"/>
            </w:pPr>
            <w:r>
              <w:t xml:space="preserve">BAHASA</w:t>
            </w:r>
          </w:p>
        </w:tc>
        <w:tc>
          <w:tcPr>
            <w:tcW w:w="6973" w:type="dxa"/>
          </w:tcPr>
          <w:p>
            <w:pPr>
              <w:pStyle w:val="IsiTabel"/>
              <w:suppressAutoHyphens/>
              <w:spacing w:after="40" w:line="276" w:lineRule="auto"/>
            </w:pPr>
            <w:r>
              <w:rPr>
                <w:sz w:val="20"/>
                <w:szCs w:val="20"/>
              </w:rPr>
              <w:t xml:space="preserve">Indonesia</w:t>
            </w:r>
          </w:p>
        </w:tc>
      </w:tr>
      <w:tr>
        <w:trPr>
          <w:cantSplit/>
        </w:trPr>
        <w:tc>
          <w:tcPr>
            <w:tcW w:w="2381" w:type="dxa"/>
          </w:tcPr>
          <w:p>
            <w:pPr>
              <w:pStyle w:val="LabelBagian"/>
              <w:suppressAutoHyphens/>
              <w:spacing w:before="0" w:after="0"/>
            </w:pPr>
            <w:r>
              <w:t xml:space="preserve">BATAS DATA</w:t>
            </w:r>
          </w:p>
        </w:tc>
        <w:tc>
          <w:tcPr>
            <w:tcW w:w="6973" w:type="dxa"/>
          </w:tcPr>
          <w:p>
            <w:pPr>
              <w:pStyle w:val="IsiTabel"/>
              <w:suppressAutoHyphens/>
              <w:spacing w:after="40" w:line="276" w:lineRule="auto"/>
            </w:pPr>
            <w:r>
              <w:rPr>
                <w:sz w:val="20"/>
                <w:szCs w:val="20"/>
              </w:rPr>
              <w:t xml:space="preserve">23 Oktober 2026</w:t>
            </w:r>
          </w:p>
        </w:tc>
      </w:tr>
      <w:tr>
        <w:trPr>
          <w:cantSplit/>
        </w:trPr>
        <w:tc>
          <w:tcPr>
            <w:tcW w:w="2381" w:type="dxa"/>
          </w:tcPr>
          <w:p>
            <w:pPr>
              <w:pStyle w:val="LabelBagian"/>
              <w:suppressAutoHyphens/>
              <w:spacing w:before="0" w:after="0"/>
            </w:pPr>
            <w:r>
              <w:t xml:space="preserve">FOTO SAMPUL</w:t>
            </w:r>
          </w:p>
        </w:tc>
        <w:tc>
          <w:tcPr>
            <w:tcW w:w="6973" w:type="dxa"/>
          </w:tcPr>
          <w:p>
            <w:pPr>
              <w:pStyle w:val="IsiTabel"/>
              <w:suppressAutoHyphens/>
              <w:spacing w:after="40" w:line="276" w:lineRule="auto"/>
            </w:pPr>
            <w:r>
              <w:rPr>
                <w:sz w:val="20"/>
                <w:szCs w:val="20"/>
              </w:rPr>
              <w:t xml:space="preserve">Gunung Raung menyemburkan abu, dilihat dari Selat Bali, Banyuwangi, 2015. Wikimedia Commons, consigliere ivan from Bontang, Indonesia, CC BY 2.0. https://commons.wikimedia.org/wiki/File:Eruption_of_Raung_Volcano_(2015)_from_Bali_strait_at_dawn.jpg</w:t>
            </w:r>
          </w:p>
        </w:tc>
      </w:tr>
      <w:tr>
        <w:trPr>
          <w:cantSplit/>
        </w:trPr>
        <w:tc>
          <w:tcPr>
            <w:tcW w:w="2381" w:type="dxa"/>
          </w:tcPr>
          <w:p>
            <w:pPr>
              <w:pStyle w:val="LabelBagian"/>
              <w:suppressAutoHyphens/>
              <w:spacing w:before="0" w:after="0"/>
            </w:pPr>
            <w:r>
              <w:t xml:space="preserve">CARA MENGUTIP</w:t>
            </w:r>
          </w:p>
        </w:tc>
        <w:tc>
          <w:tcPr>
            <w:tcW w:w="6973" w:type="dxa"/>
          </w:tcPr>
          <w:p>
            <w:pPr>
              <w:pStyle w:val="IsiTabel"/>
              <w:suppressAutoHyphens/>
              <w:spacing w:line="276" w:lineRule="auto"/>
            </w:pPr>
            <w:r>
              <w:rPr>
                <w:sz w:val="20"/>
                <w:szCs w:val="20"/>
              </w:rPr>
              <w:t xml:space="preserve">Badan Nasional Penanggulangan Bencana. (2026). </w:t>
            </w:r>
            <w:r>
              <w:rPr>
                <w:i/>
                <w:iCs/>
                <w:sz w:val="20"/>
                <w:szCs w:val="20"/>
              </w:rPr>
              <w:t xml:space="preserve">Grand Design Mitigasi Bencana Indonesia 2026–2030</w:t>
            </w:r>
            <w:r>
              <w:rPr>
                <w:sz w:val="20"/>
                <w:szCs w:val="20"/>
              </w:rPr>
              <w:t xml:space="preserve">. Badan Nasional Penanggulangan Bencana.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start="2"/>
          <w:cols w:space="708"/>
          <w:docGrid w:linePitch="360"/>
        </w:sectPr>
      </w:pPr>
    </w:p>
    <w:p>
      <w:pPr>
        <w:pStyle w:val="JudulDepan"/>
      </w:pPr>
      <w:bookmarkStart w:id="2" w:name="_Toc00002"/>
      <w:r>
        <w:t xml:space="preserve">KATA PENGANTAR</w:t>
      </w:r>
      <w:bookmarkEnd w:id="2"/>
    </w:p>
    <w:p>
      <w:pPr>
        <w:pStyle w:val="Isi"/>
      </w:pPr>
      <w:r>
        <w:t xml:space="preserve">Data dan Informasi Bencana Indonesia (DIBI) mencatat </w:t>
      </w:r>
      <w:r>
        <w:t xml:space="preserve">1.735</w:t>
      </w:r>
      <w:r>
        <w:t xml:space="preserve"> korban meninggal dan </w:t>
      </w:r>
      <w:r>
        <w:t xml:space="preserve">221</w:t>
      </w:r>
      <w:r>
        <w:t xml:space="preserve"> hilang akibat bencana alam pada 2025, tertinggi sejak 2018 </w:t>
      </w:r>
      <w:r>
        <w:t xml:space="preserve">(Badan Nasional Penanggulangan Bencana [BNPB], t.t.-a)</w:t>
      </w:r>
      <w:r>
        <w:t xml:space="preserve">. Satu rangkaian banjir dan tanah longsor di Aceh, Sumatera Utara, dan Sumatera Barat pada akhir November 2025 menyumbang </w:t>
      </w:r>
      <w:r>
        <w:t xml:space="preserve">1.202</w:t>
      </w:r>
      <w:r>
        <w:t xml:space="preserve"> meninggal dan </w:t>
      </w:r>
      <w:r>
        <w:t xml:space="preserve">140</w:t>
      </w:r>
      <w:r>
        <w:t xml:space="preserve"> hilang. Pada periode yang sama Indeks Risiko Bencana (IRB) nasional </w:t>
      </w:r>
      <w:r>
        <w:t xml:space="preserve">turun 10,76%</w:t>
      </w:r>
      <w:r>
        <w:t xml:space="preserve"> dari 2019 ke 2024 </w:t>
      </w:r>
      <w:r>
        <w:t xml:space="preserve">(BNPB, 2025e, hlm. 52)</w:t>
      </w:r>
      <w:r>
        <w:t xml:space="preserve">. Indeks yang turun tidak memberi tahu apakah korban turun, dan karena itu Grand Design ini memakai korban tercatat sebagai ukuran utama.</w:t>
      </w:r>
    </w:p>
    <w:p>
      <w:pPr>
        <w:pStyle w:val="Isi"/>
      </w:pPr>
      <w:r>
        <w:t xml:space="preserve">Grand Design Mitigasi Bencana Indonesia 2026–2030 disusun Badan Nasional Penanggulangan Bencana (BNPB) sebagai masukan peninjauan Rencana Nasional Penanggulangan Bencana (Renas PB) 2025–2029 yang ditetapkan dengan Perban BNPB 1/2025, dan sebagai penajaman Rencana Induk Penanggulangan Bencana 2020–2044 menurut Perpres 87/2020 </w:t>
      </w:r>
      <w:r>
        <w:t xml:space="preserve">(BNPB, 2025c; Republik Indonesia, 2020f)</w:t>
      </w:r>
      <w:r>
        <w:t xml:space="preserve">. Perubahan sasaran dan indikator Renas PB lewat peninjauan berkala paling lambat </w:t>
      </w:r>
      <w:r>
        <w:t xml:space="preserve">2027</w:t>
      </w:r>
      <w:r>
        <w:t xml:space="preserve">, sehingga rekomendasi kajian ini perlu termuat dalam evaluasi tahunan 2026. Program Penyusunan Peraturan BNPB 2026 memuat </w:t>
      </w:r>
      <w:r>
        <w:t xml:space="preserve">11</w:t>
      </w:r>
      <w:r>
        <w:t xml:space="preserve"> rancangan tanpa perubahan Renas PB </w:t>
      </w:r>
      <w:r>
        <w:t xml:space="preserve">(BNPB, 2025b)</w:t>
      </w:r>
      <w:r>
        <w:t xml:space="preserve">.</w:t>
      </w:r>
    </w:p>
    <w:p>
      <w:pPr>
        <w:pStyle w:val="Isi"/>
      </w:pPr>
      <w:r>
        <w:t xml:space="preserve">Kajian ini mencakup seluruh </w:t>
      </w:r>
      <w:r>
        <w:t xml:space="preserve">514</w:t>
      </w:r>
      <w:r>
        <w:t xml:space="preserve"> kab/kota dan semua jenis bencana yang diatur UU 24/2007 </w:t>
      </w:r>
      <w:r>
        <w:t xml:space="preserve">(Republik Indonesia, 2007)</w:t>
      </w:r>
      <w:r>
        <w:t xml:space="preserve">. Skenario terburuk per jenis tidak boleh lebih ringan daripada kejadian tercatat terburuk; untuk musim hujan 2026/2027, lantai itu adalah </w:t>
      </w:r>
      <w:r>
        <w:t xml:space="preserve">1.692</w:t>
      </w:r>
      <w:r>
        <w:t xml:space="preserve"> meninggal dan hilang pada musim 2025/2026.</w:t>
      </w:r>
    </w:p>
    <w:p>
      <w:pPr>
        <w:pStyle w:val="Isi"/>
      </w:pPr>
      <w:r>
        <w:t xml:space="preserve">Kajian ini mengajukan tiga keputusan yang diminta, yaitu KD-1, KD-2, dan KD-3, ditambah catatan metode Indeks Risiko Bencana Indonesia (IRBI) 2025 sebagai rekomendasi 100 hari. Tiga puluh enam rekomendasi dipetakan ke unit BNPB menurut Perban BNPB 6/2025 jo. 11/2025 </w:t>
      </w:r>
      <w:r>
        <w:t xml:space="preserve">(BNPB, 2025f, 2025d)</w:t>
      </w:r>
      <w:r>
        <w:t xml:space="preserve">. Saya menempatkan ketiga keputusan itu sebagai bahan rapat pimpinan BNPB pada November 2026, sebelum puncak musim hujan yang diprakirakan Badan Meteorologi, Klimatologi, dan Geofisika (BMKG) jatuh pada Desember 2026 di </w:t>
      </w:r>
      <w:r>
        <w:t xml:space="preserve">155 ZOM</w:t>
      </w:r>
      <w:r>
        <w:t xml:space="preserve"> </w:t>
      </w:r>
      <w:r>
        <w:t xml:space="preserve">(Badan Meteorologi, Klimatologi, dan Geofisika [BMKG], 2026c)</w:t>
      </w:r>
      <w:r>
        <w:t xml:space="preserve">.</w:t>
      </w:r>
    </w:p>
    <w:p>
      <w:pPr>
        <w:pStyle w:val="Isi"/>
      </w:pPr>
      <w:r>
        <w:t xml:space="preserve">Angka dalam kajian ini dibekukan per 23 Oktober 2026. Sumbernya adalah DIBI, IRBI, Kajian Risiko Bencana 2022–2026, Laporan Kinerja BNPB 2025, BMKG, Badan Pusat Statistik, serta peraturan yang dirujuk di tiap tabel dan gambar </w:t>
      </w:r>
      <w:r>
        <w:t xml:space="preserve">(BNPB, t.t.-a, t.t.-b, 2026j, 2026c)</w:t>
      </w:r>
      <w:r>
        <w:t xml:space="preserve">. Data yang belum terbuka, antara lain skenario korban resmi gempa dan tsunami serta seri kerusakan dan kerugian rencana rehabilitasi dan rekonstruksi, tercatat sebagai permintaan data kepada lembaga pemegangnya.</w:t>
      </w:r>
    </w:p>
    <w:p>
      <w:pPr>
        <w:pStyle w:val="Isi"/>
      </w:pPr>
      <w:r>
        <w:t xml:space="preserve">Jakarta, Oktober 2026</w:t>
      </w:r>
    </w:p>
    <w:p>
      <w:pPr>
        <w:pStyle w:val="IsiTemuan"/>
      </w:pPr>
      <w:r>
        <w:rPr>
          <w:b/>
          <w:bCs/>
          <w:color w:val="051C2C"/>
        </w:rPr>
        <w:t xml:space="preserve">Kepala Badan Nasional Penanggulangan Bencana</w:t>
      </w:r>
    </w:p>
    <w:p>
      <w:pPr>
        <w:pStyle w:val="Isi"/>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t xml:space="preserve">Letnan Jenderal TNI Kristomei Sianturi, S.Sos., M.Si., M.Si. (Han)</w:t>
      </w:r>
    </w:p>
    <w:p>
      <w:pPr>
        <w:pStyle w:val="JudulDaftarIsi"/>
      </w:pPr>
      <w:bookmarkStart w:id="3" w:name="_Toc00003"/>
      <w:r>
        <w:t xml:space="preserve">DAFTAR ISI</w:t>
      </w:r>
      <w:bookmarkEnd w:id="3"/>
    </w:p>
    <w:p>
      <w:pPr>
        <w:pStyle w:val="TOC1"/>
      </w:pPr>
      <w:r>
        <w:fldChar w:fldCharType="begin"/>
      </w:r>
      <w:r>
        <w:instrText xml:space="preserve"> TOC \o "1-3" \h \z \u </w:instrText>
      </w:r>
      <w:r>
        <w:fldChar w:fldCharType="separate"/>
      </w:r>
      <w:hyperlink w:anchor="_Toc00002" w:history="1">
        <w:r>
          <w:t xml:space="preserve">KATA PENGANTAR</w:t>
        </w:r>
        <w:r>
          <w:tab/>
        </w:r>
        <w:r>
          <w:t xml:space="preserve">iii</w:t>
        </w:r>
      </w:hyperlink>
    </w:p>
    <w:p>
      <w:pPr>
        <w:pStyle w:val="TOC1"/>
      </w:pPr>
      <w:hyperlink w:anchor="_Toc00004" w:history="1">
        <w:r>
          <w:t xml:space="preserve">RINGKASAN EKSEKUTIF</w:t>
        </w:r>
        <w:r>
          <w:tab/>
        </w:r>
        <w:r>
          <w:t xml:space="preserve">viii</w:t>
        </w:r>
      </w:hyperlink>
    </w:p>
    <w:p>
      <w:pPr>
        <w:pStyle w:val="TOC2"/>
      </w:pPr>
      <w:hyperlink w:anchor="_Toc00005" w:history="1">
        <w:r>
          <w:t xml:space="preserve">Keputusan yang Diminta dan Akibatnya</w:t>
        </w:r>
        <w:r>
          <w:tab/>
        </w:r>
        <w:r>
          <w:t xml:space="preserve">ix</w:t>
        </w:r>
      </w:hyperlink>
    </w:p>
    <w:p>
      <w:pPr>
        <w:pStyle w:val="TOC2"/>
      </w:pPr>
      <w:hyperlink w:anchor="_Toc00007" w:history="1">
        <w:r>
          <w:t xml:space="preserve">Ringkasan per Bab</w:t>
        </w:r>
        <w:r>
          <w:tab/>
        </w:r>
        <w:r>
          <w:t xml:space="preserve">xii</w:t>
        </w:r>
      </w:hyperlink>
    </w:p>
    <w:p>
      <w:pPr>
        <w:pStyle w:val="TOC2"/>
      </w:pPr>
      <w:hyperlink w:anchor="_Toc00008" w:history="1">
        <w:r>
          <w:t xml:space="preserve">Peta Risiko</w:t>
        </w:r>
        <w:r>
          <w:tab/>
        </w:r>
        <w:r>
          <w:t xml:space="preserve">xiii</w:t>
        </w:r>
      </w:hyperlink>
    </w:p>
    <w:p>
      <w:pPr>
        <w:pStyle w:val="TOC2"/>
      </w:pPr>
      <w:hyperlink w:anchor="_Toc00010" w:history="1">
        <w:r>
          <w:t xml:space="preserve">Tiga Risiko Teratas dan Tiga Kapasitas yang Sudah Ada</w:t>
        </w:r>
        <w:r>
          <w:tab/>
        </w:r>
        <w:r>
          <w:t xml:space="preserve">xiv</w:t>
        </w:r>
      </w:hyperlink>
    </w:p>
    <w:p>
      <w:pPr>
        <w:pStyle w:val="TOC2"/>
      </w:pPr>
      <w:hyperlink w:anchor="_Toc00012" w:history="1">
        <w:r>
          <w:t xml:space="preserve">Rencana Aksi Musim Hujan 2026/2027</w:t>
        </w:r>
        <w:r>
          <w:tab/>
        </w:r>
        <w:r>
          <w:t xml:space="preserve">xiv</w:t>
        </w:r>
      </w:hyperlink>
    </w:p>
    <w:p>
      <w:pPr>
        <w:pStyle w:val="TOC2"/>
      </w:pPr>
      <w:hyperlink w:anchor="_Toc00013" w:history="1">
        <w:r>
          <w:t xml:space="preserve">Perubahan yang Diusulkan terhadap Renas PB</w:t>
        </w:r>
        <w:r>
          <w:tab/>
        </w:r>
        <w:r>
          <w:t xml:space="preserve">xv</w:t>
        </w:r>
      </w:hyperlink>
    </w:p>
    <w:p>
      <w:pPr>
        <w:pStyle w:val="TOC2"/>
      </w:pPr>
      <w:hyperlink w:anchor="_Toc00015" w:history="1">
        <w:r>
          <w:t xml:space="preserve">Yang Belum Diketahui</w:t>
        </w:r>
        <w:r>
          <w:tab/>
        </w:r>
        <w:r>
          <w:t xml:space="preserve">xv</w:t>
        </w:r>
      </w:hyperlink>
    </w:p>
    <w:p>
      <w:pPr>
        <w:pStyle w:val="TOC1"/>
      </w:pPr>
      <w:hyperlink w:anchor="_Toc00016" w:history="1">
        <w:r>
          <w:t xml:space="preserve">DAFTAR TABEL</w:t>
        </w:r>
        <w:r>
          <w:tab/>
        </w:r>
        <w:r>
          <w:t xml:space="preserve">xvi</w:t>
        </w:r>
      </w:hyperlink>
    </w:p>
    <w:p>
      <w:pPr>
        <w:pStyle w:val="TOC1"/>
      </w:pPr>
      <w:hyperlink w:anchor="_Toc00017" w:history="1">
        <w:r>
          <w:t xml:space="preserve">DAFTAR GAMBAR</w:t>
        </w:r>
        <w:r>
          <w:tab/>
        </w:r>
        <w:r>
          <w:t xml:space="preserve">xxi</w:t>
        </w:r>
      </w:hyperlink>
    </w:p>
    <w:p>
      <w:pPr>
        <w:pStyle w:val="TOC1"/>
      </w:pPr>
      <w:hyperlink w:anchor="_Toc00018" w:history="1">
        <w:r>
          <w:t xml:space="preserve">DAFTAR LAMPIRAN</w:t>
        </w:r>
        <w:r>
          <w:tab/>
        </w:r>
        <w:r>
          <w:t xml:space="preserve">xxiii</w:t>
        </w:r>
      </w:hyperlink>
    </w:p>
    <w:p>
      <w:pPr>
        <w:pStyle w:val="TOC1"/>
      </w:pPr>
      <w:hyperlink w:anchor="_Toc00019" w:history="1">
        <w:r>
          <w:t xml:space="preserve">DAFTAR SINGKATAN</w:t>
        </w:r>
        <w:r>
          <w:tab/>
        </w:r>
        <w:r>
          <w:t xml:space="preserve">xxiv</w:t>
        </w:r>
      </w:hyperlink>
    </w:p>
    <w:p>
      <w:pPr>
        <w:pStyle w:val="TOC1"/>
      </w:pPr>
      <w:hyperlink w:anchor="_Toc00020" w:history="1">
        <w:r>
          <w:t xml:space="preserve">BAB 1</w:t>
        </w:r>
        <w:r>
          <w:tab/>
        </w:r>
        <w:r>
          <w:t xml:space="preserve">PENDAHULUAN</w:t>
        </w:r>
        <w:r>
          <w:tab/>
        </w:r>
        <w:r>
          <w:t xml:space="preserve">1</w:t>
        </w:r>
      </w:hyperlink>
    </w:p>
    <w:p>
      <w:pPr>
        <w:pStyle w:val="TOC2"/>
      </w:pPr>
      <w:hyperlink w:anchor="_Toc00022" w:history="1">
        <w:r>
          <w:t xml:space="preserve">1.1</w:t>
        </w:r>
        <w:r>
          <w:tab/>
        </w:r>
        <w:r>
          <w:t xml:space="preserve">Latar Belakang</w:t>
        </w:r>
        <w:r>
          <w:tab/>
        </w:r>
        <w:r>
          <w:t xml:space="preserve">2</w:t>
        </w:r>
      </w:hyperlink>
    </w:p>
    <w:p>
      <w:pPr>
        <w:pStyle w:val="TOC2"/>
      </w:pPr>
      <w:hyperlink w:anchor="_Toc00024" w:history="1">
        <w:r>
          <w:t xml:space="preserve">1.2</w:t>
        </w:r>
        <w:r>
          <w:tab/>
        </w:r>
        <w:r>
          <w:t xml:space="preserve">Posisi terhadap RIPB dan Renas PB</w:t>
        </w:r>
        <w:r>
          <w:tab/>
        </w:r>
        <w:r>
          <w:t xml:space="preserve">4</w:t>
        </w:r>
      </w:hyperlink>
    </w:p>
    <w:p>
      <w:pPr>
        <w:pStyle w:val="TOC2"/>
      </w:pPr>
      <w:hyperlink w:anchor="_Toc00026" w:history="1">
        <w:r>
          <w:t xml:space="preserve">1.3</w:t>
        </w:r>
        <w:r>
          <w:tab/>
        </w:r>
        <w:r>
          <w:t xml:space="preserve">Tujuan</w:t>
        </w:r>
        <w:r>
          <w:tab/>
        </w:r>
        <w:r>
          <w:t xml:space="preserve">5</w:t>
        </w:r>
      </w:hyperlink>
    </w:p>
    <w:p>
      <w:pPr>
        <w:pStyle w:val="TOC2"/>
      </w:pPr>
      <w:hyperlink w:anchor="_Toc00027" w:history="1">
        <w:r>
          <w:t xml:space="preserve">1.4</w:t>
        </w:r>
        <w:r>
          <w:tab/>
        </w:r>
        <w:r>
          <w:t xml:space="preserve">Lingkup, Taksonomi, dan Definisi Operasional</w:t>
        </w:r>
        <w:r>
          <w:tab/>
        </w:r>
        <w:r>
          <w:t xml:space="preserve">5</w:t>
        </w:r>
      </w:hyperlink>
    </w:p>
    <w:p>
      <w:pPr>
        <w:pStyle w:val="TOC2"/>
      </w:pPr>
      <w:hyperlink w:anchor="_Toc00029" w:history="1">
        <w:r>
          <w:t xml:space="preserve">1.5</w:t>
        </w:r>
        <w:r>
          <w:tab/>
        </w:r>
        <w:r>
          <w:t xml:space="preserve">Status Dokumen dan Jalur Adopsi</w:t>
        </w:r>
        <w:r>
          <w:tab/>
        </w:r>
        <w:r>
          <w:t xml:space="preserve">7</w:t>
        </w:r>
      </w:hyperlink>
    </w:p>
    <w:p>
      <w:pPr>
        <w:pStyle w:val="TOC2"/>
      </w:pPr>
      <w:hyperlink w:anchor="_Toc00030" w:history="1">
        <w:r>
          <w:t xml:space="preserve">1.6</w:t>
        </w:r>
        <w:r>
          <w:tab/>
        </w:r>
        <w:r>
          <w:t xml:space="preserve">Sistematika</w:t>
        </w:r>
        <w:r>
          <w:tab/>
        </w:r>
        <w:r>
          <w:t xml:space="preserve">8</w:t>
        </w:r>
      </w:hyperlink>
    </w:p>
    <w:p>
      <w:pPr>
        <w:pStyle w:val="TOC1"/>
      </w:pPr>
      <w:hyperlink w:anchor="_Toc00031" w:history="1">
        <w:r>
          <w:t xml:space="preserve">BAB 2</w:t>
        </w:r>
        <w:r>
          <w:tab/>
        </w:r>
        <w:r>
          <w:t xml:space="preserve">TINJAUAN PUSTAKA DAN KERANGKA KONSEPTUAL</w:t>
        </w:r>
        <w:r>
          <w:tab/>
        </w:r>
        <w:r>
          <w:t xml:space="preserve">9</w:t>
        </w:r>
      </w:hyperlink>
    </w:p>
    <w:p>
      <w:pPr>
        <w:pStyle w:val="TOC2"/>
      </w:pPr>
      <w:hyperlink w:anchor="_Toc00033" w:history="1">
        <w:r>
          <w:t xml:space="preserve">2.1</w:t>
        </w:r>
        <w:r>
          <w:tab/>
        </w:r>
        <w:r>
          <w:t xml:space="preserve">Risiko, Ketangguhan, dan Kerangka Sendai</w:t>
        </w:r>
        <w:r>
          <w:tab/>
        </w:r>
        <w:r>
          <w:t xml:space="preserve">10</w:t>
        </w:r>
      </w:hyperlink>
    </w:p>
    <w:p>
      <w:pPr>
        <w:pStyle w:val="TOC2"/>
      </w:pPr>
      <w:hyperlink w:anchor="_Toc00035" w:history="1">
        <w:r>
          <w:t xml:space="preserve">2.2</w:t>
        </w:r>
        <w:r>
          <w:tab/>
        </w:r>
        <w:r>
          <w:t xml:space="preserve">Kajian BNPB Terdahulu</w:t>
        </w:r>
        <w:r>
          <w:tab/>
        </w:r>
        <w:r>
          <w:t xml:space="preserve">12</w:t>
        </w:r>
      </w:hyperlink>
    </w:p>
    <w:p>
      <w:pPr>
        <w:pStyle w:val="TOC2"/>
      </w:pPr>
      <w:hyperlink w:anchor="_Toc00037" w:history="1">
        <w:r>
          <w:t xml:space="preserve">2.3</w:t>
        </w:r>
        <w:r>
          <w:tab/>
        </w:r>
        <w:r>
          <w:t xml:space="preserve">Regulasi Penanggulangan Bencana</w:t>
        </w:r>
        <w:r>
          <w:tab/>
        </w:r>
        <w:r>
          <w:t xml:space="preserve">15</w:t>
        </w:r>
      </w:hyperlink>
    </w:p>
    <w:p>
      <w:pPr>
        <w:pStyle w:val="TOC2"/>
      </w:pPr>
      <w:hyperlink w:anchor="_Toc00039" w:history="1">
        <w:r>
          <w:t xml:space="preserve">2.4</w:t>
        </w:r>
        <w:r>
          <w:tab/>
        </w:r>
        <w:r>
          <w:t xml:space="preserve">Kelembagaan</w:t>
        </w:r>
        <w:r>
          <w:tab/>
        </w:r>
        <w:r>
          <w:t xml:space="preserve">18</w:t>
        </w:r>
      </w:hyperlink>
    </w:p>
    <w:p>
      <w:pPr>
        <w:pStyle w:val="TOC2"/>
      </w:pPr>
      <w:hyperlink w:anchor="_Toc00040" w:history="1">
        <w:r>
          <w:t xml:space="preserve">2.5</w:t>
        </w:r>
        <w:r>
          <w:tab/>
        </w:r>
        <w:r>
          <w:t xml:space="preserve">Praktik Pembanding</w:t>
        </w:r>
        <w:r>
          <w:tab/>
        </w:r>
        <w:r>
          <w:t xml:space="preserve">18</w:t>
        </w:r>
      </w:hyperlink>
    </w:p>
    <w:p>
      <w:pPr>
        <w:pStyle w:val="TOC2"/>
      </w:pPr>
      <w:hyperlink w:anchor="_Toc00042" w:history="1">
        <w:r>
          <w:t xml:space="preserve">2.6</w:t>
        </w:r>
        <w:r>
          <w:tab/>
        </w:r>
        <w:r>
          <w:t xml:space="preserve">Metode Kerugian</w:t>
        </w:r>
        <w:r>
          <w:tab/>
        </w:r>
        <w:r>
          <w:t xml:space="preserve">21</w:t>
        </w:r>
      </w:hyperlink>
    </w:p>
    <w:p>
      <w:pPr>
        <w:pStyle w:val="TOC1"/>
      </w:pPr>
      <w:hyperlink w:anchor="_Toc00043" w:history="1">
        <w:r>
          <w:t xml:space="preserve">BAB 3</w:t>
        </w:r>
        <w:r>
          <w:tab/>
        </w:r>
        <w:r>
          <w:t xml:space="preserve">METODOLOGI</w:t>
        </w:r>
        <w:r>
          <w:tab/>
        </w:r>
        <w:r>
          <w:t xml:space="preserve">24</w:t>
        </w:r>
      </w:hyperlink>
    </w:p>
    <w:p>
      <w:pPr>
        <w:pStyle w:val="TOC2"/>
      </w:pPr>
      <w:hyperlink w:anchor="_Toc00045" w:history="1">
        <w:r>
          <w:t xml:space="preserve">3.1</w:t>
        </w:r>
        <w:r>
          <w:tab/>
        </w:r>
        <w:r>
          <w:t xml:space="preserve">Data, Produsen, dan Label Keyakinan</w:t>
        </w:r>
        <w:r>
          <w:tab/>
        </w:r>
        <w:r>
          <w:t xml:space="preserve">25</w:t>
        </w:r>
      </w:hyperlink>
    </w:p>
    <w:p>
      <w:pPr>
        <w:pStyle w:val="TOC2"/>
      </w:pPr>
      <w:hyperlink w:anchor="_Toc00048" w:history="1">
        <w:r>
          <w:t xml:space="preserve">3.2</w:t>
        </w:r>
        <w:r>
          <w:tab/>
        </w:r>
        <w:r>
          <w:t xml:space="preserve">IRBI: Patahan Skala 2025 dan Aturan Pakai</w:t>
        </w:r>
        <w:r>
          <w:tab/>
        </w:r>
        <w:r>
          <w:t xml:space="preserve">26</w:t>
        </w:r>
      </w:hyperlink>
    </w:p>
    <w:p>
      <w:pPr>
        <w:pStyle w:val="TOC2"/>
      </w:pPr>
      <w:hyperlink w:anchor="_Toc00050" w:history="1">
        <w:r>
          <w:t xml:space="preserve">3.3</w:t>
        </w:r>
        <w:r>
          <w:tab/>
        </w:r>
        <w:r>
          <w:t xml:space="preserve">DIBI: Cakupan, Patahan Seri, dan Batas Tafsir</w:t>
        </w:r>
        <w:r>
          <w:tab/>
        </w:r>
        <w:r>
          <w:t xml:space="preserve">27</w:t>
        </w:r>
      </w:hyperlink>
    </w:p>
    <w:p>
      <w:pPr>
        <w:pStyle w:val="TOC2"/>
      </w:pPr>
      <w:hyperlink w:anchor="_Toc00051" w:history="1">
        <w:r>
          <w:t xml:space="preserve">3.4</w:t>
        </w:r>
        <w:r>
          <w:tab/>
        </w:r>
        <w:r>
          <w:t xml:space="preserve">Skenario Terburuk yang Masuk Akal</w:t>
        </w:r>
        <w:r>
          <w:tab/>
        </w:r>
        <w:r>
          <w:t xml:space="preserve">28</w:t>
        </w:r>
      </w:hyperlink>
    </w:p>
    <w:p>
      <w:pPr>
        <w:pStyle w:val="TOC2"/>
      </w:pPr>
      <w:hyperlink w:anchor="_Toc00052" w:history="1">
        <w:r>
          <w:t xml:space="preserve">3.5</w:t>
        </w:r>
        <w:r>
          <w:tab/>
        </w:r>
        <w:r>
          <w:t xml:space="preserve">Kemungkinan dan Skala Dampak</w:t>
        </w:r>
        <w:r>
          <w:tab/>
        </w:r>
        <w:r>
          <w:t xml:space="preserve">29</w:t>
        </w:r>
      </w:hyperlink>
    </w:p>
    <w:p>
      <w:pPr>
        <w:pStyle w:val="TOC2"/>
      </w:pPr>
      <w:hyperlink w:anchor="_Toc00055" w:history="1">
        <w:r>
          <w:t xml:space="preserve">3.6</w:t>
        </w:r>
        <w:r>
          <w:tab/>
        </w:r>
        <w:r>
          <w:t xml:space="preserve">Tabel Kerusakan dan Matriks Ketersediaan Kuantifikasi</w:t>
        </w:r>
        <w:r>
          <w:tab/>
        </w:r>
        <w:r>
          <w:t xml:space="preserve">31</w:t>
        </w:r>
      </w:hyperlink>
    </w:p>
    <w:p>
      <w:pPr>
        <w:pStyle w:val="TOC2"/>
      </w:pPr>
      <w:hyperlink w:anchor="_Toc00057" w:history="1">
        <w:r>
          <w:t xml:space="preserve">3.7</w:t>
        </w:r>
        <w:r>
          <w:tab/>
        </w:r>
        <w:r>
          <w:t xml:space="preserve">Kerugian Materiil dan Imateriil</w:t>
        </w:r>
        <w:r>
          <w:tab/>
        </w:r>
        <w:r>
          <w:t xml:space="preserve">32</w:t>
        </w:r>
      </w:hyperlink>
    </w:p>
    <w:p>
      <w:pPr>
        <w:pStyle w:val="TOC2"/>
      </w:pPr>
      <w:hyperlink w:anchor="_Toc00059" w:history="1">
        <w:r>
          <w:t xml:space="preserve">3.8</w:t>
        </w:r>
        <w:r>
          <w:tab/>
        </w:r>
        <w:r>
          <w:t xml:space="preserve">Aturan Daftar Perhatian dan Provinsi Utama</w:t>
        </w:r>
        <w:r>
          <w:tab/>
        </w:r>
        <w:r>
          <w:t xml:space="preserve">33</w:t>
        </w:r>
      </w:hyperlink>
    </w:p>
    <w:p>
      <w:pPr>
        <w:pStyle w:val="TOC2"/>
      </w:pPr>
      <w:hyperlink w:anchor="_Toc00061" w:history="1">
        <w:r>
          <w:t xml:space="preserve">3.9</w:t>
        </w:r>
        <w:r>
          <w:tab/>
        </w:r>
        <w:r>
          <w:t xml:space="preserve">Rekonsiliasi Angka</w:t>
        </w:r>
        <w:r>
          <w:tab/>
        </w:r>
        <w:r>
          <w:t xml:space="preserve">34</w:t>
        </w:r>
      </w:hyperlink>
    </w:p>
    <w:p>
      <w:pPr>
        <w:pStyle w:val="TOC2"/>
      </w:pPr>
      <w:hyperlink w:anchor="_Toc00063" w:history="1">
        <w:r>
          <w:t xml:space="preserve">3.10</w:t>
        </w:r>
        <w:r>
          <w:tab/>
        </w:r>
        <w:r>
          <w:t xml:space="preserve">Keterbatasan</w:t>
        </w:r>
        <w:r>
          <w:tab/>
        </w:r>
        <w:r>
          <w:t xml:space="preserve">36</w:t>
        </w:r>
      </w:hyperlink>
    </w:p>
    <w:p>
      <w:pPr>
        <w:pStyle w:val="TOC1"/>
      </w:pPr>
      <w:hyperlink w:anchor="_Toc00064" w:history="1">
        <w:r>
          <w:t xml:space="preserve">BAB 4</w:t>
        </w:r>
        <w:r>
          <w:tab/>
        </w:r>
        <w:r>
          <w:t xml:space="preserve">HISTORI BENCANA INDONESIA</w:t>
        </w:r>
        <w:r>
          <w:tab/>
        </w:r>
        <w:r>
          <w:t xml:space="preserve">38</w:t>
        </w:r>
      </w:hyperlink>
    </w:p>
    <w:p>
      <w:pPr>
        <w:pStyle w:val="TOC2"/>
      </w:pPr>
      <w:hyperlink w:anchor="_Toc00066" w:history="1">
        <w:r>
          <w:t xml:space="preserve">4.1</w:t>
        </w:r>
        <w:r>
          <w:tab/>
        </w:r>
        <w:r>
          <w:t xml:space="preserve">Kejadian dan Dampak 2015–2026</w:t>
        </w:r>
        <w:r>
          <w:tab/>
        </w:r>
        <w:r>
          <w:t xml:space="preserve">39</w:t>
        </w:r>
      </w:hyperlink>
    </w:p>
    <w:p>
      <w:pPr>
        <w:pStyle w:val="TOC2"/>
      </w:pPr>
      <w:hyperlink w:anchor="_Toc00069" w:history="1">
        <w:r>
          <w:t xml:space="preserve">4.2</w:t>
        </w:r>
        <w:r>
          <w:tab/>
        </w:r>
        <w:r>
          <w:t xml:space="preserve">Kejadian Besar 1996–2025</w:t>
        </w:r>
        <w:r>
          <w:tab/>
        </w:r>
        <w:r>
          <w:t xml:space="preserve">41</w:t>
        </w:r>
      </w:hyperlink>
    </w:p>
    <w:p>
      <w:pPr>
        <w:pStyle w:val="TOC2"/>
      </w:pPr>
      <w:hyperlink w:anchor="_Toc00073" w:history="1">
        <w:r>
          <w:t xml:space="preserve">4.3</w:t>
        </w:r>
        <w:r>
          <w:tab/>
        </w:r>
        <w:r>
          <w:t xml:space="preserve">Pola Korban: Kejadian dan Korban Bergerak Berbeda</w:t>
        </w:r>
        <w:r>
          <w:tab/>
        </w:r>
        <w:r>
          <w:t xml:space="preserve">47</w:t>
        </w:r>
      </w:hyperlink>
    </w:p>
    <w:p>
      <w:pPr>
        <w:pStyle w:val="TOC2"/>
      </w:pPr>
      <w:hyperlink w:anchor="_Toc00074" w:history="1">
        <w:r>
          <w:t xml:space="preserve">4.4</w:t>
        </w:r>
        <w:r>
          <w:tab/>
        </w:r>
        <w:r>
          <w:t xml:space="preserve">Bencana Nonalam dan Sosial dalam Catatan</w:t>
        </w:r>
        <w:r>
          <w:tab/>
        </w:r>
        <w:r>
          <w:t xml:space="preserve">47</w:t>
        </w:r>
      </w:hyperlink>
    </w:p>
    <w:p>
      <w:pPr>
        <w:pStyle w:val="TOC2"/>
      </w:pPr>
      <w:hyperlink w:anchor="_Toc00075" w:history="1">
        <w:r>
          <w:t xml:space="preserve">4.5</w:t>
        </w:r>
        <w:r>
          <w:tab/>
        </w:r>
        <w:r>
          <w:t xml:space="preserve">Pelajaran dari Kejadian Besar</w:t>
        </w:r>
        <w:r>
          <w:tab/>
        </w:r>
        <w:r>
          <w:t xml:space="preserve">48</w:t>
        </w:r>
      </w:hyperlink>
    </w:p>
    <w:p>
      <w:pPr>
        <w:pStyle w:val="TOC1"/>
      </w:pPr>
      <w:hyperlink w:anchor="_Toc00077" w:history="1">
        <w:r>
          <w:t xml:space="preserve">BAB 5</w:t>
        </w:r>
        <w:r>
          <w:tab/>
        </w:r>
        <w:r>
          <w:t xml:space="preserve">PROFIL RISIKO NASIONAL</w:t>
        </w:r>
        <w:r>
          <w:tab/>
        </w:r>
        <w:r>
          <w:t xml:space="preserve">51</w:t>
        </w:r>
      </w:hyperlink>
    </w:p>
    <w:p>
      <w:pPr>
        <w:pStyle w:val="TOC2"/>
      </w:pPr>
      <w:hyperlink w:anchor="_Toc00079" w:history="1">
        <w:r>
          <w:t xml:space="preserve">5.1</w:t>
        </w:r>
        <w:r>
          <w:tab/>
        </w:r>
        <w:r>
          <w:t xml:space="preserve">Capaian IRB 2015–2024</w:t>
        </w:r>
        <w:r>
          <w:tab/>
        </w:r>
        <w:r>
          <w:t xml:space="preserve">52</w:t>
        </w:r>
      </w:hyperlink>
    </w:p>
    <w:p>
      <w:pPr>
        <w:pStyle w:val="TOC2"/>
      </w:pPr>
      <w:hyperlink w:anchor="_Toc00081" w:history="1">
        <w:r>
          <w:t xml:space="preserve">5.2</w:t>
        </w:r>
        <w:r>
          <w:tab/>
        </w:r>
        <w:r>
          <w:t xml:space="preserve">Potret IRBI 2025 per Bahaya</w:t>
        </w:r>
        <w:r>
          <w:tab/>
        </w:r>
        <w:r>
          <w:t xml:space="preserve">54</w:t>
        </w:r>
      </w:hyperlink>
    </w:p>
    <w:p>
      <w:pPr>
        <w:pStyle w:val="TOC2"/>
      </w:pPr>
      <w:hyperlink w:anchor="_Toc00085" w:history="1">
        <w:r>
          <w:t xml:space="preserve">5.3</w:t>
        </w:r>
        <w:r>
          <w:tab/>
        </w:r>
        <w:r>
          <w:t xml:space="preserve">Sebaran per Pulau</w:t>
        </w:r>
        <w:r>
          <w:tab/>
        </w:r>
        <w:r>
          <w:t xml:space="preserve">57</w:t>
        </w:r>
      </w:hyperlink>
    </w:p>
    <w:p>
      <w:pPr>
        <w:pStyle w:val="TOC2"/>
      </w:pPr>
      <w:hyperlink w:anchor="_Toc00087" w:history="1">
        <w:r>
          <w:t xml:space="preserve">5.4</w:t>
        </w:r>
        <w:r>
          <w:tab/>
        </w:r>
        <w:r>
          <w:t xml:space="preserve">Sebaran per Provinsi dan Provinsi Utama</w:t>
        </w:r>
        <w:r>
          <w:tab/>
        </w:r>
        <w:r>
          <w:t xml:space="preserve">58</w:t>
        </w:r>
      </w:hyperlink>
    </w:p>
    <w:p>
      <w:pPr>
        <w:pStyle w:val="TOC2"/>
      </w:pPr>
      <w:hyperlink w:anchor="_Toc00091" w:history="1">
        <w:r>
          <w:t xml:space="preserve">5.5</w:t>
        </w:r>
        <w:r>
          <w:tab/>
        </w:r>
        <w:r>
          <w:t xml:space="preserve">Daftar Perhatian Kab/Kota</w:t>
        </w:r>
        <w:r>
          <w:tab/>
        </w:r>
        <w:r>
          <w:t xml:space="preserve">61</w:t>
        </w:r>
      </w:hyperlink>
    </w:p>
    <w:p>
      <w:pPr>
        <w:pStyle w:val="TOC2"/>
      </w:pPr>
      <w:hyperlink w:anchor="_Toc00093" w:history="1">
        <w:r>
          <w:t xml:space="preserve">5.6</w:t>
        </w:r>
        <w:r>
          <w:tab/>
        </w:r>
        <w:r>
          <w:t xml:space="preserve">Kapasitas Daerah: Dua Ukuran</w:t>
        </w:r>
        <w:r>
          <w:tab/>
        </w:r>
        <w:r>
          <w:t xml:space="preserve">62</w:t>
        </w:r>
      </w:hyperlink>
    </w:p>
    <w:p>
      <w:pPr>
        <w:pStyle w:val="TOC2"/>
      </w:pPr>
      <w:hyperlink w:anchor="_Toc00096" w:history="1">
        <w:r>
          <w:t xml:space="preserve">5.7</w:t>
        </w:r>
        <w:r>
          <w:tab/>
        </w:r>
        <w:r>
          <w:t xml:space="preserve">Keterpaparan Penduduk dan Aset</w:t>
        </w:r>
        <w:r>
          <w:tab/>
        </w:r>
        <w:r>
          <w:t xml:space="preserve">64</w:t>
        </w:r>
      </w:hyperlink>
    </w:p>
    <w:p>
      <w:pPr>
        <w:pStyle w:val="TOC2"/>
      </w:pPr>
      <w:hyperlink w:anchor="_Toc00098" w:history="1">
        <w:r>
          <w:t xml:space="preserve">5.8</w:t>
        </w:r>
        <w:r>
          <w:tab/>
        </w:r>
        <w:r>
          <w:t xml:space="preserve">Penilaian Risiko Nasional Terbanding</w:t>
        </w:r>
        <w:r>
          <w:tab/>
        </w:r>
        <w:r>
          <w:t xml:space="preserve">65</w:t>
        </w:r>
      </w:hyperlink>
    </w:p>
    <w:p>
      <w:pPr>
        <w:pStyle w:val="TOC1"/>
      </w:pPr>
      <w:hyperlink w:anchor="_Toc00101" w:history="1">
        <w:r>
          <w:t xml:space="preserve">BAB 6</w:t>
        </w:r>
        <w:r>
          <w:tab/>
        </w:r>
        <w:r>
          <w:t xml:space="preserve">BENCANA GEOLOGI</w:t>
        </w:r>
        <w:r>
          <w:tab/>
        </w:r>
        <w:r>
          <w:t xml:space="preserve">70</w:t>
        </w:r>
      </w:hyperlink>
    </w:p>
    <w:p>
      <w:pPr>
        <w:pStyle w:val="TOC2"/>
      </w:pPr>
      <w:hyperlink w:anchor="_Toc00104" w:history="1">
        <w:r>
          <w:t xml:space="preserve">6.1</w:t>
        </w:r>
        <w:r>
          <w:tab/>
        </w:r>
        <w:r>
          <w:t xml:space="preserve">Gempa Bumi Megathrust</w:t>
        </w:r>
        <w:r>
          <w:tab/>
        </w:r>
        <w:r>
          <w:t xml:space="preserve">71</w:t>
        </w:r>
      </w:hyperlink>
    </w:p>
    <w:p>
      <w:pPr>
        <w:pStyle w:val="TOC3"/>
      </w:pPr>
      <w:hyperlink w:anchor="_Toc00105" w:history="1">
        <w:r>
          <w:t xml:space="preserve">6.1.1</w:t>
        </w:r>
        <w:r>
          <w:tab/>
        </w:r>
        <w:r>
          <w:t xml:space="preserve">Bahaya dan Status Resmi</w:t>
        </w:r>
        <w:r>
          <w:tab/>
        </w:r>
        <w:r>
          <w:t xml:space="preserve">71</w:t>
        </w:r>
      </w:hyperlink>
    </w:p>
    <w:p>
      <w:pPr>
        <w:pStyle w:val="TOC3"/>
      </w:pPr>
      <w:hyperlink w:anchor="_Toc00106" w:history="1">
        <w:r>
          <w:t xml:space="preserve">6.1.2</w:t>
        </w:r>
        <w:r>
          <w:tab/>
        </w:r>
        <w:r>
          <w:t xml:space="preserve">Skenario Platform dan Angka Tercatat</w:t>
        </w:r>
        <w:r>
          <w:tab/>
        </w:r>
        <w:r>
          <w:t xml:space="preserve">72</w:t>
        </w:r>
      </w:hyperlink>
    </w:p>
    <w:p>
      <w:pPr>
        <w:pStyle w:val="TOC2"/>
      </w:pPr>
      <w:hyperlink w:anchor="_Toc00110" w:history="1">
        <w:r>
          <w:t xml:space="preserve">6.2</w:t>
        </w:r>
        <w:r>
          <w:tab/>
        </w:r>
        <w:r>
          <w:t xml:space="preserve">Gempa Bumi Sesar Darat Dekat Permukiman</w:t>
        </w:r>
        <w:r>
          <w:tab/>
        </w:r>
        <w:r>
          <w:t xml:space="preserve">80</w:t>
        </w:r>
      </w:hyperlink>
    </w:p>
    <w:p>
      <w:pPr>
        <w:pStyle w:val="TOC2"/>
      </w:pPr>
      <w:hyperlink w:anchor="_Toc00113" w:history="1">
        <w:r>
          <w:t xml:space="preserve">6.3</w:t>
        </w:r>
        <w:r>
          <w:tab/>
        </w:r>
        <w:r>
          <w:t xml:space="preserve">Tsunami</w:t>
        </w:r>
        <w:r>
          <w:tab/>
        </w:r>
        <w:r>
          <w:t xml:space="preserve">84</w:t>
        </w:r>
      </w:hyperlink>
    </w:p>
    <w:p>
      <w:pPr>
        <w:pStyle w:val="TOC2"/>
      </w:pPr>
      <w:hyperlink w:anchor="_Toc00116" w:history="1">
        <w:r>
          <w:t xml:space="preserve">6.4</w:t>
        </w:r>
        <w:r>
          <w:tab/>
        </w:r>
        <w:r>
          <w:t xml:space="preserve">Gunung Api</w:t>
        </w:r>
        <w:r>
          <w:tab/>
        </w:r>
        <w:r>
          <w:t xml:space="preserve">88</w:t>
        </w:r>
      </w:hyperlink>
    </w:p>
    <w:p>
      <w:pPr>
        <w:pStyle w:val="TOC2"/>
      </w:pPr>
      <w:hyperlink w:anchor="_Toc00118" w:history="1">
        <w:r>
          <w:t xml:space="preserve">6.5</w:t>
        </w:r>
        <w:r>
          <w:tab/>
        </w:r>
        <w:r>
          <w:t xml:space="preserve">Gempa, Tsunami, dan Likuefaksi Majemuk</w:t>
        </w:r>
        <w:r>
          <w:tab/>
        </w:r>
        <w:r>
          <w:t xml:space="preserve">92</w:t>
        </w:r>
      </w:hyperlink>
    </w:p>
    <w:p>
      <w:pPr>
        <w:pStyle w:val="TOC2"/>
      </w:pPr>
      <w:hyperlink w:anchor="_Toc00121" w:history="1">
        <w:r>
          <w:t xml:space="preserve">6.6</w:t>
        </w:r>
        <w:r>
          <w:tab/>
        </w:r>
        <w:r>
          <w:t xml:space="preserve">Kesenjangan Spesifik dan Implikasi</w:t>
        </w:r>
        <w:r>
          <w:tab/>
        </w:r>
        <w:r>
          <w:t xml:space="preserve">96</w:t>
        </w:r>
      </w:hyperlink>
    </w:p>
    <w:p>
      <w:pPr>
        <w:pStyle w:val="TOC3"/>
      </w:pPr>
      <w:hyperlink w:anchor="_Toc00122" w:history="1">
        <w:r>
          <w:t xml:space="preserve">6.6.1</w:t>
        </w:r>
        <w:r>
          <w:tab/>
        </w:r>
        <w:r>
          <w:t xml:space="preserve">Tuas Penekan Korban</w:t>
        </w:r>
        <w:r>
          <w:tab/>
        </w:r>
        <w:r>
          <w:t xml:space="preserve">96</w:t>
        </w:r>
      </w:hyperlink>
    </w:p>
    <w:p>
      <w:pPr>
        <w:pStyle w:val="TOC3"/>
      </w:pPr>
      <w:hyperlink w:anchor="_Toc00125" w:history="1">
        <w:r>
          <w:t xml:space="preserve">6.6.2</w:t>
        </w:r>
        <w:r>
          <w:tab/>
        </w:r>
        <w:r>
          <w:t xml:space="preserve">Kesenjangan Data</w:t>
        </w:r>
        <w:r>
          <w:tab/>
        </w:r>
        <w:r>
          <w:t xml:space="preserve">98</w:t>
        </w:r>
      </w:hyperlink>
    </w:p>
    <w:p>
      <w:pPr>
        <w:pStyle w:val="TOC1"/>
      </w:pPr>
      <w:hyperlink w:anchor="_Toc00127" w:history="1">
        <w:r>
          <w:t xml:space="preserve">BAB 7</w:t>
        </w:r>
        <w:r>
          <w:tab/>
        </w:r>
        <w:r>
          <w:t xml:space="preserve">BENCANA HIDROMETEOROLOGI</w:t>
        </w:r>
        <w:r>
          <w:tab/>
        </w:r>
        <w:r>
          <w:t xml:space="preserve">100</w:t>
        </w:r>
      </w:hyperlink>
    </w:p>
    <w:p>
      <w:pPr>
        <w:pStyle w:val="TOC2"/>
      </w:pPr>
      <w:hyperlink w:anchor="_Toc00129" w:history="1">
        <w:r>
          <w:t xml:space="preserve">7.1</w:t>
        </w:r>
        <w:r>
          <w:tab/>
        </w:r>
        <w:r>
          <w:t xml:space="preserve">Banjir dan Banjir Bandang</w:t>
        </w:r>
        <w:r>
          <w:tab/>
        </w:r>
        <w:r>
          <w:t xml:space="preserve">101</w:t>
        </w:r>
      </w:hyperlink>
    </w:p>
    <w:p>
      <w:pPr>
        <w:pStyle w:val="TOC2"/>
      </w:pPr>
      <w:hyperlink w:anchor="_Toc00132" w:history="1">
        <w:r>
          <w:t xml:space="preserve">7.2</w:t>
        </w:r>
        <w:r>
          <w:tab/>
        </w:r>
        <w:r>
          <w:t xml:space="preserve">Tanah Longsor</w:t>
        </w:r>
        <w:r>
          <w:tab/>
        </w:r>
        <w:r>
          <w:t xml:space="preserve">105</w:t>
        </w:r>
      </w:hyperlink>
    </w:p>
    <w:p>
      <w:pPr>
        <w:pStyle w:val="TOC2"/>
      </w:pPr>
      <w:hyperlink w:anchor="_Toc00135" w:history="1">
        <w:r>
          <w:t xml:space="preserve">7.3</w:t>
        </w:r>
        <w:r>
          <w:tab/>
        </w:r>
        <w:r>
          <w:t xml:space="preserve">Cuaca Ekstrem</w:t>
        </w:r>
        <w:r>
          <w:tab/>
        </w:r>
        <w:r>
          <w:t xml:space="preserve">109</w:t>
        </w:r>
      </w:hyperlink>
    </w:p>
    <w:p>
      <w:pPr>
        <w:pStyle w:val="TOC2"/>
      </w:pPr>
      <w:hyperlink w:anchor="_Toc00138" w:history="1">
        <w:r>
          <w:t xml:space="preserve">7.4</w:t>
        </w:r>
        <w:r>
          <w:tab/>
        </w:r>
        <w:r>
          <w:t xml:space="preserve">Gelombang Ekstrem, Abrasi, dan Rob</w:t>
        </w:r>
        <w:r>
          <w:tab/>
        </w:r>
        <w:r>
          <w:t xml:space="preserve">112</w:t>
        </w:r>
      </w:hyperlink>
    </w:p>
    <w:p>
      <w:pPr>
        <w:pStyle w:val="TOC2"/>
      </w:pPr>
      <w:hyperlink w:anchor="_Toc00141" w:history="1">
        <w:r>
          <w:t xml:space="preserve">7.5</w:t>
        </w:r>
        <w:r>
          <w:tab/>
        </w:r>
        <w:r>
          <w:t xml:space="preserve">Kekeringan</w:t>
        </w:r>
        <w:r>
          <w:tab/>
        </w:r>
        <w:r>
          <w:t xml:space="preserve">116</w:t>
        </w:r>
      </w:hyperlink>
    </w:p>
    <w:p>
      <w:pPr>
        <w:pStyle w:val="TOC2"/>
      </w:pPr>
      <w:hyperlink w:anchor="_Toc00143" w:history="1">
        <w:r>
          <w:t xml:space="preserve">7.6</w:t>
        </w:r>
        <w:r>
          <w:tab/>
        </w:r>
        <w:r>
          <w:t xml:space="preserve">Kebakaran Hutan dan Lahan</w:t>
        </w:r>
        <w:r>
          <w:tab/>
        </w:r>
        <w:r>
          <w:t xml:space="preserve">120</w:t>
        </w:r>
      </w:hyperlink>
    </w:p>
    <w:p>
      <w:pPr>
        <w:pStyle w:val="TOC2"/>
      </w:pPr>
      <w:hyperlink w:anchor="_Toc00146" w:history="1">
        <w:r>
          <w:t xml:space="preserve">7.7</w:t>
        </w:r>
        <w:r>
          <w:tab/>
        </w:r>
        <w:r>
          <w:t xml:space="preserve">Kartu Agregat Musim Hujan</w:t>
        </w:r>
        <w:r>
          <w:tab/>
        </w:r>
        <w:r>
          <w:t xml:space="preserve">124</w:t>
        </w:r>
      </w:hyperlink>
    </w:p>
    <w:p>
      <w:pPr>
        <w:pStyle w:val="TOC2"/>
      </w:pPr>
      <w:hyperlink w:anchor="_Toc00151" w:history="1">
        <w:r>
          <w:t xml:space="preserve">7.8</w:t>
        </w:r>
        <w:r>
          <w:tab/>
        </w:r>
        <w:r>
          <w:t xml:space="preserve">Kartu Agregat Musim Kemarau</w:t>
        </w:r>
        <w:r>
          <w:tab/>
        </w:r>
        <w:r>
          <w:t xml:space="preserve">132</w:t>
        </w:r>
      </w:hyperlink>
    </w:p>
    <w:p>
      <w:pPr>
        <w:pStyle w:val="TOC2"/>
      </w:pPr>
      <w:hyperlink w:anchor="_Toc00152" w:history="1">
        <w:r>
          <w:t xml:space="preserve">7.9</w:t>
        </w:r>
        <w:r>
          <w:tab/>
        </w:r>
        <w:r>
          <w:t xml:space="preserve">Kepekaan Peringatan Dini</w:t>
        </w:r>
        <w:r>
          <w:tab/>
        </w:r>
        <w:r>
          <w:t xml:space="preserve">133</w:t>
        </w:r>
      </w:hyperlink>
    </w:p>
    <w:p>
      <w:pPr>
        <w:pStyle w:val="TOC2"/>
      </w:pPr>
      <w:hyperlink w:anchor="_Toc00154" w:history="1">
        <w:r>
          <w:t xml:space="preserve">7.10</w:t>
        </w:r>
        <w:r>
          <w:tab/>
        </w:r>
        <w:r>
          <w:t xml:space="preserve">Kesenjangan Spesifik dan Implikasi</w:t>
        </w:r>
        <w:r>
          <w:tab/>
        </w:r>
        <w:r>
          <w:t xml:space="preserve">135</w:t>
        </w:r>
      </w:hyperlink>
    </w:p>
    <w:p>
      <w:pPr>
        <w:pStyle w:val="TOC1"/>
      </w:pPr>
      <w:hyperlink w:anchor="_Toc00156" w:history="1">
        <w:r>
          <w:t xml:space="preserve">BAB 8</w:t>
        </w:r>
        <w:r>
          <w:tab/>
        </w:r>
        <w:r>
          <w:t xml:space="preserve">BENCANA NONALAM</w:t>
        </w:r>
        <w:r>
          <w:tab/>
        </w:r>
        <w:r>
          <w:t xml:space="preserve">137</w:t>
        </w:r>
      </w:hyperlink>
    </w:p>
    <w:p>
      <w:pPr>
        <w:pStyle w:val="TOC2"/>
      </w:pPr>
      <w:hyperlink w:anchor="_Toc00157" w:history="1">
        <w:r>
          <w:t xml:space="preserve">8.1</w:t>
        </w:r>
        <w:r>
          <w:tab/>
        </w:r>
        <w:r>
          <w:t xml:space="preserve">Epidemi dan Pandemi</w:t>
        </w:r>
        <w:r>
          <w:tab/>
        </w:r>
        <w:r>
          <w:t xml:space="preserve">138</w:t>
        </w:r>
      </w:hyperlink>
    </w:p>
    <w:p>
      <w:pPr>
        <w:pStyle w:val="TOC3"/>
      </w:pPr>
      <w:hyperlink w:anchor="_Toc00158" w:history="1">
        <w:r>
          <w:t xml:space="preserve">8.1.1</w:t>
        </w:r>
        <w:r>
          <w:tab/>
        </w:r>
        <w:r>
          <w:t xml:space="preserve">Penetapan Status Epidemi dan Status Bencana</w:t>
        </w:r>
        <w:r>
          <w:tab/>
        </w:r>
        <w:r>
          <w:t xml:space="preserve">138</w:t>
        </w:r>
      </w:hyperlink>
    </w:p>
    <w:p>
      <w:pPr>
        <w:pStyle w:val="TOC3"/>
      </w:pPr>
      <w:hyperlink w:anchor="_Toc00160" w:history="1">
        <w:r>
          <w:t xml:space="preserve">8.1.2</w:t>
        </w:r>
        <w:r>
          <w:tab/>
        </w:r>
        <w:r>
          <w:t xml:space="preserve">Analog Pandemi COVID-19</w:t>
        </w:r>
        <w:r>
          <w:tab/>
        </w:r>
        <w:r>
          <w:t xml:space="preserve">139</w:t>
        </w:r>
      </w:hyperlink>
    </w:p>
    <w:p>
      <w:pPr>
        <w:pStyle w:val="TOC2"/>
      </w:pPr>
      <w:hyperlink w:anchor="_Toc00164" w:history="1">
        <w:r>
          <w:t xml:space="preserve">8.2</w:t>
        </w:r>
        <w:r>
          <w:tab/>
        </w:r>
        <w:r>
          <w:t xml:space="preserve">Kebakaran Industri dan Kegagalan Teknologi</w:t>
        </w:r>
        <w:r>
          <w:tab/>
        </w:r>
        <w:r>
          <w:t xml:space="preserve">143</w:t>
        </w:r>
      </w:hyperlink>
    </w:p>
    <w:p>
      <w:pPr>
        <w:pStyle w:val="TOC3"/>
      </w:pPr>
      <w:hyperlink w:anchor="_Toc00165" w:history="1">
        <w:r>
          <w:t xml:space="preserve">8.2.1</w:t>
        </w:r>
        <w:r>
          <w:tab/>
        </w:r>
        <w:r>
          <w:t xml:space="preserve">Kejadian Analog dan Lingkup Kartu</w:t>
        </w:r>
        <w:r>
          <w:tab/>
        </w:r>
        <w:r>
          <w:t xml:space="preserve">143</w:t>
        </w:r>
      </w:hyperlink>
    </w:p>
    <w:p>
      <w:pPr>
        <w:pStyle w:val="TOC3"/>
      </w:pPr>
      <w:hyperlink w:anchor="_Toc00167" w:history="1">
        <w:r>
          <w:t xml:space="preserve">8.2.2</w:t>
        </w:r>
        <w:r>
          <w:tab/>
        </w:r>
        <w:r>
          <w:t xml:space="preserve">Rezim Keselamatan Industri dan Peran BNPB</w:t>
        </w:r>
        <w:r>
          <w:tab/>
        </w:r>
        <w:r>
          <w:t xml:space="preserve">145</w:t>
        </w:r>
      </w:hyperlink>
    </w:p>
    <w:p>
      <w:pPr>
        <w:pStyle w:val="TOC2"/>
      </w:pPr>
      <w:hyperlink w:anchor="_Toc00169" w:history="1">
        <w:r>
          <w:t xml:space="preserve">8.3</w:t>
        </w:r>
        <w:r>
          <w:tab/>
        </w:r>
        <w:r>
          <w:t xml:space="preserve">Kebakaran Tempat Pemrosesan Akhir Sampah</w:t>
        </w:r>
        <w:r>
          <w:tab/>
        </w:r>
        <w:r>
          <w:t xml:space="preserve">146</w:t>
        </w:r>
      </w:hyperlink>
    </w:p>
    <w:p>
      <w:pPr>
        <w:pStyle w:val="TOC3"/>
      </w:pPr>
      <w:hyperlink w:anchor="_Toc00170" w:history="1">
        <w:r>
          <w:t xml:space="preserve">8.3.1</w:t>
        </w:r>
        <w:r>
          <w:tab/>
        </w:r>
        <w:r>
          <w:t xml:space="preserve">Kebakaran pada Kemarau 2023 dan 2026</w:t>
        </w:r>
        <w:r>
          <w:tab/>
        </w:r>
        <w:r>
          <w:t xml:space="preserve">146</w:t>
        </w:r>
      </w:hyperlink>
    </w:p>
    <w:p>
      <w:pPr>
        <w:pStyle w:val="TOC3"/>
      </w:pPr>
      <w:hyperlink w:anchor="_Toc00172" w:history="1">
        <w:r>
          <w:t xml:space="preserve">8.3.2</w:t>
        </w:r>
        <w:r>
          <w:tab/>
        </w:r>
        <w:r>
          <w:t xml:space="preserve">Penutupan Pembuangan Terbuka dan Lini Pertama</w:t>
        </w:r>
        <w:r>
          <w:tab/>
        </w:r>
        <w:r>
          <w:t xml:space="preserve">147</w:t>
        </w:r>
      </w:hyperlink>
    </w:p>
    <w:p>
      <w:pPr>
        <w:pStyle w:val="TOC2"/>
      </w:pPr>
      <w:hyperlink w:anchor="_Toc00174" w:history="1">
        <w:r>
          <w:t xml:space="preserve">8.4</w:t>
        </w:r>
        <w:r>
          <w:tab/>
        </w:r>
        <w:r>
          <w:t xml:space="preserve">Kesenjangan Spesifik dan Implikasi</w:t>
        </w:r>
        <w:r>
          <w:tab/>
        </w:r>
        <w:r>
          <w:t xml:space="preserve">149</w:t>
        </w:r>
      </w:hyperlink>
    </w:p>
    <w:p>
      <w:pPr>
        <w:pStyle w:val="TOC1"/>
      </w:pPr>
      <w:hyperlink w:anchor="_Toc00175" w:history="1">
        <w:r>
          <w:t xml:space="preserve">BAB 9</w:t>
        </w:r>
        <w:r>
          <w:tab/>
        </w:r>
        <w:r>
          <w:t xml:space="preserve">BENCANA SOSIAL</w:t>
        </w:r>
        <w:r>
          <w:tab/>
        </w:r>
        <w:r>
          <w:t xml:space="preserve">151</w:t>
        </w:r>
      </w:hyperlink>
    </w:p>
    <w:p>
      <w:pPr>
        <w:pStyle w:val="TOC2"/>
      </w:pPr>
      <w:hyperlink w:anchor="_Toc00176" w:history="1">
        <w:r>
          <w:t xml:space="preserve">9.1</w:t>
        </w:r>
        <w:r>
          <w:tab/>
        </w:r>
        <w:r>
          <w:t xml:space="preserve">Definisi Operasional dan Batas Mandat</w:t>
        </w:r>
        <w:r>
          <w:tab/>
        </w:r>
        <w:r>
          <w:t xml:space="preserve">152</w:t>
        </w:r>
      </w:hyperlink>
    </w:p>
    <w:p>
      <w:pPr>
        <w:pStyle w:val="TOC2"/>
      </w:pPr>
      <w:hyperlink w:anchor="_Toc00178" w:history="1">
        <w:r>
          <w:t xml:space="preserve">9.2</w:t>
        </w:r>
        <w:r>
          <w:tab/>
        </w:r>
        <w:r>
          <w:t xml:space="preserve">Sebaran Konflik Antarkelompok</w:t>
        </w:r>
        <w:r>
          <w:tab/>
        </w:r>
        <w:r>
          <w:t xml:space="preserve">153</w:t>
        </w:r>
      </w:hyperlink>
    </w:p>
    <w:p>
      <w:pPr>
        <w:pStyle w:val="TOC2"/>
      </w:pPr>
      <w:hyperlink w:anchor="_Toc00180" w:history="1">
        <w:r>
          <w:t xml:space="preserve">9.3</w:t>
        </w:r>
        <w:r>
          <w:tab/>
        </w:r>
        <w:r>
          <w:t xml:space="preserve">Kejadian Analog</w:t>
        </w:r>
        <w:r>
          <w:tab/>
        </w:r>
        <w:r>
          <w:t xml:space="preserve">155</w:t>
        </w:r>
      </w:hyperlink>
    </w:p>
    <w:p>
      <w:pPr>
        <w:pStyle w:val="TOC2"/>
      </w:pPr>
      <w:hyperlink w:anchor="_Toc00182" w:history="1">
        <w:r>
          <w:t xml:space="preserve">9.4</w:t>
        </w:r>
        <w:r>
          <w:tab/>
        </w:r>
        <w:r>
          <w:t xml:space="preserve">Instrumen yang Belum Ada</w:t>
        </w:r>
        <w:r>
          <w:tab/>
        </w:r>
        <w:r>
          <w:t xml:space="preserve">159</w:t>
        </w:r>
      </w:hyperlink>
    </w:p>
    <w:p>
      <w:pPr>
        <w:pStyle w:val="TOC2"/>
      </w:pPr>
      <w:hyperlink w:anchor="_Toc00185" w:history="1">
        <w:r>
          <w:t xml:space="preserve">9.5</w:t>
        </w:r>
        <w:r>
          <w:tab/>
        </w:r>
        <w:r>
          <w:t xml:space="preserve">Implikasi</w:t>
        </w:r>
        <w:r>
          <w:tab/>
        </w:r>
        <w:r>
          <w:t xml:space="preserve">163</w:t>
        </w:r>
      </w:hyperlink>
    </w:p>
    <w:p>
      <w:pPr>
        <w:pStyle w:val="TOC1"/>
      </w:pPr>
      <w:hyperlink w:anchor="_Toc00186" w:history="1">
        <w:r>
          <w:t xml:space="preserve">BAB 10</w:t>
        </w:r>
        <w:r>
          <w:tab/>
        </w:r>
        <w:r>
          <w:t xml:space="preserve">ANALISIS KESENJANGAN SISTEM PENANGGULANGAN BENCANA</w:t>
        </w:r>
        <w:r>
          <w:tab/>
        </w:r>
        <w:r>
          <w:t xml:space="preserve">164</w:t>
        </w:r>
      </w:hyperlink>
    </w:p>
    <w:p>
      <w:pPr>
        <w:pStyle w:val="TOC2"/>
      </w:pPr>
      <w:hyperlink w:anchor="_Toc00188" w:history="1">
        <w:r>
          <w:t xml:space="preserve">10.1</w:t>
        </w:r>
        <w:r>
          <w:tab/>
        </w:r>
        <w:r>
          <w:t xml:space="preserve">Regulasi</w:t>
        </w:r>
        <w:r>
          <w:tab/>
        </w:r>
        <w:r>
          <w:t xml:space="preserve">165</w:t>
        </w:r>
      </w:hyperlink>
    </w:p>
    <w:p>
      <w:pPr>
        <w:pStyle w:val="TOC2"/>
      </w:pPr>
      <w:hyperlink w:anchor="_Toc00190" w:history="1">
        <w:r>
          <w:t xml:space="preserve">10.2</w:t>
        </w:r>
        <w:r>
          <w:tab/>
        </w:r>
        <w:r>
          <w:t xml:space="preserve">Kelembagaan dan Komando</w:t>
        </w:r>
        <w:r>
          <w:tab/>
        </w:r>
        <w:r>
          <w:t xml:space="preserve">170</w:t>
        </w:r>
      </w:hyperlink>
    </w:p>
    <w:p>
      <w:pPr>
        <w:pStyle w:val="TOC2"/>
      </w:pPr>
      <w:hyperlink w:anchor="_Toc00193" w:history="1">
        <w:r>
          <w:t xml:space="preserve">10.3</w:t>
        </w:r>
        <w:r>
          <w:tab/>
        </w:r>
        <w:r>
          <w:t xml:space="preserve">Data dan Peringatan Dini</w:t>
        </w:r>
        <w:r>
          <w:tab/>
        </w:r>
        <w:r>
          <w:t xml:space="preserve">173</w:t>
        </w:r>
      </w:hyperlink>
    </w:p>
    <w:p>
      <w:pPr>
        <w:pStyle w:val="TOC2"/>
      </w:pPr>
      <w:hyperlink w:anchor="_Toc00195" w:history="1">
        <w:r>
          <w:t xml:space="preserve">10.4</w:t>
        </w:r>
        <w:r>
          <w:tab/>
        </w:r>
        <w:r>
          <w:t xml:space="preserve">Kapasitas BPBD dan SPM</w:t>
        </w:r>
        <w:r>
          <w:tab/>
        </w:r>
        <w:r>
          <w:t xml:space="preserve">175</w:t>
        </w:r>
      </w:hyperlink>
    </w:p>
    <w:p>
      <w:pPr>
        <w:pStyle w:val="TOC2"/>
      </w:pPr>
      <w:hyperlink w:anchor="_Toc00196" w:history="1">
        <w:r>
          <w:t xml:space="preserve">10.5</w:t>
        </w:r>
        <w:r>
          <w:tab/>
        </w:r>
        <w:r>
          <w:t xml:space="preserve">Logistik</w:t>
        </w:r>
        <w:r>
          <w:tab/>
        </w:r>
        <w:r>
          <w:t xml:space="preserve">176</w:t>
        </w:r>
      </w:hyperlink>
    </w:p>
    <w:p>
      <w:pPr>
        <w:pStyle w:val="TOC2"/>
      </w:pPr>
      <w:hyperlink w:anchor="_Toc00197" w:history="1">
        <w:r>
          <w:t xml:space="preserve">10.6</w:t>
        </w:r>
        <w:r>
          <w:tab/>
        </w:r>
        <w:r>
          <w:t xml:space="preserve">Pembiayaan</w:t>
        </w:r>
        <w:r>
          <w:tab/>
        </w:r>
        <w:r>
          <w:t xml:space="preserve">177</w:t>
        </w:r>
      </w:hyperlink>
    </w:p>
    <w:p>
      <w:pPr>
        <w:pStyle w:val="TOC2"/>
      </w:pPr>
      <w:hyperlink w:anchor="_Toc00198" w:history="1">
        <w:r>
          <w:t xml:space="preserve">10.7</w:t>
        </w:r>
        <w:r>
          <w:tab/>
        </w:r>
        <w:r>
          <w:t xml:space="preserve">Rehabilitasi dan Rekonstruksi</w:t>
        </w:r>
        <w:r>
          <w:tab/>
        </w:r>
        <w:r>
          <w:t xml:space="preserve">177</w:t>
        </w:r>
      </w:hyperlink>
    </w:p>
    <w:p>
      <w:pPr>
        <w:pStyle w:val="TOC2"/>
      </w:pPr>
      <w:hyperlink w:anchor="_Toc00199" w:history="1">
        <w:r>
          <w:t xml:space="preserve">10.8</w:t>
        </w:r>
        <w:r>
          <w:tab/>
        </w:r>
        <w:r>
          <w:t xml:space="preserve">Kesenjangan Bukti</w:t>
        </w:r>
        <w:r>
          <w:tab/>
        </w:r>
        <w:r>
          <w:t xml:space="preserve">178</w:t>
        </w:r>
      </w:hyperlink>
    </w:p>
    <w:p>
      <w:pPr>
        <w:pStyle w:val="TOC2"/>
      </w:pPr>
      <w:hyperlink w:anchor="_Toc00201" w:history="1">
        <w:r>
          <w:t xml:space="preserve">10.9</w:t>
        </w:r>
        <w:r>
          <w:tab/>
        </w:r>
        <w:r>
          <w:t xml:space="preserve">Yang Sudah Berjalan dan Tidak Boleh Dikorbankan</w:t>
        </w:r>
        <w:r>
          <w:tab/>
        </w:r>
        <w:r>
          <w:t xml:space="preserve">180</w:t>
        </w:r>
      </w:hyperlink>
    </w:p>
    <w:p>
      <w:pPr>
        <w:pStyle w:val="TOC1"/>
      </w:pPr>
      <w:hyperlink w:anchor="_Toc00203" w:history="1">
        <w:r>
          <w:t xml:space="preserve">BAB 11</w:t>
        </w:r>
        <w:r>
          <w:tab/>
        </w:r>
        <w:r>
          <w:t xml:space="preserve">GRAND DESIGN MITIGASI 2026–2030</w:t>
        </w:r>
        <w:r>
          <w:tab/>
        </w:r>
        <w:r>
          <w:t xml:space="preserve">182</w:t>
        </w:r>
      </w:hyperlink>
    </w:p>
    <w:p>
      <w:pPr>
        <w:pStyle w:val="TOC2"/>
      </w:pPr>
      <w:hyperlink w:anchor="_Toc00205" w:history="1">
        <w:r>
          <w:t xml:space="preserve">11.1</w:t>
        </w:r>
        <w:r>
          <w:tab/>
        </w:r>
        <w:r>
          <w:t xml:space="preserve">Kerangka Program</w:t>
        </w:r>
        <w:r>
          <w:tab/>
        </w:r>
        <w:r>
          <w:t xml:space="preserve">183</w:t>
        </w:r>
      </w:hyperlink>
    </w:p>
    <w:p>
      <w:pPr>
        <w:pStyle w:val="TOC2"/>
      </w:pPr>
      <w:hyperlink w:anchor="_Toc00207" w:history="1">
        <w:r>
          <w:t xml:space="preserve">11.2</w:t>
        </w:r>
        <w:r>
          <w:tab/>
        </w:r>
        <w:r>
          <w:t xml:space="preserve">Sasaran 2029 dan Arah 2030</w:t>
        </w:r>
        <w:r>
          <w:tab/>
        </w:r>
        <w:r>
          <w:t xml:space="preserve">184</w:t>
        </w:r>
      </w:hyperlink>
    </w:p>
    <w:p>
      <w:pPr>
        <w:pStyle w:val="TOC2"/>
      </w:pPr>
      <w:hyperlink w:anchor="_Toc00210" w:history="1">
        <w:r>
          <w:t xml:space="preserve">11.3</w:t>
        </w:r>
        <w:r>
          <w:tab/>
        </w:r>
        <w:r>
          <w:t xml:space="preserve">Alur Langkah Penanggulangan</w:t>
        </w:r>
        <w:r>
          <w:tab/>
        </w:r>
        <w:r>
          <w:t xml:space="preserve">188</w:t>
        </w:r>
      </w:hyperlink>
    </w:p>
    <w:p>
      <w:pPr>
        <w:pStyle w:val="TOC2"/>
      </w:pPr>
      <w:hyperlink w:anchor="_Toc00213" w:history="1">
        <w:r>
          <w:t xml:space="preserve">11.4</w:t>
        </w:r>
        <w:r>
          <w:tab/>
        </w:r>
        <w:r>
          <w:t xml:space="preserve">Matriks Strategi Fase × Jenis Bencana</w:t>
        </w:r>
        <w:r>
          <w:tab/>
        </w:r>
        <w:r>
          <w:t xml:space="preserve">191</w:t>
        </w:r>
      </w:hyperlink>
    </w:p>
    <w:p>
      <w:pPr>
        <w:pStyle w:val="TOC2"/>
      </w:pPr>
      <w:hyperlink w:anchor="_Toc00215" w:history="1">
        <w:r>
          <w:t xml:space="preserve">11.5</w:t>
        </w:r>
        <w:r>
          <w:tab/>
        </w:r>
        <w:r>
          <w:t xml:space="preserve">Operasi Musiman: Kemarau dan Musim Hujan</w:t>
        </w:r>
        <w:r>
          <w:tab/>
        </w:r>
        <w:r>
          <w:t xml:space="preserve">193</w:t>
        </w:r>
      </w:hyperlink>
    </w:p>
    <w:p>
      <w:pPr>
        <w:pStyle w:val="TOC2"/>
      </w:pPr>
      <w:hyperlink w:anchor="_Toc00218" w:history="1">
        <w:r>
          <w:t xml:space="preserve">11.6</w:t>
        </w:r>
        <w:r>
          <w:tab/>
        </w:r>
        <w:r>
          <w:t xml:space="preserve">Rencana Aksi Musim Hujan 2026/2027 Tingkat Nasional dan Kesiapan Kemarau 2027</w:t>
        </w:r>
        <w:r>
          <w:tab/>
        </w:r>
        <w:r>
          <w:t xml:space="preserve">196</w:t>
        </w:r>
      </w:hyperlink>
    </w:p>
    <w:p>
      <w:pPr>
        <w:pStyle w:val="TOC2"/>
      </w:pPr>
      <w:hyperlink w:anchor="_Toc00220" w:history="1">
        <w:r>
          <w:t xml:space="preserve">11.7</w:t>
        </w:r>
        <w:r>
          <w:tab/>
        </w:r>
        <w:r>
          <w:t xml:space="preserve">Kebutuhan Respons dan Logistik per Wilayah</w:t>
        </w:r>
        <w:r>
          <w:tab/>
        </w:r>
        <w:r>
          <w:t xml:space="preserve">199</w:t>
        </w:r>
      </w:hyperlink>
    </w:p>
    <w:p>
      <w:pPr>
        <w:pStyle w:val="TOC2"/>
      </w:pPr>
      <w:hyperlink w:anchor="_Toc00222" w:history="1">
        <w:r>
          <w:t xml:space="preserve">11.8</w:t>
        </w:r>
        <w:r>
          <w:tab/>
        </w:r>
        <w:r>
          <w:t xml:space="preserve">Desa, Sekolah, dan Relawan</w:t>
        </w:r>
        <w:r>
          <w:tab/>
        </w:r>
        <w:r>
          <w:t xml:space="preserve">201</w:t>
        </w:r>
      </w:hyperlink>
    </w:p>
    <w:p>
      <w:pPr>
        <w:pStyle w:val="TOC2"/>
      </w:pPr>
      <w:hyperlink w:anchor="_Toc00223" w:history="1">
        <w:r>
          <w:t xml:space="preserve">11.9</w:t>
        </w:r>
        <w:r>
          <w:tab/>
        </w:r>
        <w:r>
          <w:t xml:space="preserve">Pemulihan per Instrumen</w:t>
        </w:r>
        <w:r>
          <w:tab/>
        </w:r>
        <w:r>
          <w:t xml:space="preserve">202</w:t>
        </w:r>
      </w:hyperlink>
    </w:p>
    <w:p>
      <w:pPr>
        <w:pStyle w:val="TOC2"/>
      </w:pPr>
      <w:hyperlink w:anchor="_Toc00224" w:history="1">
        <w:r>
          <w:t xml:space="preserve">11.10</w:t>
        </w:r>
        <w:r>
          <w:tab/>
        </w:r>
        <w:r>
          <w:t xml:space="preserve">Agenda Bukti 2026–2030</w:t>
        </w:r>
        <w:r>
          <w:tab/>
        </w:r>
        <w:r>
          <w:t xml:space="preserve">202</w:t>
        </w:r>
      </w:hyperlink>
    </w:p>
    <w:p>
      <w:pPr>
        <w:pStyle w:val="TOC1"/>
      </w:pPr>
      <w:hyperlink w:anchor="_Toc00228" w:history="1">
        <w:r>
          <w:t xml:space="preserve">BAB 12</w:t>
        </w:r>
        <w:r>
          <w:tab/>
        </w:r>
        <w:r>
          <w:t xml:space="preserve">KELEMBAGAAN, PEMBIAYAAN, DAN PETA JALAN</w:t>
        </w:r>
        <w:r>
          <w:tab/>
        </w:r>
        <w:r>
          <w:t xml:space="preserve">207</w:t>
        </w:r>
      </w:hyperlink>
    </w:p>
    <w:p>
      <w:pPr>
        <w:pStyle w:val="TOC2"/>
      </w:pPr>
      <w:hyperlink w:anchor="_Toc00230" w:history="1">
        <w:r>
          <w:t xml:space="preserve">12.1</w:t>
        </w:r>
        <w:r>
          <w:tab/>
        </w:r>
        <w:r>
          <w:t xml:space="preserve">Matriks Mandat Tertulis per Jenis dan Fase</w:t>
        </w:r>
        <w:r>
          <w:tab/>
        </w:r>
        <w:r>
          <w:t xml:space="preserve">208</w:t>
        </w:r>
      </w:hyperlink>
    </w:p>
    <w:p>
      <w:pPr>
        <w:pStyle w:val="TOC2"/>
      </w:pPr>
      <w:hyperlink w:anchor="_Toc00232" w:history="1">
        <w:r>
          <w:t xml:space="preserve">12.2</w:t>
        </w:r>
        <w:r>
          <w:tab/>
        </w:r>
        <w:r>
          <w:t xml:space="preserve">Usulan Penugasan dan Instrumen Penetapannya</w:t>
        </w:r>
        <w:r>
          <w:tab/>
        </w:r>
        <w:r>
          <w:t xml:space="preserve">210</w:t>
        </w:r>
      </w:hyperlink>
    </w:p>
    <w:p>
      <w:pPr>
        <w:pStyle w:val="TOC2"/>
      </w:pPr>
      <w:hyperlink w:anchor="_Toc00235" w:history="1">
        <w:r>
          <w:t xml:space="preserve">12.3</w:t>
        </w:r>
        <w:r>
          <w:tab/>
        </w:r>
        <w:r>
          <w:t xml:space="preserve">Forum Koordinasi dan Jalur Adopsi</w:t>
        </w:r>
        <w:r>
          <w:tab/>
        </w:r>
        <w:r>
          <w:t xml:space="preserve">212</w:t>
        </w:r>
      </w:hyperlink>
    </w:p>
    <w:p>
      <w:pPr>
        <w:pStyle w:val="TOC2"/>
      </w:pPr>
      <w:hyperlink w:anchor="_Toc00237" w:history="1">
        <w:r>
          <w:t xml:space="preserve">12.4</w:t>
        </w:r>
        <w:r>
          <w:tab/>
        </w:r>
        <w:r>
          <w:t xml:space="preserve">Yang Berubah dari Renas PB 2025–2029</w:t>
        </w:r>
        <w:r>
          <w:tab/>
        </w:r>
        <w:r>
          <w:t xml:space="preserve">213</w:t>
        </w:r>
      </w:hyperlink>
    </w:p>
    <w:p>
      <w:pPr>
        <w:pStyle w:val="TOC2"/>
      </w:pPr>
      <w:hyperlink w:anchor="_Toc00239" w:history="1">
        <w:r>
          <w:t xml:space="preserve">12.5</w:t>
        </w:r>
        <w:r>
          <w:tab/>
        </w:r>
        <w:r>
          <w:t xml:space="preserve">Profil Kerugian dan Arsitektur Pembiayaan</w:t>
        </w:r>
        <w:r>
          <w:tab/>
        </w:r>
        <w:r>
          <w:t xml:space="preserve">216</w:t>
        </w:r>
      </w:hyperlink>
    </w:p>
    <w:p>
      <w:pPr>
        <w:pStyle w:val="TOC2"/>
      </w:pPr>
      <w:hyperlink w:anchor="_Toc00242" w:history="1">
        <w:r>
          <w:t xml:space="preserve">12.6</w:t>
        </w:r>
        <w:r>
          <w:tab/>
        </w:r>
        <w:r>
          <w:t xml:space="preserve">Instrumen Hukum</w:t>
        </w:r>
        <w:r>
          <w:tab/>
        </w:r>
        <w:r>
          <w:t xml:space="preserve">220</w:t>
        </w:r>
      </w:hyperlink>
    </w:p>
    <w:p>
      <w:pPr>
        <w:pStyle w:val="TOC2"/>
      </w:pPr>
      <w:hyperlink w:anchor="_Toc00244" w:history="1">
        <w:r>
          <w:t xml:space="preserve">12.7</w:t>
        </w:r>
        <w:r>
          <w:tab/>
        </w:r>
        <w:r>
          <w:t xml:space="preserve">Peta Jalan</w:t>
        </w:r>
        <w:r>
          <w:tab/>
        </w:r>
        <w:r>
          <w:t xml:space="preserve">223</w:t>
        </w:r>
      </w:hyperlink>
    </w:p>
    <w:p>
      <w:pPr>
        <w:pStyle w:val="TOC2"/>
      </w:pPr>
      <w:hyperlink w:anchor="_Toc00246" w:history="1">
        <w:r>
          <w:t xml:space="preserve">12.8</w:t>
        </w:r>
        <w:r>
          <w:tab/>
        </w:r>
        <w:r>
          <w:t xml:space="preserve">Indikator Kinerja</w:t>
        </w:r>
        <w:r>
          <w:tab/>
        </w:r>
        <w:r>
          <w:t xml:space="preserve">223</w:t>
        </w:r>
      </w:hyperlink>
    </w:p>
    <w:p>
      <w:pPr>
        <w:pStyle w:val="TOC2"/>
      </w:pPr>
      <w:hyperlink w:anchor="_Toc00248" w:history="1">
        <w:r>
          <w:t xml:space="preserve">12.9</w:t>
        </w:r>
        <w:r>
          <w:tab/>
        </w:r>
        <w:r>
          <w:t xml:space="preserve">Pemantauan dan Pelaporan</w:t>
        </w:r>
        <w:r>
          <w:tab/>
        </w:r>
        <w:r>
          <w:t xml:space="preserve">225</w:t>
        </w:r>
      </w:hyperlink>
    </w:p>
    <w:p>
      <w:pPr>
        <w:pStyle w:val="TOC1"/>
      </w:pPr>
      <w:hyperlink w:anchor="_Toc00250" w:history="1">
        <w:r>
          <w:t xml:space="preserve">BAB 13</w:t>
        </w:r>
        <w:r>
          <w:tab/>
        </w:r>
        <w:r>
          <w:t xml:space="preserve">KESIMPULAN DAN REKOMENDASI</w:t>
        </w:r>
        <w:r>
          <w:tab/>
        </w:r>
        <w:r>
          <w:t xml:space="preserve">227</w:t>
        </w:r>
      </w:hyperlink>
    </w:p>
    <w:p>
      <w:pPr>
        <w:pStyle w:val="TOC2"/>
      </w:pPr>
      <w:hyperlink w:anchor="_Toc00252" w:history="1">
        <w:r>
          <w:t xml:space="preserve">13.1</w:t>
        </w:r>
        <w:r>
          <w:tab/>
        </w:r>
        <w:r>
          <w:t xml:space="preserve">Kesimpulan</w:t>
        </w:r>
        <w:r>
          <w:tab/>
        </w:r>
        <w:r>
          <w:t xml:space="preserve">228</w:t>
        </w:r>
      </w:hyperlink>
    </w:p>
    <w:p>
      <w:pPr>
        <w:pStyle w:val="TOC2"/>
      </w:pPr>
      <w:hyperlink w:anchor="_Toc00254" w:history="1">
        <w:r>
          <w:t xml:space="preserve">13.2</w:t>
        </w:r>
        <w:r>
          <w:tab/>
        </w:r>
        <w:r>
          <w:t xml:space="preserve">Keputusan yang Diminta dari Kepala BNPB</w:t>
        </w:r>
        <w:r>
          <w:tab/>
        </w:r>
        <w:r>
          <w:t xml:space="preserve">230</w:t>
        </w:r>
      </w:hyperlink>
    </w:p>
    <w:p>
      <w:pPr>
        <w:pStyle w:val="TOC2"/>
      </w:pPr>
      <w:hyperlink w:anchor="_Toc00256" w:history="1">
        <w:r>
          <w:t xml:space="preserve">13.3</w:t>
        </w:r>
        <w:r>
          <w:tab/>
        </w:r>
        <w:r>
          <w:t xml:space="preserve">Rekomendasi Internal BNPB</w:t>
        </w:r>
        <w:r>
          <w:tab/>
        </w:r>
        <w:r>
          <w:t xml:space="preserve">232</w:t>
        </w:r>
      </w:hyperlink>
    </w:p>
    <w:p>
      <w:pPr>
        <w:pStyle w:val="TOC2"/>
      </w:pPr>
      <w:hyperlink w:anchor="_Toc00259" w:history="1">
        <w:r>
          <w:t xml:space="preserve">13.4</w:t>
        </w:r>
        <w:r>
          <w:tab/>
        </w:r>
        <w:r>
          <w:t xml:space="preserve">Rekomendasi Lintas K/L</w:t>
        </w:r>
        <w:r>
          <w:tab/>
        </w:r>
        <w:r>
          <w:t xml:space="preserve">242</w:t>
        </w:r>
      </w:hyperlink>
    </w:p>
    <w:p>
      <w:pPr>
        <w:pStyle w:val="TOC2"/>
      </w:pPr>
      <w:hyperlink w:anchor="_Toc00261" w:history="1">
        <w:r>
          <w:t xml:space="preserve">13.5</w:t>
        </w:r>
        <w:r>
          <w:tab/>
        </w:r>
        <w:r>
          <w:t xml:space="preserve">Yang Sengaja Tidak Direkomendasikan</w:t>
        </w:r>
        <w:r>
          <w:tab/>
        </w:r>
        <w:r>
          <w:t xml:space="preserve">245</w:t>
        </w:r>
      </w:hyperlink>
    </w:p>
    <w:p>
      <w:pPr>
        <w:pStyle w:val="TOC2"/>
      </w:pPr>
      <w:hyperlink w:anchor="_Toc00263" w:history="1">
        <w:r>
          <w:t xml:space="preserve">13.6</w:t>
        </w:r>
        <w:r>
          <w:tab/>
        </w:r>
        <w:r>
          <w:t xml:space="preserve">Yang Belum Diketahui</w:t>
        </w:r>
        <w:r>
          <w:tab/>
        </w:r>
        <w:r>
          <w:t xml:space="preserve">247</w:t>
        </w:r>
      </w:hyperlink>
    </w:p>
    <w:p>
      <w:pPr>
        <w:pStyle w:val="TOC1"/>
      </w:pPr>
      <w:hyperlink w:anchor="_Toc00265" w:history="1">
        <w:r>
          <w:t xml:space="preserve">DAFTAR PUSTAKA</w:t>
        </w:r>
        <w:r>
          <w:tab/>
        </w:r>
        <w:r>
          <w:t xml:space="preserve">249</w:t>
        </w:r>
      </w:hyperlink>
    </w:p>
    <w:p>
      <w:pPr>
        <w:pStyle w:val="TOC1"/>
      </w:pPr>
      <w:hyperlink w:anchor="_Toc00266" w:history="1">
        <w:r>
          <w:t xml:space="preserve">LAMPIRAN</w:t>
        </w:r>
        <w:r>
          <w:tab/>
        </w:r>
        <w:r>
          <w:t xml:space="preserve">266</w:t>
        </w:r>
      </w:hyperlink>
    </w:p>
    <w:p>
      <w:pPr>
        <w:pStyle w:val="TOC1"/>
      </w:pPr>
      <w:hyperlink w:anchor="_Toc00267" w:history="1">
        <w:r>
          <w:t xml:space="preserve">Lampiran A. IRBI 2025 dan Daftar Perhatian per Kab/Kota</w:t>
        </w:r>
        <w:r>
          <w:tab/>
        </w:r>
        <w:r>
          <w:t xml:space="preserve">267</w:t>
        </w:r>
      </w:hyperlink>
    </w:p>
    <w:p>
      <w:pPr>
        <w:pStyle w:val="TOC1"/>
      </w:pPr>
      <w:hyperlink w:anchor="_Toc00271" w:history="1">
        <w:r>
          <w:t xml:space="preserve">Lampiran B. Profil Provinsi</w:t>
        </w:r>
        <w:r>
          <w:tab/>
        </w:r>
        <w:r>
          <w:t xml:space="preserve">313</w:t>
        </w:r>
      </w:hyperlink>
    </w:p>
    <w:p>
      <w:pPr>
        <w:pStyle w:val="TOC1"/>
      </w:pPr>
      <w:hyperlink w:anchor="_Toc00273" w:history="1">
        <w:r>
          <w:t xml:space="preserve">Lampiran C. Kartu Skenario dan Keluaran Model per Jenis</w:t>
        </w:r>
        <w:r>
          <w:tab/>
        </w:r>
        <w:r>
          <w:t xml:space="preserve">316</w:t>
        </w:r>
      </w:hyperlink>
    </w:p>
    <w:p>
      <w:pPr>
        <w:pStyle w:val="TOC2"/>
      </w:pPr>
      <w:hyperlink w:anchor="_Toc00275" w:history="1">
        <w:r>
          <w:t xml:space="preserve">C.1</w:t>
        </w:r>
        <w:r>
          <w:tab/>
        </w:r>
        <w:r>
          <w:t xml:space="preserve">Keluaran Model Geologi</w:t>
        </w:r>
        <w:r>
          <w:tab/>
        </w:r>
        <w:r>
          <w:t xml:space="preserve">317</w:t>
        </w:r>
      </w:hyperlink>
    </w:p>
    <w:p>
      <w:pPr>
        <w:pStyle w:val="TOC2"/>
      </w:pPr>
      <w:hyperlink w:anchor="_Toc00277" w:history="1">
        <w:r>
          <w:t xml:space="preserve">C.2</w:t>
        </w:r>
        <w:r>
          <w:tab/>
        </w:r>
        <w:r>
          <w:t xml:space="preserve">Keluaran Mesin Hidrometeorologi</w:t>
        </w:r>
        <w:r>
          <w:tab/>
        </w:r>
        <w:r>
          <w:t xml:space="preserve">320</w:t>
        </w:r>
      </w:hyperlink>
    </w:p>
    <w:p>
      <w:pPr>
        <w:pStyle w:val="TOC1"/>
      </w:pPr>
      <w:hyperlink w:anchor="_Toc00285" w:history="1">
        <w:r>
          <w:t xml:space="preserve">Lampiran D. Rekap DIBI dan Rekonsiliasi Kejadian</w:t>
        </w:r>
        <w:r>
          <w:tab/>
        </w:r>
        <w:r>
          <w:t xml:space="preserve">327</w:t>
        </w:r>
      </w:hyperlink>
    </w:p>
    <w:p>
      <w:pPr>
        <w:pStyle w:val="TOC1"/>
      </w:pPr>
      <w:hyperlink w:anchor="_Toc00289" w:history="1">
        <w:r>
          <w:t xml:space="preserve">Lampiran E. Matriks Regulasi dan Mandat Lembaga</w:t>
        </w:r>
        <w:r>
          <w:tab/>
        </w:r>
        <w:r>
          <w:t xml:space="preserve">329</w:t>
        </w:r>
      </w:hyperlink>
    </w:p>
    <w:p>
      <w:pPr>
        <w:pStyle w:val="TOC2"/>
      </w:pPr>
      <w:hyperlink w:anchor="_Toc00292" w:history="1">
        <w:r>
          <w:t xml:space="preserve">E.1</w:t>
        </w:r>
        <w:r>
          <w:tab/>
        </w:r>
        <w:r>
          <w:t xml:space="preserve">Matriks Mandat Lembaga Lengkap</w:t>
        </w:r>
        <w:r>
          <w:tab/>
        </w:r>
        <w:r>
          <w:t xml:space="preserve">333</w:t>
        </w:r>
      </w:hyperlink>
    </w:p>
    <w:p>
      <w:pPr>
        <w:pStyle w:val="TOC1"/>
      </w:pPr>
      <w:hyperlink w:anchor="_Toc00294" w:history="1">
        <w:r>
          <w:t xml:space="preserve">Lampiran F. Metode Simulasi, Asumsi, dan Ketersediaan Kuantifikasi</w:t>
        </w:r>
        <w:r>
          <w:tab/>
        </w:r>
        <w:r>
          <w:t xml:space="preserve">344</w:t>
        </w:r>
      </w:hyperlink>
    </w:p>
    <w:p>
      <w:pPr>
        <w:pStyle w:val="TOC2"/>
      </w:pPr>
      <w:hyperlink w:anchor="_Toc00295" w:history="1">
        <w:r>
          <w:t xml:space="preserve">F.1</w:t>
        </w:r>
        <w:r>
          <w:tab/>
        </w:r>
        <w:r>
          <w:t xml:space="preserve">Asumsi Model dan Kartu</w:t>
        </w:r>
        <w:r>
          <w:tab/>
        </w:r>
        <w:r>
          <w:t xml:space="preserve">344</w:t>
        </w:r>
      </w:hyperlink>
    </w:p>
    <w:p>
      <w:pPr>
        <w:pStyle w:val="TOC2"/>
      </w:pPr>
      <w:hyperlink w:anchor="_Toc00297" w:history="1">
        <w:r>
          <w:t xml:space="preserve">F.2</w:t>
        </w:r>
        <w:r>
          <w:tab/>
        </w:r>
        <w:r>
          <w:t xml:space="preserve">Kepekaan Model Gempa</w:t>
        </w:r>
        <w:r>
          <w:tab/>
        </w:r>
        <w:r>
          <w:t xml:space="preserve">345</w:t>
        </w:r>
      </w:hyperlink>
    </w:p>
    <w:p>
      <w:pPr>
        <w:pStyle w:val="TOC2"/>
      </w:pPr>
      <w:hyperlink w:anchor="_Toc00299" w:history="1">
        <w:r>
          <w:t xml:space="preserve">F.3</w:t>
        </w:r>
        <w:r>
          <w:tab/>
        </w:r>
        <w:r>
          <w:t xml:space="preserve">Celah Data yang Tertutup</w:t>
        </w:r>
        <w:r>
          <w:tab/>
        </w:r>
        <w:r>
          <w:t xml:space="preserve">346</w:t>
        </w:r>
      </w:hyperlink>
    </w:p>
    <w:p>
      <w:pPr>
        <w:pStyle w:val="TOC1"/>
      </w:pPr>
      <w:hyperlink w:anchor="_Toc00301" w:history="1">
        <w:r>
          <w:t xml:space="preserve">Lampiran G. Rekonsiliasi Angka</w:t>
        </w:r>
        <w:r>
          <w:tab/>
        </w:r>
        <w:r>
          <w:t xml:space="preserve">348</w:t>
        </w:r>
      </w:hyperlink>
    </w:p>
    <w:p>
      <w:pPr>
        <w:pStyle w:val="TOC1"/>
      </w:pPr>
      <w:hyperlink w:anchor="_Toc00303" w:history="1">
        <w:r>
          <w:t xml:space="preserve">Lampiran H. Katalog Program dan Kekuatan Bukti</w:t>
        </w:r>
        <w:r>
          <w:tab/>
        </w:r>
        <w:r>
          <w:t xml:space="preserve">350</w:t>
        </w:r>
      </w:hyperlink>
    </w:p>
    <w:p>
      <w:pPr>
        <w:pStyle w:val="TOC1"/>
      </w:pPr>
      <w:hyperlink w:anchor="_Toc00305" w:history="1">
        <w:r>
          <w:t xml:space="preserve">Lampiran I. Register Rekomendasi dan Tabel Silang Kajian Ketahanan Air</w:t>
        </w:r>
        <w:r>
          <w:tab/>
        </w:r>
        <w:r>
          <w:t xml:space="preserve">353</w:t>
        </w:r>
      </w:hyperlink>
    </w:p>
    <w:p>
      <w:pPr>
        <w:pStyle w:val="TOC1"/>
      </w:pPr>
      <w:hyperlink w:anchor="_Toc00308" w:history="1">
        <w:r>
          <w:t xml:space="preserve">Lampiran J. Penyelarasan Dokumen BNPB</w:t>
        </w:r>
        <w:r>
          <w:tab/>
        </w:r>
        <w:r>
          <w:t xml:space="preserve">358</w:t>
        </w:r>
      </w:hyperlink>
    </w:p>
    <w:p>
      <w:pPr>
        <w:pStyle w:val="TOC1"/>
      </w:pPr>
      <w:hyperlink w:anchor="_Toc00310" w:history="1">
        <w:r>
          <w:t xml:space="preserve">Lampiran K. Glosarium</w:t>
        </w:r>
        <w:r>
          <w:tab/>
        </w:r>
        <w:r>
          <w:t xml:space="preserve">360</w:t>
        </w:r>
      </w:hyperlink>
    </w:p>
    <w:p>
      <w:pPr>
        <w:pStyle w:val="TOC1"/>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312" w:history="1">
        <w:r>
          <w:t xml:space="preserve">Lampiran L. Atribusi Foto</w:t>
        </w:r>
        <w:r>
          <w:tab/>
        </w:r>
        <w:r>
          <w:t xml:space="preserve">363</w:t>
        </w:r>
      </w:hyperlink>
      <w:r>
        <w:fldChar w:fldCharType="end"/>
      </w:r>
    </w:p>
    <w:p>
      <w:pPr>
        <w:pStyle w:val="JudulDepan"/>
      </w:pPr>
      <w:bookmarkStart w:id="4" w:name="_Toc00004"/>
      <w:r>
        <w:t xml:space="preserve">RINGKASAN EKSEKUTIF</w:t>
      </w:r>
      <w:bookmarkEnd w:id="4"/>
    </w:p>
    <w:p>
      <w:pPr>
        <w:pStyle w:val="Isi"/>
      </w:pPr>
      <w:r>
        <w:t xml:space="preserve">Pada 2025 DIBI mencatat 1.735 korban meninggal dan 221 hilang akibat bencana alam, tertinggi sejak 2018, dengan 1.202 meninggal dan 140 hilang dalam satu rangkaian banjir dan longsor di Aceh, Sumatera Utara, dan Sumatera Barat pada akhir November 2025; Grand Design 2026–2030 menetapkan indikator korban Renas PB 1.a dan 1.b, yang langsung terukur dari DIBI, sebagai sasaran utama sampai catatan metode IRBI 2025 diterbitkan.</w:t>
      </w:r>
    </w:p>
    <w:p>
      <w:pPr>
        <w:pStyle w:val="Isi"/>
      </w:pPr>
      <w:r>
        <w:rPr>
          <w:b/>
          <w:bCs/>
          <w:color w:val="051C2C"/>
        </w:rPr>
        <w:t xml:space="preserve">Temuan A.1: </w:t>
      </w:r>
      <w:r>
        <w:t xml:space="preserve">1.735</w:t>
      </w:r>
      <w:r>
        <w:t xml:space="preserve"> meninggal dan </w:t>
      </w:r>
      <w:r>
        <w:t xml:space="preserve">221</w:t>
      </w:r>
      <w:r>
        <w:t xml:space="preserve"> hilang akibat bencana alam pada 2025, </w:t>
      </w:r>
      <w:r>
        <w:t xml:space="preserve">3,1</w:t>
      </w:r>
      <w:r>
        <w:t xml:space="preserve"> kali proyeksi Renas PB 1.a, padahal Indeks Risiko Bencana (IRB) nasional </w:t>
      </w:r>
      <w:r>
        <w:t xml:space="preserve">turun 10,76%</w:t>
      </w:r>
      <w:r>
        <w:t xml:space="preserve"> dari 2019 ke 2024. Capaian indeks tidak memberi tahu apakah korban turun. (Resmi, Bab 1, Bab 4, dan Bab 5)</w:t>
      </w:r>
    </w:p>
    <w:p>
      <w:pPr>
        <w:pStyle w:val="Isi"/>
      </w:pPr>
      <w:r>
        <w:rPr>
          <w:b/>
          <w:bCs/>
          <w:color w:val="051C2C"/>
        </w:rPr>
        <w:t xml:space="preserve">Temuan A.2: </w:t>
      </w:r>
      <w:r>
        <w:t xml:space="preserve">1.692</w:t>
      </w:r>
      <w:r>
        <w:t xml:space="preserve"> meninggal dan hilang pada musim hujan 2025/2026 menjadi lantai Rencana Aksi Musim Hujan 2026/2027. (Resmi, Bab 7 dan Bab 11)</w:t>
      </w:r>
    </w:p>
    <w:p>
      <w:pPr>
        <w:pStyle w:val="Isi"/>
      </w:pPr>
      <w:r>
        <w:rPr>
          <w:b/>
          <w:bCs/>
          <w:color w:val="051C2C"/>
        </w:rPr>
        <w:t xml:space="preserve">Temuan A.3: </w:t>
      </w:r>
      <w:r>
        <w:t xml:space="preserve">5</w:t>
      </w:r>
      <w:r>
        <w:t xml:space="preserve"> dari </w:t>
      </w:r>
      <w:r>
        <w:t xml:space="preserve">15</w:t>
      </w:r>
      <w:r>
        <w:t xml:space="preserve"> jenis bencana berkelas dampak tertinggi pada aspek kependudukan. Megathrust Jawa berpeluang lima tahun </w:t>
      </w:r>
      <w:r>
        <w:t xml:space="preserve">0,83%</w:t>
      </w:r>
      <w:r>
        <w:t xml:space="preserve">, tetapi rencana kontinjensi megathrust nasional tidak ditemukan. (Asumsi kebijakan, Bab 5, Bab 6, Bab 8, dan Bab 9)</w:t>
      </w:r>
    </w:p>
    <w:p>
      <w:pPr>
        <w:pStyle w:val="Isi"/>
      </w:pPr>
      <w:r>
        <w:rPr>
          <w:b/>
          <w:bCs/>
          <w:color w:val="051C2C"/>
        </w:rPr>
        <w:t xml:space="preserve">Temuan B.1: </w:t>
      </w:r>
      <w:r>
        <w:t xml:space="preserve">169</w:t>
      </w:r>
      <w:r>
        <w:t xml:space="preserve"> kab/kota berstatus Tinggi pada IRBI 2025, sedangkan </w:t>
      </w:r>
      <w:r>
        <w:t xml:space="preserve">47,2%</w:t>
      </w:r>
      <w:r>
        <w:t xml:space="preserve"> kejadian tercatat 2015–2025 berada di Jawa. (Asumsi kebijakan, Bab 5 dan Bab 12)</w:t>
      </w:r>
    </w:p>
    <w:p>
      <w:pPr>
        <w:pStyle w:val="Isi"/>
      </w:pPr>
      <w:r>
        <w:rPr>
          <w:b/>
          <w:bCs/>
          <w:color w:val="051C2C"/>
        </w:rPr>
        <w:t xml:space="preserve">Temuan B.2: </w:t>
      </w:r>
      <w:r>
        <w:t xml:space="preserve">50%</w:t>
      </w:r>
      <w:r>
        <w:t xml:space="preserve"> provinsi berkapasitas minimal sedang pada 2025, di bawah target </w:t>
      </w:r>
      <w:r>
        <w:t xml:space="preserve">67%</w:t>
      </w:r>
      <w:r>
        <w:t xml:space="preserve">. Dengan penyebut kab/kota, capaiannya </w:t>
      </w:r>
      <w:r>
        <w:t xml:space="preserve">56,2%</w:t>
      </w:r>
      <w:r>
        <w:t xml:space="preserve"> menurut Indeks Ketahanan Daerah (IKD) 2025. (Resmi, Bab 5, Bab 10, dan Bab 11)</w:t>
      </w:r>
    </w:p>
    <w:p>
      <w:pPr>
        <w:pStyle w:val="Isi"/>
      </w:pPr>
      <w:r>
        <w:rPr>
          <w:b/>
          <w:bCs/>
          <w:color w:val="051C2C"/>
        </w:rPr>
        <w:t xml:space="preserve">Temuan C.1: </w:t>
      </w:r>
      <w:r>
        <w:t xml:space="preserve">Target peringatan dini Renstra BNPB naik </w:t>
      </w:r>
      <w:r>
        <w:t xml:space="preserve">0,22</w:t>
      </w:r>
      <w:r>
        <w:t xml:space="preserve"> poin persen sampai 2029, Renas PB 1.c naik </w:t>
      </w:r>
      <w:r>
        <w:t xml:space="preserve">4,7</w:t>
      </w:r>
      <w:r>
        <w:t xml:space="preserve"> kali. (Resmi, Bab 10 dan Bab 11)</w:t>
      </w:r>
    </w:p>
    <w:p>
      <w:pPr>
        <w:pStyle w:val="Isi"/>
      </w:pPr>
      <w:r>
        <w:rPr>
          <w:b/>
          <w:bCs/>
          <w:color w:val="051C2C"/>
        </w:rPr>
        <w:t xml:space="preserve">Temuan C.2: </w:t>
      </w:r>
      <w:r>
        <w:t xml:space="preserve">Peraturan presiden tentang penetapan status dan tingkatan bencana belum ada, padahal Mahkamah Konstitusi menempatkan jumlah korban sebagai indikator wajib. Badan Pemeriksa Keuangan (BPK) mencatat </w:t>
      </w:r>
      <w:r>
        <w:t xml:space="preserve">6</w:t>
      </w:r>
      <w:r>
        <w:t xml:space="preserve"> peraturan pelaksana belum disahkan. (Resmi, Bab 10 dan Bab 12)</w:t>
      </w:r>
    </w:p>
    <w:p>
      <w:pPr>
        <w:pStyle w:val="Isi"/>
      </w:pPr>
      <w:r>
        <w:rPr>
          <w:b/>
          <w:bCs/>
          <w:color w:val="051C2C"/>
        </w:rPr>
        <w:t xml:space="preserve">Temuan C.3: </w:t>
      </w:r>
      <w:r>
        <w:t xml:space="preserve">24</w:t>
      </w:r>
      <w:r>
        <w:t xml:space="preserve"> dari </w:t>
      </w:r>
      <w:r>
        <w:t xml:space="preserve">39</w:t>
      </w:r>
      <w:r>
        <w:t xml:space="preserve"> sel fase dan jenis bencana tidak punya program berbukti kuat atau sedang, dan tidak satu pun program dalam negeri berbukti kuat. (Asumsi kebijakan, Bab 10 dan Bab 11)</w:t>
      </w:r>
    </w:p>
    <w:p>
      <w:pPr>
        <w:pStyle w:val="Isi"/>
      </w:pPr>
      <w:r>
        <w:rPr>
          <w:b/>
          <w:bCs/>
          <w:color w:val="051C2C"/>
        </w:rPr>
        <w:t xml:space="preserve">Keputusan yang diminta: </w:t>
      </w:r>
      <w:r>
        <w:t xml:space="preserve">KD-1 menetapkan kajian ini sebagai masukan peninjauan Renas PB 2025–2029 dan menetapkan hari ke-0 peta jalan. KD-2 menyelaraskan target cakupan peringatan dini Renstra BNPB dan Renas PB, dan KD-3 memilih penyebut alat ukur kapasitas daerah. Catatan metode IRBI 2025 (KD-4) diajukan sebagai rekomendasi 100 hari.</w:t>
      </w:r>
    </w:p>
    <w:p>
      <w:r>
        <w:br w:type="page"/>
      </w:r>
    </w:p>
    <w:p>
      <w:pPr>
        <w:pStyle w:val="Heading2"/>
      </w:pPr>
      <w:bookmarkStart w:id="5" w:name="_Toc00005"/>
      <w:r>
        <w:t xml:space="preserve">Keputusan yang Diminta dan Akibatnya</w:t>
      </w:r>
      <w:bookmarkEnd w:id="5"/>
    </w:p>
    <w:p>
      <w:pPr>
        <w:pStyle w:val="IsiTemuan"/>
      </w:pPr>
      <w:r>
        <w:rPr>
          <w:b/>
          <w:bCs/>
          <w:color w:val="051C2C"/>
        </w:rPr>
        <w:t xml:space="preserve">Ketiga keputusan menyangkut dokumen yang ditetapkan Kepala BNPB atau jalur yang hanya dapat diwakilinya, dan perubahan target Renas PB lewat jalur berkala tertutup sesudah </w:t>
      </w:r>
      <w:r>
        <w:rPr>
          <w:b/>
          <w:bCs/>
          <w:color w:val="051C2C"/>
        </w:rPr>
        <w:t xml:space="preserve">2027</w:t>
      </w:r>
      <w:r>
        <w:rPr>
          <w:b/>
          <w:bCs/>
          <w:color w:val="051C2C"/>
        </w:rPr>
        <w:t xml:space="preserve">.</w:t>
      </w:r>
      <w:r>
        <w:t xml:space="preserve"> Renas PB ditetapkan sebagai Perban BNPB 1/2025, sedangkan perubahan Renstra BNPB wajib konsisten dengan Rencana Pembangunan Jangka Menengah Nasional (RPJMN) </w:t>
      </w:r>
      <w:r>
        <w:t xml:space="preserve">(BNPB, 2025c; Republik Indonesia, 2025d, Pasal 22 dan Pasal 26–29)</w:t>
      </w:r>
      <w:r>
        <w:t xml:space="preserve">. Rincian tiap pilihan ada di </w:t>
      </w:r>
      <w:r>
        <w:t xml:space="preserve">Subbab </w:t>
      </w:r>
      <w:r>
        <w:fldChar w:fldCharType="begin"/>
      </w:r>
      <w:r>
        <w:instrText xml:space="preserve"> REF _Ref0159 \h \* CHARFORMAT </w:instrText>
      </w:r>
      <w:r>
        <w:fldChar w:fldCharType="separate"/>
      </w:r>
      <w:r>
        <w:t xml:space="preserve">13.2</w:t>
      </w:r>
      <w:r>
        <w:fldChar w:fldCharType="end"/>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KD-1. Menetapkan kajian ini sebagai masukan peninjauan Renas PB 2025–2029 dan menetapkan hari ke-0 peta jalan.</w:t>
            </w:r>
          </w:p>
          <w:p>
            <w:pPr>
              <w:pStyle w:val="DaftarKotak"/>
              <w:numPr>
                <w:ilvl w:val="1"/>
                <w:numId w:val="1"/>
              </w:numPr>
            </w:pPr>
            <w:r>
              <w:t xml:space="preserve">Bila ditetapkan dalam November 2026, kaji ulang rencana kontinjensi banjir dan longsor berjalan sebelum puncak Januari–Februari 2027 di Jawa, Bali, Nusa Tenggara, dan Papua, dan hari ke-100 jatuh antara </w:t>
            </w:r>
            <w:r>
              <w:t xml:space="preserve">9 Februari 2027</w:t>
            </w:r>
            <w:r>
              <w:t xml:space="preserve"> dan </w:t>
            </w:r>
            <w:r>
              <w:t xml:space="preserve">10 Maret 2027</w:t>
            </w:r>
            <w:r>
              <w:t xml:space="preserve">.</w:t>
            </w:r>
          </w:p>
          <w:p>
            <w:pPr>
              <w:pStyle w:val="DaftarKotak"/>
              <w:numPr>
                <w:ilvl w:val="1"/>
                <w:numId w:val="1"/>
              </w:numPr>
            </w:pPr>
            <w:r>
              <w:t xml:space="preserve">Bila ditunda, kaji ulang rencana kontinjensi di Sumatera dan Kalimantan jatuh di tengah musim, dan sesudah </w:t>
            </w:r>
            <w:r>
              <w:t xml:space="preserve">2027</w:t>
            </w:r>
            <w:r>
              <w:t xml:space="preserve"> perubahan Renas PB hanya lewat jalur bencana yang terbatas pada program dan kegiatan.</w:t>
            </w:r>
          </w:p>
          <w:p>
            <w:pPr>
              <w:pStyle w:val="DaftarKotak"/>
              <w:numPr>
                <w:ilvl w:val="0"/>
                <w:numId w:val="1"/>
              </w:numPr>
            </w:pPr>
            <w:r>
              <w:t xml:space="preserve">KD-2. Menyelaraskan target cakupan peringatan dini antara Renstra BNPB dan Renas PB.</w:t>
            </w:r>
          </w:p>
          <w:p>
            <w:pPr>
              <w:pStyle w:val="DaftarKotak"/>
              <w:numPr>
                <w:ilvl w:val="1"/>
                <w:numId w:val="1"/>
              </w:numPr>
            </w:pPr>
            <w:r>
              <w:t xml:space="preserve">Bila rumus Indikator Kinerja Program (IKP) Renstra direvisi menjadi porsi penduduk terpapar yang tercakup, capaian 2025 yang dihitung tertimbang turun dari </w:t>
            </w:r>
            <w:r>
              <w:t xml:space="preserve">6,10%</w:t>
            </w:r>
            <w:r>
              <w:t xml:space="preserve"> ke </w:t>
            </w:r>
            <w:r>
              <w:t xml:space="preserve">0,56%</w:t>
            </w:r>
            <w:r>
              <w:t xml:space="preserve">, sehingga angka target ditetapkan ulang atas evaluasi tahun ketiga Renstra (</w:t>
            </w:r>
            <w:r>
              <w:t xml:space="preserve">2027</w:t>
            </w:r>
            <w:r>
              <w:t xml:space="preserve">).</w:t>
            </w:r>
          </w:p>
          <w:p>
            <w:pPr>
              <w:pStyle w:val="DaftarKotak"/>
              <w:numPr>
                <w:ilvl w:val="1"/>
                <w:numId w:val="1"/>
              </w:numPr>
            </w:pPr>
            <w:r>
              <w:t xml:space="preserve">Bila IKP Renstra dipertahankan, target 2029 dapat tercapai lewat cakupan tsunami tanpa kemajuan cakupan banjir, dan Renas PB 1.c dinyatakan sebagai target lintas K/L.</w:t>
            </w:r>
          </w:p>
          <w:p>
            <w:pPr>
              <w:pStyle w:val="DaftarKotak"/>
              <w:numPr>
                <w:ilvl w:val="0"/>
                <w:numId w:val="1"/>
              </w:numPr>
            </w:pPr>
            <w:r>
              <w:t xml:space="preserve">KD-3. Memilih penyebut alat ukur kapasitas daerah untuk sasaran </w:t>
            </w:r>
            <w:r>
              <w:t xml:space="preserve">90%</w:t>
            </w:r>
            <w:r>
              <w:t xml:space="preserve"> pada 2029.</w:t>
            </w:r>
          </w:p>
          <w:p>
            <w:pPr>
              <w:pStyle w:val="DaftarKotak"/>
              <w:numPr>
                <w:ilvl w:val="1"/>
                <w:numId w:val="1"/>
              </w:numPr>
            </w:pPr>
            <w:r>
              <w:t xml:space="preserve">Bila penyebut provinsi dipertahankan, capaian 2025 adalah </w:t>
            </w:r>
            <w:r>
              <w:t xml:space="preserve">50%</w:t>
            </w:r>
            <w:r>
              <w:t xml:space="preserve"> dan jaraknya ke sasaran </w:t>
            </w:r>
            <w:r>
              <w:t xml:space="preserve">40 poin persen</w:t>
            </w:r>
            <w:r>
              <w:t xml:space="preserve">, tetapi rerata provinsi dapat menutupi kab/kota berkapasitas rendah.</w:t>
            </w:r>
          </w:p>
          <w:p>
            <w:pPr>
              <w:pStyle w:val="DaftarKotak"/>
              <w:numPr>
                <w:ilvl w:val="1"/>
                <w:numId w:val="1"/>
              </w:numPr>
            </w:pPr>
            <w:r>
              <w:t xml:space="preserve">Bila penyebut diganti ke kab/kota, capaian menjadi </w:t>
            </w:r>
            <w:r>
              <w:t xml:space="preserve">56,2%</w:t>
            </w:r>
            <w:r>
              <w:t xml:space="preserve"> menurut IKD 2025 atau </w:t>
            </w:r>
            <w:r>
              <w:t xml:space="preserve">38,0%</w:t>
            </w:r>
            <w:r>
              <w:t xml:space="preserve"> menurut kelas kapasitas Kajian Risiko Bencana (KRB), lebih dekat ke lokasi korban.</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6" w:name="_Obj0001"/>
            <w:r>
              <w:rPr>
                <w:b/>
                <w:bCs/>
                <w:color w:val="FFFFFF"/>
                <w:sz w:val="16"/>
                <w:szCs w:val="16"/>
                <w:shd w:val="clear" w:color="auto" w:fill="C8102E"/>
              </w:rPr>
              <w:t xml:space="preserve">  DAFTAR PERHATIAN  </w:t>
            </w:r>
            <w:bookmarkEnd w:id="6"/>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4436"/>
              <w:gridCol w:w="142"/>
              <w:gridCol w:w="4436"/>
            </w:tblGrid>
            <w:tr>
              <w:trPr>
                <w:cantSplit/>
              </w:trPr>
              <w:tc>
                <w:tcPr>
                  <w:tcW w:w="4436"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6" name="Gambar 6"/>
                        <wp:cNvGraphicFramePr>
                          <a:graphicFrameLocks noChangeAspect="1"/>
                        </wp:cNvGraphicFramePr>
                        <a:graphic>
                          <a:graphicData uri="http://schemas.openxmlformats.org/drawingml/2006/picture">
                            <pic:pic>
                              <pic:nvPicPr>
                                <pic:cNvPr id="6" name="wilayah-lucide-map-pin-D9600B-FBE7D6.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426</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di daftar perhatian</w:t>
                  </w:r>
                </w:p>
              </w:tc>
              <w:tc>
                <w:tcPr>
                  <w:tcW w:w="142" w:type="dxa"/>
                  <w:tcMar>
                    <w:top w:w="0" w:type="dxa"/>
                    <w:left w:w="0" w:type="dxa"/>
                    <w:bottom w:w="0" w:type="dxa"/>
                    <w:right w:w="0" w:type="dxa"/>
                  </w:tcMar>
                </w:tcPr>
                <w:p>
                  <w:pPr>
                    <w:pStyle w:val="IsiKotak"/>
                    <w:suppressAutoHyphens/>
                  </w:pPr>
                </w:p>
              </w:tc>
              <w:tc>
                <w:tcPr>
                  <w:tcW w:w="4436"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7" name="Gambar 7"/>
                        <wp:cNvGraphicFramePr>
                          <a:graphicFrameLocks noChangeAspect="1"/>
                        </wp:cNvGraphicFramePr>
                        <a:graphic>
                          <a:graphicData uri="http://schemas.openxmlformats.org/drawingml/2006/picture">
                            <pic:pic>
                              <pic:nvPicPr>
                                <pic:cNvPr id="7"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903</w:t>
                  </w:r>
                  <w:r>
                    <w:t xml:space="preserve"> </w:t>
                  </w:r>
                  <w:r>
                    <w:rPr>
                      <w:color w:val="2E3440"/>
                      <w:sz w:val="17"/>
                      <w:szCs w:val="17"/>
                    </w:rPr>
                    <w:t xml:space="preserve">pasangan</w:t>
                  </w:r>
                </w:p>
                <w:p>
                  <w:pPr>
                    <w:pStyle w:val="IsiKotak"/>
                    <w:suppressAutoHyphens/>
                    <w:spacing w:after="0" w:line="240" w:lineRule="auto"/>
                  </w:pPr>
                  <w:r>
                    <w:rPr>
                      <w:color w:val="6B7280"/>
                      <w:sz w:val="17"/>
                      <w:szCs w:val="17"/>
                    </w:rPr>
                    <w:t xml:space="preserve">kab/kota dan bahaya</w:t>
                  </w:r>
                </w:p>
              </w:tc>
            </w:tr>
          </w:tbl>
          <w:p>
            <w:pPr>
              <w:pStyle w:val="Sumber"/>
            </w:pPr>
            <w:r>
              <w:rPr>
                <w:b/>
                <w:bCs/>
                <w:color w:val="2E3440"/>
                <w:sz w:val="17"/>
                <w:szCs w:val="17"/>
              </w:rPr>
              <w:t xml:space="preserve">Sumber: </w:t>
            </w:r>
            <w:r>
              <w:rPr>
                <w:color w:val="2E3440"/>
                <w:sz w:val="17"/>
                <w:szCs w:val="17"/>
              </w:rPr>
              <w:t xml:space="preserve">Pengolahan data Pantau Bencana dari IRBI BNPB 2025 dan DIBI BNPB 2015–2025</w:t>
            </w:r>
            <w:r>
              <w:rPr>
                <w:color w:val="2E3440"/>
                <w:sz w:val="17"/>
                <w:szCs w:val="17"/>
              </w:rPr>
              <w:t xml:space="preserve"> </w:t>
            </w:r>
            <w:r>
              <w:rPr>
                <w:b/>
                <w:bCs/>
                <w:color w:val="1A1A1A"/>
                <w:sz w:val="16"/>
                <w:szCs w:val="16"/>
                <w:bdr w:val="single" w:sz="6" w:space="0" w:color="6B7280"/>
              </w:rPr>
              <w:t xml:space="preserve">  Asumsi kebijakan  </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7" w:name="_Obj0002"/>
            <w:r>
              <w:rPr>
                <w:b/>
                <w:bCs/>
                <w:color w:val="FFFFFF"/>
                <w:sz w:val="16"/>
                <w:szCs w:val="16"/>
                <w:shd w:val="clear" w:color="auto" w:fill="051C2C"/>
              </w:rPr>
              <w:t xml:space="preserve">  DATA RESMI  </w:t>
            </w:r>
            <w:bookmarkEnd w:id="7"/>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147"/>
              <w:gridCol w:w="142"/>
              <w:gridCol w:w="2147"/>
              <w:gridCol w:w="142"/>
              <w:gridCol w:w="2147"/>
              <w:gridCol w:w="142"/>
              <w:gridCol w:w="2147"/>
            </w:tblGrid>
            <w:tr>
              <w:trPr>
                <w:cantSplit/>
              </w:trPr>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8" name="Gambar 8"/>
                        <wp:cNvGraphicFramePr>
                          <a:graphicFrameLocks noChangeAspect="1"/>
                        </wp:cNvGraphicFramePr>
                        <a:graphic>
                          <a:graphicData uri="http://schemas.openxmlformats.org/drawingml/2006/picture">
                            <pic:pic>
                              <pic:nvPicPr>
                                <pic:cNvPr id="8" name="jiwa-deck-orang-051C2C-E6EAF0.png"/>
                                <pic:cNvPicPr/>
                              </pic:nvPicPr>
                              <pic:blipFill>
                                <a:blip r:embed="rId17"/>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1.956</w:t>
                  </w:r>
                  <w:r>
                    <w:t xml:space="preserve"> </w:t>
                  </w:r>
                  <w:r>
                    <w:rPr>
                      <w:color w:val="2E3440"/>
                      <w:sz w:val="17"/>
                      <w:szCs w:val="17"/>
                    </w:rPr>
                    <w:t xml:space="preserve">jiwa</w:t>
                  </w:r>
                </w:p>
                <w:p>
                  <w:pPr>
                    <w:pStyle w:val="IsiKotak"/>
                    <w:suppressAutoHyphens/>
                    <w:spacing w:after="0" w:line="240" w:lineRule="auto"/>
                  </w:pPr>
                  <w:r>
                    <w:rPr>
                      <w:color w:val="6B7280"/>
                      <w:sz w:val="17"/>
                      <w:szCs w:val="17"/>
                    </w:rPr>
                    <w:t xml:space="preserve">korban bencana alam 2025</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9" name="Gambar 9"/>
                        <wp:cNvGraphicFramePr>
                          <a:graphicFrameLocks noChangeAspect="1"/>
                        </wp:cNvGraphicFramePr>
                        <a:graphic>
                          <a:graphicData uri="http://schemas.openxmlformats.org/drawingml/2006/picture">
                            <pic:pic>
                              <pic:nvPicPr>
                                <pic:cNvPr id="9" name="banjir-deck-banjir-051C2C-E6EAF0.png"/>
                                <pic:cNvPicPr/>
                              </pic:nvPicPr>
                              <pic:blipFill>
                                <a:blip r:embed="rId18"/>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1.692</w:t>
                  </w:r>
                  <w:r>
                    <w:t xml:space="preserve"> </w:t>
                  </w:r>
                  <w:r>
                    <w:rPr>
                      <w:color w:val="2E3440"/>
                      <w:sz w:val="17"/>
                      <w:szCs w:val="17"/>
                    </w:rPr>
                    <w:t xml:space="preserve">jiwa</w:t>
                  </w:r>
                </w:p>
                <w:p>
                  <w:pPr>
                    <w:pStyle w:val="IsiKotak"/>
                    <w:suppressAutoHyphens/>
                    <w:spacing w:after="0" w:line="240" w:lineRule="auto"/>
                  </w:pPr>
                  <w:r>
                    <w:rPr>
                      <w:color w:val="6B7280"/>
                      <w:sz w:val="17"/>
                      <w:szCs w:val="17"/>
                    </w:rPr>
                    <w:t xml:space="preserve">lantai musim hujan</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0" name="Gambar 10"/>
                        <wp:cNvGraphicFramePr>
                          <a:graphicFrameLocks noChangeAspect="1"/>
                        </wp:cNvGraphicFramePr>
                        <a:graphic>
                          <a:graphicData uri="http://schemas.openxmlformats.org/drawingml/2006/picture">
                            <pic:pic>
                              <pic:nvPicPr>
                                <pic:cNvPr id="10"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169</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status Tinggi IRBI 2025</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1" name="Gambar 11"/>
                        <wp:cNvGraphicFramePr>
                          <a:graphicFrameLocks noChangeAspect="1"/>
                        </wp:cNvGraphicFramePr>
                        <a:graphic>
                          <a:graphicData uri="http://schemas.openxmlformats.org/drawingml/2006/picture">
                            <pic:pic>
                              <pic:nvPicPr>
                                <pic:cNvPr id="11" name="peringatan-lucide-triangle-alert-D9600B-FBE7D6.png"/>
                                <pic:cNvPicPr/>
                              </pic:nvPicPr>
                              <pic:blipFill>
                                <a:blip r:embed="rId19"/>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6,10%</w:t>
                  </w:r>
                  <w:r>
                    <w:t xml:space="preserve"> </w:t>
                  </w:r>
                </w:p>
                <w:p>
                  <w:pPr>
                    <w:pStyle w:val="IsiKotak"/>
                    <w:suppressAutoHyphens/>
                    <w:spacing w:after="0" w:line="240" w:lineRule="auto"/>
                  </w:pPr>
                  <w:r>
                    <w:rPr>
                      <w:color w:val="6B7280"/>
                      <w:sz w:val="17"/>
                      <w:szCs w:val="17"/>
                    </w:rPr>
                    <w:t xml:space="preserve">IKP peringatan dini 2025</w:t>
                  </w:r>
                </w:p>
              </w:tc>
            </w:tr>
          </w:tbl>
          <w:p>
            <w:pPr>
              <w:pStyle w:val="Sumber"/>
            </w:pPr>
            <w:r>
              <w:rPr>
                <w:b/>
                <w:bCs/>
                <w:color w:val="2E3440"/>
                <w:sz w:val="17"/>
                <w:szCs w:val="17"/>
              </w:rPr>
              <w:t xml:space="preserve">Sumber: </w:t>
            </w:r>
            <w:r>
              <w:rPr>
                <w:color w:val="2E3440"/>
                <w:sz w:val="17"/>
                <w:szCs w:val="17"/>
              </w:rPr>
              <w:t xml:space="preserve">DIBI BNPB 2008–2026; IRBI BNPB 2025; LKIP BNPB 2025</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IsiTemuan"/>
      </w:pPr>
      <w:r>
        <w:rPr>
          <w:b/>
          <w:bCs/>
          <w:color w:val="051C2C"/>
        </w:rPr>
        <w:t xml:space="preserve">Dua belas dari tiga puluh enam rekomendasi berjangka 100 hari pertama, dan tujuh di antaranya menjadi keputusan empat belas hari pertama</w:t>
      </w:r>
      <w:r>
        <w:t xml:space="preserve"> (</w:t>
      </w:r>
      <w:r>
        <w:fldChar w:fldCharType="begin"/>
      </w:r>
      <w:r>
        <w:instrText xml:space="preserve"> REF _Ref0317 \h \* CHARFORMAT </w:instrText>
      </w:r>
      <w:r>
        <w:fldChar w:fldCharType="separate"/>
      </w:r>
      <w:r>
        <w:t xml:space="preserve">Tabel RE.1</w:t>
      </w:r>
      <w:r>
        <w:fldChar w:fldCharType="end"/>
      </w:r>
      <w:r>
        <w:t xml:space="preserve">, </w:t>
      </w:r>
      <w:r>
        <w:fldChar w:fldCharType="begin"/>
      </w:r>
      <w:r>
        <w:instrText xml:space="preserve"> REF _Ref0299 \h \* CHARFORMAT </w:instrText>
      </w:r>
      <w:r>
        <w:fldChar w:fldCharType="separate"/>
      </w:r>
      <w:r>
        <w:t xml:space="preserve">Tabel 13.2</w:t>
      </w:r>
      <w:r>
        <w:fldChar w:fldCharType="end"/>
      </w:r>
      <w:r>
        <w:t xml:space="preserve">). Penetapan hari ke-0 membuka enam rekomendasi lain, sehingga penundaannya menggeser seluruh kalender.</w:t>
      </w:r>
    </w:p>
    <w:p>
      <w:pPr>
        <w:pStyle w:val="Caption"/>
      </w:pPr>
      <w:bookmarkStart w:id="9" w:name="_Toc00006"/>
      <w:bookmarkStart w:id="8" w:name="_Ref0317"/>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
      <w:r>
        <w:rPr>
          <w:b/>
          <w:bCs/>
          <w:color w:val="051C2C"/>
        </w:rPr>
        <w:t xml:space="preserve"> </w:t>
      </w:r>
      <w:r>
        <w:t xml:space="preserve">Rekomendasi 100 hari pertama, unit pemimpin, dan K/L pendukung, November 2026–Februari 2027</w:t>
      </w:r>
      <w:bookmarkEnd w:id="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1421"/>
        <w:gridCol w:w="5082"/>
        <w:gridCol w:w="2291"/>
      </w:tblGrid>
      <w:tr>
        <w:trPr>
          <w:cantSplit/>
          <w:tblHeader/>
        </w:trPr>
        <w:tc>
          <w:tcPr>
            <w:tcW w:w="560" w:type="dxa"/>
            <w:shd w:val="clear" w:color="auto" w:fill="051C2C"/>
            <w:vAlign w:val="center"/>
          </w:tcPr>
          <w:p>
            <w:pPr>
              <w:pStyle w:val="KepalaTabel"/>
              <w:suppressAutoHyphens/>
            </w:pPr>
            <w:r>
              <w:t xml:space="preserve">REK</w:t>
            </w:r>
          </w:p>
        </w:tc>
        <w:tc>
          <w:tcPr>
            <w:tcW w:w="1421" w:type="dxa"/>
            <w:shd w:val="clear" w:color="auto" w:fill="051C2C"/>
            <w:vAlign w:val="center"/>
          </w:tcPr>
          <w:p>
            <w:pPr>
              <w:pStyle w:val="KepalaTabel"/>
              <w:suppressAutoHyphens/>
            </w:pPr>
            <w:r>
              <w:t xml:space="preserve">LANGKAH</w:t>
            </w:r>
          </w:p>
        </w:tc>
        <w:tc>
          <w:tcPr>
            <w:tcW w:w="5082" w:type="dxa"/>
            <w:shd w:val="clear" w:color="auto" w:fill="051C2C"/>
            <w:vAlign w:val="center"/>
          </w:tcPr>
          <w:p>
            <w:pPr>
              <w:pStyle w:val="KepalaTabel"/>
              <w:suppressAutoHyphens/>
            </w:pPr>
            <w:r>
              <w:t xml:space="preserve">UNIT PEMIMPIN</w:t>
            </w:r>
          </w:p>
        </w:tc>
        <w:tc>
          <w:tcPr>
            <w:tcW w:w="2291" w:type="dxa"/>
            <w:shd w:val="clear" w:color="auto" w:fill="051C2C"/>
            <w:vAlign w:val="center"/>
          </w:tcPr>
          <w:p>
            <w:pPr>
              <w:pStyle w:val="KepalaTabel"/>
              <w:suppressAutoHyphens/>
            </w:pPr>
            <w:r>
              <w:t xml:space="preserve">K/L PENDUKUNG</w:t>
            </w:r>
          </w:p>
        </w:tc>
      </w:tr>
      <w:tr>
        <w:trPr>
          <w:cantSplit/>
        </w:trPr>
        <w:tc>
          <w:tcPr>
            <w:tcW w:w="560" w:type="dxa"/>
          </w:tcPr>
          <w:p>
            <w:pPr>
              <w:pStyle w:val="IsiTabel"/>
              <w:suppressAutoHyphens/>
              <w:jc w:val="left"/>
            </w:pPr>
            <w:r>
              <w:fldChar w:fldCharType="begin"/>
            </w:r>
            <w:r>
              <w:instrText xml:space="preserve"> REF _Ref0073 \h \* CHARFORMAT </w:instrText>
            </w:r>
            <w:r>
              <w:fldChar w:fldCharType="separate"/>
            </w:r>
            <w:r>
              <w:t xml:space="preserve">05</w:t>
            </w:r>
            <w:r>
              <w:fldChar w:fldCharType="end"/>
            </w:r>
          </w:p>
        </w:tc>
        <w:tc>
          <w:tcPr>
            <w:tcW w:w="1421" w:type="dxa"/>
          </w:tcPr>
          <w:p>
            <w:pPr>
              <w:pStyle w:val="IsiTabel"/>
              <w:suppressAutoHyphens/>
              <w:jc w:val="left"/>
            </w:pPr>
            <w:r>
              <w:t xml:space="preserve">Tetapkan hari ke-0 dan tugaskan unit</w:t>
            </w:r>
          </w:p>
        </w:tc>
        <w:tc>
          <w:tcPr>
            <w:tcW w:w="5082" w:type="dxa"/>
          </w:tcPr>
          <w:p>
            <w:pPr>
              <w:pStyle w:val="IsiTabel"/>
              <w:suppressAutoHyphens/>
              <w:jc w:val="left"/>
            </w:pPr>
            <w:r>
              <w:t xml:space="preserve">Kepala BNPB</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_Ref0074 \h \* CHARFORMAT </w:instrText>
            </w:r>
            <w:r>
              <w:fldChar w:fldCharType="separate"/>
            </w:r>
            <w:r>
              <w:t xml:space="preserve">06</w:t>
            </w:r>
            <w:r>
              <w:fldChar w:fldCharType="end"/>
            </w:r>
          </w:p>
        </w:tc>
        <w:tc>
          <w:tcPr>
            <w:tcW w:w="1421" w:type="dxa"/>
          </w:tcPr>
          <w:p>
            <w:pPr>
              <w:pStyle w:val="IsiTabel"/>
              <w:suppressAutoHyphens/>
              <w:jc w:val="left"/>
            </w:pPr>
            <w:r>
              <w:t xml:space="preserve">Kirim prakiraan, minta kaji ulang rencana kontinjensi</w:t>
            </w:r>
          </w:p>
        </w:tc>
        <w:tc>
          <w:tcPr>
            <w:tcW w:w="5082" w:type="dxa"/>
          </w:tcPr>
          <w:p>
            <w:pPr>
              <w:pStyle w:val="IsiTabel"/>
              <w:suppressAutoHyphens/>
              <w:jc w:val="left"/>
            </w:pPr>
            <w:r>
              <w:t xml:space="preserve">Direktorat Kesiapsiagaan</w:t>
            </w:r>
          </w:p>
        </w:tc>
        <w:tc>
          <w:tcPr>
            <w:tcW w:w="2291" w:type="dxa"/>
          </w:tcPr>
          <w:p>
            <w:pPr>
              <w:pStyle w:val="IsiTabel"/>
              <w:suppressAutoHyphens/>
              <w:jc w:val="left"/>
            </w:pPr>
            <w:r>
              <w:t xml:space="preserve">BMKG</w:t>
            </w:r>
          </w:p>
        </w:tc>
      </w:tr>
      <w:tr>
        <w:trPr>
          <w:cantSplit/>
        </w:trPr>
        <w:tc>
          <w:tcPr>
            <w:tcW w:w="560" w:type="dxa"/>
          </w:tcPr>
          <w:p>
            <w:pPr>
              <w:pStyle w:val="IsiTabel"/>
              <w:suppressAutoHyphens/>
              <w:jc w:val="left"/>
            </w:pPr>
            <w:r>
              <w:fldChar w:fldCharType="begin"/>
            </w:r>
            <w:r>
              <w:instrText xml:space="preserve"> REF _Ref0075 \h \* CHARFORMAT </w:instrText>
            </w:r>
            <w:r>
              <w:fldChar w:fldCharType="separate"/>
            </w:r>
            <w:r>
              <w:t xml:space="preserve">07</w:t>
            </w:r>
            <w:r>
              <w:fldChar w:fldCharType="end"/>
            </w:r>
          </w:p>
        </w:tc>
        <w:tc>
          <w:tcPr>
            <w:tcW w:w="1421" w:type="dxa"/>
          </w:tcPr>
          <w:p>
            <w:pPr>
              <w:pStyle w:val="IsiTabel"/>
              <w:suppressAutoHyphens/>
              <w:jc w:val="left"/>
            </w:pPr>
            <w:r>
              <w:t xml:space="preserve">Minta data operasional kemarau 2026</w:t>
            </w:r>
          </w:p>
        </w:tc>
        <w:tc>
          <w:tcPr>
            <w:tcW w:w="5082" w:type="dxa"/>
          </w:tcPr>
          <w:p>
            <w:pPr>
              <w:pStyle w:val="IsiTabel"/>
              <w:suppressAutoHyphens/>
              <w:jc w:val="left"/>
            </w:pPr>
            <w:r>
              <w:t xml:space="preserve">Pusat Data, Informasi, dan Komunikasi Kebencanaan</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_Ref0076 \h \* CHARFORMAT </w:instrText>
            </w:r>
            <w:r>
              <w:fldChar w:fldCharType="separate"/>
            </w:r>
            <w:r>
              <w:t xml:space="preserve">08</w:t>
            </w:r>
            <w:r>
              <w:fldChar w:fldCharType="end"/>
            </w:r>
          </w:p>
        </w:tc>
        <w:tc>
          <w:tcPr>
            <w:tcW w:w="1421" w:type="dxa"/>
          </w:tcPr>
          <w:p>
            <w:pPr>
              <w:pStyle w:val="IsiTabel"/>
              <w:suppressAutoHyphens/>
              <w:jc w:val="left"/>
            </w:pPr>
            <w:r>
              <w:t xml:space="preserve">Inventarisasi logistik terhadap lantai musim hujan</w:t>
            </w:r>
          </w:p>
        </w:tc>
        <w:tc>
          <w:tcPr>
            <w:tcW w:w="5082" w:type="dxa"/>
          </w:tcPr>
          <w:p>
            <w:pPr>
              <w:pStyle w:val="IsiTabel"/>
              <w:suppressAutoHyphens/>
              <w:jc w:val="left"/>
            </w:pPr>
            <w:r>
              <w:t xml:space="preserve">Deputi Bidang Logistik dan Peralatan</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_Ref0077 \h \* CHARFORMAT </w:instrText>
            </w:r>
            <w:r>
              <w:fldChar w:fldCharType="separate"/>
            </w:r>
            <w:r>
              <w:t xml:space="preserve">09</w:t>
            </w:r>
            <w:r>
              <w:fldChar w:fldCharType="end"/>
            </w:r>
          </w:p>
        </w:tc>
        <w:tc>
          <w:tcPr>
            <w:tcW w:w="1421" w:type="dxa"/>
          </w:tcPr>
          <w:p>
            <w:pPr>
              <w:pStyle w:val="IsiTabel"/>
              <w:suppressAutoHyphens/>
              <w:jc w:val="left"/>
            </w:pPr>
            <w:r>
              <w:t xml:space="preserve">Ajukan rakor peninjauan Renas PB</w:t>
            </w:r>
          </w:p>
        </w:tc>
        <w:tc>
          <w:tcPr>
            <w:tcW w:w="5082" w:type="dxa"/>
          </w:tcPr>
          <w:p>
            <w:pPr>
              <w:pStyle w:val="IsiTabel"/>
              <w:suppressAutoHyphens/>
              <w:jc w:val="left"/>
            </w:pPr>
            <w:r>
              <w:t xml:space="preserve">Biro Perencanaan</w:t>
            </w:r>
          </w:p>
        </w:tc>
        <w:tc>
          <w:tcPr>
            <w:tcW w:w="2291" w:type="dxa"/>
          </w:tcPr>
          <w:p>
            <w:pPr>
              <w:pStyle w:val="IsiTabel"/>
              <w:suppressAutoHyphens/>
              <w:jc w:val="left"/>
            </w:pPr>
            <w:r>
              <w:t xml:space="preserve">Kemenko PMK</w:t>
            </w:r>
          </w:p>
        </w:tc>
      </w:tr>
      <w:tr>
        <w:trPr>
          <w:cantSplit/>
        </w:trPr>
        <w:tc>
          <w:tcPr>
            <w:tcW w:w="560" w:type="dxa"/>
          </w:tcPr>
          <w:p>
            <w:pPr>
              <w:pStyle w:val="IsiTabel"/>
              <w:suppressAutoHyphens/>
              <w:jc w:val="left"/>
            </w:pPr>
            <w:r>
              <w:fldChar w:fldCharType="begin"/>
            </w:r>
            <w:r>
              <w:instrText xml:space="preserve"> REF _Ref0086 \h \* CHARFORMAT </w:instrText>
            </w:r>
            <w:r>
              <w:fldChar w:fldCharType="separate"/>
            </w:r>
            <w:r>
              <w:t xml:space="preserve">10</w:t>
            </w:r>
            <w:r>
              <w:fldChar w:fldCharType="end"/>
            </w:r>
          </w:p>
        </w:tc>
        <w:tc>
          <w:tcPr>
            <w:tcW w:w="1421" w:type="dxa"/>
          </w:tcPr>
          <w:p>
            <w:pPr>
              <w:pStyle w:val="IsiTabel"/>
              <w:suppressAutoHyphens/>
              <w:jc w:val="left"/>
            </w:pPr>
            <w:r>
              <w:t xml:space="preserve">Tugaskan catatan metode IRBI 2025</w:t>
            </w:r>
          </w:p>
        </w:tc>
        <w:tc>
          <w:tcPr>
            <w:tcW w:w="5082" w:type="dxa"/>
          </w:tcPr>
          <w:p>
            <w:pPr>
              <w:pStyle w:val="IsiTabel"/>
              <w:suppressAutoHyphens/>
              <w:jc w:val="left"/>
            </w:pPr>
            <w:r>
              <w:t xml:space="preserve">Direktorat Pemetaan dan Evaluasi Risiko Bencana</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_Ref0087 \h \* CHARFORMAT </w:instrText>
            </w:r>
            <w:r>
              <w:fldChar w:fldCharType="separate"/>
            </w:r>
            <w:r>
              <w:t xml:space="preserve">11</w:t>
            </w:r>
            <w:r>
              <w:fldChar w:fldCharType="end"/>
            </w:r>
          </w:p>
        </w:tc>
        <w:tc>
          <w:tcPr>
            <w:tcW w:w="1421" w:type="dxa"/>
          </w:tcPr>
          <w:p>
            <w:pPr>
              <w:pStyle w:val="IsiTabel"/>
              <w:suppressAutoHyphens/>
              <w:jc w:val="left"/>
            </w:pPr>
            <w:r>
              <w:t xml:space="preserve">Ajukan izin prakarsa peraturan di luar Progsun</w:t>
            </w:r>
          </w:p>
        </w:tc>
        <w:tc>
          <w:tcPr>
            <w:tcW w:w="5082" w:type="dxa"/>
          </w:tcPr>
          <w:p>
            <w:pPr>
              <w:pStyle w:val="IsiTabel"/>
              <w:suppressAutoHyphens/>
              <w:jc w:val="left"/>
            </w:pPr>
            <w:r>
              <w:t xml:space="preserve">Biro Hukum, Organisasi, dan Kerja Sama</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_Ref0078 \h \* CHARFORMAT </w:instrText>
            </w:r>
            <w:r>
              <w:fldChar w:fldCharType="separate"/>
            </w:r>
            <w:r>
              <w:t xml:space="preserve">12</w:t>
            </w:r>
            <w:r>
              <w:fldChar w:fldCharType="end"/>
            </w:r>
          </w:p>
        </w:tc>
        <w:tc>
          <w:tcPr>
            <w:tcW w:w="1421" w:type="dxa"/>
          </w:tcPr>
          <w:p>
            <w:pPr>
              <w:pStyle w:val="IsiTabel"/>
              <w:suppressAutoHyphens/>
              <w:jc w:val="left"/>
            </w:pPr>
            <w:r>
              <w:t xml:space="preserve">Uji rantai peringatan dini banjir dan longsor</w:t>
            </w:r>
          </w:p>
        </w:tc>
        <w:tc>
          <w:tcPr>
            <w:tcW w:w="5082" w:type="dxa"/>
          </w:tcPr>
          <w:p>
            <w:pPr>
              <w:pStyle w:val="IsiTabel"/>
              <w:suppressAutoHyphens/>
              <w:jc w:val="left"/>
            </w:pPr>
            <w:r>
              <w:t xml:space="preserve">Direktorat Peringatan Dini</w:t>
            </w:r>
          </w:p>
        </w:tc>
        <w:tc>
          <w:tcPr>
            <w:tcW w:w="2291" w:type="dxa"/>
          </w:tcPr>
          <w:p>
            <w:pPr>
              <w:pStyle w:val="IsiTabel"/>
              <w:suppressAutoHyphens/>
              <w:jc w:val="left"/>
            </w:pPr>
            <w:r>
              <w:t xml:space="preserve">BMKG; Kementerian PU</w:t>
            </w:r>
          </w:p>
        </w:tc>
      </w:tr>
      <w:tr>
        <w:trPr>
          <w:cantSplit/>
        </w:trPr>
        <w:tc>
          <w:tcPr>
            <w:tcW w:w="560" w:type="dxa"/>
          </w:tcPr>
          <w:p>
            <w:pPr>
              <w:pStyle w:val="IsiTabel"/>
              <w:keepNext/>
              <w:suppressAutoHyphens/>
              <w:jc w:val="left"/>
            </w:pPr>
            <w:bookmarkStart w:id="10" w:name="_Ekor001a"/>
            <w:bookmarkEnd w:id="10"/>
            <w:r>
              <w:fldChar w:fldCharType="begin"/>
            </w:r>
            <w:r>
              <w:instrText xml:space="preserve"> REF _Ref0079 \h \* CHARFORMAT </w:instrText>
            </w:r>
            <w:r>
              <w:fldChar w:fldCharType="separate"/>
            </w:r>
            <w:r>
              <w:t xml:space="preserve">13</w:t>
            </w:r>
            <w:r>
              <w:fldChar w:fldCharType="end"/>
            </w:r>
          </w:p>
        </w:tc>
        <w:tc>
          <w:tcPr>
            <w:tcW w:w="1421" w:type="dxa"/>
          </w:tcPr>
          <w:p>
            <w:pPr>
              <w:pStyle w:val="IsiTabel"/>
              <w:keepNext/>
              <w:suppressAutoHyphens/>
              <w:jc w:val="left"/>
            </w:pPr>
            <w:r>
              <w:t xml:space="preserve">Masukkan lantai skenario ke rencana kontinjensi provinsi</w:t>
            </w:r>
          </w:p>
        </w:tc>
        <w:tc>
          <w:tcPr>
            <w:tcW w:w="5082" w:type="dxa"/>
          </w:tcPr>
          <w:p>
            <w:pPr>
              <w:pStyle w:val="IsiTabel"/>
              <w:keepNext/>
              <w:suppressAutoHyphens/>
              <w:jc w:val="left"/>
            </w:pPr>
            <w:r>
              <w:t xml:space="preserve">Direktorat Kesiapsiagaan</w:t>
            </w:r>
          </w:p>
        </w:tc>
        <w:tc>
          <w:tcPr>
            <w:tcW w:w="2291" w:type="dxa"/>
          </w:tcPr>
          <w:p>
            <w:pPr>
              <w:pStyle w:val="IsiTabel"/>
              <w:keepNext/>
              <w:suppressAutoHyphens/>
              <w:jc w:val="left"/>
            </w:pPr>
            <w:r>
              <w:t xml:space="preserve">–</w:t>
            </w:r>
          </w:p>
        </w:tc>
      </w:tr>
      <w:tr>
        <w:trPr>
          <w:cantSplit/>
        </w:trPr>
        <w:tc>
          <w:tcPr>
            <w:tcW w:w="560" w:type="dxa"/>
          </w:tcPr>
          <w:p>
            <w:pPr>
              <w:pStyle w:val="IsiTabel"/>
              <w:keepNext/>
              <w:suppressAutoHyphens/>
              <w:jc w:val="left"/>
            </w:pPr>
            <w:r>
              <w:fldChar w:fldCharType="begin"/>
            </w:r>
            <w:r>
              <w:instrText xml:space="preserve"> REF _Ref0088 \h \* CHARFORMAT </w:instrText>
            </w:r>
            <w:r>
              <w:fldChar w:fldCharType="separate"/>
            </w:r>
            <w:r>
              <w:t xml:space="preserve">14</w:t>
            </w:r>
            <w:r>
              <w:fldChar w:fldCharType="end"/>
            </w:r>
          </w:p>
        </w:tc>
        <w:tc>
          <w:tcPr>
            <w:tcW w:w="1421" w:type="dxa"/>
          </w:tcPr>
          <w:p>
            <w:pPr>
              <w:pStyle w:val="IsiTabel"/>
              <w:keepNext/>
              <w:suppressAutoHyphens/>
              <w:jc w:val="left"/>
            </w:pPr>
            <w:r>
              <w:t xml:space="preserve">Susun pedoman keadaan tertentu Perpres 46/2026</w:t>
            </w:r>
          </w:p>
        </w:tc>
        <w:tc>
          <w:tcPr>
            <w:tcW w:w="5082" w:type="dxa"/>
          </w:tcPr>
          <w:p>
            <w:pPr>
              <w:pStyle w:val="IsiTabel"/>
              <w:keepNext/>
              <w:suppressAutoHyphens/>
              <w:jc w:val="left"/>
            </w:pPr>
            <w:r>
              <w:t xml:space="preserve">Deputi Bidang Penanganan Darurat</w:t>
            </w:r>
          </w:p>
        </w:tc>
        <w:tc>
          <w:tcPr>
            <w:tcW w:w="2291" w:type="dxa"/>
          </w:tcPr>
          <w:p>
            <w:pPr>
              <w:pStyle w:val="IsiTabel"/>
              <w:keepNext/>
              <w:suppressAutoHyphens/>
              <w:jc w:val="left"/>
            </w:pPr>
            <w:r>
              <w:t xml:space="preserve">Kemenko PMK; Kementerian Dalam Negeri; Kementerian Sosial; Kementerian Keuangan</w:t>
            </w:r>
          </w:p>
        </w:tc>
      </w:tr>
      <w:tr>
        <w:trPr>
          <w:cantSplit/>
        </w:trPr>
        <w:tc>
          <w:tcPr>
            <w:tcW w:w="560" w:type="dxa"/>
          </w:tcPr>
          <w:p>
            <w:pPr>
              <w:pStyle w:val="IsiTabel"/>
              <w:keepNext/>
              <w:suppressAutoHyphens/>
              <w:jc w:val="left"/>
            </w:pPr>
            <w:r>
              <w:fldChar w:fldCharType="begin"/>
            </w:r>
            <w:r>
              <w:instrText xml:space="preserve"> REF _Ref0107 \h \* CHARFORMAT </w:instrText>
            </w:r>
            <w:r>
              <w:fldChar w:fldCharType="separate"/>
            </w:r>
            <w:r>
              <w:t xml:space="preserve">15</w:t>
            </w:r>
            <w:r>
              <w:fldChar w:fldCharType="end"/>
            </w:r>
          </w:p>
        </w:tc>
        <w:tc>
          <w:tcPr>
            <w:tcW w:w="1421" w:type="dxa"/>
          </w:tcPr>
          <w:p>
            <w:pPr>
              <w:pStyle w:val="IsiTabel"/>
              <w:keepNext/>
              <w:suppressAutoHyphens/>
              <w:jc w:val="left"/>
            </w:pPr>
            <w:r>
              <w:t xml:space="preserve">Sarankan perubahan lokasi lewat pengendalian Renas PB</w:t>
            </w:r>
          </w:p>
        </w:tc>
        <w:tc>
          <w:tcPr>
            <w:tcW w:w="5082" w:type="dxa"/>
          </w:tcPr>
          <w:p>
            <w:pPr>
              <w:pStyle w:val="IsiTabel"/>
              <w:keepNext/>
              <w:suppressAutoHyphens/>
              <w:jc w:val="left"/>
            </w:pPr>
            <w:r>
              <w:t xml:space="preserve">Direktorat Pengembangan Strategi Penanggulangan Bencana</w:t>
            </w:r>
          </w:p>
        </w:tc>
        <w:tc>
          <w:tcPr>
            <w:tcW w:w="2291" w:type="dxa"/>
          </w:tcPr>
          <w:p>
            <w:pPr>
              <w:pStyle w:val="IsiTabel"/>
              <w:keepNext/>
              <w:suppressAutoHyphens/>
              <w:jc w:val="left"/>
            </w:pPr>
            <w:r>
              <w:t xml:space="preserve">–</w:t>
            </w:r>
          </w:p>
        </w:tc>
      </w:tr>
      <w:tr>
        <w:trPr>
          <w:cantSplit/>
        </w:trPr>
        <w:tc>
          <w:tcPr>
            <w:tcW w:w="560" w:type="dxa"/>
          </w:tcPr>
          <w:p>
            <w:pPr>
              <w:pStyle w:val="IsiTabel"/>
              <w:suppressAutoHyphens/>
              <w:jc w:val="left"/>
            </w:pPr>
            <w:bookmarkStart w:id="11" w:name="_Ekor001z"/>
            <w:bookmarkEnd w:id="11"/>
            <w:r>
              <w:fldChar w:fldCharType="begin"/>
            </w:r>
            <w:r>
              <w:instrText xml:space="preserve"> REF _Ref0080 \h \* CHARFORMAT </w:instrText>
            </w:r>
            <w:r>
              <w:fldChar w:fldCharType="separate"/>
            </w:r>
            <w:r>
              <w:t xml:space="preserve">32</w:t>
            </w:r>
            <w:r>
              <w:fldChar w:fldCharType="end"/>
            </w:r>
          </w:p>
        </w:tc>
        <w:tc>
          <w:tcPr>
            <w:tcW w:w="1421" w:type="dxa"/>
          </w:tcPr>
          <w:p>
            <w:pPr>
              <w:pStyle w:val="IsiTabel"/>
              <w:suppressAutoHyphens/>
              <w:jc w:val="left"/>
            </w:pPr>
            <w:r>
              <w:t xml:space="preserve">Siapkan pemicu Kesiapan Musim Kemarau 2027</w:t>
            </w:r>
          </w:p>
        </w:tc>
        <w:tc>
          <w:tcPr>
            <w:tcW w:w="5082" w:type="dxa"/>
          </w:tcPr>
          <w:p>
            <w:pPr>
              <w:pStyle w:val="IsiTabel"/>
              <w:suppressAutoHyphens/>
              <w:jc w:val="left"/>
            </w:pPr>
            <w:r>
              <w:t xml:space="preserve">Direktorat Kesiapsiagaan</w:t>
            </w:r>
          </w:p>
        </w:tc>
        <w:tc>
          <w:tcPr>
            <w:tcW w:w="2291" w:type="dxa"/>
          </w:tcPr>
          <w:p>
            <w:pPr>
              <w:pStyle w:val="IsiTabel"/>
              <w:suppressAutoHyphens/>
              <w:jc w:val="left"/>
            </w:pPr>
            <w:r>
              <w:t xml:space="preserve">BMKG; Kementerian PU; Kementerian Pertanian</w:t>
            </w:r>
          </w:p>
        </w:tc>
      </w:tr>
    </w:tbl>
    <w:p>
      <w:pPr>
        <w:pStyle w:val="Sumber"/>
      </w:pPr>
      <w:r>
        <w:rPr>
          <w:b/>
          <w:bCs/>
          <w:color w:val="6B7280"/>
          <w:sz w:val="17"/>
          <w:szCs w:val="17"/>
        </w:rPr>
        <w:t xml:space="preserve">Sumber: </w:t>
      </w:r>
      <w:r>
        <w:rPr>
          <w:color w:val="6B7280"/>
          <w:sz w:val="17"/>
          <w:szCs w:val="17"/>
        </w:rPr>
        <w:t xml:space="preserve">Register rekomendasi kajian ini (Bab 13); Perban BNPB 6/2025 jo. 11/2025</w:t>
      </w:r>
      <w:r>
        <w:rPr>
          <w:color w:val="6B7280"/>
          <w:sz w:val="17"/>
          <w:szCs w:val="17"/>
        </w:rPr>
        <w:t xml:space="preserve"> </w:t>
      </w:r>
      <w:r>
        <w:rPr>
          <w:b/>
          <w:bCs/>
          <w:color w:val="1A1A1A"/>
          <w:sz w:val="16"/>
          <w:szCs w:val="16"/>
          <w:bdr w:val="single" w:sz="6" w:space="0" w:color="6B7280"/>
        </w:rPr>
        <w:t xml:space="preserve">  Asumsi kebijakan  </w:t>
      </w:r>
    </w:p>
    <w:p>
      <w:r>
        <w:br w:type="page"/>
      </w:r>
    </w:p>
    <w:p>
      <w:pPr>
        <w:pStyle w:val="Heading2"/>
      </w:pPr>
      <w:bookmarkStart w:id="12" w:name="_Toc00007"/>
      <w:r>
        <w:t xml:space="preserve">Ringkasan per Bab</w:t>
      </w:r>
      <w:bookmarkEnd w:id="12"/>
    </w:p>
    <w:p>
      <w:pPr>
        <w:pStyle w:val="IsiTemuan"/>
      </w:pPr>
      <w:r>
        <w:rPr>
          <w:b/>
          <w:bCs/>
          <w:color w:val="051C2C"/>
        </w:rPr>
        <w:t xml:space="preserve">Bab 1 menempatkan korban 2025 sebagai alasan Grand Design disusun sekarang: </w:t>
      </w:r>
      <w:r>
        <w:rPr>
          <w:b/>
          <w:bCs/>
          <w:color w:val="051C2C"/>
        </w:rPr>
        <w:t xml:space="preserve">1.956</w:t>
      </w:r>
      <w:r>
        <w:rPr>
          <w:b/>
          <w:bCs/>
          <w:color w:val="051C2C"/>
        </w:rPr>
        <w:t xml:space="preserve"> jiwa meninggal dan hilang akibat bencana alam, </w:t>
      </w:r>
      <w:r>
        <w:rPr>
          <w:b/>
          <w:bCs/>
          <w:color w:val="051C2C"/>
        </w:rPr>
        <w:t xml:space="preserve">3,4</w:t>
      </w:r>
      <w:r>
        <w:rPr>
          <w:b/>
          <w:bCs/>
          <w:color w:val="051C2C"/>
        </w:rPr>
        <w:t xml:space="preserve"> kali median 2015–2024.</w:t>
      </w:r>
      <w:r>
        <w:t xml:space="preserve"> Rangkaian banjir dan longsor Sumatra akhir November 2025 menyumbang </w:t>
      </w:r>
      <w:r>
        <w:t xml:space="preserve">68,6%</w:t>
      </w:r>
      <w:r>
        <w:t xml:space="preserve"> angka itu </w:t>
      </w:r>
      <w:r>
        <w:t xml:space="preserve">(BNPB, t.t.-a)</w:t>
      </w:r>
      <w:r>
        <w:t xml:space="preserve">. Program Penyusunan Peraturan BNPB 2026 memuat </w:t>
      </w:r>
      <w:r>
        <w:t xml:space="preserve">11</w:t>
      </w:r>
      <w:r>
        <w:t xml:space="preserve"> rancangan tanpa perubahan Renas PB. Perubahan sasaran beserta indikatornya karena itu hanya tertampung jalur peninjauan berkala yang berakhir 2027.</w:t>
      </w:r>
    </w:p>
    <w:p>
      <w:pPr>
        <w:pStyle w:val="IsiTemuan"/>
      </w:pPr>
      <w:r>
        <w:rPr>
          <w:b/>
          <w:bCs/>
          <w:color w:val="051C2C"/>
        </w:rPr>
        <w:t xml:space="preserve">Bab 2 mencatat bahwa jumlah potensi kerugian dua belas bahaya dalam KRB 2022–2026 mencapai </w:t>
      </w:r>
      <w:r>
        <w:rPr>
          <w:b/>
          <w:bCs/>
          <w:color w:val="051C2C"/>
        </w:rPr>
        <w:t xml:space="preserve">1,91 kali</w:t>
      </w:r>
      <w:r>
        <w:rPr>
          <w:b/>
          <w:bCs/>
          <w:color w:val="051C2C"/>
        </w:rPr>
        <w:t xml:space="preserve"> nilai multibahaya, sehingga angka multibahaya tidak dijumlah antarbahaya</w:t>
      </w:r>
      <w:r>
        <w:t xml:space="preserve"> </w:t>
      </w:r>
      <w:r>
        <w:t xml:space="preserve">(BNPB, 2025c)</w:t>
      </w:r>
      <w:r>
        <w:t xml:space="preserve">. Kerangka penanggulangan bencana sudah berpasal di ketiga tahap, tetapi peraturan presiden tentang status dan tingkatan bencana yang diamanatkan UU 24/2007 Pasal 7 ayat (3) belum terbit. Satu dari lima belas praktik dalam kompendium program kajian mitigasi berbukti kuat, yaitu paket kesiapsiagaan siklon Bangladesh.</w:t>
      </w:r>
    </w:p>
    <w:p>
      <w:pPr>
        <w:pStyle w:val="IsiTemuan"/>
      </w:pPr>
      <w:r>
        <w:rPr>
          <w:b/>
          <w:bCs/>
          <w:color w:val="051C2C"/>
        </w:rPr>
        <w:t xml:space="preserve">Bab 3 menetapkan bahwa IRBI 2025 tidak sebanding dengan IRBI 2015–2024: korelasi peringkat kab/kota dengan 2024 hanya </w:t>
      </w:r>
      <w:r>
        <w:rPr>
          <w:b/>
          <w:bCs/>
          <w:color w:val="051C2C"/>
        </w:rPr>
        <w:t xml:space="preserve">0,589</w:t>
      </w:r>
      <w:r>
        <w:rPr>
          <w:b/>
          <w:bCs/>
          <w:color w:val="051C2C"/>
        </w:rPr>
        <w:t xml:space="preserve">.</w:t>
      </w:r>
      <w:r>
        <w:t xml:space="preserve"> Lantai musim hujan nasional menurut Data dan Informasi Bencana Indonesia (DIBI) adalah </w:t>
      </w:r>
      <w:r>
        <w:t xml:space="preserve">1.692 jiwa</w:t>
      </w:r>
      <w:r>
        <w:t xml:space="preserve"> meninggal dan hilang pada 2025/2026, dengan peluang </w:t>
      </w:r>
      <w:r>
        <w:t xml:space="preserve">23,7%</w:t>
      </w:r>
      <w:r>
        <w:t xml:space="preserve"> terulang dalam lima musim (asumsi kebijakan). Daftar perhatian memuat </w:t>
      </w:r>
      <w:r>
        <w:t xml:space="preserve">253</w:t>
      </w:r>
      <w:r>
        <w:t xml:space="preserve"> kab/kota untuk banjir dan </w:t>
      </w:r>
      <w:r>
        <w:t xml:space="preserve">9</w:t>
      </w:r>
      <w:r>
        <w:t xml:space="preserve"> untuk kekeringan.</w:t>
      </w:r>
    </w:p>
    <w:p>
      <w:pPr>
        <w:pStyle w:val="IsiTemuan"/>
      </w:pPr>
      <w:r>
        <w:rPr>
          <w:b/>
          <w:bCs/>
          <w:color w:val="051C2C"/>
        </w:rPr>
        <w:t xml:space="preserve">Bab 4 menunjukkan bahwa indikator korban tahunan ditentukan oleh satu sampai tiga kejadian: </w:t>
      </w:r>
      <w:r>
        <w:rPr>
          <w:b/>
          <w:bCs/>
          <w:color w:val="051C2C"/>
        </w:rPr>
        <w:t xml:space="preserve">60,6%</w:t>
      </w:r>
      <w:r>
        <w:rPr>
          <w:b/>
          <w:bCs/>
          <w:color w:val="051C2C"/>
        </w:rPr>
        <w:t xml:space="preserve"> korban meninggal bencana alam 2015–2025 berasal dari lima kejadian</w:t>
      </w:r>
      <w:r>
        <w:t xml:space="preserve"> </w:t>
      </w:r>
      <w:r>
        <w:t xml:space="preserve">(BNPB, t.t.-a)</w:t>
      </w:r>
      <w:r>
        <w:t xml:space="preserve">. Bencana geologi menyumbang </w:t>
      </w:r>
      <w:r>
        <w:t xml:space="preserve">0,91%</w:t>
      </w:r>
      <w:r>
        <w:t xml:space="preserve"> kejadian tetapi </w:t>
      </w:r>
      <w:r>
        <w:t xml:space="preserve">54,3%</w:t>
      </w:r>
      <w:r>
        <w:t xml:space="preserve"> korban meninggal, sehingga jumlah kejadian tidak mengukur keparahan. COVID-19 dengan </w:t>
      </w:r>
      <w:r>
        <w:t xml:space="preserve">161.870</w:t>
      </w:r>
      <w:r>
        <w:t xml:space="preserve"> meninggal tidak punya baris di DIBI.</w:t>
      </w:r>
    </w:p>
    <w:p>
      <w:pPr>
        <w:pStyle w:val="IsiTemuan"/>
      </w:pPr>
      <w:r>
        <w:rPr>
          <w:b/>
          <w:bCs/>
          <w:color w:val="051C2C"/>
        </w:rPr>
        <w:t xml:space="preserve">Bab 5 memetakan risiko dari pulau ke kab/kota dengan dua ukuran berdampingan, IRBI 2025 dan DIBI 2015–2025, karena korelasi peringkat keduanya hanya </w:t>
      </w:r>
      <w:r>
        <w:rPr>
          <w:b/>
          <w:bCs/>
          <w:color w:val="051C2C"/>
        </w:rPr>
        <w:t xml:space="preserve">-0,38</w:t>
      </w:r>
      <w:r>
        <w:rPr>
          <w:b/>
          <w:bCs/>
          <w:color w:val="051C2C"/>
        </w:rPr>
        <w:t xml:space="preserve">.</w:t>
      </w:r>
      <w:r>
        <w:t xml:space="preserve"> Papua memuat </w:t>
      </w:r>
      <w:r>
        <w:t xml:space="preserve">37</w:t>
      </w:r>
      <w:r>
        <w:t xml:space="preserve"> dari </w:t>
      </w:r>
      <w:r>
        <w:t xml:space="preserve">42</w:t>
      </w:r>
      <w:r>
        <w:t xml:space="preserve"> kab/kota berstatus Tinggi, sedangkan Jawa hanya </w:t>
      </w:r>
      <w:r>
        <w:t xml:space="preserve">1</w:t>
      </w:r>
      <w:r>
        <w:t xml:space="preserve"> dari </w:t>
      </w:r>
      <w:r>
        <w:t xml:space="preserve">119</w:t>
      </w:r>
      <w:r>
        <w:t xml:space="preserve"> </w:t>
      </w:r>
      <w:r>
        <w:t xml:space="preserve">(BNPB, t.t.-b)</w:t>
      </w:r>
      <w:r>
        <w:t xml:space="preserve">. Meninggal dan hilang hidrometeorologi rata-rata </w:t>
      </w:r>
      <w:r>
        <w:t xml:space="preserve">399,2</w:t>
      </w:r>
      <w:r>
        <w:t xml:space="preserve"> jiwa per tahun pada 2015–2019, </w:t>
      </w:r>
      <w:r>
        <w:t xml:space="preserve">424,0</w:t>
      </w:r>
      <w:r>
        <w:t xml:space="preserve"> pada 2020–2024, dan </w:t>
      </w:r>
      <w:r>
        <w:t xml:space="preserve">1.952</w:t>
      </w:r>
      <w:r>
        <w:t xml:space="preserve"> pada 2025, sehingga capaian IRB bukan bukti penurunan korban.</w:t>
      </w:r>
    </w:p>
    <w:p>
      <w:pPr>
        <w:pStyle w:val="IsiTemuan"/>
      </w:pPr>
      <w:r>
        <w:rPr>
          <w:b/>
          <w:bCs/>
          <w:color w:val="051C2C"/>
        </w:rPr>
        <w:t xml:space="preserve">Bab 6 menyatakan bahwa yang resmi untuk megathrust selatan Jawa hanya bahayanya, yaitu magnitudo maksimum Mw </w:t>
      </w:r>
      <w:r>
        <w:rPr>
          <w:b/>
          <w:bCs/>
          <w:color w:val="051C2C"/>
        </w:rPr>
        <w:t xml:space="preserve">9,1</w:t>
      </w:r>
      <w:r>
        <w:rPr>
          <w:b/>
          <w:bCs/>
          <w:color w:val="051C2C"/>
        </w:rPr>
        <w:t xml:space="preserve"> dengan periode ulang </w:t>
      </w:r>
      <w:r>
        <w:rPr>
          <w:b/>
          <w:bCs/>
          <w:color w:val="051C2C"/>
        </w:rPr>
        <w:t xml:space="preserve">600 tahun</w:t>
      </w:r>
      <w:r>
        <w:t xml:space="preserve"> </w:t>
      </w:r>
      <w:r>
        <w:t xml:space="preserve">(Pusat Studi Gempa Nasional [PuSGeN], 2024)</w:t>
      </w:r>
      <w:r>
        <w:t xml:space="preserve">. Kajian Risiko Bencana mencatat </w:t>
      </w:r>
      <w:r>
        <w:t xml:space="preserve">5.341.282</w:t>
      </w:r>
      <w:r>
        <w:t xml:space="preserve"> jiwa terpapar tsunami. Kartu skenario memakai lantai tercatat </w:t>
      </w:r>
      <w:r>
        <w:t xml:space="preserve">5.749</w:t>
      </w:r>
      <w:r>
        <w:t xml:space="preserve"> meninggal pada gempa Yogyakarta 2006 dan </w:t>
      </w:r>
      <w:r>
        <w:t xml:space="preserve">665</w:t>
      </w:r>
      <w:r>
        <w:t xml:space="preserve"> meninggal pada tsunami Pangandaran 2006, karena korban tsunami skenario belum dapat dihitung dari genangan resmi.</w:t>
      </w:r>
    </w:p>
    <w:p>
      <w:pPr>
        <w:pStyle w:val="IsiTemuan"/>
      </w:pPr>
      <w:r>
        <w:rPr>
          <w:b/>
          <w:bCs/>
          <w:color w:val="051C2C"/>
        </w:rPr>
        <w:t xml:space="preserve">Bab 7 mencatat musim hujan 2025/2026 sebagai musim terberat kedua dengan </w:t>
      </w:r>
      <w:r>
        <w:rPr>
          <w:b/>
          <w:bCs/>
          <w:color w:val="051C2C"/>
        </w:rPr>
        <w:t xml:space="preserve">1.692</w:t>
      </w:r>
      <w:r>
        <w:rPr>
          <w:b/>
          <w:bCs/>
          <w:color w:val="051C2C"/>
        </w:rPr>
        <w:t xml:space="preserve"> meninggal dan hilang, dan angka itu menjadi lantai skenario hidrometeorologi nasional.</w:t>
      </w:r>
      <w:r>
        <w:t xml:space="preserve"> Musim 2026/2027 dimulai di bawah El Niño dengan Oceanic Niño Index (ONI) Juli–September </w:t>
      </w:r>
      <w:r>
        <w:t xml:space="preserve">2,16</w:t>
      </w:r>
      <w:r>
        <w:t xml:space="preserve">, tertinggi sejak 1950. Karhutla 2015 membakar </w:t>
      </w:r>
      <w:r>
        <w:t xml:space="preserve">2.611.411 ha</w:t>
      </w:r>
      <w:r>
        <w:t xml:space="preserve"> </w:t>
      </w:r>
      <w:r>
        <w:t xml:space="preserve">(Kementerian Kehutanan [Kemenhut], 2026)</w:t>
      </w:r>
      <w:r>
        <w:t xml:space="preserve">, dan model peneliti memperkirakan </w:t>
      </w:r>
      <w:r>
        <w:t xml:space="preserve">sekitar 92.000</w:t>
      </w:r>
      <w:r>
        <w:t xml:space="preserve"> kematian dewasa berlebih akibat asap (estimasi model).</w:t>
      </w:r>
    </w:p>
    <w:p>
      <w:pPr>
        <w:pStyle w:val="IsiTemuan"/>
      </w:pPr>
      <w:r>
        <w:rPr>
          <w:b/>
          <w:bCs/>
          <w:color w:val="051C2C"/>
        </w:rPr>
        <w:t xml:space="preserve">Bab 8 menempatkan COVID-19 sebagai analog nonalam terberat dengan </w:t>
      </w:r>
      <w:r>
        <w:rPr>
          <w:b/>
          <w:bCs/>
          <w:color w:val="051C2C"/>
        </w:rPr>
        <w:t xml:space="preserve">161.870</w:t>
      </w:r>
      <w:r>
        <w:rPr>
          <w:b/>
          <w:bCs/>
          <w:color w:val="051C2C"/>
        </w:rPr>
        <w:t xml:space="preserve"> meninggal tercatat, sedangkan model WHO memberi kematian berlebih 2020–2021 </w:t>
      </w:r>
      <w:r>
        <w:rPr>
          <w:b/>
          <w:bCs/>
          <w:color w:val="051C2C"/>
        </w:rPr>
        <w:t xml:space="preserve">810.000–1.300.000</w:t>
      </w:r>
      <w:r>
        <w:rPr>
          <w:b/>
          <w:bCs/>
          <w:color w:val="051C2C"/>
        </w:rPr>
        <w:t xml:space="preserve"> jiwa.</w:t>
      </w:r>
      <w:r>
        <w:t xml:space="preserve"> Pengait status kesehatan dengan status keadaan darurat bencana hanya tertulis untuk skala nasional. Pada kemarau 2026, rilis BNPB serta Kementerian Lingkungan Hidup/Badan Pengendalian Lingkungan Hidup mencatat </w:t>
      </w:r>
      <w:r>
        <w:t xml:space="preserve">4 TPA</w:t>
      </w:r>
      <w:r>
        <w:t xml:space="preserve"> terbakar.</w:t>
      </w:r>
    </w:p>
    <w:p>
      <w:pPr>
        <w:pStyle w:val="IsiTemuan"/>
      </w:pPr>
      <w:r>
        <w:rPr>
          <w:b/>
          <w:bCs/>
          <w:color w:val="051C2C"/>
        </w:rPr>
        <w:t xml:space="preserve">Bab 9 menggunakan konflik Maluku dan Maluku Utara 1999–2002 sebagai analog terburuk, dengan sedikitnya </w:t>
      </w:r>
      <w:r>
        <w:rPr>
          <w:b/>
          <w:bCs/>
          <w:color w:val="051C2C"/>
        </w:rPr>
        <w:t xml:space="preserve">5.000</w:t>
      </w:r>
      <w:r>
        <w:rPr>
          <w:b/>
          <w:bCs/>
          <w:color w:val="051C2C"/>
        </w:rPr>
        <w:t xml:space="preserve"> meninggal dan hampir </w:t>
      </w:r>
      <w:r>
        <w:rPr>
          <w:b/>
          <w:bCs/>
          <w:color w:val="051C2C"/>
        </w:rPr>
        <w:t xml:space="preserve">700.000</w:t>
      </w:r>
      <w:r>
        <w:rPr>
          <w:b/>
          <w:bCs/>
          <w:color w:val="051C2C"/>
        </w:rPr>
        <w:t xml:space="preserve"> pengungsi.</w:t>
      </w:r>
      <w:r>
        <w:t xml:space="preserve"> Pedoman Kepala BNPB yang diperintahkan Perpres 46/2026 Pasal 3 ayat (4) belum ditetapkan.</w:t>
      </w:r>
    </w:p>
    <w:p>
      <w:pPr>
        <w:pStyle w:val="IsiTemuan"/>
      </w:pPr>
      <w:r>
        <w:rPr>
          <w:b/>
          <w:bCs/>
          <w:color w:val="051C2C"/>
        </w:rPr>
        <w:t xml:space="preserve">Bab 10 menemukan bahwa cakupan peringatan dini diukur dengan dua indikator berpenyebut berbeda: Renstra BNPB naik dari </w:t>
      </w:r>
      <w:r>
        <w:rPr>
          <w:b/>
          <w:bCs/>
          <w:color w:val="051C2C"/>
        </w:rPr>
        <w:t xml:space="preserve">6,10%</w:t>
      </w:r>
      <w:r>
        <w:rPr>
          <w:b/>
          <w:bCs/>
          <w:color w:val="051C2C"/>
        </w:rPr>
        <w:t xml:space="preserve"> ke </w:t>
      </w:r>
      <w:r>
        <w:rPr>
          <w:b/>
          <w:bCs/>
          <w:color w:val="051C2C"/>
        </w:rPr>
        <w:t xml:space="preserve">6,32%</w:t>
      </w:r>
      <w:r>
        <w:rPr>
          <w:b/>
          <w:bCs/>
          <w:color w:val="051C2C"/>
        </w:rPr>
        <w:t xml:space="preserve">, Renas PB 1.c dari </w:t>
      </w:r>
      <w:r>
        <w:rPr>
          <w:b/>
          <w:bCs/>
          <w:color w:val="051C2C"/>
        </w:rPr>
        <w:t xml:space="preserve">11.060</w:t>
      </w:r>
      <w:r>
        <w:rPr>
          <w:b/>
          <w:bCs/>
          <w:color w:val="051C2C"/>
        </w:rPr>
        <w:t xml:space="preserve"> ke </w:t>
      </w:r>
      <w:r>
        <w:rPr>
          <w:b/>
          <w:bCs/>
          <w:color w:val="051C2C"/>
        </w:rPr>
        <w:t xml:space="preserve">52.000 per 100.000 penduduk</w:t>
      </w:r>
      <w:r>
        <w:rPr>
          <w:b/>
          <w:bCs/>
          <w:color w:val="051C2C"/>
        </w:rPr>
        <w:t xml:space="preserve">.</w:t>
      </w:r>
      <w:r>
        <w:t xml:space="preserve"> Dari </w:t>
      </w:r>
      <w:r>
        <w:t xml:space="preserve">39 sel</w:t>
      </w:r>
      <w:r>
        <w:t xml:space="preserve"> fase dan jenis bencana, </w:t>
      </w:r>
      <w:r>
        <w:t xml:space="preserve">12 sel</w:t>
      </w:r>
      <w:r>
        <w:t xml:space="preserve"> nonalam dan sosial tidak punya program sama sekali. Peraturan presiden penetapan status dan tingkatan bencana belum ditemukan terbit per 24 Oktober 2026.</w:t>
      </w:r>
    </w:p>
    <w:p>
      <w:pPr>
        <w:pStyle w:val="IsiTemuan"/>
      </w:pPr>
      <w:r>
        <w:rPr>
          <w:b/>
          <w:bCs/>
          <w:color w:val="051C2C"/>
        </w:rPr>
        <w:t xml:space="preserve">Bab 11 menunjukkan bahwa </w:t>
      </w:r>
      <w:r>
        <w:rPr>
          <w:b/>
          <w:bCs/>
          <w:color w:val="051C2C"/>
        </w:rPr>
        <w:t xml:space="preserve">28</w:t>
      </w:r>
      <w:r>
        <w:rPr>
          <w:b/>
          <w:bCs/>
          <w:color w:val="051C2C"/>
        </w:rPr>
        <w:t xml:space="preserve"> dari </w:t>
      </w:r>
      <w:r>
        <w:rPr>
          <w:b/>
          <w:bCs/>
          <w:color w:val="051C2C"/>
        </w:rPr>
        <w:t xml:space="preserve">39</w:t>
      </w:r>
      <w:r>
        <w:rPr>
          <w:b/>
          <w:bCs/>
          <w:color w:val="051C2C"/>
        </w:rPr>
        <w:t xml:space="preserve"> sel matriks fase dan jenis bencana hanya dapat diisi aksi yang diwajibkan peraturan, sehingga strategi 2026–2030 bertumpu pada aksi berpasal yang diberi ukuran hasil.</w:t>
      </w:r>
      <w:r>
        <w:t xml:space="preserve"> Lantai kebutuhan respons adalah </w:t>
      </w:r>
      <w:r>
        <w:t xml:space="preserve">954.305</w:t>
      </w:r>
      <w:r>
        <w:t xml:space="preserve"> jiwa di Direktorat Penanganan Darurat Wilayah I, </w:t>
      </w:r>
      <w:r>
        <w:t xml:space="preserve">468.967</w:t>
      </w:r>
      <w:r>
        <w:t xml:space="preserve"> di Wilayah II, dan </w:t>
      </w:r>
      <w:r>
        <w:t xml:space="preserve">464.120</w:t>
      </w:r>
      <w:r>
        <w:t xml:space="preserve"> di Wilayah III </w:t>
      </w:r>
      <w:r>
        <w:t xml:space="preserve">(BNPB, t.t.-a)</w:t>
      </w:r>
      <w:r>
        <w:t xml:space="preserve">.</w:t>
      </w:r>
    </w:p>
    <w:p>
      <w:pPr>
        <w:pStyle w:val="IsiTemuan"/>
      </w:pPr>
      <w:r>
        <w:rPr>
          <w:b/>
          <w:bCs/>
          <w:color w:val="051C2C"/>
        </w:rPr>
        <w:t xml:space="preserve">Bab 12 mencatat bahwa </w:t>
      </w:r>
      <w:r>
        <w:rPr>
          <w:b/>
          <w:bCs/>
          <w:color w:val="051C2C"/>
        </w:rPr>
        <w:t xml:space="preserve">6</w:t>
      </w:r>
      <w:r>
        <w:rPr>
          <w:b/>
          <w:bCs/>
          <w:color w:val="051C2C"/>
        </w:rPr>
        <w:t xml:space="preserve"> dari </w:t>
      </w:r>
      <w:r>
        <w:rPr>
          <w:b/>
          <w:bCs/>
          <w:color w:val="051C2C"/>
        </w:rPr>
        <w:t xml:space="preserve">13 ancaman</w:t>
      </w:r>
      <w:r>
        <w:rPr>
          <w:b/>
          <w:bCs/>
          <w:color w:val="051C2C"/>
        </w:rPr>
        <w:t xml:space="preserve"> tidak punya satu pun baris peran lembaga yang tertulis khusus jenis.</w:t>
      </w:r>
      <w:r>
        <w:t xml:space="preserve"> Pada banjir dan longsor Sumatra 2025, hanya </w:t>
      </w:r>
      <w:r>
        <w:t xml:space="preserve">32%</w:t>
      </w:r>
      <w:r>
        <w:t xml:space="preserve"> korban meninggal dan hilang tercatat di kab/kota lokus prioritas Renas PB. Kebutuhan stimulan rumah tahunan batas bawah berada di </w:t>
      </w:r>
      <w:r>
        <w:t xml:space="preserve">Rp1,6–2,0 triliun</w:t>
      </w:r>
      <w:r>
        <w:t xml:space="preserve"> pada tahun median dan </w:t>
      </w:r>
      <w:r>
        <w:t xml:space="preserve">Rp6,8–8,6 triliun</w:t>
      </w:r>
      <w:r>
        <w:t xml:space="preserve"> pada persentil 90 (asumsi kebijakan).</w:t>
      </w:r>
    </w:p>
    <w:p>
      <w:pPr>
        <w:pStyle w:val="IsiTemuan"/>
      </w:pPr>
      <w:r>
        <w:rPr>
          <w:b/>
          <w:bCs/>
          <w:color w:val="051C2C"/>
        </w:rPr>
        <w:t xml:space="preserve">Bab 13 menutup dengan tiga keputusan yang diminta, tiga puluh enam rekomendasi berlembaga, sebelas usulan yang sengaja tidak direkomendasikan, dan tiga belas kelompok data yang belum diketahui.</w:t>
      </w:r>
      <w:r>
        <w:t xml:space="preserve"> Direktorat Kesiapsiagaan memimpin delapan rekomendasi. Dua puluh tujuh rekomendasi masuk kelompok internal BNPB dan sembilan masuk kelompok lintas K/L.</w:t>
      </w:r>
    </w:p>
    <w:p>
      <w:pPr>
        <w:pStyle w:val="Heading2"/>
      </w:pPr>
      <w:bookmarkStart w:id="13" w:name="_Toc00008"/>
      <w:r>
        <w:t xml:space="preserve">Peta Risiko</w:t>
      </w:r>
      <w:bookmarkEnd w:id="13"/>
    </w:p>
    <w:p>
      <w:pPr>
        <w:pStyle w:val="IsiTemuan"/>
      </w:pPr>
      <w:r>
        <w:rPr>
          <w:b/>
          <w:bCs/>
          <w:color w:val="051C2C"/>
        </w:rPr>
        <w:t xml:space="preserve">IRBI 2025 menempatkan </w:t>
      </w:r>
      <w:r>
        <w:rPr>
          <w:b/>
          <w:bCs/>
          <w:color w:val="051C2C"/>
        </w:rPr>
        <w:t xml:space="preserve">169</w:t>
      </w:r>
      <w:r>
        <w:rPr>
          <w:b/>
          <w:bCs/>
          <w:color w:val="051C2C"/>
        </w:rPr>
        <w:t xml:space="preserve"> dari </w:t>
      </w:r>
      <w:r>
        <w:rPr>
          <w:b/>
          <w:bCs/>
          <w:color w:val="051C2C"/>
        </w:rPr>
        <w:t xml:space="preserve">514</w:t>
      </w:r>
      <w:r>
        <w:rPr>
          <w:b/>
          <w:bCs/>
          <w:color w:val="051C2C"/>
        </w:rPr>
        <w:t xml:space="preserve"> kab/kota pada status Tinggi</w:t>
      </w:r>
      <w:r>
        <w:t xml:space="preserve"> (</w:t>
      </w:r>
      <w:r>
        <w:fldChar w:fldCharType="begin"/>
      </w:r>
      <w:r>
        <w:instrText xml:space="preserve"> REF _Ref0056 \h \* CHARFORMAT </w:instrText>
      </w:r>
      <w:r>
        <w:fldChar w:fldCharType="separate"/>
      </w:r>
      <w:r>
        <w:t xml:space="preserve">Gambar RE.1</w:t>
      </w:r>
      <w:r>
        <w:fldChar w:fldCharType="end"/>
      </w:r>
      <w:r>
        <w:t xml:space="preserve">). Peta yang sama dipakai di Bab 5; status per kab/kota dan daftar perhatian dengan syaratnya tercantum di </w:t>
      </w:r>
      <w:r>
        <w:fldChar w:fldCharType="begin"/>
      </w:r>
      <w:r>
        <w:instrText xml:space="preserve"> REF _Ref0064 \h \* CHARFORMAT </w:instrText>
      </w:r>
      <w:r>
        <w:fldChar w:fldCharType="separate"/>
      </w:r>
      <w:r>
        <w:t xml:space="preserve">Lampiran A</w:t>
      </w:r>
      <w:r>
        <w:fldChar w:fldCharType="end"/>
      </w:r>
      <w:r>
        <w:t xml:space="preserve">.</w:t>
      </w:r>
    </w:p>
    <w:p>
      <w:pPr>
        <w:pStyle w:val="Caption"/>
      </w:pPr>
      <w:bookmarkStart w:id="15" w:name="_Toc00009"/>
      <w:bookmarkStart w:id="14" w:name="_Ref0056"/>
      <w:r>
        <w:rPr>
          <w:b/>
          <w:bCs/>
          <w:color w:val="051C2C"/>
        </w:rPr>
        <w:t xml:space="preserve">Gambar</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4"/>
      <w:r>
        <w:rPr>
          <w:b/>
          <w:bCs/>
          <w:color w:val="051C2C"/>
        </w:rPr>
        <w:t xml:space="preserve"> </w:t>
      </w:r>
      <w:r>
        <w:t xml:space="preserve">Status Indeks Risiko Bencana Indonesia per kab/kota, 2025 (sama dengan peta Bab 5)</w:t>
      </w:r>
      <w:bookmarkEnd w:id="15"/>
    </w:p>
    <w:p xmlns:a="http://schemas.openxmlformats.org/drawingml/2006/main" xmlns:pic="http://schemas.openxmlformats.org/drawingml/2006/picture">
      <w:pPr>
        <w:keepNext/>
        <w:spacing w:after="0" w:line="240" w:lineRule="auto"/>
        <w:jc w:val="center"/>
      </w:pPr>
      <w:bookmarkStart w:id="16" w:name="_Obj0003"/>
      <w:r>
        <w:drawing>
          <wp:inline distT="0" distB="0" distL="0" distR="0">
            <wp:extent cx="5940000" cy="2799415"/>
            <wp:effectExtent l="0" t="0" r="0" b="0"/>
            <wp:docPr id="12" name="Gambar 12"/>
            <wp:cNvGraphicFramePr>
              <a:graphicFrameLocks noChangeAspect="1"/>
            </wp:cNvGraphicFramePr>
            <a:graphic>
              <a:graphicData uri="http://schemas.openxmlformats.org/drawingml/2006/picture">
                <pic:pic>
                  <pic:nvPicPr>
                    <pic:cNvPr id="12" name="bab05-peta-status-irbi-2025.png"/>
                    <pic:cNvPicPr/>
                  </pic:nvPicPr>
                  <pic:blipFill>
                    <a:blip r:embed="rId20"/>
                    <a:stretch>
                      <a:fillRect/>
                    </a:stretch>
                  </pic:blipFill>
                  <pic:spPr>
                    <a:xfrm>
                      <a:off x="0" y="0"/>
                      <a:ext cx="5940000" cy="2799415"/>
                    </a:xfrm>
                    <a:prstGeom prst="rect">
                      <a:avLst/>
                    </a:prstGeom>
                  </pic:spPr>
                </pic:pic>
              </a:graphicData>
            </a:graphic>
          </wp:inline>
        </w:drawing>
      </w:r>
      <w:bookmarkEnd w:id="16"/>
    </w:p>
    <w:p>
      <w:pPr>
        <w:pStyle w:val="Sumber"/>
        <w:spacing w:after="40"/>
      </w:pPr>
      <w:r>
        <w:rPr>
          <w:b/>
          <w:bCs/>
          <w:color w:val="6B7280"/>
          <w:sz w:val="17"/>
          <w:szCs w:val="17"/>
        </w:rPr>
        <w:t xml:space="preserve">Sumber: </w:t>
      </w:r>
      <w:r>
        <w:rPr>
          <w:color w:val="6B7280"/>
          <w:sz w:val="17"/>
          <w:szCs w:val="17"/>
        </w:rPr>
        <w:t xml:space="preserve">InaRISK BNPB, IRBI 2025, kolom status</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Dua kelas resmi, Tinggi dan Sedang. Skala 2025 tidak sebanding dengan 2015–2024, dan peta tidak memeringkat kab/kota.</w:t>
      </w:r>
    </w:p>
    <w:p>
      <w:pPr>
        <w:pStyle w:val="Heading2"/>
      </w:pPr>
      <w:bookmarkStart w:id="17" w:name="_Toc00010"/>
      <w:r>
        <w:t xml:space="preserve">Tiga Risiko Teratas dan Tiga Kapasitas yang Sudah Ada</w:t>
      </w:r>
      <w:bookmarkEnd w:id="17"/>
    </w:p>
    <w:p>
      <w:pPr>
        <w:pStyle w:val="IsiTemuan"/>
      </w:pPr>
      <w:r>
        <w:rPr>
          <w:b/>
          <w:bCs/>
          <w:color w:val="051C2C"/>
        </w:rPr>
        <w:t xml:space="preserve">Tiga risiko teratas bersumber dari catatan kejadian DIBI dan dokumen resmi BNPB serta PuSGeN</w:t>
      </w:r>
      <w:r>
        <w:t xml:space="preserve"> (</w:t>
      </w:r>
      <w:r>
        <w:fldChar w:fldCharType="begin"/>
      </w:r>
      <w:r>
        <w:instrText xml:space="preserve"> REF _Ref0319 \h \* CHARFORMAT </w:instrText>
      </w:r>
      <w:r>
        <w:fldChar w:fldCharType="separate"/>
      </w:r>
      <w:r>
        <w:t xml:space="preserve">Tabel RE.2</w:t>
      </w:r>
      <w:r>
        <w:fldChar w:fldCharType="end"/>
      </w:r>
      <w:r>
        <w:t xml:space="preserve">). Tiga kapasitas yang sudah berjalan menjadi titik tumpu rekomendasi, dan ketiganya dipertahankan tanpa diklaim terbukti menurunkan korban.</w:t>
      </w:r>
    </w:p>
    <w:p>
      <w:pPr>
        <w:pStyle w:val="Caption"/>
      </w:pPr>
      <w:bookmarkStart w:id="19" w:name="_Toc00011"/>
      <w:bookmarkStart w:id="18" w:name="_Ref0319"/>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8"/>
      <w:r>
        <w:rPr>
          <w:b/>
          <w:bCs/>
          <w:color w:val="051C2C"/>
        </w:rPr>
        <w:t xml:space="preserve"> </w:t>
      </w:r>
      <w:r>
        <w:t xml:space="preserve">Tiga risiko teratas dan tiga kapasitas yang sudah ada untuk mitigasi bencana Indonesia, 2026</w:t>
      </w:r>
      <w:bookmarkEnd w:id="1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58"/>
        <w:gridCol w:w="1695"/>
        <w:gridCol w:w="2935"/>
        <w:gridCol w:w="1266"/>
      </w:tblGrid>
      <w:tr>
        <w:trPr>
          <w:cantSplit/>
          <w:tblHeader/>
        </w:trPr>
        <w:tc>
          <w:tcPr>
            <w:tcW w:w="3458" w:type="dxa"/>
            <w:shd w:val="clear" w:color="auto" w:fill="051C2C"/>
            <w:vAlign w:val="center"/>
          </w:tcPr>
          <w:p>
            <w:pPr>
              <w:pStyle w:val="KepalaTabel"/>
              <w:keepNext/>
              <w:suppressAutoHyphens/>
            </w:pPr>
            <w:r>
              <w:t xml:space="preserve">RISIKO TERATAS</w:t>
            </w:r>
          </w:p>
        </w:tc>
        <w:tc>
          <w:tcPr>
            <w:tcW w:w="1695" w:type="dxa"/>
            <w:shd w:val="clear" w:color="auto" w:fill="051C2C"/>
            <w:vAlign w:val="center"/>
          </w:tcPr>
          <w:p>
            <w:pPr>
              <w:pStyle w:val="KepalaTabel"/>
              <w:keepNext/>
              <w:suppressAutoHyphens/>
            </w:pPr>
            <w:r>
              <w:t xml:space="preserve">KEYAKINAN</w:t>
            </w:r>
          </w:p>
        </w:tc>
        <w:tc>
          <w:tcPr>
            <w:tcW w:w="2935" w:type="dxa"/>
            <w:shd w:val="clear" w:color="auto" w:fill="051C2C"/>
            <w:vAlign w:val="center"/>
          </w:tcPr>
          <w:p>
            <w:pPr>
              <w:pStyle w:val="KepalaTabel"/>
              <w:keepNext/>
              <w:suppressAutoHyphens/>
            </w:pPr>
            <w:r>
              <w:t xml:space="preserve">KAPASITAS YANG SUDAH ADA</w:t>
            </w:r>
          </w:p>
        </w:tc>
        <w:tc>
          <w:tcPr>
            <w:tcW w:w="1266" w:type="dxa"/>
            <w:shd w:val="clear" w:color="auto" w:fill="051C2C"/>
            <w:vAlign w:val="center"/>
          </w:tcPr>
          <w:p>
            <w:pPr>
              <w:pStyle w:val="KepalaTabel"/>
              <w:keepNext/>
              <w:suppressAutoHyphens/>
            </w:pPr>
            <w:r>
              <w:t xml:space="preserve">KEYAKINAN</w:t>
            </w:r>
          </w:p>
        </w:tc>
      </w:tr>
      <w:tr>
        <w:trPr>
          <w:cantSplit/>
        </w:trPr>
        <w:tc>
          <w:tcPr>
            <w:tcW w:w="3458" w:type="dxa"/>
          </w:tcPr>
          <w:p>
            <w:pPr>
              <w:pStyle w:val="IsiTabel"/>
              <w:keepNext/>
              <w:suppressAutoHyphens/>
              <w:jc w:val="left"/>
            </w:pPr>
            <w:bookmarkStart w:id="20" w:name="_Ekor002a"/>
            <w:bookmarkEnd w:id="20"/>
            <w:r>
              <w:t xml:space="preserve">Banjir dan longsor musim hujan: lantai </w:t>
            </w:r>
            <w:r>
              <w:t xml:space="preserve">1.692</w:t>
            </w:r>
            <w:r>
              <w:t xml:space="preserve"> meninggal dan hilang pada 2025/2026, terberat kedua dalam delapan belas musim (Bab 7)</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935" w:type="dxa"/>
          </w:tcPr>
          <w:p>
            <w:pPr>
              <w:pStyle w:val="IsiTabel"/>
              <w:keepNext/>
              <w:suppressAutoHyphens/>
              <w:jc w:val="left"/>
            </w:pPr>
            <w:r>
              <w:t xml:space="preserve">Rencana kontinjensi menurut Perban BNPB 2/2023 dan sistem peringatan dini menurut Perban BNPB 2/2024, keduanya instrumen berlaku (Bab 10)</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458" w:type="dxa"/>
          </w:tcPr>
          <w:p>
            <w:pPr>
              <w:pStyle w:val="IsiTabel"/>
              <w:keepNext/>
              <w:suppressAutoHyphens/>
              <w:jc w:val="left"/>
            </w:pPr>
            <w:r>
              <w:t xml:space="preserve">Megathrust dan tsunami: Mw </w:t>
            </w:r>
            <w:r>
              <w:t xml:space="preserve">9,1</w:t>
            </w:r>
            <w:r>
              <w:t xml:space="preserve"> untuk segmen gabungan Jawa, rencana kontinjensi megathrust nasional tidak ditemukan, korban tsunami belum dapat dihitung dari genangan resmi (Bab 6)</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935" w:type="dxa"/>
          </w:tcPr>
          <w:p>
            <w:pPr>
              <w:pStyle w:val="IsiTabel"/>
              <w:keepNext/>
              <w:suppressAutoHyphens/>
              <w:jc w:val="left"/>
            </w:pPr>
            <w:r>
              <w:t xml:space="preserve">Dana Siap Pakai menurut Perban BNPB 4/2020 dan Dana Bersama menurut Perpres 75/2021 dengan jendela prabencana (Bab 10 dan Bab 12)</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458" w:type="dxa"/>
          </w:tcPr>
          <w:p>
            <w:pPr>
              <w:pStyle w:val="IsiTabel"/>
              <w:keepNext/>
              <w:suppressAutoHyphens/>
              <w:jc w:val="left"/>
            </w:pPr>
            <w:bookmarkStart w:id="21" w:name="_Ekor002z"/>
            <w:bookmarkEnd w:id="21"/>
            <w:r>
              <w:t xml:space="preserve">Daerah berkapasitas rendah: </w:t>
            </w:r>
            <w:r>
              <w:t xml:space="preserve">148</w:t>
            </w:r>
            <w:r>
              <w:t xml:space="preserve"> kab/kota berkapasitas KRB rendah sekaligus berstatus IRBI Tinggi (Bab 10 dan Bab 13)</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935" w:type="dxa"/>
          </w:tcPr>
          <w:p>
            <w:pPr>
              <w:pStyle w:val="IsiTabel"/>
              <w:keepNext/>
              <w:suppressAutoHyphens/>
              <w:jc w:val="left"/>
            </w:pPr>
            <w:r>
              <w:t xml:space="preserve">InaRISK, IRBI, dan DIBI sebagai Data Bencana menurut Perban BNPB 1/2023 (Bab 3 dan Bab 10)</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DIBI BNPB 2008–2026; PuSGeN 2024; KRB 2022–2026 dan IRBI 2025; Perban BNPB 1/2023, 2/2023, 2/2024, dan 4/2020; Perpres 75/2021</w:t>
      </w:r>
      <w:r>
        <w:rPr>
          <w:color w:val="6B7280"/>
          <w:sz w:val="17"/>
          <w:szCs w:val="17"/>
        </w:rPr>
        <w:t xml:space="preserve"> </w:t>
      </w:r>
    </w:p>
    <w:p>
      <w:pPr>
        <w:pStyle w:val="Heading2"/>
      </w:pPr>
      <w:bookmarkStart w:id="22" w:name="_Toc00012"/>
      <w:r>
        <w:t xml:space="preserve">Rencana Aksi Musim Hujan 2026/2027</w:t>
      </w:r>
      <w:bookmarkEnd w:id="22"/>
    </w:p>
    <w:p>
      <w:pPr>
        <w:pStyle w:val="IsiTemuan"/>
      </w:pPr>
      <w:r>
        <w:rPr>
          <w:b/>
          <w:bCs/>
          <w:color w:val="051C2C"/>
        </w:rPr>
        <w:t xml:space="preserve">Badan Meteorologi, Klimatologi, dan Geofisika (BMKG) memprakirakan awal musim hujan 2026/2027 mundur di </w:t>
      </w:r>
      <w:r>
        <w:rPr>
          <w:b/>
          <w:bCs/>
          <w:color w:val="051C2C"/>
        </w:rPr>
        <w:t xml:space="preserve">529 ZOM</w:t>
      </w:r>
      <w:r>
        <w:rPr>
          <w:b/>
          <w:bCs/>
          <w:color w:val="051C2C"/>
        </w:rPr>
        <w:t xml:space="preserve">, dengan puncak Desember di </w:t>
      </w:r>
      <w:r>
        <w:rPr>
          <w:b/>
          <w:bCs/>
          <w:color w:val="051C2C"/>
        </w:rPr>
        <w:t xml:space="preserve">155 ZOM</w:t>
      </w:r>
      <w:r>
        <w:rPr>
          <w:b/>
          <w:bCs/>
          <w:color w:val="051C2C"/>
        </w:rPr>
        <w:t xml:space="preserve"> dan puncak Februari di </w:t>
      </w:r>
      <w:r>
        <w:rPr>
          <w:b/>
          <w:bCs/>
          <w:color w:val="051C2C"/>
        </w:rPr>
        <w:t xml:space="preserve">190 ZOM</w:t>
      </w:r>
      <w:r>
        <w:t xml:space="preserve"> </w:t>
      </w:r>
      <w:r>
        <w:t xml:space="preserve">(BMKG, 2026c)</w:t>
      </w:r>
      <w:r>
        <w:t xml:space="preserve">. Puncak Desember jatuh di wilayah yang disebut BMKG "sebagian besar" Sumatera, Kalimantan, dan Sulawesi Barat, sedangkan Jawa, Bali, Nusa Tenggara, dan Papua memuncak pada Januari–Februari 2027. Hari ke-0 pada November memberi wilayah yang memuncak Desember hanya sekitar satu bulan prabencana.</w:t>
      </w:r>
    </w:p>
    <w:p>
      <w:pPr>
        <w:pStyle w:val="IsiTemuan"/>
      </w:pPr>
      <w:r>
        <w:rPr>
          <w:b/>
          <w:bCs/>
          <w:color w:val="051C2C"/>
        </w:rPr>
        <w:t xml:space="preserve">Skenario terburuk Rencana Aksi Musim Hujan 2026/2027 adalah musim tercatat 2025/2026, yaitu </w:t>
      </w:r>
      <w:r>
        <w:rPr>
          <w:b/>
          <w:bCs/>
          <w:color w:val="051C2C"/>
        </w:rPr>
        <w:t xml:space="preserve">1.506</w:t>
      </w:r>
      <w:r>
        <w:rPr>
          <w:b/>
          <w:bCs/>
          <w:color w:val="051C2C"/>
        </w:rPr>
        <w:t xml:space="preserve"> meninggal, </w:t>
      </w:r>
      <w:r>
        <w:rPr>
          <w:b/>
          <w:bCs/>
          <w:color w:val="051C2C"/>
        </w:rPr>
        <w:t xml:space="preserve">186</w:t>
      </w:r>
      <w:r>
        <w:rPr>
          <w:b/>
          <w:bCs/>
          <w:color w:val="051C2C"/>
        </w:rPr>
        <w:t xml:space="preserve"> hilang, dan </w:t>
      </w:r>
      <w:r>
        <w:rPr>
          <w:b/>
          <w:bCs/>
          <w:color w:val="051C2C"/>
        </w:rPr>
        <w:t xml:space="preserve">1.043.740</w:t>
      </w:r>
      <w:r>
        <w:rPr>
          <w:b/>
          <w:bCs/>
          <w:color w:val="051C2C"/>
        </w:rPr>
        <w:t xml:space="preserve"> jiwa mengungsi</w:t>
      </w:r>
      <w:r>
        <w:t xml:space="preserve"> </w:t>
      </w:r>
      <w:r>
        <w:t xml:space="preserve">(BNPB, t.t.-a)</w:t>
      </w:r>
      <w:r>
        <w:t xml:space="preserve">. Tiga musim hujan sesudah El Niño kuat mencatat </w:t>
      </w:r>
      <w:r>
        <w:t xml:space="preserve">199</w:t>
      </w:r>
      <w:r>
        <w:t xml:space="preserve"> sampai </w:t>
      </w:r>
      <w:r>
        <w:t xml:space="preserve">373</w:t>
      </w:r>
      <w:r>
        <w:t xml:space="preserve"> meninggal dan hilang. Ketiganya menjadi ekspektasi operasional, bukan skenario terburuk. Kalender rencana aksi per bulan dan per wilayah direktorat ada di </w:t>
      </w:r>
      <w:r>
        <w:fldChar w:fldCharType="begin"/>
      </w:r>
      <w:r>
        <w:instrText xml:space="preserve"> REF _Ref0257 \h \* CHARFORMAT </w:instrText>
      </w:r>
      <w:r>
        <w:fldChar w:fldCharType="separate"/>
      </w:r>
      <w:r>
        <w:t xml:space="preserve">Tabel 11.6</w:t>
      </w:r>
      <w:r>
        <w:fldChar w:fldCharType="end"/>
      </w:r>
      <w:r>
        <w:t xml:space="preserve"> dan hanya memakai instrumen yang berlaku.</w:t>
      </w:r>
    </w:p>
    <w:p>
      <w:pPr>
        <w:pStyle w:val="IsiTemuan"/>
      </w:pPr>
      <w:r>
        <w:rPr>
          <w:b/>
          <w:bCs/>
          <w:color w:val="051C2C"/>
        </w:rPr>
        <w:t xml:space="preserve">Kesiapan Kemarau 2027 tidak memakai skenario yang lebih ringan dari </w:t>
      </w:r>
      <w:r>
        <w:rPr>
          <w:b/>
          <w:bCs/>
          <w:color w:val="051C2C"/>
        </w:rPr>
        <w:t xml:space="preserve">7.798.763 jiwa</w:t>
      </w:r>
      <w:r>
        <w:rPr>
          <w:b/>
          <w:bCs/>
          <w:color w:val="051C2C"/>
        </w:rPr>
        <w:t xml:space="preserve"> terdampak kekeringan pada 2018 dan </w:t>
      </w:r>
      <w:r>
        <w:rPr>
          <w:b/>
          <w:bCs/>
          <w:color w:val="051C2C"/>
        </w:rPr>
        <w:t xml:space="preserve">2.611.411 ha</w:t>
      </w:r>
      <w:r>
        <w:rPr>
          <w:b/>
          <w:bCs/>
          <w:color w:val="051C2C"/>
        </w:rPr>
        <w:t xml:space="preserve"> terbakar pada 2015</w:t>
      </w:r>
      <w:r>
        <w:t xml:space="preserve"> </w:t>
      </w:r>
      <w:r>
        <w:t xml:space="preserve">(BNPB, t.t.-a; Kemenhut, 2026)</w:t>
      </w:r>
      <w:r>
        <w:t xml:space="preserve">. Prakiraan musim kemarau 2027 BMKG belum terbit, sehingga pemicunya disiapkan dari lantai tercatat dan prakiraan El Niño-Southern Oscillation (</w:t>
      </w:r>
      <w:r>
        <w:fldChar w:fldCharType="begin"/>
      </w:r>
      <w:r>
        <w:instrText xml:space="preserve"> REF _Ref0080 \h \* CHARFORMAT </w:instrText>
      </w:r>
      <w:r>
        <w:fldChar w:fldCharType="separate"/>
      </w:r>
      <w:r>
        <w:t xml:space="preserve">32</w:t>
      </w:r>
      <w:r>
        <w:fldChar w:fldCharType="end"/>
      </w:r>
      <w:r>
        <w:t xml:space="preserve">).</w:t>
      </w:r>
    </w:p>
    <w:p>
      <w:pPr>
        <w:pStyle w:val="Heading2"/>
      </w:pPr>
      <w:bookmarkStart w:id="23" w:name="_Toc00013"/>
      <w:r>
        <w:t xml:space="preserve">Perubahan yang Diusulkan terhadap Renas PB</w:t>
      </w:r>
      <w:bookmarkEnd w:id="23"/>
    </w:p>
    <w:p>
      <w:pPr>
        <w:pStyle w:val="IsiTemuan"/>
      </w:pPr>
      <w:r>
        <w:rPr>
          <w:b/>
          <w:bCs/>
          <w:color w:val="051C2C"/>
        </w:rPr>
        <w:t xml:space="preserve">Sebelas butir Renas PB 2025–2029 dan Renstra BNPB diusulkan berubah atau dilaksanakan dengan cara baru, dan enam di antaranya memakai jalur berkala yang tertutup sesudah </w:t>
      </w:r>
      <w:r>
        <w:rPr>
          <w:b/>
          <w:bCs/>
          <w:color w:val="051C2C"/>
        </w:rPr>
        <w:t xml:space="preserve">2027</w:t>
      </w:r>
      <w:r>
        <w:t xml:space="preserve"> (</w:t>
      </w:r>
      <w:r>
        <w:fldChar w:fldCharType="begin"/>
      </w:r>
      <w:r>
        <w:instrText xml:space="preserve"> REF _Ref0324 \h \* CHARFORMAT </w:instrText>
      </w:r>
      <w:r>
        <w:fldChar w:fldCharType="separate"/>
      </w:r>
      <w:r>
        <w:t xml:space="preserve">Tabel 12.3</w:t>
      </w:r>
      <w:r>
        <w:fldChar w:fldCharType="end"/>
      </w:r>
      <w:r>
        <w:t xml:space="preserve">). Lima butir yang menyangkut keputusan yang diminta dan indikator korban tercantum di </w:t>
      </w:r>
      <w:r>
        <w:fldChar w:fldCharType="begin"/>
      </w:r>
      <w:r>
        <w:instrText xml:space="preserve"> REF _Ref0318 \h \* CHARFORMAT </w:instrText>
      </w:r>
      <w:r>
        <w:fldChar w:fldCharType="separate"/>
      </w:r>
      <w:r>
        <w:t xml:space="preserve">Tabel RE.3</w:t>
      </w:r>
      <w:r>
        <w:fldChar w:fldCharType="end"/>
      </w:r>
      <w:r>
        <w:t xml:space="preserve">.</w:t>
      </w:r>
    </w:p>
    <w:p>
      <w:pPr>
        <w:pStyle w:val="Caption"/>
      </w:pPr>
      <w:bookmarkStart w:id="25" w:name="_Toc00014"/>
      <w:bookmarkStart w:id="24" w:name="_Ref0318"/>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4"/>
      <w:r>
        <w:rPr>
          <w:b/>
          <w:bCs/>
          <w:color w:val="051C2C"/>
        </w:rPr>
        <w:t xml:space="preserve"> </w:t>
      </w:r>
      <w:r>
        <w:t xml:space="preserve">Butir Renas PB 2025–2029 yang diusulkan berubah menurut jalur dan rekomendasi, 2026–2030</w:t>
      </w:r>
      <w:bookmarkEnd w:id="2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82"/>
        <w:gridCol w:w="3054"/>
        <w:gridCol w:w="1385"/>
        <w:gridCol w:w="2272"/>
        <w:gridCol w:w="561"/>
      </w:tblGrid>
      <w:tr>
        <w:trPr>
          <w:cantSplit/>
          <w:tblHeader/>
        </w:trPr>
        <w:tc>
          <w:tcPr>
            <w:tcW w:w="2082" w:type="dxa"/>
            <w:shd w:val="clear" w:color="auto" w:fill="051C2C"/>
            <w:vAlign w:val="center"/>
          </w:tcPr>
          <w:p>
            <w:pPr>
              <w:pStyle w:val="KepalaTabel"/>
              <w:keepNext/>
              <w:suppressAutoHyphens/>
            </w:pPr>
            <w:r>
              <w:t xml:space="preserve">BUTIR RENAS PB</w:t>
            </w:r>
          </w:p>
        </w:tc>
        <w:tc>
          <w:tcPr>
            <w:tcW w:w="3054" w:type="dxa"/>
            <w:shd w:val="clear" w:color="auto" w:fill="051C2C"/>
            <w:vAlign w:val="center"/>
          </w:tcPr>
          <w:p>
            <w:pPr>
              <w:pStyle w:val="KepalaTabel"/>
              <w:keepNext/>
              <w:suppressAutoHyphens/>
            </w:pPr>
            <w:r>
              <w:t xml:space="preserve">YANG TERTULIS</w:t>
            </w:r>
          </w:p>
        </w:tc>
        <w:tc>
          <w:tcPr>
            <w:tcW w:w="1385" w:type="dxa"/>
            <w:shd w:val="clear" w:color="auto" w:fill="051C2C"/>
            <w:vAlign w:val="center"/>
          </w:tcPr>
          <w:p>
            <w:pPr>
              <w:pStyle w:val="KepalaTabel"/>
              <w:keepNext/>
              <w:suppressAutoHyphens/>
            </w:pPr>
            <w:r>
              <w:t xml:space="preserve">USULAN</w:t>
            </w:r>
          </w:p>
        </w:tc>
        <w:tc>
          <w:tcPr>
            <w:tcW w:w="2272" w:type="dxa"/>
            <w:shd w:val="clear" w:color="auto" w:fill="051C2C"/>
            <w:vAlign w:val="center"/>
          </w:tcPr>
          <w:p>
            <w:pPr>
              <w:pStyle w:val="KepalaTabel"/>
              <w:keepNext/>
              <w:suppressAutoHyphens/>
            </w:pPr>
            <w:r>
              <w:t xml:space="preserve">JALUR</w:t>
            </w:r>
          </w:p>
        </w:tc>
        <w:tc>
          <w:tcPr>
            <w:tcW w:w="561" w:type="dxa"/>
            <w:shd w:val="clear" w:color="auto" w:fill="051C2C"/>
            <w:vAlign w:val="center"/>
          </w:tcPr>
          <w:p>
            <w:pPr>
              <w:pStyle w:val="KepalaTabel"/>
              <w:keepNext/>
              <w:suppressAutoHyphens/>
            </w:pPr>
            <w:r>
              <w:t xml:space="preserve">REK</w:t>
            </w:r>
          </w:p>
        </w:tc>
      </w:tr>
      <w:tr>
        <w:trPr>
          <w:cantSplit/>
        </w:trPr>
        <w:tc>
          <w:tcPr>
            <w:tcW w:w="2082" w:type="dxa"/>
          </w:tcPr>
          <w:p>
            <w:pPr>
              <w:pStyle w:val="IsiTabel"/>
              <w:keepNext/>
              <w:suppressAutoHyphens/>
              <w:jc w:val="left"/>
            </w:pPr>
            <w:r>
              <w:t xml:space="preserve">Sasaran 1.a dan 1.b</w:t>
            </w:r>
          </w:p>
        </w:tc>
        <w:tc>
          <w:tcPr>
            <w:tcW w:w="3054" w:type="dxa"/>
          </w:tcPr>
          <w:p>
            <w:pPr>
              <w:pStyle w:val="IsiTabel"/>
              <w:keepNext/>
              <w:suppressAutoHyphens/>
              <w:jc w:val="left"/>
            </w:pPr>
            <w:r>
              <w:t xml:space="preserve">proyeksi 2025 </w:t>
            </w:r>
            <w:r>
              <w:t xml:space="preserve">0,22</w:t>
            </w:r>
            <w:r>
              <w:t xml:space="preserve"> dan </w:t>
            </w:r>
            <w:r>
              <w:t xml:space="preserve">2.643</w:t>
            </w:r>
            <w:r>
              <w:t xml:space="preserve"> per 100.000; target 2029 "Menurun"</w:t>
            </w:r>
          </w:p>
        </w:tc>
        <w:tc>
          <w:tcPr>
            <w:tcW w:w="1385" w:type="dxa"/>
          </w:tcPr>
          <w:p>
            <w:pPr>
              <w:pStyle w:val="IsiTabel"/>
              <w:keepNext/>
              <w:suppressAutoHyphens/>
              <w:jc w:val="left"/>
            </w:pPr>
            <w:r>
              <w:t xml:space="preserve">target 2029 berangka dari DIBI dengan rumus dan penyebut tertulis</w:t>
            </w:r>
          </w:p>
        </w:tc>
        <w:tc>
          <w:tcPr>
            <w:tcW w:w="2272" w:type="dxa"/>
          </w:tcPr>
          <w:p>
            <w:pPr>
              <w:pStyle w:val="IsiTabel"/>
              <w:keepNext/>
              <w:suppressAutoHyphens/>
              <w:jc w:val="left"/>
            </w:pPr>
            <w:r>
              <w:t xml:space="preserve">berkala</w:t>
            </w:r>
          </w:p>
        </w:tc>
        <w:tc>
          <w:tcPr>
            <w:tcW w:w="561" w:type="dxa"/>
          </w:tcPr>
          <w:p>
            <w:pPr>
              <w:pStyle w:val="IsiTabel"/>
              <w:keepNext/>
              <w:suppressAutoHyphens/>
              <w:jc w:val="left"/>
            </w:pPr>
            <w:r>
              <w:fldChar w:fldCharType="begin"/>
            </w:r>
            <w:r>
              <w:instrText xml:space="preserve"> REF _Ref0094 \h \* CHARFORMAT </w:instrText>
            </w:r>
            <w:r>
              <w:fldChar w:fldCharType="separate"/>
            </w:r>
            <w:r>
              <w:t xml:space="preserve">21</w:t>
            </w:r>
            <w:r>
              <w:fldChar w:fldCharType="end"/>
            </w:r>
          </w:p>
        </w:tc>
      </w:tr>
      <w:tr>
        <w:trPr>
          <w:cantSplit/>
        </w:trPr>
        <w:tc>
          <w:tcPr>
            <w:tcW w:w="2082" w:type="dxa"/>
          </w:tcPr>
          <w:p>
            <w:pPr>
              <w:pStyle w:val="IsiTabel"/>
              <w:keepNext/>
              <w:suppressAutoHyphens/>
              <w:jc w:val="left"/>
            </w:pPr>
            <w:bookmarkStart w:id="26" w:name="_Ekor003a"/>
            <w:bookmarkEnd w:id="26"/>
            <w:r>
              <w:t xml:space="preserve">Sasaran 1.c</w:t>
            </w:r>
          </w:p>
        </w:tc>
        <w:tc>
          <w:tcPr>
            <w:tcW w:w="3054" w:type="dxa"/>
          </w:tcPr>
          <w:p>
            <w:pPr>
              <w:pStyle w:val="IsiTabel"/>
              <w:keepNext/>
              <w:suppressAutoHyphens/>
              <w:jc w:val="left"/>
            </w:pPr>
            <w:r>
              <w:t xml:space="preserve">11.060</w:t>
            </w:r>
            <w:r>
              <w:t xml:space="preserve"> ke </w:t>
            </w:r>
            <w:r>
              <w:t xml:space="preserve">52.000</w:t>
            </w:r>
            <w:r>
              <w:t xml:space="preserve"> per 100.000</w:t>
            </w:r>
          </w:p>
        </w:tc>
        <w:tc>
          <w:tcPr>
            <w:tcW w:w="1385" w:type="dxa"/>
          </w:tcPr>
          <w:p>
            <w:pPr>
              <w:pStyle w:val="IsiTabel"/>
              <w:keepNext/>
              <w:suppressAutoHyphens/>
              <w:jc w:val="left"/>
            </w:pPr>
            <w:r>
              <w:t xml:space="preserve">satu lintasan dengan penyebut tertulis (KD-2)</w:t>
            </w:r>
          </w:p>
        </w:tc>
        <w:tc>
          <w:tcPr>
            <w:tcW w:w="2272" w:type="dxa"/>
          </w:tcPr>
          <w:p>
            <w:pPr>
              <w:pStyle w:val="IsiTabel"/>
              <w:keepNext/>
              <w:suppressAutoHyphens/>
              <w:jc w:val="left"/>
            </w:pPr>
            <w:r>
              <w:t xml:space="preserve">berkala; Renstra</w:t>
            </w:r>
          </w:p>
        </w:tc>
        <w:tc>
          <w:tcPr>
            <w:tcW w:w="561" w:type="dxa"/>
          </w:tcPr>
          <w:p>
            <w:pPr>
              <w:pStyle w:val="IsiTabel"/>
              <w:keepNext/>
              <w:suppressAutoHyphens/>
              <w:jc w:val="left"/>
            </w:pPr>
            <w:r>
              <w:fldChar w:fldCharType="begin"/>
            </w:r>
            <w:r>
              <w:instrText xml:space="preserve"> REF _Ref0081 \h \* CHARFORMAT </w:instrText>
            </w:r>
            <w:r>
              <w:fldChar w:fldCharType="separate"/>
            </w:r>
            <w:r>
              <w:t xml:space="preserve">33</w:t>
            </w:r>
            <w:r>
              <w:fldChar w:fldCharType="end"/>
            </w:r>
          </w:p>
        </w:tc>
      </w:tr>
      <w:tr>
        <w:trPr>
          <w:cantSplit/>
        </w:trPr>
        <w:tc>
          <w:tcPr>
            <w:tcW w:w="2082" w:type="dxa"/>
          </w:tcPr>
          <w:p>
            <w:pPr>
              <w:pStyle w:val="IsiTabel"/>
              <w:keepNext/>
              <w:suppressAutoHyphens/>
              <w:jc w:val="left"/>
            </w:pPr>
            <w:r>
              <w:t xml:space="preserve">Sasaran 4.c</w:t>
            </w:r>
          </w:p>
        </w:tc>
        <w:tc>
          <w:tcPr>
            <w:tcW w:w="3054" w:type="dxa"/>
          </w:tcPr>
          <w:p>
            <w:pPr>
              <w:pStyle w:val="IsiTabel"/>
              <w:keepNext/>
              <w:suppressAutoHyphens/>
              <w:jc w:val="left"/>
            </w:pPr>
            <w:r>
              <w:t xml:space="preserve">turun </w:t>
            </w:r>
            <w:r>
              <w:t xml:space="preserve">1,2%</w:t>
            </w:r>
            <w:r>
              <w:t xml:space="preserve"> per tahun</w:t>
            </w:r>
          </w:p>
        </w:tc>
        <w:tc>
          <w:tcPr>
            <w:tcW w:w="1385" w:type="dxa"/>
          </w:tcPr>
          <w:p>
            <w:pPr>
              <w:pStyle w:val="IsiTabel"/>
              <w:keepNext/>
              <w:suppressAutoHyphens/>
              <w:jc w:val="left"/>
            </w:pPr>
            <w:r>
              <w:t xml:space="preserve">catatan metode dan garis dasar IRBI 2025 (KD-4)</w:t>
            </w:r>
          </w:p>
        </w:tc>
        <w:tc>
          <w:tcPr>
            <w:tcW w:w="2272" w:type="dxa"/>
          </w:tcPr>
          <w:p>
            <w:pPr>
              <w:pStyle w:val="IsiTabel"/>
              <w:keepNext/>
              <w:suppressAutoHyphens/>
              <w:jc w:val="left"/>
            </w:pPr>
            <w:r>
              <w:t xml:space="preserve">berkala</w:t>
            </w:r>
          </w:p>
        </w:tc>
        <w:tc>
          <w:tcPr>
            <w:tcW w:w="561" w:type="dxa"/>
          </w:tcPr>
          <w:p>
            <w:pPr>
              <w:pStyle w:val="IsiTabel"/>
              <w:keepNext/>
              <w:suppressAutoHyphens/>
              <w:jc w:val="left"/>
            </w:pPr>
            <w:r>
              <w:fldChar w:fldCharType="begin"/>
            </w:r>
            <w:r>
              <w:instrText xml:space="preserve"> REF _Ref0086 \h \* CHARFORMAT </w:instrText>
            </w:r>
            <w:r>
              <w:fldChar w:fldCharType="separate"/>
            </w:r>
            <w:r>
              <w:t xml:space="preserve">10</w:t>
            </w:r>
            <w:r>
              <w:fldChar w:fldCharType="end"/>
            </w:r>
          </w:p>
        </w:tc>
      </w:tr>
      <w:tr>
        <w:trPr>
          <w:cantSplit/>
        </w:trPr>
        <w:tc>
          <w:tcPr>
            <w:tcW w:w="2082" w:type="dxa"/>
          </w:tcPr>
          <w:p>
            <w:pPr>
              <w:pStyle w:val="IsiTabel"/>
              <w:keepNext/>
              <w:suppressAutoHyphens/>
              <w:jc w:val="left"/>
            </w:pPr>
            <w:r>
              <w:t xml:space="preserve">Lokus prioritas</w:t>
            </w:r>
          </w:p>
        </w:tc>
        <w:tc>
          <w:tcPr>
            <w:tcW w:w="3054" w:type="dxa"/>
          </w:tcPr>
          <w:p>
            <w:pPr>
              <w:pStyle w:val="IsiTabel"/>
              <w:keepNext/>
              <w:suppressAutoHyphens/>
              <w:jc w:val="left"/>
            </w:pPr>
            <w:r>
              <w:t xml:space="preserve">171</w:t>
            </w:r>
            <w:r>
              <w:t xml:space="preserve"> kab/kota</w:t>
            </w:r>
          </w:p>
        </w:tc>
        <w:tc>
          <w:tcPr>
            <w:tcW w:w="1385" w:type="dxa"/>
          </w:tcPr>
          <w:p>
            <w:pPr>
              <w:pStyle w:val="IsiTabel"/>
              <w:keepNext/>
              <w:suppressAutoHyphens/>
              <w:jc w:val="left"/>
            </w:pPr>
            <w:r>
              <w:t xml:space="preserve">saran lokasi kegiatan 2027 di kab/kota terdampak berat 2025, lalu penambahan lokus</w:t>
            </w:r>
          </w:p>
        </w:tc>
        <w:tc>
          <w:tcPr>
            <w:tcW w:w="2272" w:type="dxa"/>
          </w:tcPr>
          <w:p>
            <w:pPr>
              <w:pStyle w:val="IsiTabel"/>
              <w:keepNext/>
              <w:suppressAutoHyphens/>
              <w:jc w:val="left"/>
            </w:pPr>
            <w:r>
              <w:t xml:space="preserve">pengendalian, lalu berkala</w:t>
            </w:r>
          </w:p>
        </w:tc>
        <w:tc>
          <w:tcPr>
            <w:tcW w:w="561" w:type="dxa"/>
          </w:tcPr>
          <w:p>
            <w:pPr>
              <w:pStyle w:val="IsiTabel"/>
              <w:keepNext/>
              <w:suppressAutoHyphens/>
              <w:jc w:val="left"/>
            </w:pPr>
            <w:r>
              <w:fldChar w:fldCharType="begin"/>
            </w:r>
            <w:r>
              <w:instrText xml:space="preserve"> REF _Ref0107 \h \* CHARFORMAT </w:instrText>
            </w:r>
            <w:r>
              <w:fldChar w:fldCharType="separate"/>
            </w:r>
            <w:r>
              <w:t xml:space="preserve">15</w:t>
            </w:r>
            <w:r>
              <w:fldChar w:fldCharType="end"/>
            </w:r>
          </w:p>
        </w:tc>
      </w:tr>
      <w:tr>
        <w:trPr>
          <w:cantSplit/>
        </w:trPr>
        <w:tc>
          <w:tcPr>
            <w:tcW w:w="2082" w:type="dxa"/>
          </w:tcPr>
          <w:p>
            <w:pPr>
              <w:pStyle w:val="IsiTabel"/>
              <w:suppressAutoHyphens/>
              <w:jc w:val="left"/>
            </w:pPr>
            <w:bookmarkStart w:id="27" w:name="_Ekor003z"/>
            <w:bookmarkEnd w:id="27"/>
            <w:r>
              <w:t xml:space="preserve">Aksi 3.1.2.c perumahan</w:t>
            </w:r>
          </w:p>
        </w:tc>
        <w:tc>
          <w:tcPr>
            <w:tcW w:w="3054" w:type="dxa"/>
          </w:tcPr>
          <w:p>
            <w:pPr>
              <w:pStyle w:val="IsiTabel"/>
              <w:suppressAutoHyphens/>
              <w:jc w:val="left"/>
            </w:pPr>
            <w:r>
              <w:t xml:space="preserve">5.802 rumah/unit/paket</w:t>
            </w:r>
            <w:r>
              <w:t xml:space="preserve"> pada 2029</w:t>
            </w:r>
          </w:p>
        </w:tc>
        <w:tc>
          <w:tcPr>
            <w:tcW w:w="1385" w:type="dxa"/>
          </w:tcPr>
          <w:p>
            <w:pPr>
              <w:pStyle w:val="IsiTabel"/>
              <w:suppressAutoHyphens/>
              <w:jc w:val="left"/>
            </w:pPr>
            <w:r>
              <w:t xml:space="preserve">tinjau target setelah Sumatra 2025</w:t>
            </w:r>
          </w:p>
        </w:tc>
        <w:tc>
          <w:tcPr>
            <w:tcW w:w="2272" w:type="dxa"/>
          </w:tcPr>
          <w:p>
            <w:pPr>
              <w:pStyle w:val="IsiTabel"/>
              <w:suppressAutoHyphens/>
              <w:jc w:val="left"/>
            </w:pPr>
            <w:r>
              <w:t xml:space="preserve">bencana</w:t>
            </w:r>
          </w:p>
        </w:tc>
        <w:tc>
          <w:tcPr>
            <w:tcW w:w="561" w:type="dxa"/>
          </w:tcPr>
          <w:p>
            <w:pPr>
              <w:pStyle w:val="IsiTabel"/>
              <w:suppressAutoHyphens/>
              <w:jc w:val="left"/>
            </w:pPr>
            <w:r>
              <w:fldChar w:fldCharType="begin"/>
            </w:r>
            <w:r>
              <w:instrText xml:space="preserve"> REF _Ref0108 \h \* CHARFORMAT </w:instrText>
            </w:r>
            <w:r>
              <w:fldChar w:fldCharType="separate"/>
            </w:r>
            <w:r>
              <w:t xml:space="preserve">39</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hlm. 32–33, 47–48, 90, 125; Renstra BNPB 2025–2029; Manual IKU BNPB; register rekomendasi kajian ini (Bab 12)</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Jalur berkala paling lambat 2027; jalur bencana paling lambat 2028 dan terbatas pada program dan kegiatan rencana aksi; pengendalian memberi saran lokasi tanpa mengubah Renas PB.</w:t>
      </w:r>
    </w:p>
    <w:p>
      <w:pPr>
        <w:pStyle w:val="Heading2"/>
      </w:pPr>
      <w:bookmarkStart w:id="28" w:name="_Toc00015"/>
      <w:r>
        <w:t xml:space="preserve">Yang Belum Diketahui</w:t>
      </w:r>
      <w:bookmarkEnd w:id="28"/>
    </w:p>
    <w:p>
      <w:pPr>
        <w:pStyle w:val="IsiTemuan"/>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rPr>
          <w:b/>
          <w:bCs/>
          <w:color w:val="051C2C"/>
        </w:rPr>
        <w:t xml:space="preserve">Tiga belas kelompok data belum diketahui pada Oktober 2026; sembilan sudah tertaut rekomendasi, dan empat belum punya pemilik di BNPB</w:t>
      </w:r>
      <w:r>
        <w:t xml:space="preserve"> (</w:t>
      </w:r>
      <w:r>
        <w:fldChar w:fldCharType="begin"/>
      </w:r>
      <w:r>
        <w:instrText xml:space="preserve"> REF _Ref0229 \h \* CHARFORMAT </w:instrText>
      </w:r>
      <w:r>
        <w:fldChar w:fldCharType="separate"/>
      </w:r>
      <w:r>
        <w:t xml:space="preserve">Tabel 13.7</w:t>
      </w:r>
      <w:r>
        <w:fldChar w:fldCharType="end"/>
      </w:r>
      <w:r>
        <w:t xml:space="preserve">). Untuk skenario geologi, yang belum ada adalah skenario korban resmi gempa dan tsunami beserta genangan tsunami InaRISK, dan rencana kontinjensi megathrust nasional juga tidak ditemukan (</w:t>
      </w:r>
      <w:r>
        <w:fldChar w:fldCharType="begin"/>
      </w:r>
      <w:r>
        <w:instrText xml:space="preserve"> REF _Ref0090 \h \* CHARFORMAT </w:instrText>
      </w:r>
      <w:r>
        <w:fldChar w:fldCharType="separate"/>
      </w:r>
      <w:r>
        <w:t xml:space="preserve">18</w:t>
      </w:r>
      <w:r>
        <w:fldChar w:fldCharType="end"/>
      </w:r>
      <w:r>
        <w:t xml:space="preserve">). Selisih korban 2025 antara Laporan Kinerja BNPB 2025, </w:t>
      </w:r>
      <w:r>
        <w:t xml:space="preserve">1.666</w:t>
      </w:r>
      <w:r>
        <w:t xml:space="preserve"> meninggal dan </w:t>
      </w:r>
      <w:r>
        <w:t xml:space="preserve">214</w:t>
      </w:r>
      <w:r>
        <w:t xml:space="preserve"> hilang, dan DIBI juga belum dapat dijelaskan dan menjadi permintaan data kepada Pusat Data, Informasi, dan Komunikasi Kebencanaan (</w:t>
      </w:r>
      <w:r>
        <w:fldChar w:fldCharType="begin"/>
      </w:r>
      <w:r>
        <w:instrText xml:space="preserve"> REF _Ref0093 \h \* CHARFORMAT </w:instrText>
      </w:r>
      <w:r>
        <w:fldChar w:fldCharType="separate"/>
      </w:r>
      <w:r>
        <w:t xml:space="preserve">20</w:t>
      </w:r>
      <w:r>
        <w:fldChar w:fldCharType="end"/>
      </w:r>
      <w:r>
        <w:t xml:space="preserve">) </w:t>
      </w:r>
      <w:r>
        <w:t xml:space="preserve">(BNPB, 2026c)</w:t>
      </w:r>
      <w:r>
        <w:t xml:space="preserve">. Data bangunan di luar Kalimantan Tengah, luas genangan rob teramati, penduduk per kab/kota dari Badan Pusat Statistik, serta skenario pandemi resmi tetap sebagai permintaan data ke lembaga pemegangnya.</w:t>
      </w:r>
    </w:p>
    <w:p>
      <w:pPr>
        <w:pStyle w:val="JudulDepan"/>
      </w:pPr>
      <w:bookmarkStart w:id="29" w:name="_Toc00016"/>
      <w:r>
        <w:t xml:space="preserve">DAFTAR TABEL</w:t>
      </w:r>
      <w:bookmarkEnd w:id="29"/>
    </w:p>
    <w:p>
      <w:pPr>
        <w:pStyle w:val="TableofFigures"/>
      </w:pPr>
      <w:r>
        <w:fldChar w:fldCharType="begin"/>
      </w:r>
      <w:r>
        <w:instrText xml:space="preserve"> TOC \h \z \c "Tabel" </w:instrText>
      </w:r>
      <w:r>
        <w:fldChar w:fldCharType="separate"/>
      </w:r>
      <w:hyperlink w:anchor="_Toc00006" w:history="1">
        <w:r>
          <w:rPr>
            <w:b/>
            <w:bCs/>
          </w:rPr>
          <w:t xml:space="preserve">Tabel RE.1</w:t>
        </w:r>
        <w:r>
          <w:t xml:space="preserve"> Rekomendasi 100 hari pertama, unit pemimpin, dan K/L pendukung, November 2026–Februari 2027</w:t>
        </w:r>
        <w:r>
          <w:tab/>
        </w:r>
        <w:r>
          <w:t xml:space="preserve">x</w:t>
        </w:r>
      </w:hyperlink>
    </w:p>
    <w:p>
      <w:pPr>
        <w:pStyle w:val="TableofFigures"/>
      </w:pPr>
      <w:hyperlink w:anchor="_Toc00011" w:history="1">
        <w:r>
          <w:rPr>
            <w:b/>
            <w:bCs/>
          </w:rPr>
          <w:t xml:space="preserve">Tabel RE.2</w:t>
        </w:r>
        <w:r>
          <w:t xml:space="preserve"> Tiga risiko teratas dan tiga kapasitas yang sudah ada untuk mitigasi bencana Indonesia, 2026</w:t>
        </w:r>
        <w:r>
          <w:tab/>
        </w:r>
        <w:r>
          <w:t xml:space="preserve">xiv</w:t>
        </w:r>
      </w:hyperlink>
    </w:p>
    <w:p>
      <w:pPr>
        <w:pStyle w:val="TableofFigures"/>
      </w:pPr>
      <w:hyperlink w:anchor="_Toc00014" w:history="1">
        <w:r>
          <w:rPr>
            <w:b/>
            <w:bCs/>
          </w:rPr>
          <w:t xml:space="preserve">Tabel RE.3</w:t>
        </w:r>
        <w:r>
          <w:t xml:space="preserve"> Butir Renas PB 2025–2029 yang diusulkan berubah menurut jalur dan rekomendasi, 2026–2030</w:t>
        </w:r>
        <w:r>
          <w:tab/>
        </w:r>
        <w:r>
          <w:t xml:space="preserve">xv</w:t>
        </w:r>
      </w:hyperlink>
    </w:p>
    <w:p>
      <w:pPr>
        <w:pStyle w:val="TableofFigures"/>
      </w:pPr>
      <w:hyperlink w:anchor="_Toc00028" w:history="1">
        <w:r>
          <w:rPr>
            <w:b/>
            <w:bCs/>
          </w:rPr>
          <w:t xml:space="preserve">Tabel 1.1</w:t>
        </w:r>
        <w:r>
          <w:t xml:space="preserve"> Taksonomi dan lingkup kajian terhadap kode Juklak 7/2023, bahaya KRB 2022–2026, dan ancaman IRBI, 2026</w:t>
        </w:r>
        <w:r>
          <w:tab/>
        </w:r>
        <w:r>
          <w:t xml:space="preserve">6</w:t>
        </w:r>
      </w:hyperlink>
    </w:p>
    <w:p>
      <w:pPr>
        <w:pStyle w:val="TableofFigures"/>
      </w:pPr>
      <w:hyperlink w:anchor="_Toc00034" w:history="1">
        <w:r>
          <w:rPr>
            <w:b/>
            <w:bCs/>
          </w:rPr>
          <w:t xml:space="preserve">Tabel 2.1</w:t>
        </w:r>
        <w:r>
          <w:t xml:space="preserve"> Target global Kerangka Sendai dan padanan indikator Renas PB 2025–2029 serta RPJMN 2025–2029</w:t>
        </w:r>
        <w:r>
          <w:tab/>
        </w:r>
        <w:r>
          <w:t xml:space="preserve">11</w:t>
        </w:r>
      </w:hyperlink>
    </w:p>
    <w:p>
      <w:pPr>
        <w:pStyle w:val="TableofFigures"/>
      </w:pPr>
      <w:hyperlink w:anchor="_Toc00036" w:history="1">
        <w:r>
          <w:rPr>
            <w:b/>
            <w:bCs/>
          </w:rPr>
          <w:t xml:space="preserve">Tabel 2.2</w:t>
        </w:r>
        <w:r>
          <w:t xml:space="preserve"> Dokumen risiko dan perencanaan BNPB, angka pokok, keterbatasan, dan tambahan kajian ini, 2015–2029</w:t>
        </w:r>
        <w:r>
          <w:tab/>
        </w:r>
        <w:r>
          <w:t xml:space="preserve">14</w:t>
        </w:r>
      </w:hyperlink>
    </w:p>
    <w:p>
      <w:pPr>
        <w:pStyle w:val="TableofFigures"/>
      </w:pPr>
      <w:hyperlink w:anchor="_Toc00038" w:history="1">
        <w:r>
          <w:rPr>
            <w:b/>
            <w:bCs/>
          </w:rPr>
          <w:t xml:space="preserve">Tabel 2.3</w:t>
        </w:r>
        <w:r>
          <w:t xml:space="preserve"> Kronologi regulasi penanggulangan bencana yang dirujuk kajian, 2007–2026</w:t>
        </w:r>
        <w:r>
          <w:tab/>
        </w:r>
        <w:r>
          <w:t xml:space="preserve">16</w:t>
        </w:r>
      </w:hyperlink>
    </w:p>
    <w:p>
      <w:pPr>
        <w:pStyle w:val="TableofFigures"/>
      </w:pPr>
      <w:hyperlink w:anchor="_Toc00041" w:history="1">
        <w:r>
          <w:rPr>
            <w:b/>
            <w:bCs/>
          </w:rPr>
          <w:t xml:space="preserve">Tabel 2.4</w:t>
        </w:r>
        <w:r>
          <w:t xml:space="preserve"> Praktik pembanding kajian mitigasi menurut kekuatan bukti dan padanannya di Indonesia, 1970–2026</w:t>
        </w:r>
        <w:r>
          <w:tab/>
        </w:r>
        <w:r>
          <w:t xml:space="preserve">20</w:t>
        </w:r>
      </w:hyperlink>
    </w:p>
    <w:p>
      <w:pPr>
        <w:pStyle w:val="TableofFigures"/>
      </w:pPr>
      <w:hyperlink w:anchor="_Toc00046" w:history="1">
        <w:r>
          <w:rPr>
            <w:b/>
            <w:bCs/>
          </w:rPr>
          <w:t xml:space="preserve">Tabel 3.1</w:t>
        </w:r>
        <w:r>
          <w:t xml:space="preserve"> Sumber data, penerbit, cakupan, dan label keyakinan kajian mitigasi bencana Indonesia, 1950–2026</w:t>
        </w:r>
        <w:r>
          <w:tab/>
        </w:r>
        <w:r>
          <w:t xml:space="preserve">25</w:t>
        </w:r>
      </w:hyperlink>
    </w:p>
    <w:p>
      <w:pPr>
        <w:pStyle w:val="TableofFigures"/>
      </w:pPr>
      <w:hyperlink w:anchor="_Toc00049" w:history="1">
        <w:r>
          <w:rPr>
            <w:b/>
            <w:bCs/>
          </w:rPr>
          <w:t xml:space="preserve">Tabel 3.2</w:t>
        </w:r>
        <w:r>
          <w:t xml:space="preserve"> Rerata, perubahan, dan konsistensi peringkat IRBI kab/kota menurut tahun, Indonesia, 2015–2025</w:t>
        </w:r>
        <w:r>
          <w:tab/>
        </w:r>
        <w:r>
          <w:t xml:space="preserve">27</w:t>
        </w:r>
      </w:hyperlink>
    </w:p>
    <w:p>
      <w:pPr>
        <w:pStyle w:val="TableofFigures"/>
      </w:pPr>
      <w:hyperlink w:anchor="_Toc00053" w:history="1">
        <w:r>
          <w:rPr>
            <w:b/>
            <w:bCs/>
          </w:rPr>
          <w:t xml:space="preserve">Tabel 3.3</w:t>
        </w:r>
        <w:r>
          <w:t xml:space="preserve"> Sebaran dampak DIBI per provinsi per tahun dan ambang kelas dampak per aspek, Indonesia, 2008–2025</w:t>
        </w:r>
        <w:r>
          <w:tab/>
        </w:r>
        <w:r>
          <w:t xml:space="preserve">29</w:t>
        </w:r>
      </w:hyperlink>
    </w:p>
    <w:p>
      <w:pPr>
        <w:pStyle w:val="TableofFigures"/>
      </w:pPr>
      <w:hyperlink w:anchor="_Toc00054" w:history="1">
        <w:r>
          <w:rPr>
            <w:b/>
            <w:bCs/>
          </w:rPr>
          <w:t xml:space="preserve">Tabel 3.4</w:t>
        </w:r>
        <w:r>
          <w:t xml:space="preserve"> Dasar kemungkinan lima tahun per jenis bencana dan pita NRR, Indonesia, 1950–2026</w:t>
        </w:r>
        <w:r>
          <w:tab/>
        </w:r>
        <w:r>
          <w:t xml:space="preserve">30</w:t>
        </w:r>
      </w:hyperlink>
    </w:p>
    <w:p>
      <w:pPr>
        <w:pStyle w:val="TableofFigures"/>
      </w:pPr>
      <w:hyperlink w:anchor="_Toc00056" w:history="1">
        <w:r>
          <w:rPr>
            <w:b/>
            <w:bCs/>
          </w:rPr>
          <w:t xml:space="preserve">Tabel 3.5</w:t>
        </w:r>
        <w:r>
          <w:t xml:space="preserve"> Ketersediaan kuantifikasi per jenis bencana dan besaran skenario, Indonesia, 2008–2026</w:t>
        </w:r>
        <w:r>
          <w:tab/>
        </w:r>
        <w:r>
          <w:t xml:space="preserve">31</w:t>
        </w:r>
      </w:hyperlink>
    </w:p>
    <w:p>
      <w:pPr>
        <w:pStyle w:val="TableofFigures"/>
      </w:pPr>
      <w:hyperlink w:anchor="_Toc00058" w:history="1">
        <w:r>
          <w:rPr>
            <w:b/>
            <w:bCs/>
          </w:rPr>
          <w:t xml:space="preserve">Tabel 3.6</w:t>
        </w:r>
        <w:r>
          <w:t xml:space="preserve"> Tiga besaran kerugian materiil dan profil biaya rehabilitasi rumah untuk kartu skenario, Indonesia, 2011–2026</w:t>
        </w:r>
        <w:r>
          <w:tab/>
        </w:r>
        <w:r>
          <w:t xml:space="preserve">33</w:t>
        </w:r>
      </w:hyperlink>
    </w:p>
    <w:p>
      <w:pPr>
        <w:pStyle w:val="TableofFigures"/>
      </w:pPr>
      <w:hyperlink w:anchor="_Toc00060" w:history="1">
        <w:r>
          <w:rPr>
            <w:b/>
            <w:bCs/>
          </w:rPr>
          <w:t xml:space="preserve">Tabel 3.7</w:t>
        </w:r>
        <w:r>
          <w:t xml:space="preserve"> Jumlah kab/kota daftar perhatian menurut bahaya dan varian aturan, Indonesia, 2015–2025 (kab/kota)</w:t>
        </w:r>
        <w:r>
          <w:tab/>
        </w:r>
        <w:r>
          <w:t xml:space="preserve">34</w:t>
        </w:r>
      </w:hyperlink>
    </w:p>
    <w:p>
      <w:pPr>
        <w:pStyle w:val="TableofFigures"/>
      </w:pPr>
      <w:hyperlink w:anchor="_Toc00062" w:history="1">
        <w:r>
          <w:rPr>
            <w:b/>
            <w:bCs/>
          </w:rPr>
          <w:t xml:space="preserve">Tabel 3.8</w:t>
        </w:r>
        <w:r>
          <w:t xml:space="preserve"> Rekonsiliasi angka yang berbeda versi dalam kajian mitigasi bencana Indonesia, 2010–2026</w:t>
        </w:r>
        <w:r>
          <w:tab/>
        </w:r>
        <w:r>
          <w:t xml:space="preserve">35</w:t>
        </w:r>
      </w:hyperlink>
    </w:p>
    <w:p>
      <w:pPr>
        <w:pStyle w:val="TableofFigures"/>
      </w:pPr>
      <w:hyperlink w:anchor="_Toc00070" w:history="1">
        <w:r>
          <w:rPr>
            <w:b/>
            <w:bCs/>
          </w:rPr>
          <w:t xml:space="preserve">Tabel 4.1</w:t>
        </w:r>
        <w:r>
          <w:t xml:space="preserve"> Kejadian besar di Indonesia, analog skenario, dan pelajarannya, 1996–2026</w:t>
        </w:r>
        <w:r>
          <w:tab/>
        </w:r>
        <w:r>
          <w:t xml:space="preserve">43</w:t>
        </w:r>
      </w:hyperlink>
    </w:p>
    <w:p>
      <w:pPr>
        <w:pStyle w:val="TableofFigures"/>
      </w:pPr>
      <w:hyperlink w:anchor="_Toc00071" w:history="1">
        <w:r>
          <w:rPr>
            <w:b/>
            <w:bCs/>
          </w:rPr>
          <w:t xml:space="preserve">Tabel 4.2</w:t>
        </w:r>
        <w:r>
          <w:t xml:space="preserve"> Rekonsiliasi versi korban dan kerusakan kejadian besar di Indonesia, 2004–2025</w:t>
        </w:r>
        <w:r>
          <w:tab/>
        </w:r>
        <w:r>
          <w:t xml:space="preserve">44</w:t>
        </w:r>
      </w:hyperlink>
    </w:p>
    <w:p>
      <w:pPr>
        <w:pStyle w:val="TableofFigures"/>
      </w:pPr>
      <w:hyperlink w:anchor="_Toc00076" w:history="1">
        <w:r>
          <w:rPr>
            <w:b/>
            <w:bCs/>
          </w:rPr>
          <w:t xml:space="preserve">Tabel 4.3</w:t>
        </w:r>
        <w:r>
          <w:t xml:space="preserve"> Data histori kejadian dan korban bencana yang belum tersedia dan pemegangnya, status Oktober 2026</w:t>
        </w:r>
        <w:r>
          <w:tab/>
        </w:r>
        <w:r>
          <w:t xml:space="preserve">49</w:t>
        </w:r>
      </w:hyperlink>
    </w:p>
    <w:p>
      <w:pPr>
        <w:pStyle w:val="TableofFigures"/>
      </w:pPr>
      <w:hyperlink w:anchor="_Toc00086" w:history="1">
        <w:r>
          <w:rPr>
            <w:b/>
            <w:bCs/>
          </w:rPr>
          <w:t xml:space="preserve">Tabel 5.1</w:t>
        </w:r>
        <w:r>
          <w:t xml:space="preserve"> Rerata nilai IRBI kab/kota per bahaya dan per pulau, 2025 (indeks)</w:t>
        </w:r>
        <w:r>
          <w:tab/>
        </w:r>
        <w:r>
          <w:t xml:space="preserve">57</w:t>
        </w:r>
      </w:hyperlink>
    </w:p>
    <w:p>
      <w:pPr>
        <w:pStyle w:val="TableofFigures"/>
      </w:pPr>
      <w:hyperlink w:anchor="_Toc00089" w:history="1">
        <w:r>
          <w:rPr>
            <w:b/>
            <w:bCs/>
          </w:rPr>
          <w:t xml:space="preserve">Tabel 5.2</w:t>
        </w:r>
        <w:r>
          <w:t xml:space="preserve"> Provinsi utama menurut jumlah kab/kota daftar perhatian dan meninggal dan hilang, Indonesia, 2015–2025</w:t>
        </w:r>
        <w:r>
          <w:tab/>
        </w:r>
        <w:r>
          <w:t xml:space="preserve">59</w:t>
        </w:r>
      </w:hyperlink>
    </w:p>
    <w:p>
      <w:pPr>
        <w:pStyle w:val="TableofFigures"/>
      </w:pPr>
      <w:hyperlink w:anchor="_Toc00090" w:history="1">
        <w:r>
          <w:rPr>
            <w:b/>
            <w:bCs/>
          </w:rPr>
          <w:t xml:space="preserve">Tabel 5.3</w:t>
        </w:r>
        <w:r>
          <w:t xml:space="preserve"> Lima kab/kota dengan meninggal dan hilang terbanyak dan status IRB pada tahun kejadian dan pada 2025, Indonesia, 2015–2025</w:t>
        </w:r>
        <w:r>
          <w:tab/>
        </w:r>
        <w:r>
          <w:t xml:space="preserve">60</w:t>
        </w:r>
      </w:hyperlink>
    </w:p>
    <w:p>
      <w:pPr>
        <w:pStyle w:val="TableofFigures"/>
      </w:pPr>
      <w:hyperlink w:anchor="_Toc00092" w:history="1">
        <w:r>
          <w:rPr>
            <w:b/>
            <w:bCs/>
          </w:rPr>
          <w:t xml:space="preserve">Tabel 5.4</w:t>
        </w:r>
        <w:r>
          <w:t xml:space="preserve"> Kab/kota daftar perhatian dan kab/kota berstatus Tinggi IRBI 2025 per pulau, Indonesia (kab/kota)</w:t>
        </w:r>
        <w:r>
          <w:tab/>
        </w:r>
        <w:r>
          <w:t xml:space="preserve">61</w:t>
        </w:r>
      </w:hyperlink>
    </w:p>
    <w:p>
      <w:pPr>
        <w:pStyle w:val="TableofFigures"/>
      </w:pPr>
      <w:hyperlink w:anchor="_Toc00095" w:history="1">
        <w:r>
          <w:rPr>
            <w:b/>
            <w:bCs/>
          </w:rPr>
          <w:t xml:space="preserve">Tabel 5.5</w:t>
        </w:r>
        <w:r>
          <w:t xml:space="preserve"> Persentase daerah berkapasitas penanggulangan bencana minimal sedang menurut alat ukur dan unit, Indonesia, 2022–2029 (persen)</w:t>
        </w:r>
        <w:r>
          <w:tab/>
        </w:r>
        <w:r>
          <w:t xml:space="preserve">63</w:t>
        </w:r>
      </w:hyperlink>
    </w:p>
    <w:p>
      <w:pPr>
        <w:pStyle w:val="TableofFigures"/>
      </w:pPr>
      <w:hyperlink w:anchor="_Toc00097" w:history="1">
        <w:r>
          <w:rPr>
            <w:b/>
            <w:bCs/>
          </w:rPr>
          <w:t xml:space="preserve">Tabel 5.6</w:t>
        </w:r>
        <w:r>
          <w:t xml:space="preserve"> Potensi penduduk terpapar dan potensi kerugian fisik dan ekonomi per bahaya menurut Kajian Risiko Bencana 2022–2026, Indonesia</w:t>
        </w:r>
        <w:r>
          <w:tab/>
        </w:r>
        <w:r>
          <w:t xml:space="preserve">65</w:t>
        </w:r>
      </w:hyperlink>
    </w:p>
    <w:p>
      <w:pPr>
        <w:pStyle w:val="TableofFigures"/>
      </w:pPr>
      <w:hyperlink w:anchor="_Toc00099" w:history="1">
        <w:r>
          <w:rPr>
            <w:b/>
            <w:bCs/>
          </w:rPr>
          <w:t xml:space="preserve">Tabel 5.7</w:t>
        </w:r>
        <w:r>
          <w:t xml:space="preserve"> Kelas dampak aspek kependudukan dan dasar kemungkinan lima tahun per jenis bencana, Indonesia, 1996–2025 (kelas)</w:t>
        </w:r>
        <w:r>
          <w:tab/>
        </w:r>
        <w:r>
          <w:t xml:space="preserve">66</w:t>
        </w:r>
      </w:hyperlink>
    </w:p>
    <w:p>
      <w:pPr>
        <w:pStyle w:val="TableofFigures"/>
      </w:pPr>
      <w:hyperlink w:anchor="_Toc00103" w:history="1">
        <w:r>
          <w:rPr>
            <w:b/>
            <w:bCs/>
          </w:rPr>
          <w:t xml:space="preserve">Tabel 6.1</w:t>
        </w:r>
        <w:r>
          <w:t xml:space="preserve"> Paparan, aset di kelas bahaya tinggi, dan kelas IRBI per bahaya geologi di Indonesia, KRB 2022–2026 dan IRBI 2025</w:t>
        </w:r>
        <w:r>
          <w:tab/>
        </w:r>
        <w:r>
          <w:t xml:space="preserve">71</w:t>
        </w:r>
      </w:hyperlink>
    </w:p>
    <w:p>
      <w:pPr>
        <w:pStyle w:val="TableofFigures"/>
      </w:pPr>
      <w:hyperlink w:anchor="_Toc00108" w:history="1">
        <w:r>
          <w:rPr>
            <w:b/>
            <w:bCs/>
          </w:rPr>
          <w:t xml:space="preserve">Tabel 6.2</w:t>
        </w:r>
        <w:r>
          <w:t xml:space="preserve"> Megathrust selatan Jawa Mw 9,1 PuSGeN 2024 pada geometri platform</w:t>
        </w:r>
        <w:r>
          <w:tab/>
        </w:r>
        <w:r>
          <w:t xml:space="preserve">74</w:t>
        </w:r>
      </w:hyperlink>
    </w:p>
    <w:p>
      <w:pPr>
        <w:pStyle w:val="TableofFigures"/>
      </w:pPr>
      <w:hyperlink w:anchor="_Toc00109" w:history="1">
        <w:r>
          <w:rPr>
            <w:b/>
            <w:bCs/>
          </w:rPr>
          <w:t xml:space="preserve">Tabel 6.3</w:t>
        </w:r>
        <w:r>
          <w:t xml:space="preserve"> Megathrust Mentawai dan Enggano Mw 8,9 PuSGeN 2024</w:t>
        </w:r>
        <w:r>
          <w:tab/>
        </w:r>
        <w:r>
          <w:t xml:space="preserve">78</w:t>
        </w:r>
      </w:hyperlink>
    </w:p>
    <w:p>
      <w:pPr>
        <w:pStyle w:val="TableofFigures"/>
      </w:pPr>
      <w:hyperlink w:anchor="_Toc00111" w:history="1">
        <w:r>
          <w:rPr>
            <w:b/>
            <w:bCs/>
          </w:rPr>
          <w:t xml:space="preserve">Tabel 6.4</w:t>
        </w:r>
        <w:r>
          <w:t xml:space="preserve"> Gempa sesar darat dekat permukiman setara Yogyakarta 2006 dan Cianjur 2022</w:t>
        </w:r>
        <w:r>
          <w:tab/>
        </w:r>
        <w:r>
          <w:t xml:space="preserve">82</w:t>
        </w:r>
      </w:hyperlink>
    </w:p>
    <w:p>
      <w:pPr>
        <w:pStyle w:val="TableofFigures"/>
      </w:pPr>
      <w:hyperlink w:anchor="_Toc00115" w:history="1">
        <w:r>
          <w:rPr>
            <w:b/>
            <w:bCs/>
          </w:rPr>
          <w:t xml:space="preserve">Tabel 6.5</w:t>
        </w:r>
        <w:r>
          <w:t xml:space="preserve"> Tsunami dekat sumber dari megathrust selatan Jawa dan barat Sumatra, 2026</w:t>
        </w:r>
        <w:r>
          <w:tab/>
        </w:r>
        <w:r>
          <w:t xml:space="preserve">87</w:t>
        </w:r>
      </w:hyperlink>
    </w:p>
    <w:p>
      <w:pPr>
        <w:pStyle w:val="TableofFigures"/>
      </w:pPr>
      <w:hyperlink w:anchor="_Toc00117" w:history="1">
        <w:r>
          <w:rPr>
            <w:b/>
            <w:bCs/>
          </w:rPr>
          <w:t xml:space="preserve">Tabel 6.6</w:t>
        </w:r>
        <w:r>
          <w:t xml:space="preserve"> Erupsi gunung api setara Merapi 2010</w:t>
        </w:r>
        <w:r>
          <w:tab/>
        </w:r>
        <w:r>
          <w:t xml:space="preserve">90</w:t>
        </w:r>
      </w:hyperlink>
    </w:p>
    <w:p>
      <w:pPr>
        <w:pStyle w:val="TableofFigures"/>
      </w:pPr>
      <w:hyperlink w:anchor="_Toc00119" w:history="1">
        <w:r>
          <w:rPr>
            <w:b/>
            <w:bCs/>
          </w:rPr>
          <w:t xml:space="preserve">Tabel 6.7</w:t>
        </w:r>
        <w:r>
          <w:t xml:space="preserve"> Angka kerugian resmi kejadian gempa dibanding stimulan rumah BNPB, 2006–2022 (rupiah)</w:t>
        </w:r>
        <w:r>
          <w:tab/>
        </w:r>
        <w:r>
          <w:t xml:space="preserve">92</w:t>
        </w:r>
      </w:hyperlink>
    </w:p>
    <w:p>
      <w:pPr>
        <w:pStyle w:val="TableofFigures"/>
      </w:pPr>
      <w:hyperlink w:anchor="_Toc00120" w:history="1">
        <w:r>
          <w:rPr>
            <w:b/>
            <w:bCs/>
          </w:rPr>
          <w:t xml:space="preserve">Tabel 6.8</w:t>
        </w:r>
        <w:r>
          <w:t xml:space="preserve"> Gempa, tsunami, dan likuefaksi majemuk setara Sulawesi Tengah 2018</w:t>
        </w:r>
        <w:r>
          <w:tab/>
        </w:r>
        <w:r>
          <w:t xml:space="preserve">94</w:t>
        </w:r>
      </w:hyperlink>
    </w:p>
    <w:p>
      <w:pPr>
        <w:pStyle w:val="TableofFigures"/>
      </w:pPr>
      <w:hyperlink w:anchor="_Toc00124" w:history="1">
        <w:r>
          <w:rPr>
            <w:b/>
            <w:bCs/>
          </w:rPr>
          <w:t xml:space="preserve">Tabel 6.9</w:t>
        </w:r>
        <w:r>
          <w:t xml:space="preserve"> Posisi bukti delapan program terkait bencana geologi dalam kompendium program kajian ini, 2026</w:t>
        </w:r>
        <w:r>
          <w:tab/>
        </w:r>
        <w:r>
          <w:t xml:space="preserve">97</w:t>
        </w:r>
      </w:hyperlink>
    </w:p>
    <w:p>
      <w:pPr>
        <w:pStyle w:val="TableofFigures"/>
      </w:pPr>
      <w:hyperlink w:anchor="_Toc00126" w:history="1">
        <w:r>
          <w:rPr>
            <w:b/>
            <w:bCs/>
          </w:rPr>
          <w:t xml:space="preserve">Tabel 6.10</w:t>
        </w:r>
        <w:r>
          <w:t xml:space="preserve"> Kesenjangan data bencana geologi, kebutuhan datanya, dan pemegang data, 2026</w:t>
        </w:r>
        <w:r>
          <w:tab/>
        </w:r>
        <w:r>
          <w:t xml:space="preserve">98</w:t>
        </w:r>
      </w:hyperlink>
    </w:p>
    <w:p>
      <w:pPr>
        <w:pStyle w:val="TableofFigures"/>
      </w:pPr>
      <w:hyperlink w:anchor="_Toc00131" w:history="1">
        <w:r>
          <w:rPr>
            <w:b/>
            <w:bCs/>
          </w:rPr>
          <w:t xml:space="preserve">Tabel 7.1</w:t>
        </w:r>
        <w:r>
          <w:t xml:space="preserve"> Banjir dan banjir bandang nasional setara musim hujan 2025/2026 dan kejadian majemuk Sumatra 2025</w:t>
        </w:r>
        <w:r>
          <w:tab/>
        </w:r>
        <w:r>
          <w:t xml:space="preserve">103</w:t>
        </w:r>
      </w:hyperlink>
    </w:p>
    <w:p>
      <w:pPr>
        <w:pStyle w:val="TableofFigures"/>
      </w:pPr>
      <w:hyperlink w:anchor="_Toc00133" w:history="1">
        <w:r>
          <w:rPr>
            <w:b/>
            <w:bCs/>
          </w:rPr>
          <w:t xml:space="preserve">Tabel 7.2</w:t>
        </w:r>
        <w:r>
          <w:t xml:space="preserve"> Tanah longsor nasional setara musim hujan 2025/2026 dan kejadian majemuk Sumatra 2025</w:t>
        </w:r>
        <w:r>
          <w:tab/>
        </w:r>
        <w:r>
          <w:t xml:space="preserve">107</w:t>
        </w:r>
      </w:hyperlink>
    </w:p>
    <w:p>
      <w:pPr>
        <w:pStyle w:val="TableofFigures"/>
      </w:pPr>
      <w:hyperlink w:anchor="_Toc00136" w:history="1">
        <w:r>
          <w:rPr>
            <w:b/>
            <w:bCs/>
          </w:rPr>
          <w:t xml:space="preserve">Tabel 7.3</w:t>
        </w:r>
        <w:r>
          <w:t xml:space="preserve"> Cuaca ekstrem nasional setara musim hujan 2025/2026, dengan Seroja 2021 sebagai pembanding</w:t>
        </w:r>
        <w:r>
          <w:tab/>
        </w:r>
        <w:r>
          <w:t xml:space="preserve">110</w:t>
        </w:r>
      </w:hyperlink>
    </w:p>
    <w:p>
      <w:pPr>
        <w:pStyle w:val="TableofFigures"/>
      </w:pPr>
      <w:hyperlink w:anchor="_Toc00139" w:history="1">
        <w:r>
          <w:rPr>
            <w:b/>
            <w:bCs/>
          </w:rPr>
          <w:t xml:space="preserve">Tabel 7.4</w:t>
        </w:r>
        <w:r>
          <w:t xml:space="preserve"> Gelombang ekstrem, abrasi, dan rob nasional setara tahun 2011 untuk korban dan 2021 untuk kejadian</w:t>
        </w:r>
        <w:r>
          <w:tab/>
        </w:r>
        <w:r>
          <w:t xml:space="preserve">114</w:t>
        </w:r>
      </w:hyperlink>
    </w:p>
    <w:p>
      <w:pPr>
        <w:pStyle w:val="TableofFigures"/>
      </w:pPr>
      <w:hyperlink w:anchor="_Toc00142" w:history="1">
        <w:r>
          <w:rPr>
            <w:b/>
            <w:bCs/>
          </w:rPr>
          <w:t xml:space="preserve">Tabel 7.5</w:t>
        </w:r>
        <w:r>
          <w:t xml:space="preserve"> Kekeringan nasional setara terdampak 2018 dan korban Kabupaten Puncak 2023</w:t>
        </w:r>
        <w:r>
          <w:tab/>
        </w:r>
        <w:r>
          <w:t xml:space="preserve">118</w:t>
        </w:r>
      </w:hyperlink>
    </w:p>
    <w:p>
      <w:pPr>
        <w:pStyle w:val="TableofFigures"/>
      </w:pPr>
      <w:hyperlink w:anchor="_Toc00144" w:history="1">
        <w:r>
          <w:rPr>
            <w:b/>
            <w:bCs/>
          </w:rPr>
          <w:t xml:space="preserve">Tabel 7.6</w:t>
        </w:r>
        <w:r>
          <w:t xml:space="preserve"> Luas terbakar dan korban karhutla di provinsi asap, 2015 dan 2019</w:t>
        </w:r>
        <w:r>
          <w:tab/>
        </w:r>
        <w:r>
          <w:t xml:space="preserve">121</w:t>
        </w:r>
      </w:hyperlink>
    </w:p>
    <w:p>
      <w:pPr>
        <w:pStyle w:val="TableofFigures"/>
      </w:pPr>
      <w:hyperlink w:anchor="_Toc00145" w:history="1">
        <w:r>
          <w:rPr>
            <w:b/>
            <w:bCs/>
          </w:rPr>
          <w:t xml:space="preserve">Tabel 7.7</w:t>
        </w:r>
        <w:r>
          <w:t xml:space="preserve"> Kebakaran hutan dan lahan nasional setara 2015</w:t>
        </w:r>
        <w:r>
          <w:tab/>
        </w:r>
        <w:r>
          <w:t xml:space="preserve">122</w:t>
        </w:r>
      </w:hyperlink>
    </w:p>
    <w:p>
      <w:pPr>
        <w:pStyle w:val="TableofFigures"/>
      </w:pPr>
      <w:hyperlink w:anchor="_Toc00148" w:history="1">
        <w:r>
          <w:rPr>
            <w:b/>
            <w:bCs/>
          </w:rPr>
          <w:t xml:space="preserve">Tabel 7.8</w:t>
        </w:r>
        <w:r>
          <w:t xml:space="preserve"> Musim hujan tercatat terburuk nasional setara 2025/2026, kartu agregat operasional</w:t>
        </w:r>
        <w:r>
          <w:tab/>
        </w:r>
        <w:r>
          <w:t xml:space="preserve">126</w:t>
        </w:r>
      </w:hyperlink>
    </w:p>
    <w:p>
      <w:pPr>
        <w:pStyle w:val="TableofFigures"/>
      </w:pPr>
      <w:hyperlink w:anchor="_Toc00149" w:history="1">
        <w:r>
          <w:rPr>
            <w:b/>
            <w:bCs/>
          </w:rPr>
          <w:t xml:space="preserve">Tabel 7.9</w:t>
        </w:r>
        <w:r>
          <w:t xml:space="preserve"> Musim hujan 2026/2027 di bawah El Niño sangat kuat, kartu agregat operasional</w:t>
        </w:r>
        <w:r>
          <w:tab/>
        </w:r>
        <w:r>
          <w:t xml:space="preserve">130</w:t>
        </w:r>
      </w:hyperlink>
    </w:p>
    <w:p>
      <w:pPr>
        <w:pStyle w:val="TableofFigures"/>
      </w:pPr>
      <w:hyperlink w:anchor="_Toc00155" w:history="1">
        <w:r>
          <w:rPr>
            <w:b/>
            <w:bCs/>
          </w:rPr>
          <w:t xml:space="preserve">Tabel 7.10</w:t>
        </w:r>
        <w:r>
          <w:t xml:space="preserve"> Kesenjangan data hidrometeorologi nasional dan lembaga pemegangnya, status Oktober 2026</w:t>
        </w:r>
        <w:r>
          <w:tab/>
        </w:r>
        <w:r>
          <w:t xml:space="preserve">135</w:t>
        </w:r>
      </w:hyperlink>
    </w:p>
    <w:p>
      <w:pPr>
        <w:pStyle w:val="TableofFigures"/>
      </w:pPr>
      <w:hyperlink w:anchor="_Toc00162" w:history="1">
        <w:r>
          <w:rPr>
            <w:b/>
            <w:bCs/>
          </w:rPr>
          <w:t xml:space="preserve">Tabel 8.1</w:t>
        </w:r>
        <w:r>
          <w:t xml:space="preserve"> Luas bahaya, penduduk terpapar, dan potensi kerugian bencana nonalam nasional menurut KRB 2022–2026</w:t>
        </w:r>
        <w:r>
          <w:tab/>
        </w:r>
        <w:r>
          <w:t xml:space="preserve">141</w:t>
        </w:r>
      </w:hyperlink>
    </w:p>
    <w:p>
      <w:pPr>
        <w:pStyle w:val="TableofFigures"/>
      </w:pPr>
      <w:hyperlink w:anchor="_Toc00163" w:history="1">
        <w:r>
          <w:rPr>
            <w:b/>
            <w:bCs/>
          </w:rPr>
          <w:t xml:space="preserve">Tabel 8.2</w:t>
        </w:r>
        <w:r>
          <w:t xml:space="preserve"> Pandemi setara COVID-19 2020–2023</w:t>
        </w:r>
        <w:r>
          <w:tab/>
        </w:r>
        <w:r>
          <w:t xml:space="preserve">142</w:t>
        </w:r>
      </w:hyperlink>
    </w:p>
    <w:p>
      <w:pPr>
        <w:pStyle w:val="TableofFigures"/>
      </w:pPr>
      <w:hyperlink w:anchor="_Toc00166" w:history="1">
        <w:r>
          <w:rPr>
            <w:b/>
            <w:bCs/>
          </w:rPr>
          <w:t xml:space="preserve">Tabel 8.3</w:t>
        </w:r>
        <w:r>
          <w:t xml:space="preserve"> Kebakaran dan ledakan industri setara Plumpang 2023</w:t>
        </w:r>
        <w:r>
          <w:tab/>
        </w:r>
        <w:r>
          <w:t xml:space="preserve">144</w:t>
        </w:r>
      </w:hyperlink>
    </w:p>
    <w:p>
      <w:pPr>
        <w:pStyle w:val="TableofFigures"/>
      </w:pPr>
      <w:hyperlink w:anchor="_Toc00168" w:history="1">
        <w:r>
          <w:rPr>
            <w:b/>
            <w:bCs/>
          </w:rPr>
          <w:t xml:space="preserve">Tabel 8.4</w:t>
        </w:r>
        <w:r>
          <w:t xml:space="preserve"> Mandat tertulis kebakaran industri dan kebakaran TPA menurut lembaga dan fase, 2026</w:t>
        </w:r>
        <w:r>
          <w:tab/>
        </w:r>
        <w:r>
          <w:t xml:space="preserve">145</w:t>
        </w:r>
      </w:hyperlink>
    </w:p>
    <w:p>
      <w:pPr>
        <w:pStyle w:val="TableofFigures"/>
      </w:pPr>
      <w:hyperlink w:anchor="_Toc00171" w:history="1">
        <w:r>
          <w:rPr>
            <w:b/>
            <w:bCs/>
          </w:rPr>
          <w:t xml:space="preserve">Tabel 8.5</w:t>
        </w:r>
        <w:r>
          <w:t xml:space="preserve"> TPA terbakar menurut lokasi, luas, dan status keadaan darurat di Indonesia, 2023–2026</w:t>
        </w:r>
        <w:r>
          <w:tab/>
        </w:r>
        <w:r>
          <w:t xml:space="preserve">147</w:t>
        </w:r>
      </w:hyperlink>
    </w:p>
    <w:p>
      <w:pPr>
        <w:pStyle w:val="TableofFigures"/>
      </w:pPr>
      <w:hyperlink w:anchor="_Toc00173" w:history="1">
        <w:r>
          <w:rPr>
            <w:b/>
            <w:bCs/>
          </w:rPr>
          <w:t xml:space="preserve">Tabel 8.6</w:t>
        </w:r>
        <w:r>
          <w:t xml:space="preserve"> Kebakaran TPA setara kemarau El Niño 2023</w:t>
        </w:r>
        <w:r>
          <w:tab/>
        </w:r>
        <w:r>
          <w:t xml:space="preserve">149</w:t>
        </w:r>
      </w:hyperlink>
    </w:p>
    <w:p>
      <w:pPr>
        <w:pStyle w:val="TableofFigures"/>
      </w:pPr>
      <w:hyperlink w:anchor="_Toc00177" w:history="1">
        <w:r>
          <w:rPr>
            <w:b/>
            <w:bCs/>
          </w:rPr>
          <w:t xml:space="preserve">Tabel 9.1</w:t>
        </w:r>
        <w:r>
          <w:t xml:space="preserve"> Desa/kelurahan dengan perkelahian massal menurut jenis dan penandaan lingkup kajian, Indonesia, 2024 (desa)</w:t>
        </w:r>
        <w:r>
          <w:tab/>
        </w:r>
        <w:r>
          <w:t xml:space="preserve">152</w:t>
        </w:r>
      </w:hyperlink>
    </w:p>
    <w:p>
      <w:pPr>
        <w:pStyle w:val="TableofFigures"/>
      </w:pPr>
      <w:hyperlink w:anchor="_Toc00181" w:history="1">
        <w:r>
          <w:rPr>
            <w:b/>
            <w:bCs/>
          </w:rPr>
          <w:t xml:space="preserve">Tabel 9.2</w:t>
        </w:r>
        <w:r>
          <w:t xml:space="preserve"> Konflik sosial antarkelompok setara Maluku dan Maluku Utara 1999–2002</w:t>
        </w:r>
        <w:r>
          <w:tab/>
        </w:r>
        <w:r>
          <w:t xml:space="preserve">157</w:t>
        </w:r>
      </w:hyperlink>
    </w:p>
    <w:p>
      <w:pPr>
        <w:pStyle w:val="TableofFigures"/>
      </w:pPr>
      <w:hyperlink w:anchor="_Toc00183" w:history="1">
        <w:r>
          <w:rPr>
            <w:b/>
            <w:bCs/>
          </w:rPr>
          <w:t xml:space="preserve">Tabel 9.3</w:t>
        </w:r>
        <w:r>
          <w:t xml:space="preserve"> Batas mandat dan sumber dana penanganan konflik sosial per fase menurut peraturan yang berlaku, Oktober 2026</w:t>
        </w:r>
        <w:r>
          <w:tab/>
        </w:r>
        <w:r>
          <w:t xml:space="preserve">160</w:t>
        </w:r>
      </w:hyperlink>
    </w:p>
    <w:p>
      <w:pPr>
        <w:pStyle w:val="TableofFigures"/>
      </w:pPr>
      <w:hyperlink w:anchor="_Toc00184" w:history="1">
        <w:r>
          <w:rPr>
            <w:b/>
            <w:bCs/>
          </w:rPr>
          <w:t xml:space="preserve">Tabel 9.4</w:t>
        </w:r>
        <w:r>
          <w:t xml:space="preserve"> Syarat penyelenggaraan PB dalam keadaan tertentu menurut Perpres 46/2026 dan Perban BNPB 5/2018</w:t>
        </w:r>
        <w:r>
          <w:tab/>
        </w:r>
        <w:r>
          <w:t xml:space="preserve">162</w:t>
        </w:r>
      </w:hyperlink>
    </w:p>
    <w:p>
      <w:pPr>
        <w:pStyle w:val="TableofFigures"/>
      </w:pPr>
      <w:hyperlink w:anchor="_Toc00189" w:history="1">
        <w:r>
          <w:rPr>
            <w:b/>
            <w:bCs/>
          </w:rPr>
          <w:t xml:space="preserve">Tabel 10.1</w:t>
        </w:r>
        <w:r>
          <w:t xml:space="preserve"> Celah kewenangan penanggulangan bencana di luar rezim air menurut teks peraturan, 2026</w:t>
        </w:r>
        <w:r>
          <w:tab/>
        </w:r>
        <w:r>
          <w:t xml:space="preserve">167</w:t>
        </w:r>
      </w:hyperlink>
    </w:p>
    <w:p>
      <w:pPr>
        <w:pStyle w:val="TableofFigures"/>
      </w:pPr>
      <w:hyperlink w:anchor="_Toc00191" w:history="1">
        <w:r>
          <w:rPr>
            <w:b/>
            <w:bCs/>
          </w:rPr>
          <w:t xml:space="preserve">Tabel 10.2</w:t>
        </w:r>
        <w:r>
          <w:t xml:space="preserve"> Klaster nasional penanggulangan bencana menurut dua versi keputusan Kepala BNPB dan nama lembaga Oktober 2026</w:t>
        </w:r>
        <w:r>
          <w:tab/>
        </w:r>
        <w:r>
          <w:t xml:space="preserve">170</w:t>
        </w:r>
      </w:hyperlink>
    </w:p>
    <w:p>
      <w:pPr>
        <w:pStyle w:val="TableofFigures"/>
      </w:pPr>
      <w:hyperlink w:anchor="_Toc00194" w:history="1">
        <w:r>
          <w:rPr>
            <w:b/>
            <w:bCs/>
          </w:rPr>
          <w:t xml:space="preserve">Tabel 10.3</w:t>
        </w:r>
        <w:r>
          <w:t xml:space="preserve"> Empat angka cakupan peringatan dini dalam dokumen perencanaan nasional, 2025–2029</w:t>
        </w:r>
        <w:r>
          <w:tab/>
        </w:r>
        <w:r>
          <w:t xml:space="preserve">173</w:t>
        </w:r>
      </w:hyperlink>
    </w:p>
    <w:p>
      <w:pPr>
        <w:pStyle w:val="TableofFigures"/>
      </w:pPr>
      <w:hyperlink w:anchor="_Toc00202" w:history="1">
        <w:r>
          <w:rPr>
            <w:b/>
            <w:bCs/>
          </w:rPr>
          <w:t xml:space="preserve">Tabel 10.4</w:t>
        </w:r>
        <w:r>
          <w:t xml:space="preserve"> Instrumen penanggulangan bencana yang sudah berjalan dan tidak boleh dikorbankan, dengan dasar dan argumen tandingan, 2026</w:t>
        </w:r>
        <w:r>
          <w:tab/>
        </w:r>
        <w:r>
          <w:t xml:space="preserve">180</w:t>
        </w:r>
      </w:hyperlink>
    </w:p>
    <w:p>
      <w:pPr>
        <w:pStyle w:val="TableofFigures"/>
      </w:pPr>
      <w:hyperlink w:anchor="_Toc00206" w:history="1">
        <w:r>
          <w:rPr>
            <w:b/>
            <w:bCs/>
          </w:rPr>
          <w:t xml:space="preserve">Tabel 11.1</w:t>
        </w:r>
        <w:r>
          <w:t xml:space="preserve"> Kerangka program Grand Design Mitigasi Bencana Indonesia 2026–2030 menurut tahap, sasaran, dan posisi bukti</w:t>
        </w:r>
        <w:r>
          <w:tab/>
        </w:r>
        <w:r>
          <w:t xml:space="preserve">184</w:t>
        </w:r>
      </w:hyperlink>
    </w:p>
    <w:p>
      <w:pPr>
        <w:pStyle w:val="TableofFigures"/>
      </w:pPr>
      <w:hyperlink w:anchor="_Toc00208" w:history="1">
        <w:r>
          <w:rPr>
            <w:b/>
            <w:bCs/>
          </w:rPr>
          <w:t xml:space="preserve">Tabel 11.2</w:t>
        </w:r>
        <w:r>
          <w:t xml:space="preserve"> Indikator sasaran Grand Design Mitigasi, kondisi terakhir, target 2029, dan arah 2030</w:t>
        </w:r>
        <w:r>
          <w:tab/>
        </w:r>
        <w:r>
          <w:t xml:space="preserve">185</w:t>
        </w:r>
      </w:hyperlink>
    </w:p>
    <w:p>
      <w:pPr>
        <w:pStyle w:val="TableofFigures"/>
      </w:pPr>
      <w:hyperlink w:anchor="_Toc00212" w:history="1">
        <w:r>
          <w:rPr>
            <w:b/>
            <w:bCs/>
          </w:rPr>
          <w:t xml:space="preserve">Tabel 11.3</w:t>
        </w:r>
        <w:r>
          <w:t xml:space="preserve"> Tahap, pemicu, pemutus, instrumen, dan tenggat tertulis dalam rantai penanggulangan bencana, 2026</w:t>
        </w:r>
        <w:r>
          <w:tab/>
        </w:r>
        <w:r>
          <w:t xml:space="preserve">189</w:t>
        </w:r>
      </w:hyperlink>
    </w:p>
    <w:p>
      <w:pPr>
        <w:pStyle w:val="TableofFigures"/>
      </w:pPr>
      <w:hyperlink w:anchor="_Toc00214" w:history="1">
        <w:r>
          <w:rPr>
            <w:b/>
            <w:bCs/>
          </w:rPr>
          <w:t xml:space="preserve">Tabel 11.4</w:t>
        </w:r>
        <w:r>
          <w:t xml:space="preserve"> Aksi per fase dan jenis bencana beserta pemicu status dan kategori bukti dalam negeri, Indonesia 2026–2030</w:t>
        </w:r>
        <w:r>
          <w:tab/>
        </w:r>
        <w:r>
          <w:t xml:space="preserve">191</w:t>
        </w:r>
      </w:hyperlink>
    </w:p>
    <w:p>
      <w:pPr>
        <w:pStyle w:val="TableofFigures"/>
      </w:pPr>
      <w:hyperlink w:anchor="_Toc00217" w:history="1">
        <w:r>
          <w:rPr>
            <w:b/>
            <w:bCs/>
          </w:rPr>
          <w:t xml:space="preserve">Tabel 11.5</w:t>
        </w:r>
        <w:r>
          <w:t xml:space="preserve"> Operasi musiman kemarau dan musim hujan menurut pemicu, aksi prabencana, aksi saat status, dan unit pelaksana, 2026</w:t>
        </w:r>
        <w:r>
          <w:tab/>
        </w:r>
        <w:r>
          <w:t xml:space="preserve">196</w:t>
        </w:r>
      </w:hyperlink>
    </w:p>
    <w:p>
      <w:pPr>
        <w:pStyle w:val="TableofFigures"/>
      </w:pPr>
      <w:hyperlink w:anchor="_Toc00219" w:history="1">
        <w:r>
          <w:rPr>
            <w:b/>
            <w:bCs/>
          </w:rPr>
          <w:t xml:space="preserve">Tabel 11.6</w:t>
        </w:r>
        <w:r>
          <w:t xml:space="preserve"> Kalender Rencana Aksi Musim Hujan 2026/2027 tingkat nasional per bulan, pusat, dan wilayah direktorat, November 2026–April 2027</w:t>
        </w:r>
        <w:r>
          <w:tab/>
        </w:r>
        <w:r>
          <w:t xml:space="preserve">198</w:t>
        </w:r>
      </w:hyperlink>
    </w:p>
    <w:p>
      <w:pPr>
        <w:pStyle w:val="TableofFigures"/>
      </w:pPr>
      <w:hyperlink w:anchor="_Toc00221" w:history="1">
        <w:r>
          <w:rPr>
            <w:b/>
            <w:bCs/>
          </w:rPr>
          <w:t xml:space="preserve">Tabel 11.7</w:t>
        </w:r>
        <w:r>
          <w:t xml:space="preserve"> Lantai kebutuhan respons dan kebutuhan harian per Direktorat Penanganan Darurat Wilayah menurut standar Perka BNPB 7/2008, 2008–2025</w:t>
        </w:r>
        <w:r>
          <w:tab/>
        </w:r>
        <w:r>
          <w:t xml:space="preserve">200</w:t>
        </w:r>
      </w:hyperlink>
    </w:p>
    <w:p>
      <w:pPr>
        <w:pStyle w:val="TableofFigures"/>
      </w:pPr>
      <w:hyperlink w:anchor="_Toc00225" w:history="1">
        <w:r>
          <w:rPr>
            <w:b/>
            <w:bCs/>
          </w:rPr>
          <w:t xml:space="preserve">Tabel 11.8</w:t>
        </w:r>
        <w:r>
          <w:t xml:space="preserve"> Agenda evaluasi dampak program berjalan menurut garis dasar, pembanding, ukuran hasil, pemimpin, dan tahun hasil, 2026–2030</w:t>
        </w:r>
        <w:r>
          <w:tab/>
        </w:r>
        <w:r>
          <w:t xml:space="preserve">203</w:t>
        </w:r>
      </w:hyperlink>
    </w:p>
    <w:p>
      <w:pPr>
        <w:pStyle w:val="TableofFigures"/>
      </w:pPr>
      <w:hyperlink w:anchor="_Toc00226" w:history="1">
        <w:r>
          <w:rPr>
            <w:b/>
            <w:bCs/>
          </w:rPr>
          <w:t xml:space="preserve">Tabel 11.9</w:t>
        </w:r>
        <w:r>
          <w:t xml:space="preserve"> Rekomendasi internal BNPB dari Grand Design Mitigasi 2026–2030</w:t>
        </w:r>
        <w:r>
          <w:tab/>
        </w:r>
        <w:r>
          <w:t xml:space="preserve">205</w:t>
        </w:r>
      </w:hyperlink>
    </w:p>
    <w:p>
      <w:pPr>
        <w:pStyle w:val="TableofFigures"/>
      </w:pPr>
      <w:hyperlink w:anchor="_Toc00227" w:history="1">
        <w:r>
          <w:rPr>
            <w:b/>
            <w:bCs/>
          </w:rPr>
          <w:t xml:space="preserve">Tabel 11.10</w:t>
        </w:r>
        <w:r>
          <w:t xml:space="preserve"> Rekomendasi lintas K/L dari Grand Design Mitigasi 2026–2030</w:t>
        </w:r>
        <w:r>
          <w:tab/>
        </w:r>
        <w:r>
          <w:t xml:space="preserve">206</w:t>
        </w:r>
      </w:hyperlink>
    </w:p>
    <w:p>
      <w:pPr>
        <w:pStyle w:val="TableofFigures"/>
      </w:pPr>
      <w:hyperlink w:anchor="_Toc00231" w:history="1">
        <w:r>
          <w:rPr>
            <w:b/>
            <w:bCs/>
          </w:rPr>
          <w:t xml:space="preserve">Tabel 12.1</w:t>
        </w:r>
        <w:r>
          <w:t xml:space="preserve"> Mandat tertulis lembaga per fase penanggulangan bencana dengan kode peran, peraturan yang dibaca per Oktober 2026</w:t>
        </w:r>
        <w:r>
          <w:tab/>
        </w:r>
        <w:r>
          <w:t xml:space="preserve">209</w:t>
        </w:r>
      </w:hyperlink>
    </w:p>
    <w:p>
      <w:pPr>
        <w:pStyle w:val="TableofFigures"/>
      </w:pPr>
      <w:hyperlink w:anchor="_Toc00233" w:history="1">
        <w:r>
          <w:rPr>
            <w:b/>
            <w:bCs/>
          </w:rPr>
          <w:t xml:space="preserve">Tabel 12.2</w:t>
        </w:r>
        <w:r>
          <w:t xml:space="preserve"> Usulan penugasan yang belum tertulis di norma dan instrumen untuk menetapkannya, 2026</w:t>
        </w:r>
        <w:r>
          <w:tab/>
        </w:r>
        <w:r>
          <w:t xml:space="preserve">211</w:t>
        </w:r>
      </w:hyperlink>
    </w:p>
    <w:p>
      <w:pPr>
        <w:pStyle w:val="TableofFigures"/>
      </w:pPr>
      <w:hyperlink w:anchor="_Toc00238" w:history="1">
        <w:r>
          <w:rPr>
            <w:b/>
            <w:bCs/>
          </w:rPr>
          <w:t xml:space="preserve">Tabel 12.3</w:t>
        </w:r>
        <w:r>
          <w:t xml:space="preserve"> Usulan perubahan terhadap Renas PB 2025–2029, jalur perubahan, dan dokumen evaluasi tempat rekomendasi dimuat</w:t>
        </w:r>
        <w:r>
          <w:tab/>
        </w:r>
        <w:r>
          <w:t xml:space="preserve">214</w:t>
        </w:r>
      </w:hyperlink>
    </w:p>
    <w:p>
      <w:pPr>
        <w:pStyle w:val="TableofFigures"/>
      </w:pPr>
      <w:hyperlink w:anchor="_Toc00243" w:history="1">
        <w:r>
          <w:rPr>
            <w:b/>
            <w:bCs/>
          </w:rPr>
          <w:t xml:space="preserve">Tabel 12.4</w:t>
        </w:r>
        <w:r>
          <w:t xml:space="preserve"> Instrumen hukum untuk rekomendasi kajian mitigasi, pemrakarsa, horizon, dan posisinya di lima dokumen perencanaan, 2026</w:t>
        </w:r>
        <w:r>
          <w:tab/>
        </w:r>
        <w:r>
          <w:t xml:space="preserve">221</w:t>
        </w:r>
      </w:hyperlink>
    </w:p>
    <w:p>
      <w:pPr>
        <w:pStyle w:val="TableofFigures"/>
      </w:pPr>
      <w:hyperlink w:anchor="_Toc00245" w:history="1">
        <w:r>
          <w:rPr>
            <w:b/>
            <w:bCs/>
          </w:rPr>
          <w:t xml:space="preserve">Tabel 12.5</w:t>
        </w:r>
        <w:r>
          <w:t xml:space="preserve"> Peta jalan rekomendasi kajian mitigasi per horizon, 2026–2030</w:t>
        </w:r>
        <w:r>
          <w:tab/>
        </w:r>
        <w:r>
          <w:t xml:space="preserve">223</w:t>
        </w:r>
      </w:hyperlink>
    </w:p>
    <w:p>
      <w:pPr>
        <w:pStyle w:val="TableofFigures"/>
      </w:pPr>
      <w:hyperlink w:anchor="_Toc00247" w:history="1">
        <w:r>
          <w:rPr>
            <w:b/>
            <w:bCs/>
          </w:rPr>
          <w:t xml:space="preserve">Tabel 12.6</w:t>
        </w:r>
        <w:r>
          <w:t xml:space="preserve"> Indikator kinerja kelembagaan dan pembiayaan, garis dasar sampai 2029</w:t>
        </w:r>
        <w:r>
          <w:tab/>
        </w:r>
        <w:r>
          <w:t xml:space="preserve">224</w:t>
        </w:r>
      </w:hyperlink>
    </w:p>
    <w:p>
      <w:pPr>
        <w:pStyle w:val="TableofFigures"/>
      </w:pPr>
      <w:hyperlink w:anchor="_Toc00253" w:history="1">
        <w:r>
          <w:rPr>
            <w:b/>
            <w:bCs/>
          </w:rPr>
          <w:t xml:space="preserve">Tabel 13.1</w:t>
        </w:r>
        <w:r>
          <w:t xml:space="preserve"> Kisi kesimpulan Grand Design Mitigasi Bencana Indonesia, 2015–2026</w:t>
        </w:r>
        <w:r>
          <w:tab/>
        </w:r>
        <w:r>
          <w:t xml:space="preserve">229</w:t>
        </w:r>
      </w:hyperlink>
    </w:p>
    <w:p>
      <w:pPr>
        <w:pStyle w:val="TableofFigures"/>
      </w:pPr>
      <w:hyperlink w:anchor="_Toc00255" w:history="1">
        <w:r>
          <w:rPr>
            <w:b/>
            <w:bCs/>
          </w:rPr>
          <w:t xml:space="preserve">Tabel 13.2</w:t>
        </w:r>
        <w:r>
          <w:t xml:space="preserve"> Keputusan empat belas hari pertama sesudah hari ke-0 menurut rekomendasi dan unit pemimpin, 2026</w:t>
        </w:r>
        <w:r>
          <w:tab/>
        </w:r>
        <w:r>
          <w:t xml:space="preserve">232</w:t>
        </w:r>
      </w:hyperlink>
    </w:p>
    <w:p>
      <w:pPr>
        <w:pStyle w:val="TableofFigures"/>
      </w:pPr>
      <w:hyperlink w:anchor="_Toc00257" w:history="1">
        <w:r>
          <w:rPr>
            <w:b/>
            <w:bCs/>
          </w:rPr>
          <w:t xml:space="preserve">Tabel 13.3</w:t>
        </w:r>
        <w:r>
          <w:t xml:space="preserve"> Kisi prioritas rekomendasi menurut horizon dan kelas dampak, 2026–2030</w:t>
        </w:r>
        <w:r>
          <w:tab/>
        </w:r>
        <w:r>
          <w:t xml:space="preserve">232</w:t>
        </w:r>
      </w:hyperlink>
    </w:p>
    <w:p>
      <w:pPr>
        <w:pStyle w:val="TableofFigures"/>
      </w:pPr>
      <w:hyperlink w:anchor="_Toc00258" w:history="1">
        <w:r>
          <w:rPr>
            <w:b/>
            <w:bCs/>
          </w:rPr>
          <w:t xml:space="preserve">Tabel 13.4</w:t>
        </w:r>
        <w:r>
          <w:t xml:space="preserve"> Rekomendasi internal BNPB untuk Grand Design Mitigasi Bencana Indonesia, 2026–2030</w:t>
        </w:r>
        <w:r>
          <w:tab/>
        </w:r>
        <w:r>
          <w:t xml:space="preserve">233</w:t>
        </w:r>
      </w:hyperlink>
    </w:p>
    <w:p>
      <w:pPr>
        <w:pStyle w:val="TableofFigures"/>
      </w:pPr>
      <w:hyperlink w:anchor="_Toc00260" w:history="1">
        <w:r>
          <w:rPr>
            <w:b/>
            <w:bCs/>
          </w:rPr>
          <w:t xml:space="preserve">Tabel 13.5</w:t>
        </w:r>
        <w:r>
          <w:t xml:space="preserve"> Rekomendasi lintas K/L untuk Grand Design Mitigasi Bencana Indonesia, 2026–2030</w:t>
        </w:r>
        <w:r>
          <w:tab/>
        </w:r>
        <w:r>
          <w:t xml:space="preserve">242</w:t>
        </w:r>
      </w:hyperlink>
    </w:p>
    <w:p>
      <w:pPr>
        <w:pStyle w:val="TableofFigures"/>
      </w:pPr>
      <w:hyperlink w:anchor="_Toc00262" w:history="1">
        <w:r>
          <w:rPr>
            <w:b/>
            <w:bCs/>
          </w:rPr>
          <w:t xml:space="preserve">Tabel 13.6</w:t>
        </w:r>
        <w:r>
          <w:t xml:space="preserve"> Usulan yang sengaja tidak direkomendasikan beserta alasannya, 2026–2030</w:t>
        </w:r>
        <w:r>
          <w:tab/>
        </w:r>
        <w:r>
          <w:t xml:space="preserve">245</w:t>
        </w:r>
      </w:hyperlink>
    </w:p>
    <w:p>
      <w:pPr>
        <w:pStyle w:val="TableofFigures"/>
      </w:pPr>
      <w:hyperlink w:anchor="_Toc00264" w:history="1">
        <w:r>
          <w:rPr>
            <w:b/>
            <w:bCs/>
          </w:rPr>
          <w:t xml:space="preserve">Tabel 13.7</w:t>
        </w:r>
        <w:r>
          <w:t xml:space="preserve"> Data yang belum diketahui dan lembaga pemegangnya, status Oktober 2026</w:t>
        </w:r>
        <w:r>
          <w:tab/>
        </w:r>
        <w:r>
          <w:t xml:space="preserve">247</w:t>
        </w:r>
      </w:hyperlink>
    </w:p>
    <w:p>
      <w:pPr>
        <w:pStyle w:val="TableofFigures"/>
      </w:pPr>
      <w:hyperlink w:anchor="_Toc00268" w:history="1">
        <w:r>
          <w:rPr>
            <w:b/>
            <w:bCs/>
          </w:rPr>
          <w:t xml:space="preserve">Tabel A.1</w:t>
        </w:r>
        <w:r>
          <w:t xml:space="preserve"> Penduduk, status IRBI 2025, dan daftar perhatian dengan syaratnya per kab/kota, Indonesia, 2015–2025</w:t>
        </w:r>
        <w:r>
          <w:tab/>
        </w:r>
        <w:r>
          <w:t xml:space="preserve">267</w:t>
        </w:r>
      </w:hyperlink>
    </w:p>
    <w:p>
      <w:pPr>
        <w:pStyle w:val="TableofFigures"/>
      </w:pPr>
      <w:hyperlink w:anchor="_Toc00269" w:history="1">
        <w:r>
          <w:rPr>
            <w:b/>
            <w:bCs/>
          </w:rPr>
          <w:t xml:space="preserve">Tabel A.2</w:t>
        </w:r>
        <w:r>
          <w:t xml:space="preserve"> Nilai IRBI 2025 per bahaya hidrometeorologi per kab/kota, Indonesia, 2025</w:t>
        </w:r>
        <w:r>
          <w:tab/>
        </w:r>
        <w:r>
          <w:t xml:space="preserve">284</w:t>
        </w:r>
      </w:hyperlink>
    </w:p>
    <w:p>
      <w:pPr>
        <w:pStyle w:val="TableofFigures"/>
      </w:pPr>
      <w:hyperlink w:anchor="_Toc00270" w:history="1">
        <w:r>
          <w:rPr>
            <w:b/>
            <w:bCs/>
          </w:rPr>
          <w:t xml:space="preserve">Tabel A.3</w:t>
        </w:r>
        <w:r>
          <w:t xml:space="preserve"> Nilai IRBI 2025 per bahaya geologi dan nilai total per kab/kota, Indonesia, 2025</w:t>
        </w:r>
        <w:r>
          <w:tab/>
        </w:r>
        <w:r>
          <w:t xml:space="preserve">298</w:t>
        </w:r>
      </w:hyperlink>
    </w:p>
    <w:p>
      <w:pPr>
        <w:pStyle w:val="TableofFigures"/>
      </w:pPr>
      <w:hyperlink w:anchor="_Toc00272" w:history="1">
        <w:r>
          <w:rPr>
            <w:b/>
            <w:bCs/>
          </w:rPr>
          <w:t xml:space="preserve">Tabel B.1</w:t>
        </w:r>
        <w:r>
          <w:t xml:space="preserve"> Kab/kota, penduduk, status IRBI 2025, daftar perhatian, dan korban DIBI per provinsi, Indonesia, 2015–2025</w:t>
        </w:r>
        <w:r>
          <w:tab/>
        </w:r>
        <w:r>
          <w:t xml:space="preserve">313</w:t>
        </w:r>
      </w:hyperlink>
    </w:p>
    <w:p>
      <w:pPr>
        <w:pStyle w:val="TableofFigures"/>
      </w:pPr>
      <w:hyperlink w:anchor="_Toc00274" w:history="1">
        <w:r>
          <w:rPr>
            <w:b/>
            <w:bCs/>
          </w:rPr>
          <w:t xml:space="preserve">Tabel C.1</w:t>
        </w:r>
        <w:r>
          <w:t xml:space="preserve"> Letak kartu skenario terburuk per jenis bencana dan sumber keluaran model, kajian mitigasi 2026</w:t>
        </w:r>
        <w:r>
          <w:tab/>
        </w:r>
        <w:r>
          <w:t xml:space="preserve">316</w:t>
        </w:r>
      </w:hyperlink>
    </w:p>
    <w:p>
      <w:pPr>
        <w:pStyle w:val="TableofFigures"/>
      </w:pPr>
      <w:hyperlink w:anchor="_Toc00276" w:history="1">
        <w:r>
          <w:rPr>
            <w:b/>
            <w:bCs/>
          </w:rPr>
          <w:t xml:space="preserve">Tabel C.2</w:t>
        </w:r>
        <w:r>
          <w:t xml:space="preserve"> Keluaran model skenario gempa dan gunung api platform Pantau Bencana menurut skenario dan butir, estimasi 2026</w:t>
        </w:r>
        <w:r>
          <w:tab/>
        </w:r>
        <w:r>
          <w:t xml:space="preserve">317</w:t>
        </w:r>
      </w:hyperlink>
    </w:p>
    <w:p>
      <w:pPr>
        <w:pStyle w:val="TableofFigures"/>
      </w:pPr>
      <w:hyperlink w:anchor="_Toc00278" w:history="1">
        <w:r>
          <w:rPr>
            <w:b/>
            <w:bCs/>
          </w:rPr>
          <w:t xml:space="preserve">Tabel C.3</w:t>
        </w:r>
        <w:r>
          <w:t xml:space="preserve"> Catatan DIBI dan keluaran mesin untuk musim hujan La Niña 2020/2021 tingkat nasional</w:t>
        </w:r>
        <w:r>
          <w:tab/>
        </w:r>
        <w:r>
          <w:t xml:space="preserve">321</w:t>
        </w:r>
      </w:hyperlink>
    </w:p>
    <w:p>
      <w:pPr>
        <w:pStyle w:val="TableofFigures"/>
      </w:pPr>
      <w:hyperlink w:anchor="_Toc00279" w:history="1">
        <w:r>
          <w:rPr>
            <w:b/>
            <w:bCs/>
          </w:rPr>
          <w:t xml:space="preserve">Tabel C.4</w:t>
        </w:r>
        <w:r>
          <w:t xml:space="preserve"> Catatan DIBI dan keluaran mesin untuk musim hujan tercatat terberat tingkat nasional, 2025/2026</w:t>
        </w:r>
        <w:r>
          <w:tab/>
        </w:r>
        <w:r>
          <w:t xml:space="preserve">322</w:t>
        </w:r>
      </w:hyperlink>
    </w:p>
    <w:p>
      <w:pPr>
        <w:pStyle w:val="TableofFigures"/>
      </w:pPr>
      <w:hyperlink w:anchor="_Toc00280" w:history="1">
        <w:r>
          <w:rPr>
            <w:b/>
            <w:bCs/>
          </w:rPr>
          <w:t xml:space="preserve">Tabel C.5</w:t>
        </w:r>
        <w:r>
          <w:t xml:space="preserve"> Catatan DIBI musim hujan lantai nasional 2025/2026</w:t>
        </w:r>
        <w:r>
          <w:tab/>
        </w:r>
        <w:r>
          <w:t xml:space="preserve">324</w:t>
        </w:r>
      </w:hyperlink>
    </w:p>
    <w:p>
      <w:pPr>
        <w:pStyle w:val="TableofFigures"/>
      </w:pPr>
      <w:hyperlink w:anchor="_Toc00281" w:history="1">
        <w:r>
          <w:rPr>
            <w:b/>
            <w:bCs/>
          </w:rPr>
          <w:t xml:space="preserve">Tabel C.6</w:t>
        </w:r>
        <w:r>
          <w:t xml:space="preserve"> Catatan DIBI tiga musim hujan sesudah El Niño kuat tingkat nasional, 2009/2010, 2015/2016, dan 2023/2024</w:t>
        </w:r>
        <w:r>
          <w:tab/>
        </w:r>
        <w:r>
          <w:t xml:space="preserve">324</w:t>
        </w:r>
      </w:hyperlink>
    </w:p>
    <w:p>
      <w:pPr>
        <w:pStyle w:val="TableofFigures"/>
      </w:pPr>
      <w:hyperlink w:anchor="_Toc00282" w:history="1">
        <w:r>
          <w:rPr>
            <w:b/>
            <w:bCs/>
          </w:rPr>
          <w:t xml:space="preserve">Tabel C.7</w:t>
        </w:r>
        <w:r>
          <w:t xml:space="preserve"> Catatan DIBI dan keluaran mesin untuk gelombang ekstrem, abrasi, dan rob tingkat nasional, tahun analog 2021</w:t>
        </w:r>
        <w:r>
          <w:tab/>
        </w:r>
        <w:r>
          <w:t xml:space="preserve">324</w:t>
        </w:r>
      </w:hyperlink>
    </w:p>
    <w:p>
      <w:pPr>
        <w:pStyle w:val="TableofFigures"/>
      </w:pPr>
      <w:hyperlink w:anchor="_Toc00283" w:history="1">
        <w:r>
          <w:rPr>
            <w:b/>
            <w:bCs/>
          </w:rPr>
          <w:t xml:space="preserve">Tabel C.8</w:t>
        </w:r>
        <w:r>
          <w:t xml:space="preserve"> Catatan DIBI dan keluaran mesin untuk kekeringan tingkat nasional, 2015 dan 2018</w:t>
        </w:r>
        <w:r>
          <w:tab/>
        </w:r>
        <w:r>
          <w:t xml:space="preserve">325</w:t>
        </w:r>
      </w:hyperlink>
    </w:p>
    <w:p>
      <w:pPr>
        <w:pStyle w:val="TableofFigures"/>
      </w:pPr>
      <w:hyperlink w:anchor="_Toc00284" w:history="1">
        <w:r>
          <w:rPr>
            <w:b/>
            <w:bCs/>
          </w:rPr>
          <w:t xml:space="preserve">Tabel C.9</w:t>
        </w:r>
        <w:r>
          <w:t xml:space="preserve"> Catatan resmi dan keluaran mesin untuk karhutla 2015 tingkat nasional</w:t>
        </w:r>
        <w:r>
          <w:tab/>
        </w:r>
        <w:r>
          <w:t xml:space="preserve">325</w:t>
        </w:r>
      </w:hyperlink>
    </w:p>
    <w:p>
      <w:pPr>
        <w:pStyle w:val="TableofFigures"/>
      </w:pPr>
      <w:hyperlink w:anchor="_Toc00286" w:history="1">
        <w:r>
          <w:rPr>
            <w:b/>
            <w:bCs/>
          </w:rPr>
          <w:t xml:space="preserve">Tabel D.1</w:t>
        </w:r>
        <w:r>
          <w:t xml:space="preserve"> Kejadian dan dampak bencana alam serta korban semua klasifikasi menurut DIBI per tahun, Indonesia, 2008–2026</w:t>
        </w:r>
        <w:r>
          <w:tab/>
        </w:r>
        <w:r>
          <w:t xml:space="preserve">327</w:t>
        </w:r>
      </w:hyperlink>
    </w:p>
    <w:p>
      <w:pPr>
        <w:pStyle w:val="TableofFigures"/>
      </w:pPr>
      <w:hyperlink w:anchor="_Toc00287" w:history="1">
        <w:r>
          <w:rPr>
            <w:b/>
            <w:bCs/>
          </w:rPr>
          <w:t xml:space="preserve">Tabel D.2</w:t>
        </w:r>
        <w:r>
          <w:t xml:space="preserve"> Kejadian dan dampak bencana alam menurut jenis DIBI, Indonesia, 2015–2025</w:t>
        </w:r>
        <w:r>
          <w:tab/>
        </w:r>
        <w:r>
          <w:t xml:space="preserve">328</w:t>
        </w:r>
      </w:hyperlink>
    </w:p>
    <w:p>
      <w:pPr>
        <w:pStyle w:val="TableofFigures"/>
      </w:pPr>
      <w:hyperlink w:anchor="_Toc00288" w:history="1">
        <w:r>
          <w:rPr>
            <w:b/>
            <w:bCs/>
          </w:rPr>
          <w:t xml:space="preserve">Tabel D.3</w:t>
        </w:r>
        <w:r>
          <w:t xml:space="preserve"> Versi jumlah kejadian dan korban meninggal nasional menurut cakupan dan penerbit, Indonesia, 2024–2025</w:t>
        </w:r>
        <w:r>
          <w:tab/>
        </w:r>
        <w:r>
          <w:t xml:space="preserve">328</w:t>
        </w:r>
      </w:hyperlink>
    </w:p>
    <w:p>
      <w:pPr>
        <w:pStyle w:val="TableofFigures"/>
      </w:pPr>
      <w:hyperlink w:anchor="_Toc00290" w:history="1">
        <w:r>
          <w:rPr>
            <w:b/>
            <w:bCs/>
          </w:rPr>
          <w:t xml:space="preserve">Tabel E.1</w:t>
        </w:r>
        <w:r>
          <w:t xml:space="preserve"> Regulasi yang dirujuk kajian menurut jenis bencana dan tahap penanggulangan, status Oktober 2026</w:t>
        </w:r>
        <w:r>
          <w:tab/>
        </w:r>
        <w:r>
          <w:t xml:space="preserve">329</w:t>
        </w:r>
      </w:hyperlink>
    </w:p>
    <w:p>
      <w:pPr>
        <w:pStyle w:val="TableofFigures"/>
      </w:pPr>
      <w:hyperlink w:anchor="_Toc00291" w:history="1">
        <w:r>
          <w:rPr>
            <w:b/>
            <w:bCs/>
          </w:rPr>
          <w:t xml:space="preserve">Tabel E.2</w:t>
        </w:r>
        <w:r>
          <w:t xml:space="preserve"> Pasal rezim nonalam dan sosial yang menentukan peran BNPB, 2001–2026</w:t>
        </w:r>
        <w:r>
          <w:tab/>
        </w:r>
        <w:r>
          <w:t xml:space="preserve">330</w:t>
        </w:r>
      </w:hyperlink>
    </w:p>
    <w:p>
      <w:pPr>
        <w:pStyle w:val="TableofFigures"/>
      </w:pPr>
      <w:hyperlink w:anchor="_Toc00293" w:history="1">
        <w:r>
          <w:rPr>
            <w:b/>
            <w:bCs/>
          </w:rPr>
          <w:t xml:space="preserve">Tabel E.3</w:t>
        </w:r>
        <w:r>
          <w:t xml:space="preserve"> Peran lembaga menurut jenis bencana, tahap, kode peran, dan dasar peraturan, status Oktober 2026</w:t>
        </w:r>
        <w:r>
          <w:tab/>
        </w:r>
        <w:r>
          <w:t xml:space="preserve">334</w:t>
        </w:r>
      </w:hyperlink>
    </w:p>
    <w:p>
      <w:pPr>
        <w:pStyle w:val="TableofFigures"/>
      </w:pPr>
      <w:hyperlink w:anchor="_Toc00296" w:history="1">
        <w:r>
          <w:rPr>
            <w:b/>
            <w:bCs/>
          </w:rPr>
          <w:t xml:space="preserve">Tabel F.1</w:t>
        </w:r>
        <w:r>
          <w:t xml:space="preserve"> Asumsi mesin simulasi dan kartu skenario, nilai, pemakaian, dan label keyakinan, kajian mitigasi 2026</w:t>
        </w:r>
        <w:r>
          <w:tab/>
        </w:r>
        <w:r>
          <w:t xml:space="preserve">344</w:t>
        </w:r>
      </w:hyperlink>
    </w:p>
    <w:p>
      <w:pPr>
        <w:pStyle w:val="TableofFigures"/>
      </w:pPr>
      <w:hyperlink w:anchor="_Toc00298" w:history="1">
        <w:r>
          <w:rPr>
            <w:b/>
            <w:bCs/>
          </w:rPr>
          <w:t xml:space="preserve">Tabel F.2</w:t>
        </w:r>
        <w:r>
          <w:t xml:space="preserve"> Kepekaan korban guncangan dan rumah rusak berat model terhadap kepatuhan bangunan dan jam kejadian per skenario gempa, estimasi 2026</w:t>
        </w:r>
        <w:r>
          <w:tab/>
        </w:r>
        <w:r>
          <w:t xml:space="preserve">345</w:t>
        </w:r>
      </w:hyperlink>
    </w:p>
    <w:p>
      <w:pPr>
        <w:pStyle w:val="TableofFigures"/>
      </w:pPr>
      <w:hyperlink w:anchor="_Toc00300" w:history="1">
        <w:r>
          <w:rPr>
            <w:b/>
            <w:bCs/>
          </w:rPr>
          <w:t xml:space="preserve">Tabel F.3</w:t>
        </w:r>
        <w:r>
          <w:t xml:space="preserve"> Celah data kajian mitigasi yang tertutup sesudah pembukaan dokumen primer, Oktober 2026</w:t>
        </w:r>
        <w:r>
          <w:tab/>
        </w:r>
        <w:r>
          <w:t xml:space="preserve">346</w:t>
        </w:r>
      </w:hyperlink>
    </w:p>
    <w:p>
      <w:pPr>
        <w:pStyle w:val="TableofFigures"/>
      </w:pPr>
      <w:hyperlink w:anchor="_Toc00302" w:history="1">
        <w:r>
          <w:rPr>
            <w:b/>
            <w:bCs/>
          </w:rPr>
          <w:t xml:space="preserve">Tabel G.1</w:t>
        </w:r>
        <w:r>
          <w:t xml:space="preserve"> Butir angka berversi ganda di luar rekonsiliasi Bab 3, versi yang dipakai, dan sebab bedanya, 2009–2026</w:t>
        </w:r>
        <w:r>
          <w:tab/>
        </w:r>
        <w:r>
          <w:t xml:space="preserve">348</w:t>
        </w:r>
      </w:hyperlink>
    </w:p>
    <w:p>
      <w:pPr>
        <w:pStyle w:val="TableofFigures"/>
      </w:pPr>
      <w:hyperlink w:anchor="_Toc00304" w:history="1">
        <w:r>
          <w:rPr>
            <w:b/>
            <w:bCs/>
          </w:rPr>
          <w:t xml:space="preserve">Tabel H.1</w:t>
        </w:r>
        <w:r>
          <w:t xml:space="preserve"> Program dalam kompendium menurut kelompok, kekuatan bukti, posisi, dan status usulan, 1956–2026</w:t>
        </w:r>
        <w:r>
          <w:tab/>
        </w:r>
        <w:r>
          <w:t xml:space="preserve">350</w:t>
        </w:r>
      </w:hyperlink>
    </w:p>
    <w:p>
      <w:pPr>
        <w:pStyle w:val="TableofFigures"/>
      </w:pPr>
      <w:hyperlink w:anchor="_Toc00306" w:history="1">
        <w:r>
          <w:rPr>
            <w:b/>
            <w:bCs/>
          </w:rPr>
          <w:t xml:space="preserve">Tabel I.1</w:t>
        </w:r>
        <w:r>
          <w:t xml:space="preserve"> Register rekomendasi kajian mitigasi menurut horizon, unit pemimpin, dan K/L, 2026–2030</w:t>
        </w:r>
        <w:r>
          <w:tab/>
        </w:r>
        <w:r>
          <w:t xml:space="preserve">353</w:t>
        </w:r>
      </w:hyperlink>
    </w:p>
    <w:p>
      <w:pPr>
        <w:pStyle w:val="TableofFigures"/>
      </w:pPr>
      <w:hyperlink w:anchor="_Toc00307" w:history="1">
        <w:r>
          <w:rPr>
            <w:b/>
            <w:bCs/>
          </w:rPr>
          <w:t xml:space="preserve">Tabel I.2</w:t>
        </w:r>
        <w:r>
          <w:t xml:space="preserve"> Kode register yang hanya dipakai Grand Design Ketahanan Air Pulau Jawa 2026–2030</w:t>
        </w:r>
        <w:r>
          <w:tab/>
        </w:r>
        <w:r>
          <w:t xml:space="preserve">356</w:t>
        </w:r>
      </w:hyperlink>
    </w:p>
    <w:p>
      <w:pPr>
        <w:pStyle w:val="TableofFigures"/>
      </w:pPr>
      <w:hyperlink w:anchor="_Toc00309" w:history="1">
        <w:r>
          <w:rPr>
            <w:b/>
            <w:bCs/>
          </w:rPr>
          <w:t xml:space="preserve">Tabel J.1</w:t>
        </w:r>
        <w:r>
          <w:t xml:space="preserve"> Angka dan rujukan dokumen BNPB yang perlu diselaraskan, pembandingnya, dan usulan penyelarasan, Oktober 2026</w:t>
        </w:r>
        <w:r>
          <w:tab/>
        </w:r>
        <w:r>
          <w:t xml:space="preserve">358</w:t>
        </w:r>
      </w:hyperlink>
    </w:p>
    <w:p>
      <w:pPr>
        <w:pStyle w:val="TableofFigures"/>
      </w:pPr>
      <w:hyperlink w:anchor="_Toc00311" w:history="1">
        <w:r>
          <w:rPr>
            <w:b/>
            <w:bCs/>
          </w:rPr>
          <w:t xml:space="preserve">Tabel K.1</w:t>
        </w:r>
        <w:r>
          <w:t xml:space="preserve"> Istilah kajian mitigasi bencana Indonesia dan dasar definisinya, status Oktober 2026</w:t>
        </w:r>
        <w:r>
          <w:tab/>
        </w:r>
        <w:r>
          <w:t xml:space="preserve">360</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313" w:history="1">
        <w:r>
          <w:rPr>
            <w:b/>
            <w:bCs/>
          </w:rPr>
          <w:t xml:space="preserve">Tabel L.1</w:t>
        </w:r>
        <w:r>
          <w:t xml:space="preserve"> Foto Wikimedia Commons yang dipakai dokumen ini, diakses Oktober 2026</w:t>
        </w:r>
        <w:r>
          <w:tab/>
        </w:r>
        <w:r>
          <w:t xml:space="preserve">363</w:t>
        </w:r>
      </w:hyperlink>
      <w:r>
        <w:fldChar w:fldCharType="end"/>
      </w:r>
    </w:p>
    <w:p>
      <w:pPr>
        <w:pStyle w:val="JudulDepan"/>
      </w:pPr>
      <w:bookmarkStart w:id="30" w:name="_Toc00017"/>
      <w:r>
        <w:t xml:space="preserve">DAFTAR GAMBAR</w:t>
      </w:r>
      <w:bookmarkEnd w:id="30"/>
    </w:p>
    <w:p>
      <w:pPr>
        <w:pStyle w:val="TableofFigures"/>
      </w:pPr>
      <w:r>
        <w:fldChar w:fldCharType="begin"/>
      </w:r>
      <w:r>
        <w:instrText xml:space="preserve"> TOC \h \z \c "Gambar" </w:instrText>
      </w:r>
      <w:r>
        <w:fldChar w:fldCharType="separate"/>
      </w:r>
      <w:hyperlink w:anchor="_Toc00009" w:history="1">
        <w:r>
          <w:rPr>
            <w:b/>
            <w:bCs/>
          </w:rPr>
          <w:t xml:space="preserve">Gambar RE.1</w:t>
        </w:r>
        <w:r>
          <w:t xml:space="preserve"> Status Indeks Risiko Bencana Indonesia per kab/kota, 2025 (sama dengan peta Bab 5)</w:t>
        </w:r>
        <w:r>
          <w:tab/>
        </w:r>
        <w:r>
          <w:t xml:space="preserve">xiii</w:t>
        </w:r>
      </w:hyperlink>
    </w:p>
    <w:p>
      <w:pPr>
        <w:pStyle w:val="TableofFigures"/>
      </w:pPr>
      <w:hyperlink w:anchor="_Toc00021" w:history="1">
        <w:r>
          <w:rPr>
            <w:b/>
            <w:bCs/>
          </w:rPr>
          <w:t xml:space="preserve">Gambar 1.1</w:t>
        </w:r>
        <w:r>
          <w:t xml:space="preserve"> Longsoran tebing di Kabupaten Agam, dilihat warga dan petugas, Agam, Sumatera Barat, 1 Desember 2025</w:t>
        </w:r>
        <w:r>
          <w:tab/>
        </w:r>
        <w:r>
          <w:t xml:space="preserve">2</w:t>
        </w:r>
      </w:hyperlink>
    </w:p>
    <w:p>
      <w:pPr>
        <w:pStyle w:val="TableofFigures"/>
      </w:pPr>
      <w:hyperlink w:anchor="_Toc00023" w:history="1">
        <w:r>
          <w:rPr>
            <w:b/>
            <w:bCs/>
          </w:rPr>
          <w:t xml:space="preserve">Gambar 1.2</w:t>
        </w:r>
        <w:r>
          <w:t xml:space="preserve"> Meninggal dan hilang akibat bencana alam di Indonesia, 2015–2025 (jiwa)</w:t>
        </w:r>
        <w:r>
          <w:tab/>
        </w:r>
        <w:r>
          <w:t xml:space="preserve">3</w:t>
        </w:r>
      </w:hyperlink>
    </w:p>
    <w:p>
      <w:pPr>
        <w:pStyle w:val="TableofFigures"/>
      </w:pPr>
      <w:hyperlink w:anchor="_Toc00025" w:history="1">
        <w:r>
          <w:rPr>
            <w:b/>
            <w:bCs/>
          </w:rPr>
          <w:t xml:space="preserve">Gambar 1.3</w:t>
        </w:r>
        <w:r>
          <w:t xml:space="preserve"> Rumah warga masih terendam air setelah banjir bandang, Gorontalo, 14 Juli 2024</w:t>
        </w:r>
        <w:r>
          <w:tab/>
        </w:r>
        <w:r>
          <w:t xml:space="preserve">5</w:t>
        </w:r>
      </w:hyperlink>
    </w:p>
    <w:p>
      <w:pPr>
        <w:pStyle w:val="TableofFigures"/>
      </w:pPr>
      <w:hyperlink w:anchor="_Toc00032" w:history="1">
        <w:r>
          <w:rPr>
            <w:b/>
            <w:bCs/>
          </w:rPr>
          <w:t xml:space="preserve">Gambar 2.1</w:t>
        </w:r>
        <w:r>
          <w:t xml:space="preserve"> Banjir Kanal Timur, Jakarta Timur, 2012</w:t>
        </w:r>
        <w:r>
          <w:tab/>
        </w:r>
        <w:r>
          <w:t xml:space="preserve">10</w:t>
        </w:r>
      </w:hyperlink>
    </w:p>
    <w:p>
      <w:pPr>
        <w:pStyle w:val="TableofFigures"/>
      </w:pPr>
      <w:hyperlink w:anchor="_Toc00044" w:history="1">
        <w:r>
          <w:rPr>
            <w:b/>
            <w:bCs/>
          </w:rPr>
          <w:t xml:space="preserve">Gambar 3.1</w:t>
        </w:r>
        <w:r>
          <w:t xml:space="preserve"> Citra satelit asap kebakaran di atas Kalimantan, Kalimantan, 15 September 2019</w:t>
        </w:r>
        <w:r>
          <w:tab/>
        </w:r>
        <w:r>
          <w:t xml:space="preserve">24</w:t>
        </w:r>
      </w:hyperlink>
    </w:p>
    <w:p>
      <w:pPr>
        <w:pStyle w:val="TableofFigures"/>
      </w:pPr>
      <w:hyperlink w:anchor="_Toc00047" w:history="1">
        <w:r>
          <w:rPr>
            <w:b/>
            <w:bCs/>
          </w:rPr>
          <w:t xml:space="preserve">Gambar 3.2</w:t>
        </w:r>
        <w:r>
          <w:t xml:space="preserve"> Rantai metode dari sumber data ke daftar perhatian dan rekomendasi, kajian mitigasi bencana Indonesia 2026</w:t>
        </w:r>
        <w:r>
          <w:tab/>
        </w:r>
        <w:r>
          <w:t xml:space="preserve">26</w:t>
        </w:r>
      </w:hyperlink>
    </w:p>
    <w:p>
      <w:pPr>
        <w:pStyle w:val="TableofFigures"/>
      </w:pPr>
      <w:hyperlink w:anchor="_Toc00065" w:history="1">
        <w:r>
          <w:rPr>
            <w:b/>
            <w:bCs/>
          </w:rPr>
          <w:t xml:space="preserve">Gambar 4.1</w:t>
        </w:r>
        <w:r>
          <w:t xml:space="preserve"> Banjir di permukiman Tanjung Duren, Jakarta Barat, 1 Januari 2020</w:t>
        </w:r>
        <w:r>
          <w:tab/>
        </w:r>
        <w:r>
          <w:t xml:space="preserve">38</w:t>
        </w:r>
      </w:hyperlink>
    </w:p>
    <w:p>
      <w:pPr>
        <w:pStyle w:val="TableofFigures"/>
      </w:pPr>
      <w:hyperlink w:anchor="_Toc00067" w:history="1">
        <w:r>
          <w:rPr>
            <w:b/>
            <w:bCs/>
          </w:rPr>
          <w:t xml:space="preserve">Gambar 4.2</w:t>
        </w:r>
        <w:r>
          <w:t xml:space="preserve"> Kejadian bencana per tahun menurut kelompok hidrometeorologi, geologi, serta nonalam dan sosial di Indonesia, 2015–2026 (kejadian)</w:t>
        </w:r>
        <w:r>
          <w:tab/>
        </w:r>
        <w:r>
          <w:t xml:space="preserve">40</w:t>
        </w:r>
      </w:hyperlink>
    </w:p>
    <w:p>
      <w:pPr>
        <w:pStyle w:val="TableofFigures"/>
      </w:pPr>
      <w:hyperlink w:anchor="_Toc00068" w:history="1">
        <w:r>
          <w:rPr>
            <w:b/>
            <w:bCs/>
          </w:rPr>
          <w:t xml:space="preserve">Gambar 4.3</w:t>
        </w:r>
        <w:r>
          <w:t xml:space="preserve"> Korban meninggal dan hilang akibat bencana alam per tahun menurut kelompok hidrometeorologi dan geologi di Indonesia, 2015–2026 (jiwa)</w:t>
        </w:r>
        <w:r>
          <w:tab/>
        </w:r>
        <w:r>
          <w:t xml:space="preserve">41</w:t>
        </w:r>
      </w:hyperlink>
    </w:p>
    <w:p>
      <w:pPr>
        <w:pStyle w:val="TableofFigures"/>
      </w:pPr>
      <w:hyperlink w:anchor="_Toc00072" w:history="1">
        <w:r>
          <w:rPr>
            <w:b/>
            <w:bCs/>
          </w:rPr>
          <w:t xml:space="preserve">Gambar 4.4</w:t>
        </w:r>
        <w:r>
          <w:t xml:space="preserve"> Evakuasi korban banjir di Pekalongan, Februari 2023</w:t>
        </w:r>
        <w:r>
          <w:tab/>
        </w:r>
        <w:r>
          <w:t xml:space="preserve">47</w:t>
        </w:r>
      </w:hyperlink>
    </w:p>
    <w:p>
      <w:pPr>
        <w:pStyle w:val="TableofFigures"/>
      </w:pPr>
      <w:hyperlink w:anchor="_Toc00078" w:history="1">
        <w:r>
          <w:rPr>
            <w:b/>
            <w:bCs/>
          </w:rPr>
          <w:t xml:space="preserve">Gambar 5.1</w:t>
        </w:r>
        <w:r>
          <w:t xml:space="preserve"> Muara Sungai Citarum di pesisir utara Jawa Barat, Oktober 2021</w:t>
        </w:r>
        <w:r>
          <w:tab/>
        </w:r>
        <w:r>
          <w:t xml:space="preserve">52</w:t>
        </w:r>
      </w:hyperlink>
    </w:p>
    <w:p>
      <w:pPr>
        <w:pStyle w:val="TableofFigures"/>
      </w:pPr>
      <w:hyperlink w:anchor="_Toc00080" w:history="1">
        <w:r>
          <w:rPr>
            <w:b/>
            <w:bCs/>
          </w:rPr>
          <w:t xml:space="preserve">Gambar 5.2</w:t>
        </w:r>
        <w:r>
          <w:t xml:space="preserve"> Indeks Risiko Bencana nasional dan rerata kab/kota per pulau di Indonesia, 2015–2024 (indeks)</w:t>
        </w:r>
        <w:r>
          <w:tab/>
        </w:r>
        <w:r>
          <w:t xml:space="preserve">53</w:t>
        </w:r>
      </w:hyperlink>
    </w:p>
    <w:p>
      <w:pPr>
        <w:pStyle w:val="TableofFigures"/>
      </w:pPr>
      <w:hyperlink w:anchor="_Toc00082" w:history="1">
        <w:r>
          <w:rPr>
            <w:b/>
            <w:bCs/>
          </w:rPr>
          <w:t xml:space="preserve">Gambar 5.3</w:t>
        </w:r>
        <w:r>
          <w:t xml:space="preserve"> Status Indeks Risiko Bencana Indonesia per kab/kota, 2025</w:t>
        </w:r>
        <w:r>
          <w:tab/>
        </w:r>
        <w:r>
          <w:t xml:space="preserve">55</w:t>
        </w:r>
      </w:hyperlink>
    </w:p>
    <w:p>
      <w:pPr>
        <w:pStyle w:val="TableofFigures"/>
      </w:pPr>
      <w:hyperlink w:anchor="_Toc00083" w:history="1">
        <w:r>
          <w:rPr>
            <w:b/>
            <w:bCs/>
          </w:rPr>
          <w:t xml:space="preserve">Gambar 5.4</w:t>
        </w:r>
        <w:r>
          <w:t xml:space="preserve"> Nilai Indeks Risiko Bencana Indonesia per bahaya per kab/kota, 2025 (kelas kuintil)</w:t>
        </w:r>
        <w:r>
          <w:tab/>
        </w:r>
        <w:r>
          <w:t xml:space="preserve">56</w:t>
        </w:r>
      </w:hyperlink>
    </w:p>
    <w:p>
      <w:pPr>
        <w:pStyle w:val="TableofFigures"/>
      </w:pPr>
      <w:hyperlink w:anchor="_Toc00084" w:history="1">
        <w:r>
          <w:rPr>
            <w:b/>
            <w:bCs/>
          </w:rPr>
          <w:t xml:space="preserve">Gambar 5.5</w:t>
        </w:r>
        <w:r>
          <w:t xml:space="preserve"> Tepian Bengawan Solo yang surut pada musim kemarau, Juli 2015</w:t>
        </w:r>
        <w:r>
          <w:tab/>
        </w:r>
        <w:r>
          <w:t xml:space="preserve">57</w:t>
        </w:r>
      </w:hyperlink>
    </w:p>
    <w:p>
      <w:pPr>
        <w:pStyle w:val="TableofFigures"/>
      </w:pPr>
      <w:hyperlink w:anchor="_Toc00088" w:history="1">
        <w:r>
          <w:rPr>
            <w:b/>
            <w:bCs/>
          </w:rPr>
          <w:t xml:space="preserve">Gambar 5.6</w:t>
        </w:r>
        <w:r>
          <w:t xml:space="preserve"> Kelas Indeks Risiko Bencana Indonesia per provinsi, 2023</w:t>
        </w:r>
        <w:r>
          <w:tab/>
        </w:r>
        <w:r>
          <w:t xml:space="preserve">59</w:t>
        </w:r>
      </w:hyperlink>
    </w:p>
    <w:p>
      <w:pPr>
        <w:pStyle w:val="TableofFigures"/>
      </w:pPr>
      <w:hyperlink w:anchor="_Toc00094" w:history="1">
        <w:r>
          <w:rPr>
            <w:b/>
            <w:bCs/>
          </w:rPr>
          <w:t xml:space="preserve">Gambar 5.7</w:t>
        </w:r>
        <w:r>
          <w:t xml:space="preserve"> Kelas kapasitas penanggulangan bencana kab/kota menurut Kajian Risiko Bencana 2022–2026</w:t>
        </w:r>
        <w:r>
          <w:tab/>
        </w:r>
        <w:r>
          <w:t xml:space="preserve">63</w:t>
        </w:r>
      </w:hyperlink>
    </w:p>
    <w:p>
      <w:pPr>
        <w:pStyle w:val="TableofFigures"/>
      </w:pPr>
      <w:hyperlink w:anchor="_Toc00100" w:history="1">
        <w:r>
          <w:rPr>
            <w:b/>
            <w:bCs/>
          </w:rPr>
          <w:t xml:space="preserve">Gambar 5.8</w:t>
        </w:r>
        <w:r>
          <w:t xml:space="preserve"> Matriks kemungkinan lima tahun dan kelas fatalitas per jenis bencana, dengan kolom jenis tanpa dasar kemungkinan, Indonesia 2026</w:t>
        </w:r>
        <w:r>
          <w:tab/>
        </w:r>
        <w:r>
          <w:t xml:space="preserve">69</w:t>
        </w:r>
      </w:hyperlink>
    </w:p>
    <w:p>
      <w:pPr>
        <w:pStyle w:val="TableofFigures"/>
      </w:pPr>
      <w:hyperlink w:anchor="_Toc00102" w:history="1">
        <w:r>
          <w:rPr>
            <w:b/>
            <w:bCs/>
          </w:rPr>
          <w:t xml:space="preserve">Gambar 6.1</w:t>
        </w:r>
        <w:r>
          <w:t xml:space="preserve"> Puing bangunan setelah gempa dan tsunami Palu, Palu, Sulawesi Tengah, Oktober 2018</w:t>
        </w:r>
        <w:r>
          <w:tab/>
        </w:r>
        <w:r>
          <w:t xml:space="preserve">70</w:t>
        </w:r>
      </w:hyperlink>
    </w:p>
    <w:p>
      <w:pPr>
        <w:pStyle w:val="TableofFigures"/>
      </w:pPr>
      <w:hyperlink w:anchor="_Toc00107" w:history="1">
        <w:r>
          <w:rPr>
            <w:b/>
            <w:bCs/>
          </w:rPr>
          <w:t xml:space="preserve">Gambar 6.2</w:t>
        </w:r>
        <w:r>
          <w:t xml:space="preserve"> Jiwa terpapar guncangan MMI VII atau lebih per kab/kota pada skenario megathrust Jawa Mw 9,1 PuSGeN 2024 dengan geometri platform (jiwa)</w:t>
        </w:r>
        <w:r>
          <w:tab/>
        </w:r>
        <w:r>
          <w:t xml:space="preserve">72</w:t>
        </w:r>
      </w:hyperlink>
    </w:p>
    <w:p>
      <w:pPr>
        <w:pStyle w:val="TableofFigures"/>
      </w:pPr>
      <w:hyperlink w:anchor="_Toc00112" w:history="1">
        <w:r>
          <w:rPr>
            <w:b/>
            <w:bCs/>
          </w:rPr>
          <w:t xml:space="preserve">Gambar 6.3</w:t>
        </w:r>
        <w:r>
          <w:t xml:space="preserve"> Masjid yang tetap berdiri di antara puing setelah tsunami Aceh, Banda Aceh, Januari 2005</w:t>
        </w:r>
        <w:r>
          <w:tab/>
        </w:r>
        <w:r>
          <w:t xml:space="preserve">84</w:t>
        </w:r>
      </w:hyperlink>
    </w:p>
    <w:p>
      <w:pPr>
        <w:pStyle w:val="TableofFigures"/>
      </w:pPr>
      <w:hyperlink w:anchor="_Toc00114" w:history="1">
        <w:r>
          <w:rPr>
            <w:b/>
            <w:bCs/>
          </w:rPr>
          <w:t xml:space="preserve">Gambar 6.4</w:t>
        </w:r>
        <w:r>
          <w:t xml:space="preserve"> Jiwa kecamatan pesisir rendah dengan tiba tsunami 30 menit atau kurang dan panjang pantai tiba kurang dari 30 menit, skenario megathrust Jawa Mw 9,1 dan Mentawai Mw 8,9, 2026 (jiwa)</w:t>
        </w:r>
        <w:r>
          <w:tab/>
        </w:r>
        <w:r>
          <w:t xml:space="preserve">85</w:t>
        </w:r>
      </w:hyperlink>
    </w:p>
    <w:p>
      <w:pPr>
        <w:pStyle w:val="TableofFigures"/>
      </w:pPr>
      <w:hyperlink w:anchor="_Toc00123" w:history="1">
        <w:r>
          <w:rPr>
            <w:b/>
            <w:bCs/>
          </w:rPr>
          <w:t xml:space="preserve">Gambar 6.5</w:t>
        </w:r>
        <w:r>
          <w:t xml:space="preserve"> Faktor kematian tsunami menurut porsi evakuasi segera dan faktor korban guncangan menurut kepatuhan bangunan, empat skenario megathrust, 2026 (kali dasar)</w:t>
        </w:r>
        <w:r>
          <w:tab/>
        </w:r>
        <w:r>
          <w:t xml:space="preserve">96</w:t>
        </w:r>
      </w:hyperlink>
    </w:p>
    <w:p>
      <w:pPr>
        <w:pStyle w:val="TableofFigures"/>
      </w:pPr>
      <w:hyperlink w:anchor="_Toc00128" w:history="1">
        <w:r>
          <w:rPr>
            <w:b/>
            <w:bCs/>
          </w:rPr>
          <w:t xml:space="preserve">Gambar 7.1</w:t>
        </w:r>
        <w:r>
          <w:t xml:space="preserve"> Evakuasi warga terdampak tanah longsor di Kabupaten Pekalongan, Januari 2025</w:t>
        </w:r>
        <w:r>
          <w:tab/>
        </w:r>
        <w:r>
          <w:t xml:space="preserve">100</w:t>
        </w:r>
      </w:hyperlink>
    </w:p>
    <w:p>
      <w:pPr>
        <w:pStyle w:val="TableofFigures"/>
      </w:pPr>
      <w:hyperlink w:anchor="_Toc00130" w:history="1">
        <w:r>
          <w:rPr>
            <w:b/>
            <w:bCs/>
          </w:rPr>
          <w:t xml:space="preserve">Gambar 7.2</w:t>
        </w:r>
        <w:r>
          <w:t xml:space="preserve"> Kelas nilai IRBI 2025 untuk banjir, tanah longsor, kekeringan, dan karhutla per kab/kota di Indonesia</w:t>
        </w:r>
        <w:r>
          <w:tab/>
        </w:r>
        <w:r>
          <w:t xml:space="preserve">101</w:t>
        </w:r>
      </w:hyperlink>
    </w:p>
    <w:p>
      <w:pPr>
        <w:pStyle w:val="TableofFigures"/>
      </w:pPr>
      <w:hyperlink w:anchor="_Toc00134" w:history="1">
        <w:r>
          <w:rPr>
            <w:b/>
            <w:bCs/>
          </w:rPr>
          <w:t xml:space="preserve">Gambar 7.3</w:t>
        </w:r>
        <w:r>
          <w:t xml:space="preserve"> Siklon Tropis Seroja dari satelit Aqua, Nusa Tenggara Timur, 5 April 2021</w:t>
        </w:r>
        <w:r>
          <w:tab/>
        </w:r>
        <w:r>
          <w:t xml:space="preserve">109</w:t>
        </w:r>
      </w:hyperlink>
    </w:p>
    <w:p>
      <w:pPr>
        <w:pStyle w:val="TableofFigures"/>
      </w:pPr>
      <w:hyperlink w:anchor="_Toc00137" w:history="1">
        <w:r>
          <w:rPr>
            <w:b/>
            <w:bCs/>
          </w:rPr>
          <w:t xml:space="preserve">Gambar 7.4</w:t>
        </w:r>
        <w:r>
          <w:t xml:space="preserve"> Bengawan Solo pada musim kemarau, Juli 2015</w:t>
        </w:r>
        <w:r>
          <w:tab/>
        </w:r>
        <w:r>
          <w:t xml:space="preserve">112</w:t>
        </w:r>
      </w:hyperlink>
    </w:p>
    <w:p>
      <w:pPr>
        <w:pStyle w:val="TableofFigures"/>
      </w:pPr>
      <w:hyperlink w:anchor="_Toc00140" w:history="1">
        <w:r>
          <w:rPr>
            <w:b/>
            <w:bCs/>
          </w:rPr>
          <w:t xml:space="preserve">Gambar 7.5</w:t>
        </w:r>
        <w:r>
          <w:t xml:space="preserve"> Kabut asap menutupi Tugu Talawang di Palangka Raya, Palangka Raya, Kalimantan Tengah, 2026</w:t>
        </w:r>
        <w:r>
          <w:tab/>
        </w:r>
        <w:r>
          <w:t xml:space="preserve">116</w:t>
        </w:r>
      </w:hyperlink>
    </w:p>
    <w:p>
      <w:pPr>
        <w:pStyle w:val="TableofFigures"/>
      </w:pPr>
      <w:hyperlink w:anchor="_Toc00147" w:history="1">
        <w:r>
          <w:rPr>
            <w:b/>
            <w:bCs/>
          </w:rPr>
          <w:t xml:space="preserve">Gambar 7.6</w:t>
        </w:r>
        <w:r>
          <w:t xml:space="preserve"> Meninggal dan hilang per musim hujan nasional menurut fase La Niña, 2008/2009–2025/2026 (jiwa)</w:t>
        </w:r>
        <w:r>
          <w:tab/>
        </w:r>
        <w:r>
          <w:t xml:space="preserve">125</w:t>
        </w:r>
      </w:hyperlink>
    </w:p>
    <w:p>
      <w:pPr>
        <w:pStyle w:val="TableofFigures"/>
      </w:pPr>
      <w:hyperlink w:anchor="_Toc00150" w:history="1">
        <w:r>
          <w:rPr>
            <w:b/>
            <w:bCs/>
          </w:rPr>
          <w:t xml:space="preserve">Gambar 7.7</w:t>
        </w:r>
        <w:r>
          <w:t xml:space="preserve"> Porsi bulanan meninggal dan hilang lima jenis musim hujan serta kejadian kekeringan dan karhutla di Indonesia, 2008–2026 (persen)</w:t>
        </w:r>
        <w:r>
          <w:tab/>
        </w:r>
        <w:r>
          <w:t xml:space="preserve">132</w:t>
        </w:r>
      </w:hyperlink>
    </w:p>
    <w:p>
      <w:pPr>
        <w:pStyle w:val="TableofFigures"/>
      </w:pPr>
      <w:hyperlink w:anchor="_Toc00153" w:history="1">
        <w:r>
          <w:rPr>
            <w:b/>
            <w:bCs/>
          </w:rPr>
          <w:t xml:space="preserve">Gambar 7.8</w:t>
        </w:r>
        <w:r>
          <w:t xml:space="preserve"> Korban jiwa lantai musim hujan 2025/2026 nasional pada cakupan peringatan dini 2025, lintasan IKP Renstra, lintasan Renas PB 1.c, dan cakupan penuh (jiwa)</w:t>
        </w:r>
        <w:r>
          <w:tab/>
        </w:r>
        <w:r>
          <w:t xml:space="preserve">134</w:t>
        </w:r>
      </w:hyperlink>
    </w:p>
    <w:p>
      <w:pPr>
        <w:pStyle w:val="TableofFigures"/>
      </w:pPr>
      <w:hyperlink w:anchor="_Toc00159" w:history="1">
        <w:r>
          <w:rPr>
            <w:b/>
            <w:bCs/>
          </w:rPr>
          <w:t xml:space="preserve">Gambar 8.1</w:t>
        </w:r>
        <w:r>
          <w:t xml:space="preserve"> Garis waktu penetapan status epidemi menurut rezim bencana, rezim kesehatan, dan krisis kesehatan di Indonesia, 2018–2026</w:t>
        </w:r>
        <w:r>
          <w:tab/>
        </w:r>
        <w:r>
          <w:t xml:space="preserve">139</w:t>
        </w:r>
      </w:hyperlink>
    </w:p>
    <w:p>
      <w:pPr>
        <w:pStyle w:val="TableofFigures"/>
      </w:pPr>
      <w:hyperlink w:anchor="_Toc00161" w:history="1">
        <w:r>
          <w:rPr>
            <w:b/>
            <w:bCs/>
          </w:rPr>
          <w:t xml:space="preserve">Gambar 8.2</w:t>
        </w:r>
        <w:r>
          <w:t xml:space="preserve"> Kematian COVID-19 terlapor per pekan di Indonesia, Maret 2020–Juni 2023 (jiwa)</w:t>
        </w:r>
        <w:r>
          <w:tab/>
        </w:r>
        <w:r>
          <w:t xml:space="preserve">140</w:t>
        </w:r>
      </w:hyperlink>
    </w:p>
    <w:p>
      <w:pPr>
        <w:pStyle w:val="TableofFigures"/>
      </w:pPr>
      <w:hyperlink w:anchor="_Toc00179" w:history="1">
        <w:r>
          <w:rPr>
            <w:b/>
            <w:bCs/>
          </w:rPr>
          <w:t xml:space="preserve">Gambar 9.1</w:t>
        </w:r>
        <w:r>
          <w:t xml:space="preserve"> Persen desa/kelurahan dengan perkelahian massal antarkelompok masyarakat per provinsi di Indonesia, 2024</w:t>
        </w:r>
        <w:r>
          <w:tab/>
        </w:r>
        <w:r>
          <w:t xml:space="preserve">154</w:t>
        </w:r>
      </w:hyperlink>
    </w:p>
    <w:p>
      <w:pPr>
        <w:pStyle w:val="TableofFigures"/>
      </w:pPr>
      <w:hyperlink w:anchor="_Toc00187" w:history="1">
        <w:r>
          <w:rPr>
            <w:b/>
            <w:bCs/>
          </w:rPr>
          <w:t xml:space="preserve">Gambar 10.1</w:t>
        </w:r>
        <w:r>
          <w:t xml:space="preserve"> Petugas menyemprot bara di lahan gambut, Taman Nasional Sebangau, Kalimantan Tengah, 2019</w:t>
        </w:r>
        <w:r>
          <w:tab/>
        </w:r>
        <w:r>
          <w:t xml:space="preserve">165</w:t>
        </w:r>
      </w:hyperlink>
    </w:p>
    <w:p>
      <w:pPr>
        <w:pStyle w:val="TableofFigures"/>
      </w:pPr>
      <w:hyperlink w:anchor="_Toc00192" w:history="1">
        <w:r>
          <w:rPr>
            <w:b/>
            <w:bCs/>
          </w:rPr>
          <w:t xml:space="preserve">Gambar 10.2</w:t>
        </w:r>
        <w:r>
          <w:t xml:space="preserve"> Helikopter menjatuhkan air di atas lahan terbakar, Indonesia, 2019</w:t>
        </w:r>
        <w:r>
          <w:tab/>
        </w:r>
        <w:r>
          <w:t xml:space="preserve">172</w:t>
        </w:r>
      </w:hyperlink>
    </w:p>
    <w:p>
      <w:pPr>
        <w:pStyle w:val="TableofFigures"/>
      </w:pPr>
      <w:hyperlink w:anchor="_Toc00200" w:history="1">
        <w:r>
          <w:rPr>
            <w:b/>
            <w:bCs/>
          </w:rPr>
          <w:t xml:space="preserve">Gambar 10.3</w:t>
        </w:r>
        <w:r>
          <w:t xml:space="preserve"> Sel fase × jenis bencana menurut kategori bukti program terbaik, Indonesia 2026</w:t>
        </w:r>
        <w:r>
          <w:tab/>
        </w:r>
        <w:r>
          <w:t xml:space="preserve">179</w:t>
        </w:r>
      </w:hyperlink>
    </w:p>
    <w:p>
      <w:pPr>
        <w:pStyle w:val="TableofFigures"/>
      </w:pPr>
      <w:hyperlink w:anchor="_Toc00204" w:history="1">
        <w:r>
          <w:rPr>
            <w:b/>
            <w:bCs/>
          </w:rPr>
          <w:t xml:space="preserve">Gambar 11.1</w:t>
        </w:r>
        <w:r>
          <w:t xml:space="preserve"> Pengerukan lumpur di Sungai Ciliwung, Jakarta, Maret 2025</w:t>
        </w:r>
        <w:r>
          <w:tab/>
        </w:r>
        <w:r>
          <w:t xml:space="preserve">183</w:t>
        </w:r>
      </w:hyperlink>
    </w:p>
    <w:p>
      <w:pPr>
        <w:pStyle w:val="TableofFigures"/>
      </w:pPr>
      <w:hyperlink w:anchor="_Toc00209" w:history="1">
        <w:r>
          <w:rPr>
            <w:b/>
            <w:bCs/>
          </w:rPr>
          <w:t xml:space="preserve">Gambar 11.2</w:t>
        </w:r>
        <w:r>
          <w:t xml:space="preserve"> Sekat kanal dari gambut padat untuk menaikkan muka air, Sumatera Selatan, 2016</w:t>
        </w:r>
        <w:r>
          <w:tab/>
        </w:r>
        <w:r>
          <w:t xml:space="preserve">188</w:t>
        </w:r>
      </w:hyperlink>
    </w:p>
    <w:p>
      <w:pPr>
        <w:pStyle w:val="TableofFigures"/>
      </w:pPr>
      <w:hyperlink w:anchor="_Toc00211" w:history="1">
        <w:r>
          <w:rPr>
            <w:b/>
            <w:bCs/>
          </w:rPr>
          <w:t xml:space="preserve">Gambar 11.3</w:t>
        </w:r>
        <w:r>
          <w:t xml:space="preserve"> Alur langkah penanggulangan bencana dari peringatan dini sampai hibah rehabilitasi dan rekonstruksi, dengan pemicu dan tenggat tiap tahap, 2026</w:t>
        </w:r>
        <w:r>
          <w:tab/>
        </w:r>
        <w:r>
          <w:t xml:space="preserve">189</w:t>
        </w:r>
      </w:hyperlink>
    </w:p>
    <w:p>
      <w:pPr>
        <w:pStyle w:val="TableofFigures"/>
      </w:pPr>
      <w:hyperlink w:anchor="_Toc00216" w:history="1">
        <w:r>
          <w:rPr>
            <w:b/>
            <w:bCs/>
          </w:rPr>
          <w:t xml:space="preserve">Gambar 11.4</w:t>
        </w:r>
        <w:r>
          <w:t xml:space="preserve"> Porsi kejadian bencana hidrometeorologi per bulan menurut pulau dan jenis, Indonesia 2008–2025 (persen kejadian)</w:t>
        </w:r>
        <w:r>
          <w:tab/>
        </w:r>
        <w:r>
          <w:t xml:space="preserve">194</w:t>
        </w:r>
      </w:hyperlink>
    </w:p>
    <w:p>
      <w:pPr>
        <w:pStyle w:val="TableofFigures"/>
      </w:pPr>
      <w:hyperlink w:anchor="_Toc00229" w:history="1">
        <w:r>
          <w:rPr>
            <w:b/>
            <w:bCs/>
          </w:rPr>
          <w:t xml:space="preserve">Gambar 12.1</w:t>
        </w:r>
        <w:r>
          <w:t xml:space="preserve"> Hutan rawa gambut setelah terbakar, Taman Nasional Sebangau, Kalimantan Tengah, 2019</w:t>
        </w:r>
        <w:r>
          <w:tab/>
        </w:r>
        <w:r>
          <w:t xml:space="preserve">208</w:t>
        </w:r>
      </w:hyperlink>
    </w:p>
    <w:p>
      <w:pPr>
        <w:pStyle w:val="TableofFigures"/>
      </w:pPr>
      <w:hyperlink w:anchor="_Toc00234" w:history="1">
        <w:r>
          <w:rPr>
            <w:b/>
            <w:bCs/>
          </w:rPr>
          <w:t xml:space="preserve">Gambar 12.2</w:t>
        </w:r>
        <w:r>
          <w:t xml:space="preserve"> Banjir Kanal Timur ruas Cipinang Muara, Jakarta Timur, Juni 2024</w:t>
        </w:r>
        <w:r>
          <w:tab/>
        </w:r>
        <w:r>
          <w:t xml:space="preserve">212</w:t>
        </w:r>
      </w:hyperlink>
    </w:p>
    <w:p>
      <w:pPr>
        <w:pStyle w:val="TableofFigures"/>
      </w:pPr>
      <w:hyperlink w:anchor="_Toc00236" w:history="1">
        <w:r>
          <w:rPr>
            <w:b/>
            <w:bCs/>
          </w:rPr>
          <w:t xml:space="preserve">Gambar 12.3</w:t>
        </w:r>
        <w:r>
          <w:t xml:space="preserve"> Forum koordinasi dan jalur adopsi rekomendasi kajian mitigasi, 2026–2030</w:t>
        </w:r>
        <w:r>
          <w:tab/>
        </w:r>
        <w:r>
          <w:t xml:space="preserve">213</w:t>
        </w:r>
      </w:hyperlink>
    </w:p>
    <w:p>
      <w:pPr>
        <w:pStyle w:val="TableofFigures"/>
      </w:pPr>
      <w:hyperlink w:anchor="_Toc00240" w:history="1">
        <w:r>
          <w:rPr>
            <w:b/>
            <w:bCs/>
          </w:rPr>
          <w:t xml:space="preserve">Gambar 12.4</w:t>
        </w:r>
        <w:r>
          <w:t xml:space="preserve"> Kebutuhan stimulan rumah tahunan batas bawah, 2015–2025, dengan lapisan dan kejadian tunggal (Rp triliun)</w:t>
        </w:r>
        <w:r>
          <w:tab/>
        </w:r>
        <w:r>
          <w:t xml:space="preserve">217</w:t>
        </w:r>
      </w:hyperlink>
    </w:p>
    <w:p>
      <w:pPr>
        <w:pStyle w:val="TableofFigures"/>
      </w:pPr>
      <w:hyperlink w:anchor="_Toc00241" w:history="1">
        <w:r>
          <w:rPr>
            <w:b/>
            <w:bCs/>
          </w:rPr>
          <w:t xml:space="preserve">Gambar 12.5</w:t>
        </w:r>
        <w:r>
          <w:t xml:space="preserve"> Lapisan kejadian dan sumber dana penanggulangan bencana menurut peraturan yang berlaku, Oktober 2026</w:t>
        </w:r>
        <w:r>
          <w:tab/>
        </w:r>
        <w:r>
          <w:t xml:space="preserve">219</w:t>
        </w:r>
      </w:hyperlink>
    </w:p>
    <w:p>
      <w:pPr>
        <w:pStyle w:val="TableofFigures"/>
      </w:pPr>
      <w:hyperlink w:anchor="_Toc00249" w:history="1">
        <w:r>
          <w:rPr>
            <w:b/>
            <w:bCs/>
          </w:rPr>
          <w:t xml:space="preserve">Gambar 12.6</w:t>
        </w:r>
        <w:r>
          <w:t xml:space="preserve"> Tata kelola dan pelaporan rekomendasi kajian mitigasi dalam tiga lapis, 2026–2030</w:t>
        </w:r>
        <w:r>
          <w:tab/>
        </w:r>
        <w:r>
          <w:t xml:space="preserve">225</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51" w:history="1">
        <w:r>
          <w:rPr>
            <w:b/>
            <w:bCs/>
          </w:rPr>
          <w:t xml:space="preserve">Gambar 13.1</w:t>
        </w:r>
        <w:r>
          <w:t xml:space="preserve"> Asap dari bara di dalam lahan gambut yang terbakar, Taman Nasional Sebangau, Kalimantan Tengah, 2019</w:t>
        </w:r>
        <w:r>
          <w:tab/>
        </w:r>
        <w:r>
          <w:t xml:space="preserve">228</w:t>
        </w:r>
      </w:hyperlink>
      <w:r>
        <w:fldChar w:fldCharType="end"/>
      </w:r>
    </w:p>
    <w:p>
      <w:pPr>
        <w:pStyle w:val="JudulDepan"/>
      </w:pPr>
      <w:bookmarkStart w:id="31" w:name="_Toc00018"/>
      <w:r>
        <w:t xml:space="preserve">DAFTAR LAMPIRAN</w:t>
      </w:r>
      <w:bookmarkEnd w:id="31"/>
    </w:p>
    <w:p>
      <w:pPr>
        <w:pStyle w:val="TableofFigures"/>
      </w:pPr>
      <w:r>
        <w:fldChar w:fldCharType="begin"/>
      </w:r>
      <w:r>
        <w:instrText xml:space="preserve"> TOC \h \z \t "Judul Lampiran,1" </w:instrText>
      </w:r>
      <w:r>
        <w:fldChar w:fldCharType="separate"/>
      </w:r>
      <w:hyperlink w:anchor="_Toc00267" w:history="1">
        <w:r>
          <w:rPr>
            <w:b/>
            <w:bCs/>
          </w:rPr>
          <w:t xml:space="preserve">Lampiran A.</w:t>
        </w:r>
        <w:r>
          <w:t xml:space="preserve"> IRBI 2025 dan Daftar Perhatian per Kab/Kota</w:t>
        </w:r>
        <w:r>
          <w:tab/>
        </w:r>
        <w:r>
          <w:t xml:space="preserve">267</w:t>
        </w:r>
      </w:hyperlink>
    </w:p>
    <w:p>
      <w:pPr>
        <w:pStyle w:val="TableofFigures"/>
      </w:pPr>
      <w:hyperlink w:anchor="_Toc00271" w:history="1">
        <w:r>
          <w:rPr>
            <w:b/>
            <w:bCs/>
          </w:rPr>
          <w:t xml:space="preserve">Lampiran B.</w:t>
        </w:r>
        <w:r>
          <w:t xml:space="preserve"> Profil Provinsi</w:t>
        </w:r>
        <w:r>
          <w:tab/>
        </w:r>
        <w:r>
          <w:t xml:space="preserve">313</w:t>
        </w:r>
      </w:hyperlink>
    </w:p>
    <w:p>
      <w:pPr>
        <w:pStyle w:val="TableofFigures"/>
      </w:pPr>
      <w:hyperlink w:anchor="_Toc00273" w:history="1">
        <w:r>
          <w:rPr>
            <w:b/>
            <w:bCs/>
          </w:rPr>
          <w:t xml:space="preserve">Lampiran C.</w:t>
        </w:r>
        <w:r>
          <w:t xml:space="preserve"> Kartu Skenario dan Keluaran Model per Jenis</w:t>
        </w:r>
        <w:r>
          <w:tab/>
        </w:r>
        <w:r>
          <w:t xml:space="preserve">316</w:t>
        </w:r>
      </w:hyperlink>
    </w:p>
    <w:p>
      <w:pPr>
        <w:pStyle w:val="TableofFigures"/>
      </w:pPr>
      <w:hyperlink w:anchor="_Toc00285" w:history="1">
        <w:r>
          <w:rPr>
            <w:b/>
            <w:bCs/>
          </w:rPr>
          <w:t xml:space="preserve">Lampiran D.</w:t>
        </w:r>
        <w:r>
          <w:t xml:space="preserve"> Rekap DIBI dan Rekonsiliasi Kejadian</w:t>
        </w:r>
        <w:r>
          <w:tab/>
        </w:r>
        <w:r>
          <w:t xml:space="preserve">327</w:t>
        </w:r>
      </w:hyperlink>
    </w:p>
    <w:p>
      <w:pPr>
        <w:pStyle w:val="TableofFigures"/>
      </w:pPr>
      <w:hyperlink w:anchor="_Toc00289" w:history="1">
        <w:r>
          <w:rPr>
            <w:b/>
            <w:bCs/>
          </w:rPr>
          <w:t xml:space="preserve">Lampiran E.</w:t>
        </w:r>
        <w:r>
          <w:t xml:space="preserve"> Matriks Regulasi dan Mandat Lembaga</w:t>
        </w:r>
        <w:r>
          <w:tab/>
        </w:r>
        <w:r>
          <w:t xml:space="preserve">329</w:t>
        </w:r>
      </w:hyperlink>
    </w:p>
    <w:p>
      <w:pPr>
        <w:pStyle w:val="TableofFigures"/>
      </w:pPr>
      <w:hyperlink w:anchor="_Toc00294" w:history="1">
        <w:r>
          <w:rPr>
            <w:b/>
            <w:bCs/>
          </w:rPr>
          <w:t xml:space="preserve">Lampiran F.</w:t>
        </w:r>
        <w:r>
          <w:t xml:space="preserve"> Metode Simulasi, Asumsi, dan Ketersediaan Kuantifikasi</w:t>
        </w:r>
        <w:r>
          <w:tab/>
        </w:r>
        <w:r>
          <w:t xml:space="preserve">344</w:t>
        </w:r>
      </w:hyperlink>
    </w:p>
    <w:p>
      <w:pPr>
        <w:pStyle w:val="TableofFigures"/>
      </w:pPr>
      <w:hyperlink w:anchor="_Toc00301" w:history="1">
        <w:r>
          <w:rPr>
            <w:b/>
            <w:bCs/>
          </w:rPr>
          <w:t xml:space="preserve">Lampiran G.</w:t>
        </w:r>
        <w:r>
          <w:t xml:space="preserve"> Rekonsiliasi Angka</w:t>
        </w:r>
        <w:r>
          <w:tab/>
        </w:r>
        <w:r>
          <w:t xml:space="preserve">348</w:t>
        </w:r>
      </w:hyperlink>
    </w:p>
    <w:p>
      <w:pPr>
        <w:pStyle w:val="TableofFigures"/>
      </w:pPr>
      <w:hyperlink w:anchor="_Toc00303" w:history="1">
        <w:r>
          <w:rPr>
            <w:b/>
            <w:bCs/>
          </w:rPr>
          <w:t xml:space="preserve">Lampiran H.</w:t>
        </w:r>
        <w:r>
          <w:t xml:space="preserve"> Katalog Program dan Kekuatan Bukti</w:t>
        </w:r>
        <w:r>
          <w:tab/>
        </w:r>
        <w:r>
          <w:t xml:space="preserve">350</w:t>
        </w:r>
      </w:hyperlink>
    </w:p>
    <w:p>
      <w:pPr>
        <w:pStyle w:val="TableofFigures"/>
      </w:pPr>
      <w:hyperlink w:anchor="_Toc00305" w:history="1">
        <w:r>
          <w:rPr>
            <w:b/>
            <w:bCs/>
          </w:rPr>
          <w:t xml:space="preserve">Lampiran I.</w:t>
        </w:r>
        <w:r>
          <w:t xml:space="preserve"> Register Rekomendasi dan Tabel Silang Kajian Ketahanan Air</w:t>
        </w:r>
        <w:r>
          <w:tab/>
        </w:r>
        <w:r>
          <w:t xml:space="preserve">353</w:t>
        </w:r>
      </w:hyperlink>
    </w:p>
    <w:p>
      <w:pPr>
        <w:pStyle w:val="TableofFigures"/>
      </w:pPr>
      <w:hyperlink w:anchor="_Toc00308" w:history="1">
        <w:r>
          <w:rPr>
            <w:b/>
            <w:bCs/>
          </w:rPr>
          <w:t xml:space="preserve">Lampiran J.</w:t>
        </w:r>
        <w:r>
          <w:t xml:space="preserve"> Penyelarasan Dokumen BNPB</w:t>
        </w:r>
        <w:r>
          <w:tab/>
        </w:r>
        <w:r>
          <w:t xml:space="preserve">358</w:t>
        </w:r>
      </w:hyperlink>
    </w:p>
    <w:p>
      <w:pPr>
        <w:pStyle w:val="TableofFigures"/>
      </w:pPr>
      <w:hyperlink w:anchor="_Toc00310" w:history="1">
        <w:r>
          <w:rPr>
            <w:b/>
            <w:bCs/>
          </w:rPr>
          <w:t xml:space="preserve">Lampiran K.</w:t>
        </w:r>
        <w:r>
          <w:t xml:space="preserve"> Glosarium</w:t>
        </w:r>
        <w:r>
          <w:tab/>
        </w:r>
        <w:r>
          <w:t xml:space="preserve">360</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312" w:history="1">
        <w:r>
          <w:rPr>
            <w:b/>
            <w:bCs/>
          </w:rPr>
          <w:t xml:space="preserve">Lampiran L.</w:t>
        </w:r>
        <w:r>
          <w:t xml:space="preserve"> Atribusi Foto</w:t>
        </w:r>
        <w:r>
          <w:tab/>
        </w:r>
        <w:r>
          <w:t xml:space="preserve">363</w:t>
        </w:r>
      </w:hyperlink>
      <w:r>
        <w:fldChar w:fldCharType="end"/>
      </w:r>
    </w:p>
    <w:p>
      <w:pPr>
        <w:pStyle w:val="JudulDepan"/>
      </w:pPr>
      <w:bookmarkStart w:id="32" w:name="_Toc00019"/>
      <w:r>
        <w:t xml:space="preserve">DAFTAR SINGKATAN</w:t>
      </w:r>
      <w:bookmarkEnd w:id="32"/>
    </w:p>
    <w:tbl>
      <w:tblPr>
        <w:tblW w:w="9354" w:type="dxa"/>
        <w:tblBorders>
          <w:top w:val="single" w:sz="4" w:space="0" w:color="BFC5CC"/>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1701" w:type="dxa"/>
          </w:tcPr>
          <w:p>
            <w:pPr>
              <w:pStyle w:val="IsiTabel"/>
              <w:suppressAutoHyphens/>
            </w:pPr>
            <w:r>
              <w:rPr>
                <w:b/>
                <w:bCs/>
              </w:rPr>
              <w:t xml:space="preserve">APBD</w:t>
            </w:r>
          </w:p>
        </w:tc>
        <w:tc>
          <w:tcPr>
            <w:tcW w:w="7653" w:type="dxa"/>
          </w:tcPr>
          <w:p>
            <w:pPr>
              <w:pStyle w:val="IsiTabel"/>
              <w:suppressAutoHyphens/>
            </w:pPr>
            <w:r>
              <w:t xml:space="preserve">Anggaran Pendapatan dan Belanja Daerah</w:t>
            </w:r>
          </w:p>
        </w:tc>
      </w:tr>
      <w:tr>
        <w:trPr>
          <w:cantSplit/>
        </w:trPr>
        <w:tc>
          <w:tcPr>
            <w:tcW w:w="1701" w:type="dxa"/>
          </w:tcPr>
          <w:p>
            <w:pPr>
              <w:pStyle w:val="IsiTabel"/>
              <w:suppressAutoHyphens/>
            </w:pPr>
            <w:r>
              <w:rPr>
                <w:b/>
                <w:bCs/>
              </w:rPr>
              <w:t xml:space="preserve">APBN</w:t>
            </w:r>
          </w:p>
        </w:tc>
        <w:tc>
          <w:tcPr>
            <w:tcW w:w="7653" w:type="dxa"/>
          </w:tcPr>
          <w:p>
            <w:pPr>
              <w:pStyle w:val="IsiTabel"/>
              <w:suppressAutoHyphens/>
            </w:pPr>
            <w:r>
              <w:t xml:space="preserve">Anggaran Pendapatan dan Belanja Negara</w:t>
            </w:r>
          </w:p>
        </w:tc>
      </w:tr>
      <w:tr>
        <w:trPr>
          <w:cantSplit/>
        </w:trPr>
        <w:tc>
          <w:tcPr>
            <w:tcW w:w="1701" w:type="dxa"/>
          </w:tcPr>
          <w:p>
            <w:pPr>
              <w:pStyle w:val="IsiTabel"/>
              <w:suppressAutoHyphens/>
            </w:pPr>
            <w:r>
              <w:rPr>
                <w:b/>
                <w:bCs/>
              </w:rPr>
              <w:t xml:space="preserve">ARC</w:t>
            </w:r>
          </w:p>
        </w:tc>
        <w:tc>
          <w:tcPr>
            <w:tcW w:w="7653" w:type="dxa"/>
          </w:tcPr>
          <w:p>
            <w:pPr>
              <w:pStyle w:val="IsiTabel"/>
              <w:suppressAutoHyphens/>
            </w:pPr>
            <w:r>
              <w:t xml:space="preserve">African Risk Capacity</w:t>
            </w:r>
          </w:p>
        </w:tc>
      </w:tr>
      <w:tr>
        <w:trPr>
          <w:cantSplit/>
        </w:trPr>
        <w:tc>
          <w:tcPr>
            <w:tcW w:w="1701" w:type="dxa"/>
          </w:tcPr>
          <w:p>
            <w:pPr>
              <w:pStyle w:val="IsiTabel"/>
              <w:suppressAutoHyphens/>
            </w:pPr>
            <w:r>
              <w:rPr>
                <w:b/>
                <w:bCs/>
              </w:rPr>
              <w:t xml:space="preserve">BBM</w:t>
            </w:r>
          </w:p>
        </w:tc>
        <w:tc>
          <w:tcPr>
            <w:tcW w:w="7653" w:type="dxa"/>
          </w:tcPr>
          <w:p>
            <w:pPr>
              <w:pStyle w:val="IsiTabel"/>
              <w:suppressAutoHyphens/>
            </w:pPr>
            <w:r>
              <w:t xml:space="preserve">Bahan Bakar Minyak</w:t>
            </w:r>
          </w:p>
        </w:tc>
      </w:tr>
      <w:tr>
        <w:trPr>
          <w:cantSplit/>
        </w:trPr>
        <w:tc>
          <w:tcPr>
            <w:tcW w:w="1701" w:type="dxa"/>
          </w:tcPr>
          <w:p>
            <w:pPr>
              <w:pStyle w:val="IsiTabel"/>
              <w:suppressAutoHyphens/>
            </w:pPr>
            <w:r>
              <w:rPr>
                <w:b/>
                <w:bCs/>
              </w:rPr>
              <w:t xml:space="preserve">BMKG</w:t>
            </w:r>
          </w:p>
        </w:tc>
        <w:tc>
          <w:tcPr>
            <w:tcW w:w="7653" w:type="dxa"/>
          </w:tcPr>
          <w:p>
            <w:pPr>
              <w:pStyle w:val="IsiTabel"/>
              <w:suppressAutoHyphens/>
            </w:pPr>
            <w:r>
              <w:t xml:space="preserve">Badan Meteorologi, Klimatologi, dan Geofisika</w:t>
            </w:r>
          </w:p>
        </w:tc>
      </w:tr>
      <w:tr>
        <w:trPr>
          <w:cantSplit/>
        </w:trPr>
        <w:tc>
          <w:tcPr>
            <w:tcW w:w="1701" w:type="dxa"/>
          </w:tcPr>
          <w:p>
            <w:pPr>
              <w:pStyle w:val="IsiTabel"/>
              <w:suppressAutoHyphens/>
            </w:pPr>
            <w:r>
              <w:rPr>
                <w:b/>
                <w:bCs/>
              </w:rPr>
              <w:t xml:space="preserve">BMN</w:t>
            </w:r>
          </w:p>
        </w:tc>
        <w:tc>
          <w:tcPr>
            <w:tcW w:w="7653" w:type="dxa"/>
          </w:tcPr>
          <w:p>
            <w:pPr>
              <w:pStyle w:val="IsiTabel"/>
              <w:suppressAutoHyphens/>
            </w:pPr>
            <w:r>
              <w:t xml:space="preserve">Barang Milik Negara</w:t>
            </w:r>
          </w:p>
        </w:tc>
      </w:tr>
      <w:tr>
        <w:trPr>
          <w:cantSplit/>
        </w:trPr>
        <w:tc>
          <w:tcPr>
            <w:tcW w:w="1701" w:type="dxa"/>
          </w:tcPr>
          <w:p>
            <w:pPr>
              <w:pStyle w:val="IsiTabel"/>
              <w:suppressAutoHyphens/>
            </w:pPr>
            <w:r>
              <w:rPr>
                <w:b/>
                <w:bCs/>
              </w:rPr>
              <w:t xml:space="preserve">BNPB</w:t>
            </w:r>
          </w:p>
        </w:tc>
        <w:tc>
          <w:tcPr>
            <w:tcW w:w="7653" w:type="dxa"/>
          </w:tcPr>
          <w:p>
            <w:pPr>
              <w:pStyle w:val="IsiTabel"/>
              <w:suppressAutoHyphens/>
            </w:pPr>
            <w:r>
              <w:t xml:space="preserve">Badan Nasional Penanggulangan Bencana</w:t>
            </w:r>
          </w:p>
        </w:tc>
      </w:tr>
      <w:tr>
        <w:trPr>
          <w:cantSplit/>
        </w:trPr>
        <w:tc>
          <w:tcPr>
            <w:tcW w:w="1701" w:type="dxa"/>
          </w:tcPr>
          <w:p>
            <w:pPr>
              <w:pStyle w:val="IsiTabel"/>
              <w:suppressAutoHyphens/>
            </w:pPr>
            <w:r>
              <w:rPr>
                <w:b/>
                <w:bCs/>
              </w:rPr>
              <w:t xml:space="preserve">BPBD</w:t>
            </w:r>
          </w:p>
        </w:tc>
        <w:tc>
          <w:tcPr>
            <w:tcW w:w="7653" w:type="dxa"/>
          </w:tcPr>
          <w:p>
            <w:pPr>
              <w:pStyle w:val="IsiTabel"/>
              <w:suppressAutoHyphens/>
            </w:pPr>
            <w:r>
              <w:t xml:space="preserve">Badan Penanggulangan Bencana Daerah</w:t>
            </w:r>
          </w:p>
        </w:tc>
      </w:tr>
      <w:tr>
        <w:trPr>
          <w:cantSplit/>
        </w:trPr>
        <w:tc>
          <w:tcPr>
            <w:tcW w:w="1701" w:type="dxa"/>
          </w:tcPr>
          <w:p>
            <w:pPr>
              <w:pStyle w:val="IsiTabel"/>
              <w:suppressAutoHyphens/>
            </w:pPr>
            <w:r>
              <w:rPr>
                <w:b/>
                <w:bCs/>
              </w:rPr>
              <w:t xml:space="preserve">BPK</w:t>
            </w:r>
          </w:p>
        </w:tc>
        <w:tc>
          <w:tcPr>
            <w:tcW w:w="7653" w:type="dxa"/>
          </w:tcPr>
          <w:p>
            <w:pPr>
              <w:pStyle w:val="IsiTabel"/>
              <w:suppressAutoHyphens/>
            </w:pPr>
            <w:r>
              <w:t xml:space="preserve">Badan Pemeriksa Keuangan</w:t>
            </w:r>
          </w:p>
        </w:tc>
      </w:tr>
      <w:tr>
        <w:trPr>
          <w:cantSplit/>
        </w:trPr>
        <w:tc>
          <w:tcPr>
            <w:tcW w:w="1701" w:type="dxa"/>
          </w:tcPr>
          <w:p>
            <w:pPr>
              <w:pStyle w:val="IsiTabel"/>
              <w:suppressAutoHyphens/>
            </w:pPr>
            <w:r>
              <w:rPr>
                <w:b/>
                <w:bCs/>
              </w:rPr>
              <w:t xml:space="preserve">BPS</w:t>
            </w:r>
          </w:p>
        </w:tc>
        <w:tc>
          <w:tcPr>
            <w:tcW w:w="7653" w:type="dxa"/>
          </w:tcPr>
          <w:p>
            <w:pPr>
              <w:pStyle w:val="IsiTabel"/>
              <w:suppressAutoHyphens/>
            </w:pPr>
            <w:r>
              <w:t xml:space="preserve">Badan Pusat Statistik</w:t>
            </w:r>
          </w:p>
        </w:tc>
      </w:tr>
      <w:tr>
        <w:trPr>
          <w:cantSplit/>
        </w:trPr>
        <w:tc>
          <w:tcPr>
            <w:tcW w:w="1701" w:type="dxa"/>
          </w:tcPr>
          <w:p>
            <w:pPr>
              <w:pStyle w:val="IsiTabel"/>
              <w:suppressAutoHyphens/>
            </w:pPr>
            <w:r>
              <w:rPr>
                <w:b/>
                <w:bCs/>
              </w:rPr>
              <w:t xml:space="preserve">BRIN</w:t>
            </w:r>
          </w:p>
        </w:tc>
        <w:tc>
          <w:tcPr>
            <w:tcW w:w="7653" w:type="dxa"/>
          </w:tcPr>
          <w:p>
            <w:pPr>
              <w:pStyle w:val="IsiTabel"/>
              <w:suppressAutoHyphens/>
            </w:pPr>
            <w:r>
              <w:t xml:space="preserve">Badan Riset dan Inovasi Nasional</w:t>
            </w:r>
          </w:p>
        </w:tc>
      </w:tr>
      <w:tr>
        <w:trPr>
          <w:cantSplit/>
        </w:trPr>
        <w:tc>
          <w:tcPr>
            <w:tcW w:w="1701" w:type="dxa"/>
          </w:tcPr>
          <w:p>
            <w:pPr>
              <w:pStyle w:val="IsiTabel"/>
              <w:suppressAutoHyphens/>
            </w:pPr>
            <w:r>
              <w:rPr>
                <w:b/>
                <w:bCs/>
              </w:rPr>
              <w:t xml:space="preserve">BRR</w:t>
            </w:r>
          </w:p>
        </w:tc>
        <w:tc>
          <w:tcPr>
            <w:tcW w:w="7653" w:type="dxa"/>
          </w:tcPr>
          <w:p>
            <w:pPr>
              <w:pStyle w:val="IsiTabel"/>
              <w:suppressAutoHyphens/>
            </w:pPr>
            <w:r>
              <w:t xml:space="preserve">Badan Rehabilitasi dan Rekonstruksi Wilayah dan Kehidupan Masyarakat Provinsi Nanggroe Aceh Darussalam dan Kepulauan Nias Provinsi Sumatera Utara</w:t>
            </w:r>
          </w:p>
        </w:tc>
      </w:tr>
      <w:tr>
        <w:trPr>
          <w:cantSplit/>
        </w:trPr>
        <w:tc>
          <w:tcPr>
            <w:tcW w:w="1701" w:type="dxa"/>
          </w:tcPr>
          <w:p>
            <w:pPr>
              <w:pStyle w:val="IsiTabel"/>
              <w:suppressAutoHyphens/>
            </w:pPr>
            <w:r>
              <w:rPr>
                <w:b/>
                <w:bCs/>
              </w:rPr>
              <w:t xml:space="preserve">BTT</w:t>
            </w:r>
          </w:p>
        </w:tc>
        <w:tc>
          <w:tcPr>
            <w:tcW w:w="7653" w:type="dxa"/>
          </w:tcPr>
          <w:p>
            <w:pPr>
              <w:pStyle w:val="IsiTabel"/>
              <w:suppressAutoHyphens/>
            </w:pPr>
            <w:r>
              <w:t xml:space="preserve">Belanja Tidak Terduga</w:t>
            </w:r>
          </w:p>
        </w:tc>
      </w:tr>
      <w:tr>
        <w:trPr>
          <w:cantSplit/>
        </w:trPr>
        <w:tc>
          <w:tcPr>
            <w:tcW w:w="1701" w:type="dxa"/>
          </w:tcPr>
          <w:p>
            <w:pPr>
              <w:pStyle w:val="IsiTabel"/>
              <w:suppressAutoHyphens/>
            </w:pPr>
            <w:r>
              <w:rPr>
                <w:b/>
                <w:bCs/>
              </w:rPr>
              <w:t xml:space="preserve">BUMN</w:t>
            </w:r>
          </w:p>
        </w:tc>
        <w:tc>
          <w:tcPr>
            <w:tcW w:w="7653" w:type="dxa"/>
          </w:tcPr>
          <w:p>
            <w:pPr>
              <w:pStyle w:val="IsiTabel"/>
              <w:suppressAutoHyphens/>
            </w:pPr>
            <w:r>
              <w:t xml:space="preserve">Badan Usaha Milik Negara</w:t>
            </w:r>
          </w:p>
        </w:tc>
      </w:tr>
      <w:tr>
        <w:trPr>
          <w:cantSplit/>
        </w:trPr>
        <w:tc>
          <w:tcPr>
            <w:tcW w:w="1701" w:type="dxa"/>
          </w:tcPr>
          <w:p>
            <w:pPr>
              <w:pStyle w:val="IsiTabel"/>
              <w:suppressAutoHyphens/>
            </w:pPr>
            <w:r>
              <w:rPr>
                <w:b/>
                <w:bCs/>
              </w:rPr>
              <w:t xml:space="preserve">Bappenas</w:t>
            </w:r>
          </w:p>
        </w:tc>
        <w:tc>
          <w:tcPr>
            <w:tcW w:w="7653" w:type="dxa"/>
          </w:tcPr>
          <w:p>
            <w:pPr>
              <w:pStyle w:val="IsiTabel"/>
              <w:suppressAutoHyphens/>
            </w:pPr>
            <w:r>
              <w:t xml:space="preserve">Badan Perencanaan Pembangunan Nasional</w:t>
            </w:r>
          </w:p>
        </w:tc>
      </w:tr>
      <w:tr>
        <w:trPr>
          <w:cantSplit/>
        </w:trPr>
        <w:tc>
          <w:tcPr>
            <w:tcW w:w="1701" w:type="dxa"/>
          </w:tcPr>
          <w:p>
            <w:pPr>
              <w:pStyle w:val="IsiTabel"/>
              <w:suppressAutoHyphens/>
            </w:pPr>
            <w:r>
              <w:rPr>
                <w:b/>
                <w:bCs/>
              </w:rPr>
              <w:t xml:space="preserve">Basarnas</w:t>
            </w:r>
          </w:p>
        </w:tc>
        <w:tc>
          <w:tcPr>
            <w:tcW w:w="7653" w:type="dxa"/>
          </w:tcPr>
          <w:p>
            <w:pPr>
              <w:pStyle w:val="IsiTabel"/>
              <w:suppressAutoHyphens/>
            </w:pPr>
            <w:r>
              <w:t xml:space="preserve">Badan Nasional Pencarian dan Pertolongan</w:t>
            </w:r>
          </w:p>
        </w:tc>
      </w:tr>
      <w:tr>
        <w:trPr>
          <w:cantSplit/>
        </w:trPr>
        <w:tc>
          <w:tcPr>
            <w:tcW w:w="1701" w:type="dxa"/>
          </w:tcPr>
          <w:p>
            <w:pPr>
              <w:pStyle w:val="IsiTabel"/>
              <w:suppressAutoHyphens/>
            </w:pPr>
            <w:r>
              <w:rPr>
                <w:b/>
                <w:bCs/>
              </w:rPr>
              <w:t xml:space="preserve">CC BY</w:t>
            </w:r>
          </w:p>
        </w:tc>
        <w:tc>
          <w:tcPr>
            <w:tcW w:w="7653" w:type="dxa"/>
          </w:tcPr>
          <w:p>
            <w:pPr>
              <w:pStyle w:val="IsiTabel"/>
              <w:suppressAutoHyphens/>
            </w:pPr>
            <w:r>
              <w:t xml:space="preserve">Creative Commons Attribution</w:t>
            </w:r>
          </w:p>
        </w:tc>
      </w:tr>
      <w:tr>
        <w:trPr>
          <w:cantSplit/>
        </w:trPr>
        <w:tc>
          <w:tcPr>
            <w:tcW w:w="1701" w:type="dxa"/>
          </w:tcPr>
          <w:p>
            <w:pPr>
              <w:pStyle w:val="IsiTabel"/>
              <w:suppressAutoHyphens/>
            </w:pPr>
            <w:r>
              <w:rPr>
                <w:b/>
                <w:bCs/>
              </w:rPr>
              <w:t xml:space="preserve">CC BY-SA</w:t>
            </w:r>
          </w:p>
        </w:tc>
        <w:tc>
          <w:tcPr>
            <w:tcW w:w="7653" w:type="dxa"/>
          </w:tcPr>
          <w:p>
            <w:pPr>
              <w:pStyle w:val="IsiTabel"/>
              <w:suppressAutoHyphens/>
            </w:pPr>
            <w:r>
              <w:t xml:space="preserve">Creative Commons Attribution-ShareAlike</w:t>
            </w:r>
          </w:p>
        </w:tc>
      </w:tr>
      <w:tr>
        <w:trPr>
          <w:cantSplit/>
        </w:trPr>
        <w:tc>
          <w:tcPr>
            <w:tcW w:w="1701" w:type="dxa"/>
          </w:tcPr>
          <w:p>
            <w:pPr>
              <w:pStyle w:val="IsiTabel"/>
              <w:suppressAutoHyphens/>
            </w:pPr>
            <w:r>
              <w:rPr>
                <w:b/>
                <w:bCs/>
              </w:rPr>
              <w:t xml:space="preserve">CCRIF</w:t>
            </w:r>
          </w:p>
        </w:tc>
        <w:tc>
          <w:tcPr>
            <w:tcW w:w="7653" w:type="dxa"/>
          </w:tcPr>
          <w:p>
            <w:pPr>
              <w:pStyle w:val="IsiTabel"/>
              <w:suppressAutoHyphens/>
            </w:pPr>
            <w:r>
              <w:t xml:space="preserve">Caribbean Catastrophe Risk Insurance Facility</w:t>
            </w:r>
          </w:p>
        </w:tc>
      </w:tr>
      <w:tr>
        <w:trPr>
          <w:cantSplit/>
        </w:trPr>
        <w:tc>
          <w:tcPr>
            <w:tcW w:w="1701" w:type="dxa"/>
          </w:tcPr>
          <w:p>
            <w:pPr>
              <w:pStyle w:val="IsiTabel"/>
              <w:suppressAutoHyphens/>
            </w:pPr>
            <w:r>
              <w:rPr>
                <w:b/>
                <w:bCs/>
              </w:rPr>
              <w:t xml:space="preserve">COVID-19</w:t>
            </w:r>
          </w:p>
        </w:tc>
        <w:tc>
          <w:tcPr>
            <w:tcW w:w="7653" w:type="dxa"/>
          </w:tcPr>
          <w:p>
            <w:pPr>
              <w:pStyle w:val="IsiTabel"/>
              <w:suppressAutoHyphens/>
            </w:pPr>
            <w:r>
              <w:t xml:space="preserve">Coronavirus Disease 2019</w:t>
            </w:r>
          </w:p>
        </w:tc>
      </w:tr>
      <w:tr>
        <w:trPr>
          <w:cantSplit/>
        </w:trPr>
        <w:tc>
          <w:tcPr>
            <w:tcW w:w="1701" w:type="dxa"/>
          </w:tcPr>
          <w:p>
            <w:pPr>
              <w:pStyle w:val="IsiTabel"/>
              <w:suppressAutoHyphens/>
            </w:pPr>
            <w:r>
              <w:rPr>
                <w:b/>
                <w:bCs/>
              </w:rPr>
              <w:t xml:space="preserve">CPC</w:t>
            </w:r>
          </w:p>
        </w:tc>
        <w:tc>
          <w:tcPr>
            <w:tcW w:w="7653" w:type="dxa"/>
          </w:tcPr>
          <w:p>
            <w:pPr>
              <w:pStyle w:val="IsiTabel"/>
              <w:suppressAutoHyphens/>
            </w:pPr>
            <w:r>
              <w:t xml:space="preserve">Climate Prediction Center</w:t>
            </w:r>
          </w:p>
        </w:tc>
      </w:tr>
      <w:tr>
        <w:trPr>
          <w:cantSplit/>
        </w:trPr>
        <w:tc>
          <w:tcPr>
            <w:tcW w:w="1701" w:type="dxa"/>
          </w:tcPr>
          <w:p>
            <w:pPr>
              <w:pStyle w:val="IsiTabel"/>
              <w:suppressAutoHyphens/>
            </w:pPr>
            <w:r>
              <w:rPr>
                <w:b/>
                <w:bCs/>
              </w:rPr>
              <w:t xml:space="preserve">DAK</w:t>
            </w:r>
          </w:p>
        </w:tc>
        <w:tc>
          <w:tcPr>
            <w:tcW w:w="7653" w:type="dxa"/>
          </w:tcPr>
          <w:p>
            <w:pPr>
              <w:pStyle w:val="IsiTabel"/>
              <w:suppressAutoHyphens/>
            </w:pPr>
            <w:r>
              <w:t xml:space="preserve">Dana Alokasi Khusus</w:t>
            </w:r>
          </w:p>
        </w:tc>
      </w:tr>
      <w:tr>
        <w:trPr>
          <w:cantSplit/>
        </w:trPr>
        <w:tc>
          <w:tcPr>
            <w:tcW w:w="1701" w:type="dxa"/>
          </w:tcPr>
          <w:p>
            <w:pPr>
              <w:pStyle w:val="IsiTabel"/>
              <w:suppressAutoHyphens/>
            </w:pPr>
            <w:r>
              <w:rPr>
                <w:b/>
                <w:bCs/>
              </w:rPr>
              <w:t xml:space="preserve">DAS</w:t>
            </w:r>
          </w:p>
        </w:tc>
        <w:tc>
          <w:tcPr>
            <w:tcW w:w="7653" w:type="dxa"/>
          </w:tcPr>
          <w:p>
            <w:pPr>
              <w:pStyle w:val="IsiTabel"/>
              <w:suppressAutoHyphens/>
            </w:pPr>
            <w:r>
              <w:t xml:space="preserve">Daerah Aliran Sungai</w:t>
            </w:r>
          </w:p>
        </w:tc>
      </w:tr>
      <w:tr>
        <w:trPr>
          <w:cantSplit/>
        </w:trPr>
        <w:tc>
          <w:tcPr>
            <w:tcW w:w="1701" w:type="dxa"/>
          </w:tcPr>
          <w:p>
            <w:pPr>
              <w:pStyle w:val="IsiTabel"/>
              <w:suppressAutoHyphens/>
            </w:pPr>
            <w:r>
              <w:rPr>
                <w:b/>
                <w:bCs/>
              </w:rPr>
              <w:t xml:space="preserve">DI</w:t>
            </w:r>
          </w:p>
        </w:tc>
        <w:tc>
          <w:tcPr>
            <w:tcW w:w="7653" w:type="dxa"/>
          </w:tcPr>
          <w:p>
            <w:pPr>
              <w:pStyle w:val="IsiTabel"/>
              <w:suppressAutoHyphens/>
            </w:pPr>
            <w:r>
              <w:t xml:space="preserve">Daerah Irigasi</w:t>
            </w:r>
          </w:p>
        </w:tc>
      </w:tr>
      <w:tr>
        <w:trPr>
          <w:cantSplit/>
        </w:trPr>
        <w:tc>
          <w:tcPr>
            <w:tcW w:w="1701" w:type="dxa"/>
          </w:tcPr>
          <w:p>
            <w:pPr>
              <w:pStyle w:val="IsiTabel"/>
              <w:suppressAutoHyphens/>
            </w:pPr>
            <w:r>
              <w:rPr>
                <w:b/>
                <w:bCs/>
              </w:rPr>
              <w:t xml:space="preserve">DIBI</w:t>
            </w:r>
          </w:p>
        </w:tc>
        <w:tc>
          <w:tcPr>
            <w:tcW w:w="7653" w:type="dxa"/>
          </w:tcPr>
          <w:p>
            <w:pPr>
              <w:pStyle w:val="IsiTabel"/>
              <w:suppressAutoHyphens/>
            </w:pPr>
            <w:r>
              <w:t xml:space="preserve">Data dan Informasi Bencana Indonesia</w:t>
            </w:r>
          </w:p>
        </w:tc>
      </w:tr>
      <w:tr>
        <w:trPr>
          <w:cantSplit/>
        </w:trPr>
        <w:tc>
          <w:tcPr>
            <w:tcW w:w="1701" w:type="dxa"/>
          </w:tcPr>
          <w:p>
            <w:pPr>
              <w:pStyle w:val="IsiTabel"/>
              <w:suppressAutoHyphens/>
            </w:pPr>
            <w:r>
              <w:rPr>
                <w:b/>
                <w:bCs/>
              </w:rPr>
              <w:t xml:space="preserve">DIY</w:t>
            </w:r>
          </w:p>
        </w:tc>
        <w:tc>
          <w:tcPr>
            <w:tcW w:w="7653" w:type="dxa"/>
          </w:tcPr>
          <w:p>
            <w:pPr>
              <w:pStyle w:val="IsiTabel"/>
              <w:suppressAutoHyphens/>
            </w:pPr>
            <w:r>
              <w:t xml:space="preserve">Daerah Istimewa Yogyakarta</w:t>
            </w:r>
          </w:p>
        </w:tc>
      </w:tr>
      <w:tr>
        <w:trPr>
          <w:cantSplit/>
        </w:trPr>
        <w:tc>
          <w:tcPr>
            <w:tcW w:w="1701" w:type="dxa"/>
          </w:tcPr>
          <w:p>
            <w:pPr>
              <w:pStyle w:val="IsiTabel"/>
              <w:suppressAutoHyphens/>
            </w:pPr>
            <w:r>
              <w:rPr>
                <w:b/>
                <w:bCs/>
              </w:rPr>
              <w:t xml:space="preserve">DPR</w:t>
            </w:r>
          </w:p>
        </w:tc>
        <w:tc>
          <w:tcPr>
            <w:tcW w:w="7653" w:type="dxa"/>
          </w:tcPr>
          <w:p>
            <w:pPr>
              <w:pStyle w:val="IsiTabel"/>
              <w:suppressAutoHyphens/>
            </w:pPr>
            <w:r>
              <w:t xml:space="preserve">Dewan Perwakilan Rakyat</w:t>
            </w:r>
          </w:p>
        </w:tc>
      </w:tr>
      <w:tr>
        <w:trPr>
          <w:cantSplit/>
        </w:trPr>
        <w:tc>
          <w:tcPr>
            <w:tcW w:w="1701" w:type="dxa"/>
          </w:tcPr>
          <w:p>
            <w:pPr>
              <w:pStyle w:val="IsiTabel"/>
              <w:suppressAutoHyphens/>
            </w:pPr>
            <w:r>
              <w:rPr>
                <w:b/>
                <w:bCs/>
              </w:rPr>
              <w:t xml:space="preserve">DPRD</w:t>
            </w:r>
          </w:p>
        </w:tc>
        <w:tc>
          <w:tcPr>
            <w:tcW w:w="7653" w:type="dxa"/>
          </w:tcPr>
          <w:p>
            <w:pPr>
              <w:pStyle w:val="IsiTabel"/>
              <w:suppressAutoHyphens/>
            </w:pPr>
            <w:r>
              <w:t xml:space="preserve">Dewan Perwakilan Rakyat Daerah</w:t>
            </w:r>
          </w:p>
        </w:tc>
      </w:tr>
      <w:tr>
        <w:trPr>
          <w:cantSplit/>
        </w:trPr>
        <w:tc>
          <w:tcPr>
            <w:tcW w:w="1701" w:type="dxa"/>
          </w:tcPr>
          <w:p>
            <w:pPr>
              <w:pStyle w:val="IsiTabel"/>
              <w:suppressAutoHyphens/>
            </w:pPr>
            <w:r>
              <w:rPr>
                <w:b/>
                <w:bCs/>
              </w:rPr>
              <w:t xml:space="preserve">DSP</w:t>
            </w:r>
          </w:p>
        </w:tc>
        <w:tc>
          <w:tcPr>
            <w:tcW w:w="7653" w:type="dxa"/>
          </w:tcPr>
          <w:p>
            <w:pPr>
              <w:pStyle w:val="IsiTabel"/>
              <w:suppressAutoHyphens/>
            </w:pPr>
            <w:r>
              <w:t xml:space="preserve">Dana Siap Pakai</w:t>
            </w:r>
          </w:p>
        </w:tc>
      </w:tr>
      <w:tr>
        <w:trPr>
          <w:cantSplit/>
        </w:trPr>
        <w:tc>
          <w:tcPr>
            <w:tcW w:w="1701" w:type="dxa"/>
          </w:tcPr>
          <w:p>
            <w:pPr>
              <w:pStyle w:val="IsiTabel"/>
              <w:suppressAutoHyphens/>
            </w:pPr>
            <w:r>
              <w:rPr>
                <w:b/>
                <w:bCs/>
              </w:rPr>
              <w:t xml:space="preserve">DTH</w:t>
            </w:r>
          </w:p>
        </w:tc>
        <w:tc>
          <w:tcPr>
            <w:tcW w:w="7653" w:type="dxa"/>
          </w:tcPr>
          <w:p>
            <w:pPr>
              <w:pStyle w:val="IsiTabel"/>
              <w:suppressAutoHyphens/>
            </w:pPr>
            <w:r>
              <w:t xml:space="preserve">Dana Tunggu Hunian</w:t>
            </w:r>
          </w:p>
        </w:tc>
      </w:tr>
      <w:tr>
        <w:trPr>
          <w:cantSplit/>
        </w:trPr>
        <w:tc>
          <w:tcPr>
            <w:tcW w:w="1701" w:type="dxa"/>
          </w:tcPr>
          <w:p>
            <w:pPr>
              <w:pStyle w:val="IsiTabel"/>
              <w:suppressAutoHyphens/>
            </w:pPr>
            <w:r>
              <w:rPr>
                <w:b/>
                <w:bCs/>
              </w:rPr>
              <w:t xml:space="preserve">DaLA</w:t>
            </w:r>
          </w:p>
        </w:tc>
        <w:tc>
          <w:tcPr>
            <w:tcW w:w="7653" w:type="dxa"/>
          </w:tcPr>
          <w:p>
            <w:pPr>
              <w:pStyle w:val="IsiTabel"/>
              <w:suppressAutoHyphens/>
            </w:pPr>
            <w:r>
              <w:t xml:space="preserve">Damage and Loss Assessment</w:t>
            </w:r>
          </w:p>
        </w:tc>
      </w:tr>
      <w:tr>
        <w:trPr>
          <w:cantSplit/>
        </w:trPr>
        <w:tc>
          <w:tcPr>
            <w:tcW w:w="1701" w:type="dxa"/>
          </w:tcPr>
          <w:p>
            <w:pPr>
              <w:pStyle w:val="IsiTabel"/>
              <w:suppressAutoHyphens/>
            </w:pPr>
            <w:r>
              <w:rPr>
                <w:b/>
                <w:bCs/>
              </w:rPr>
              <w:t xml:space="preserve">Destana</w:t>
            </w:r>
          </w:p>
        </w:tc>
        <w:tc>
          <w:tcPr>
            <w:tcW w:w="7653" w:type="dxa"/>
          </w:tcPr>
          <w:p>
            <w:pPr>
              <w:pStyle w:val="IsiTabel"/>
              <w:suppressAutoHyphens/>
            </w:pPr>
            <w:r>
              <w:t xml:space="preserve">Desa dan Kelurahan Tangguh Bencana</w:t>
            </w:r>
          </w:p>
        </w:tc>
      </w:tr>
      <w:tr>
        <w:trPr>
          <w:cantSplit/>
        </w:trPr>
        <w:tc>
          <w:tcPr>
            <w:tcW w:w="1701" w:type="dxa"/>
          </w:tcPr>
          <w:p>
            <w:pPr>
              <w:pStyle w:val="IsiTabel"/>
              <w:suppressAutoHyphens/>
            </w:pPr>
            <w:r>
              <w:rPr>
                <w:b/>
                <w:bCs/>
              </w:rPr>
              <w:t xml:space="preserve">ENSO</w:t>
            </w:r>
          </w:p>
        </w:tc>
        <w:tc>
          <w:tcPr>
            <w:tcW w:w="7653" w:type="dxa"/>
          </w:tcPr>
          <w:p>
            <w:pPr>
              <w:pStyle w:val="IsiTabel"/>
              <w:suppressAutoHyphens/>
            </w:pPr>
            <w:r>
              <w:t xml:space="preserve">El Niño-Southern Oscillation</w:t>
            </w:r>
          </w:p>
        </w:tc>
      </w:tr>
      <w:tr>
        <w:trPr>
          <w:cantSplit/>
        </w:trPr>
        <w:tc>
          <w:tcPr>
            <w:tcW w:w="1701" w:type="dxa"/>
          </w:tcPr>
          <w:p>
            <w:pPr>
              <w:pStyle w:val="IsiTabel"/>
              <w:suppressAutoHyphens/>
            </w:pPr>
            <w:r>
              <w:rPr>
                <w:b/>
                <w:bCs/>
              </w:rPr>
              <w:t xml:space="preserve">ESDM</w:t>
            </w:r>
          </w:p>
        </w:tc>
        <w:tc>
          <w:tcPr>
            <w:tcW w:w="7653" w:type="dxa"/>
          </w:tcPr>
          <w:p>
            <w:pPr>
              <w:pStyle w:val="IsiTabel"/>
              <w:suppressAutoHyphens/>
            </w:pPr>
            <w:r>
              <w:t xml:space="preserve">Energi dan Sumber Daya Mineral</w:t>
            </w:r>
          </w:p>
        </w:tc>
      </w:tr>
      <w:tr>
        <w:trPr>
          <w:cantSplit/>
        </w:trPr>
        <w:tc>
          <w:tcPr>
            <w:tcW w:w="1701" w:type="dxa"/>
          </w:tcPr>
          <w:p>
            <w:pPr>
              <w:pStyle w:val="IsiTabel"/>
              <w:suppressAutoHyphens/>
            </w:pPr>
            <w:r>
              <w:rPr>
                <w:b/>
                <w:bCs/>
              </w:rPr>
              <w:t xml:space="preserve">FEMA</w:t>
            </w:r>
          </w:p>
        </w:tc>
        <w:tc>
          <w:tcPr>
            <w:tcW w:w="7653" w:type="dxa"/>
          </w:tcPr>
          <w:p>
            <w:pPr>
              <w:pStyle w:val="IsiTabel"/>
              <w:suppressAutoHyphens/>
            </w:pPr>
            <w:r>
              <w:t xml:space="preserve">Federal Emergency Management Agency</w:t>
            </w:r>
          </w:p>
        </w:tc>
      </w:tr>
      <w:tr>
        <w:trPr>
          <w:cantSplit/>
        </w:trPr>
        <w:tc>
          <w:tcPr>
            <w:tcW w:w="1701" w:type="dxa"/>
          </w:tcPr>
          <w:p>
            <w:pPr>
              <w:pStyle w:val="IsiTabel"/>
              <w:suppressAutoHyphens/>
            </w:pPr>
            <w:r>
              <w:rPr>
                <w:b/>
                <w:bCs/>
              </w:rPr>
              <w:t xml:space="preserve">HRW</w:t>
            </w:r>
          </w:p>
        </w:tc>
        <w:tc>
          <w:tcPr>
            <w:tcW w:w="7653" w:type="dxa"/>
          </w:tcPr>
          <w:p>
            <w:pPr>
              <w:pStyle w:val="IsiTabel"/>
              <w:suppressAutoHyphens/>
            </w:pPr>
            <w:r>
              <w:t xml:space="preserve">Human Rights Watch</w:t>
            </w:r>
          </w:p>
        </w:tc>
      </w:tr>
      <w:tr>
        <w:trPr>
          <w:cantSplit/>
        </w:trPr>
        <w:tc>
          <w:tcPr>
            <w:tcW w:w="1701" w:type="dxa"/>
          </w:tcPr>
          <w:p>
            <w:pPr>
              <w:pStyle w:val="IsiTabel"/>
              <w:suppressAutoHyphens/>
            </w:pPr>
            <w:r>
              <w:rPr>
                <w:b/>
                <w:bCs/>
              </w:rPr>
              <w:t xml:space="preserve">ICG</w:t>
            </w:r>
          </w:p>
        </w:tc>
        <w:tc>
          <w:tcPr>
            <w:tcW w:w="7653" w:type="dxa"/>
          </w:tcPr>
          <w:p>
            <w:pPr>
              <w:pStyle w:val="IsiTabel"/>
              <w:suppressAutoHyphens/>
            </w:pPr>
            <w:r>
              <w:t xml:space="preserve">International Crisis Group</w:t>
            </w:r>
          </w:p>
        </w:tc>
      </w:tr>
      <w:tr>
        <w:trPr>
          <w:cantSplit/>
        </w:trPr>
        <w:tc>
          <w:tcPr>
            <w:tcW w:w="1701" w:type="dxa"/>
          </w:tcPr>
          <w:p>
            <w:pPr>
              <w:pStyle w:val="IsiTabel"/>
              <w:suppressAutoHyphens/>
            </w:pPr>
            <w:r>
              <w:rPr>
                <w:b/>
                <w:bCs/>
              </w:rPr>
              <w:t xml:space="preserve">IHPS</w:t>
            </w:r>
          </w:p>
        </w:tc>
        <w:tc>
          <w:tcPr>
            <w:tcW w:w="7653" w:type="dxa"/>
          </w:tcPr>
          <w:p>
            <w:pPr>
              <w:pStyle w:val="IsiTabel"/>
              <w:suppressAutoHyphens/>
            </w:pPr>
            <w:r>
              <w:t xml:space="preserve">Ikhtisar Hasil Pemeriksaan Semester</w:t>
            </w:r>
          </w:p>
        </w:tc>
      </w:tr>
      <w:tr>
        <w:trPr>
          <w:cantSplit/>
        </w:trPr>
        <w:tc>
          <w:tcPr>
            <w:tcW w:w="1701" w:type="dxa"/>
          </w:tcPr>
          <w:p>
            <w:pPr>
              <w:pStyle w:val="IsiTabel"/>
              <w:suppressAutoHyphens/>
            </w:pPr>
            <w:r>
              <w:rPr>
                <w:b/>
                <w:bCs/>
              </w:rPr>
              <w:t xml:space="preserve">IHR</w:t>
            </w:r>
          </w:p>
        </w:tc>
        <w:tc>
          <w:tcPr>
            <w:tcW w:w="7653" w:type="dxa"/>
          </w:tcPr>
          <w:p>
            <w:pPr>
              <w:pStyle w:val="IsiTabel"/>
              <w:suppressAutoHyphens/>
            </w:pPr>
            <w:r>
              <w:t xml:space="preserve">International Health Regulations</w:t>
            </w:r>
          </w:p>
        </w:tc>
      </w:tr>
      <w:tr>
        <w:trPr>
          <w:cantSplit/>
        </w:trPr>
        <w:tc>
          <w:tcPr>
            <w:tcW w:w="1701" w:type="dxa"/>
          </w:tcPr>
          <w:p>
            <w:pPr>
              <w:pStyle w:val="IsiTabel"/>
              <w:suppressAutoHyphens/>
            </w:pPr>
            <w:r>
              <w:rPr>
                <w:b/>
                <w:bCs/>
              </w:rPr>
              <w:t xml:space="preserve">IKD</w:t>
            </w:r>
          </w:p>
        </w:tc>
        <w:tc>
          <w:tcPr>
            <w:tcW w:w="7653" w:type="dxa"/>
          </w:tcPr>
          <w:p>
            <w:pPr>
              <w:pStyle w:val="IsiTabel"/>
              <w:suppressAutoHyphens/>
            </w:pPr>
            <w:r>
              <w:t xml:space="preserve">Indeks Ketahanan Daerah</w:t>
            </w:r>
          </w:p>
        </w:tc>
      </w:tr>
      <w:tr>
        <w:trPr>
          <w:cantSplit/>
        </w:trPr>
        <w:tc>
          <w:tcPr>
            <w:tcW w:w="1701" w:type="dxa"/>
          </w:tcPr>
          <w:p>
            <w:pPr>
              <w:pStyle w:val="IsiTabel"/>
              <w:suppressAutoHyphens/>
            </w:pPr>
            <w:r>
              <w:rPr>
                <w:b/>
                <w:bCs/>
              </w:rPr>
              <w:t xml:space="preserve">IKP</w:t>
            </w:r>
          </w:p>
        </w:tc>
        <w:tc>
          <w:tcPr>
            <w:tcW w:w="7653" w:type="dxa"/>
          </w:tcPr>
          <w:p>
            <w:pPr>
              <w:pStyle w:val="IsiTabel"/>
              <w:suppressAutoHyphens/>
            </w:pPr>
            <w:r>
              <w:t xml:space="preserve">Indikator Kinerja Program</w:t>
            </w:r>
          </w:p>
        </w:tc>
      </w:tr>
      <w:tr>
        <w:trPr>
          <w:cantSplit/>
        </w:trPr>
        <w:tc>
          <w:tcPr>
            <w:tcW w:w="1701" w:type="dxa"/>
          </w:tcPr>
          <w:p>
            <w:pPr>
              <w:pStyle w:val="IsiTabel"/>
              <w:suppressAutoHyphens/>
            </w:pPr>
            <w:r>
              <w:rPr>
                <w:b/>
                <w:bCs/>
              </w:rPr>
              <w:t xml:space="preserve">IKS</w:t>
            </w:r>
          </w:p>
        </w:tc>
        <w:tc>
          <w:tcPr>
            <w:tcW w:w="7653" w:type="dxa"/>
          </w:tcPr>
          <w:p>
            <w:pPr>
              <w:pStyle w:val="IsiTabel"/>
              <w:suppressAutoHyphens/>
            </w:pPr>
            <w:r>
              <w:t xml:space="preserve">Indikator Kinerja Sasaran</w:t>
            </w:r>
          </w:p>
        </w:tc>
      </w:tr>
      <w:tr>
        <w:trPr>
          <w:cantSplit/>
        </w:trPr>
        <w:tc>
          <w:tcPr>
            <w:tcW w:w="1701" w:type="dxa"/>
          </w:tcPr>
          <w:p>
            <w:pPr>
              <w:pStyle w:val="IsiTabel"/>
              <w:suppressAutoHyphens/>
            </w:pPr>
            <w:r>
              <w:rPr>
                <w:b/>
                <w:bCs/>
              </w:rPr>
              <w:t xml:space="preserve">IKU</w:t>
            </w:r>
          </w:p>
        </w:tc>
        <w:tc>
          <w:tcPr>
            <w:tcW w:w="7653" w:type="dxa"/>
          </w:tcPr>
          <w:p>
            <w:pPr>
              <w:pStyle w:val="IsiTabel"/>
              <w:suppressAutoHyphens/>
            </w:pPr>
            <w:r>
              <w:t xml:space="preserve">Indikator Kinerja Utama</w:t>
            </w:r>
          </w:p>
        </w:tc>
      </w:tr>
      <w:tr>
        <w:trPr>
          <w:cantSplit/>
        </w:trPr>
        <w:tc>
          <w:tcPr>
            <w:tcW w:w="1701" w:type="dxa"/>
          </w:tcPr>
          <w:p>
            <w:pPr>
              <w:pStyle w:val="IsiTabel"/>
              <w:suppressAutoHyphens/>
            </w:pPr>
            <w:r>
              <w:rPr>
                <w:b/>
                <w:bCs/>
              </w:rPr>
              <w:t xml:space="preserve">IOD</w:t>
            </w:r>
          </w:p>
        </w:tc>
        <w:tc>
          <w:tcPr>
            <w:tcW w:w="7653" w:type="dxa"/>
          </w:tcPr>
          <w:p>
            <w:pPr>
              <w:pStyle w:val="IsiTabel"/>
              <w:suppressAutoHyphens/>
            </w:pPr>
            <w:r>
              <w:t xml:space="preserve">Indian Ocean Dipole</w:t>
            </w:r>
          </w:p>
        </w:tc>
      </w:tr>
      <w:tr>
        <w:trPr>
          <w:cantSplit/>
        </w:trPr>
        <w:tc>
          <w:tcPr>
            <w:tcW w:w="1701" w:type="dxa"/>
          </w:tcPr>
          <w:p>
            <w:pPr>
              <w:pStyle w:val="IsiTabel"/>
              <w:suppressAutoHyphens/>
            </w:pPr>
            <w:r>
              <w:rPr>
                <w:b/>
                <w:bCs/>
              </w:rPr>
              <w:t xml:space="preserve">IRB</w:t>
            </w:r>
          </w:p>
        </w:tc>
        <w:tc>
          <w:tcPr>
            <w:tcW w:w="7653" w:type="dxa"/>
          </w:tcPr>
          <w:p>
            <w:pPr>
              <w:pStyle w:val="IsiTabel"/>
              <w:suppressAutoHyphens/>
            </w:pPr>
            <w:r>
              <w:t xml:space="preserve">Indeks Risiko Bencana</w:t>
            </w:r>
          </w:p>
        </w:tc>
      </w:tr>
      <w:tr>
        <w:trPr>
          <w:cantSplit/>
        </w:trPr>
        <w:tc>
          <w:tcPr>
            <w:tcW w:w="1701" w:type="dxa"/>
          </w:tcPr>
          <w:p>
            <w:pPr>
              <w:pStyle w:val="IsiTabel"/>
              <w:suppressAutoHyphens/>
            </w:pPr>
            <w:r>
              <w:rPr>
                <w:b/>
                <w:bCs/>
              </w:rPr>
              <w:t xml:space="preserve">IRBI</w:t>
            </w:r>
          </w:p>
        </w:tc>
        <w:tc>
          <w:tcPr>
            <w:tcW w:w="7653" w:type="dxa"/>
          </w:tcPr>
          <w:p>
            <w:pPr>
              <w:pStyle w:val="IsiTabel"/>
              <w:suppressAutoHyphens/>
            </w:pPr>
            <w:r>
              <w:t xml:space="preserve">Indeks Risiko Bencana Indonesia</w:t>
            </w:r>
          </w:p>
        </w:tc>
      </w:tr>
      <w:tr>
        <w:trPr>
          <w:cantSplit/>
        </w:trPr>
        <w:tc>
          <w:tcPr>
            <w:tcW w:w="1701" w:type="dxa"/>
          </w:tcPr>
          <w:p>
            <w:pPr>
              <w:pStyle w:val="IsiTabel"/>
              <w:suppressAutoHyphens/>
            </w:pPr>
            <w:r>
              <w:rPr>
                <w:b/>
                <w:bCs/>
              </w:rPr>
              <w:t xml:space="preserve">ISPA</w:t>
            </w:r>
          </w:p>
        </w:tc>
        <w:tc>
          <w:tcPr>
            <w:tcW w:w="7653" w:type="dxa"/>
          </w:tcPr>
          <w:p>
            <w:pPr>
              <w:pStyle w:val="IsiTabel"/>
              <w:suppressAutoHyphens/>
            </w:pPr>
            <w:r>
              <w:t xml:space="preserve">Infeksi Saluran Pernapasan Akut</w:t>
            </w:r>
          </w:p>
        </w:tc>
      </w:tr>
      <w:tr>
        <w:trPr>
          <w:cantSplit/>
        </w:trPr>
        <w:tc>
          <w:tcPr>
            <w:tcW w:w="1701" w:type="dxa"/>
          </w:tcPr>
          <w:p>
            <w:pPr>
              <w:pStyle w:val="IsiTabel"/>
              <w:suppressAutoHyphens/>
            </w:pPr>
            <w:r>
              <w:rPr>
                <w:b/>
                <w:bCs/>
              </w:rPr>
              <w:t xml:space="preserve">InaTEWS</w:t>
            </w:r>
          </w:p>
        </w:tc>
        <w:tc>
          <w:tcPr>
            <w:tcW w:w="7653" w:type="dxa"/>
          </w:tcPr>
          <w:p>
            <w:pPr>
              <w:pStyle w:val="IsiTabel"/>
              <w:suppressAutoHyphens/>
            </w:pPr>
            <w:r>
              <w:t xml:space="preserve">Indonesia Tsunami Early Warning System</w:t>
            </w:r>
          </w:p>
        </w:tc>
      </w:tr>
      <w:tr>
        <w:trPr>
          <w:cantSplit/>
        </w:trPr>
        <w:tc>
          <w:tcPr>
            <w:tcW w:w="1701" w:type="dxa"/>
          </w:tcPr>
          <w:p>
            <w:pPr>
              <w:pStyle w:val="IsiTabel"/>
              <w:suppressAutoHyphens/>
            </w:pPr>
            <w:r>
              <w:rPr>
                <w:b/>
                <w:bCs/>
              </w:rPr>
              <w:t xml:space="preserve">Inpres</w:t>
            </w:r>
          </w:p>
        </w:tc>
        <w:tc>
          <w:tcPr>
            <w:tcW w:w="7653" w:type="dxa"/>
          </w:tcPr>
          <w:p>
            <w:pPr>
              <w:pStyle w:val="IsiTabel"/>
              <w:suppressAutoHyphens/>
            </w:pPr>
            <w:r>
              <w:t xml:space="preserve">Instruksi Presiden</w:t>
            </w:r>
          </w:p>
        </w:tc>
      </w:tr>
      <w:tr>
        <w:trPr>
          <w:cantSplit/>
        </w:trPr>
        <w:tc>
          <w:tcPr>
            <w:tcW w:w="1701" w:type="dxa"/>
          </w:tcPr>
          <w:p>
            <w:pPr>
              <w:pStyle w:val="IsiTabel"/>
              <w:suppressAutoHyphens/>
            </w:pPr>
            <w:r>
              <w:rPr>
                <w:b/>
                <w:bCs/>
              </w:rPr>
              <w:t xml:space="preserve">JDIH</w:t>
            </w:r>
          </w:p>
        </w:tc>
        <w:tc>
          <w:tcPr>
            <w:tcW w:w="7653" w:type="dxa"/>
          </w:tcPr>
          <w:p>
            <w:pPr>
              <w:pStyle w:val="IsiTabel"/>
              <w:suppressAutoHyphens/>
            </w:pPr>
            <w:r>
              <w:t xml:space="preserve">Jaringan Dokumentasi dan Informasi Hukum</w:t>
            </w:r>
          </w:p>
        </w:tc>
      </w:tr>
      <w:tr>
        <w:trPr>
          <w:cantSplit/>
        </w:trPr>
        <w:tc>
          <w:tcPr>
            <w:tcW w:w="1701" w:type="dxa"/>
          </w:tcPr>
          <w:p>
            <w:pPr>
              <w:pStyle w:val="IsiTabel"/>
              <w:suppressAutoHyphens/>
            </w:pPr>
            <w:r>
              <w:rPr>
                <w:b/>
                <w:bCs/>
              </w:rPr>
              <w:t xml:space="preserve">JEE</w:t>
            </w:r>
          </w:p>
        </w:tc>
        <w:tc>
          <w:tcPr>
            <w:tcW w:w="7653" w:type="dxa"/>
          </w:tcPr>
          <w:p>
            <w:pPr>
              <w:pStyle w:val="IsiTabel"/>
              <w:suppressAutoHyphens/>
            </w:pPr>
            <w:r>
              <w:t xml:space="preserve">Joint External Evaluation</w:t>
            </w:r>
          </w:p>
        </w:tc>
      </w:tr>
      <w:tr>
        <w:trPr>
          <w:cantSplit/>
        </w:trPr>
        <w:tc>
          <w:tcPr>
            <w:tcW w:w="1701" w:type="dxa"/>
          </w:tcPr>
          <w:p>
            <w:pPr>
              <w:pStyle w:val="IsiTabel"/>
              <w:suppressAutoHyphens/>
            </w:pPr>
            <w:r>
              <w:rPr>
                <w:b/>
                <w:bCs/>
              </w:rPr>
              <w:t xml:space="preserve">Jitupasna</w:t>
            </w:r>
          </w:p>
        </w:tc>
        <w:tc>
          <w:tcPr>
            <w:tcW w:w="7653" w:type="dxa"/>
          </w:tcPr>
          <w:p>
            <w:pPr>
              <w:pStyle w:val="IsiTabel"/>
              <w:suppressAutoHyphens/>
            </w:pPr>
            <w:r>
              <w:t xml:space="preserve">Pengkajian Kebutuhan Pascabencana</w:t>
            </w:r>
          </w:p>
        </w:tc>
      </w:tr>
      <w:tr>
        <w:trPr>
          <w:cantSplit/>
        </w:trPr>
        <w:tc>
          <w:tcPr>
            <w:tcW w:w="1701" w:type="dxa"/>
          </w:tcPr>
          <w:p>
            <w:pPr>
              <w:pStyle w:val="IsiTabel"/>
              <w:suppressAutoHyphens/>
            </w:pPr>
            <w:r>
              <w:rPr>
                <w:b/>
                <w:bCs/>
              </w:rPr>
              <w:t xml:space="preserve">Juklak</w:t>
            </w:r>
          </w:p>
        </w:tc>
        <w:tc>
          <w:tcPr>
            <w:tcW w:w="7653" w:type="dxa"/>
          </w:tcPr>
          <w:p>
            <w:pPr>
              <w:pStyle w:val="IsiTabel"/>
              <w:suppressAutoHyphens/>
            </w:pPr>
            <w:r>
              <w:t xml:space="preserve">Petunjuk Pelaksanaan</w:t>
            </w:r>
          </w:p>
        </w:tc>
      </w:tr>
      <w:tr>
        <w:trPr>
          <w:cantSplit/>
        </w:trPr>
        <w:tc>
          <w:tcPr>
            <w:tcW w:w="1701" w:type="dxa"/>
          </w:tcPr>
          <w:p>
            <w:pPr>
              <w:pStyle w:val="IsiTabel"/>
              <w:suppressAutoHyphens/>
            </w:pPr>
            <w:r>
              <w:rPr>
                <w:b/>
                <w:bCs/>
              </w:rPr>
              <w:t xml:space="preserve">K/L</w:t>
            </w:r>
          </w:p>
        </w:tc>
        <w:tc>
          <w:tcPr>
            <w:tcW w:w="7653" w:type="dxa"/>
          </w:tcPr>
          <w:p>
            <w:pPr>
              <w:pStyle w:val="IsiTabel"/>
              <w:suppressAutoHyphens/>
            </w:pPr>
            <w:r>
              <w:t xml:space="preserve">Kementerian/Lembaga</w:t>
            </w:r>
          </w:p>
        </w:tc>
      </w:tr>
      <w:tr>
        <w:trPr>
          <w:cantSplit/>
        </w:trPr>
        <w:tc>
          <w:tcPr>
            <w:tcW w:w="1701" w:type="dxa"/>
          </w:tcPr>
          <w:p>
            <w:pPr>
              <w:pStyle w:val="IsiTabel"/>
              <w:suppressAutoHyphens/>
            </w:pPr>
            <w:r>
              <w:rPr>
                <w:b/>
                <w:bCs/>
              </w:rPr>
              <w:t xml:space="preserve">KLB</w:t>
            </w:r>
          </w:p>
        </w:tc>
        <w:tc>
          <w:tcPr>
            <w:tcW w:w="7653" w:type="dxa"/>
          </w:tcPr>
          <w:p>
            <w:pPr>
              <w:pStyle w:val="IsiTabel"/>
              <w:suppressAutoHyphens/>
            </w:pPr>
            <w:r>
              <w:t xml:space="preserve">Kejadian Luar Biasa</w:t>
            </w:r>
          </w:p>
        </w:tc>
      </w:tr>
      <w:tr>
        <w:trPr>
          <w:cantSplit/>
        </w:trPr>
        <w:tc>
          <w:tcPr>
            <w:tcW w:w="1701" w:type="dxa"/>
          </w:tcPr>
          <w:p>
            <w:pPr>
              <w:pStyle w:val="IsiTabel"/>
              <w:suppressAutoHyphens/>
            </w:pPr>
            <w:r>
              <w:rPr>
                <w:b/>
                <w:bCs/>
              </w:rPr>
              <w:t xml:space="preserve">KLH/BPLH</w:t>
            </w:r>
          </w:p>
        </w:tc>
        <w:tc>
          <w:tcPr>
            <w:tcW w:w="7653" w:type="dxa"/>
          </w:tcPr>
          <w:p>
            <w:pPr>
              <w:pStyle w:val="IsiTabel"/>
              <w:suppressAutoHyphens/>
            </w:pPr>
            <w:r>
              <w:t xml:space="preserve">Kementerian Lingkungan Hidup/Badan Pengendalian Lingkungan Hidup</w:t>
            </w:r>
          </w:p>
        </w:tc>
      </w:tr>
      <w:tr>
        <w:trPr>
          <w:cantSplit/>
        </w:trPr>
        <w:tc>
          <w:tcPr>
            <w:tcW w:w="1701" w:type="dxa"/>
          </w:tcPr>
          <w:p>
            <w:pPr>
              <w:pStyle w:val="IsiTabel"/>
              <w:suppressAutoHyphens/>
            </w:pPr>
            <w:r>
              <w:rPr>
                <w:b/>
                <w:bCs/>
              </w:rPr>
              <w:t xml:space="preserve">KP</w:t>
            </w:r>
          </w:p>
        </w:tc>
        <w:tc>
          <w:tcPr>
            <w:tcW w:w="7653" w:type="dxa"/>
          </w:tcPr>
          <w:p>
            <w:pPr>
              <w:pStyle w:val="IsiTabel"/>
              <w:suppressAutoHyphens/>
            </w:pPr>
            <w:r>
              <w:t xml:space="preserve">Kegiatan Prioritas</w:t>
            </w:r>
          </w:p>
        </w:tc>
      </w:tr>
      <w:tr>
        <w:trPr>
          <w:cantSplit/>
        </w:trPr>
        <w:tc>
          <w:tcPr>
            <w:tcW w:w="1701" w:type="dxa"/>
          </w:tcPr>
          <w:p>
            <w:pPr>
              <w:pStyle w:val="IsiTabel"/>
              <w:suppressAutoHyphens/>
            </w:pPr>
            <w:r>
              <w:rPr>
                <w:b/>
                <w:bCs/>
              </w:rPr>
              <w:t xml:space="preserve">KRB</w:t>
            </w:r>
          </w:p>
        </w:tc>
        <w:tc>
          <w:tcPr>
            <w:tcW w:w="7653" w:type="dxa"/>
          </w:tcPr>
          <w:p>
            <w:pPr>
              <w:pStyle w:val="IsiTabel"/>
              <w:suppressAutoHyphens/>
            </w:pPr>
            <w:r>
              <w:t xml:space="preserve">Kajian Risiko Bencana</w:t>
            </w:r>
          </w:p>
        </w:tc>
      </w:tr>
      <w:tr>
        <w:trPr>
          <w:cantSplit/>
        </w:trPr>
        <w:tc>
          <w:tcPr>
            <w:tcW w:w="1701" w:type="dxa"/>
          </w:tcPr>
          <w:p>
            <w:pPr>
              <w:pStyle w:val="IsiTabel"/>
              <w:suppressAutoHyphens/>
            </w:pPr>
            <w:r>
              <w:rPr>
                <w:b/>
                <w:bCs/>
              </w:rPr>
              <w:t xml:space="preserve">Kemendagri</w:t>
            </w:r>
          </w:p>
        </w:tc>
        <w:tc>
          <w:tcPr>
            <w:tcW w:w="7653" w:type="dxa"/>
          </w:tcPr>
          <w:p>
            <w:pPr>
              <w:pStyle w:val="IsiTabel"/>
              <w:suppressAutoHyphens/>
            </w:pPr>
            <w:r>
              <w:t xml:space="preserve">Kementerian Dalam Negeri</w:t>
            </w:r>
          </w:p>
        </w:tc>
      </w:tr>
      <w:tr>
        <w:trPr>
          <w:cantSplit/>
        </w:trPr>
        <w:tc>
          <w:tcPr>
            <w:tcW w:w="1701" w:type="dxa"/>
          </w:tcPr>
          <w:p>
            <w:pPr>
              <w:pStyle w:val="IsiTabel"/>
              <w:suppressAutoHyphens/>
            </w:pPr>
            <w:r>
              <w:rPr>
                <w:b/>
                <w:bCs/>
              </w:rPr>
              <w:t xml:space="preserve">Kemendikdasmen</w:t>
            </w:r>
          </w:p>
        </w:tc>
        <w:tc>
          <w:tcPr>
            <w:tcW w:w="7653" w:type="dxa"/>
          </w:tcPr>
          <w:p>
            <w:pPr>
              <w:pStyle w:val="IsiTabel"/>
              <w:suppressAutoHyphens/>
            </w:pPr>
            <w:r>
              <w:t xml:space="preserve">Kementerian Pendidikan Dasar dan Menengah</w:t>
            </w:r>
          </w:p>
        </w:tc>
      </w:tr>
      <w:tr>
        <w:trPr>
          <w:cantSplit/>
        </w:trPr>
        <w:tc>
          <w:tcPr>
            <w:tcW w:w="1701" w:type="dxa"/>
          </w:tcPr>
          <w:p>
            <w:pPr>
              <w:pStyle w:val="IsiTabel"/>
              <w:suppressAutoHyphens/>
            </w:pPr>
            <w:r>
              <w:rPr>
                <w:b/>
                <w:bCs/>
              </w:rPr>
              <w:t xml:space="preserve">Kemenhut</w:t>
            </w:r>
          </w:p>
        </w:tc>
        <w:tc>
          <w:tcPr>
            <w:tcW w:w="7653" w:type="dxa"/>
          </w:tcPr>
          <w:p>
            <w:pPr>
              <w:pStyle w:val="IsiTabel"/>
              <w:suppressAutoHyphens/>
            </w:pPr>
            <w:r>
              <w:t xml:space="preserve">Kementerian Kehutanan</w:t>
            </w:r>
          </w:p>
        </w:tc>
      </w:tr>
      <w:tr>
        <w:trPr>
          <w:cantSplit/>
        </w:trPr>
        <w:tc>
          <w:tcPr>
            <w:tcW w:w="1701" w:type="dxa"/>
          </w:tcPr>
          <w:p>
            <w:pPr>
              <w:pStyle w:val="IsiTabel"/>
              <w:suppressAutoHyphens/>
            </w:pPr>
            <w:r>
              <w:rPr>
                <w:b/>
                <w:bCs/>
              </w:rPr>
              <w:t xml:space="preserve">Kemenkes</w:t>
            </w:r>
          </w:p>
        </w:tc>
        <w:tc>
          <w:tcPr>
            <w:tcW w:w="7653" w:type="dxa"/>
          </w:tcPr>
          <w:p>
            <w:pPr>
              <w:pStyle w:val="IsiTabel"/>
              <w:suppressAutoHyphens/>
            </w:pPr>
            <w:r>
              <w:t xml:space="preserve">Kementerian Kesehatan</w:t>
            </w:r>
          </w:p>
        </w:tc>
      </w:tr>
      <w:tr>
        <w:trPr>
          <w:cantSplit/>
        </w:trPr>
        <w:tc>
          <w:tcPr>
            <w:tcW w:w="1701" w:type="dxa"/>
          </w:tcPr>
          <w:p>
            <w:pPr>
              <w:pStyle w:val="IsiTabel"/>
              <w:suppressAutoHyphens/>
            </w:pPr>
            <w:r>
              <w:rPr>
                <w:b/>
                <w:bCs/>
              </w:rPr>
              <w:t xml:space="preserve">Kemenkeu</w:t>
            </w:r>
          </w:p>
        </w:tc>
        <w:tc>
          <w:tcPr>
            <w:tcW w:w="7653" w:type="dxa"/>
          </w:tcPr>
          <w:p>
            <w:pPr>
              <w:pStyle w:val="IsiTabel"/>
              <w:suppressAutoHyphens/>
            </w:pPr>
            <w:r>
              <w:t xml:space="preserve">Kementerian Keuangan</w:t>
            </w:r>
          </w:p>
        </w:tc>
      </w:tr>
      <w:tr>
        <w:trPr>
          <w:cantSplit/>
        </w:trPr>
        <w:tc>
          <w:tcPr>
            <w:tcW w:w="1701" w:type="dxa"/>
          </w:tcPr>
          <w:p>
            <w:pPr>
              <w:pStyle w:val="IsiTabel"/>
              <w:suppressAutoHyphens/>
            </w:pPr>
            <w:r>
              <w:rPr>
                <w:b/>
                <w:bCs/>
              </w:rPr>
              <w:t xml:space="preserve">Kemenko IPK</w:t>
            </w:r>
          </w:p>
        </w:tc>
        <w:tc>
          <w:tcPr>
            <w:tcW w:w="7653" w:type="dxa"/>
          </w:tcPr>
          <w:p>
            <w:pPr>
              <w:pStyle w:val="IsiTabel"/>
              <w:suppressAutoHyphens/>
            </w:pPr>
            <w:r>
              <w:t xml:space="preserve">Kementerian Koordinator Bidang Infrastruktur dan Pembangunan Kewilayahan</w:t>
            </w:r>
          </w:p>
        </w:tc>
      </w:tr>
      <w:tr>
        <w:trPr>
          <w:cantSplit/>
        </w:trPr>
        <w:tc>
          <w:tcPr>
            <w:tcW w:w="1701" w:type="dxa"/>
          </w:tcPr>
          <w:p>
            <w:pPr>
              <w:pStyle w:val="IsiTabel"/>
              <w:suppressAutoHyphens/>
            </w:pPr>
            <w:r>
              <w:rPr>
                <w:b/>
                <w:bCs/>
              </w:rPr>
              <w:t xml:space="preserve">Kemenko PMK</w:t>
            </w:r>
          </w:p>
        </w:tc>
        <w:tc>
          <w:tcPr>
            <w:tcW w:w="7653" w:type="dxa"/>
          </w:tcPr>
          <w:p>
            <w:pPr>
              <w:pStyle w:val="IsiTabel"/>
              <w:suppressAutoHyphens/>
            </w:pPr>
            <w:r>
              <w:t xml:space="preserve">Kementerian Koordinator Bidang Pembangunan Manusia dan Kebudayaan</w:t>
            </w:r>
          </w:p>
        </w:tc>
      </w:tr>
      <w:tr>
        <w:trPr>
          <w:cantSplit/>
        </w:trPr>
        <w:tc>
          <w:tcPr>
            <w:tcW w:w="1701" w:type="dxa"/>
          </w:tcPr>
          <w:p>
            <w:pPr>
              <w:pStyle w:val="IsiTabel"/>
              <w:suppressAutoHyphens/>
            </w:pPr>
            <w:r>
              <w:rPr>
                <w:b/>
                <w:bCs/>
              </w:rPr>
              <w:t xml:space="preserve">Kemensos</w:t>
            </w:r>
          </w:p>
        </w:tc>
        <w:tc>
          <w:tcPr>
            <w:tcW w:w="7653" w:type="dxa"/>
          </w:tcPr>
          <w:p>
            <w:pPr>
              <w:pStyle w:val="IsiTabel"/>
              <w:suppressAutoHyphens/>
            </w:pPr>
            <w:r>
              <w:t xml:space="preserve">Kementerian Sosial</w:t>
            </w:r>
          </w:p>
        </w:tc>
      </w:tr>
      <w:tr>
        <w:trPr>
          <w:cantSplit/>
        </w:trPr>
        <w:tc>
          <w:tcPr>
            <w:tcW w:w="1701" w:type="dxa"/>
          </w:tcPr>
          <w:p>
            <w:pPr>
              <w:pStyle w:val="IsiTabel"/>
              <w:suppressAutoHyphens/>
            </w:pPr>
            <w:r>
              <w:rPr>
                <w:b/>
                <w:bCs/>
              </w:rPr>
              <w:t xml:space="preserve">Kementan</w:t>
            </w:r>
          </w:p>
        </w:tc>
        <w:tc>
          <w:tcPr>
            <w:tcW w:w="7653" w:type="dxa"/>
          </w:tcPr>
          <w:p>
            <w:pPr>
              <w:pStyle w:val="IsiTabel"/>
              <w:suppressAutoHyphens/>
            </w:pPr>
            <w:r>
              <w:t xml:space="preserve">Kementerian Pertanian</w:t>
            </w:r>
          </w:p>
        </w:tc>
      </w:tr>
      <w:tr>
        <w:trPr>
          <w:cantSplit/>
        </w:trPr>
        <w:tc>
          <w:tcPr>
            <w:tcW w:w="1701" w:type="dxa"/>
          </w:tcPr>
          <w:p>
            <w:pPr>
              <w:pStyle w:val="IsiTabel"/>
              <w:suppressAutoHyphens/>
            </w:pPr>
            <w:r>
              <w:rPr>
                <w:b/>
                <w:bCs/>
              </w:rPr>
              <w:t xml:space="preserve">Kepka</w:t>
            </w:r>
          </w:p>
        </w:tc>
        <w:tc>
          <w:tcPr>
            <w:tcW w:w="7653" w:type="dxa"/>
          </w:tcPr>
          <w:p>
            <w:pPr>
              <w:pStyle w:val="IsiTabel"/>
              <w:suppressAutoHyphens/>
            </w:pPr>
            <w:r>
              <w:t xml:space="preserve">Keputusan Kepala</w:t>
            </w:r>
          </w:p>
        </w:tc>
      </w:tr>
      <w:tr>
        <w:trPr>
          <w:cantSplit/>
        </w:trPr>
        <w:tc>
          <w:tcPr>
            <w:tcW w:w="1701" w:type="dxa"/>
          </w:tcPr>
          <w:p>
            <w:pPr>
              <w:pStyle w:val="IsiTabel"/>
              <w:suppressAutoHyphens/>
            </w:pPr>
            <w:r>
              <w:rPr>
                <w:b/>
                <w:bCs/>
              </w:rPr>
              <w:t xml:space="preserve">Keppres</w:t>
            </w:r>
          </w:p>
        </w:tc>
        <w:tc>
          <w:tcPr>
            <w:tcW w:w="7653" w:type="dxa"/>
          </w:tcPr>
          <w:p>
            <w:pPr>
              <w:pStyle w:val="IsiTabel"/>
              <w:suppressAutoHyphens/>
            </w:pPr>
            <w:r>
              <w:t xml:space="preserve">Keputusan Presiden</w:t>
            </w:r>
          </w:p>
        </w:tc>
      </w:tr>
      <w:tr>
        <w:trPr>
          <w:cantSplit/>
        </w:trPr>
        <w:tc>
          <w:tcPr>
            <w:tcW w:w="1701" w:type="dxa"/>
          </w:tcPr>
          <w:p>
            <w:pPr>
              <w:pStyle w:val="IsiTabel"/>
              <w:suppressAutoHyphens/>
            </w:pPr>
            <w:r>
              <w:rPr>
                <w:b/>
                <w:bCs/>
              </w:rPr>
              <w:t xml:space="preserve">LKIP</w:t>
            </w:r>
          </w:p>
        </w:tc>
        <w:tc>
          <w:tcPr>
            <w:tcW w:w="7653" w:type="dxa"/>
          </w:tcPr>
          <w:p>
            <w:pPr>
              <w:pStyle w:val="IsiTabel"/>
              <w:suppressAutoHyphens/>
            </w:pPr>
            <w:r>
              <w:t xml:space="preserve">Laporan Kinerja Instansi Pemerintah</w:t>
            </w:r>
          </w:p>
        </w:tc>
      </w:tr>
      <w:tr>
        <w:trPr>
          <w:cantSplit/>
        </w:trPr>
        <w:tc>
          <w:tcPr>
            <w:tcW w:w="1701" w:type="dxa"/>
          </w:tcPr>
          <w:p>
            <w:pPr>
              <w:pStyle w:val="IsiTabel"/>
              <w:suppressAutoHyphens/>
            </w:pPr>
            <w:r>
              <w:rPr>
                <w:b/>
                <w:bCs/>
              </w:rPr>
              <w:t xml:space="preserve">MHEWS</w:t>
            </w:r>
          </w:p>
        </w:tc>
        <w:tc>
          <w:tcPr>
            <w:tcW w:w="7653" w:type="dxa"/>
          </w:tcPr>
          <w:p>
            <w:pPr>
              <w:pStyle w:val="IsiTabel"/>
              <w:suppressAutoHyphens/>
            </w:pPr>
            <w:r>
              <w:t xml:space="preserve">Multi Hazard Early Warning System</w:t>
            </w:r>
          </w:p>
        </w:tc>
      </w:tr>
      <w:tr>
        <w:trPr>
          <w:cantSplit/>
        </w:trPr>
        <w:tc>
          <w:tcPr>
            <w:tcW w:w="1701" w:type="dxa"/>
          </w:tcPr>
          <w:p>
            <w:pPr>
              <w:pStyle w:val="IsiTabel"/>
              <w:suppressAutoHyphens/>
            </w:pPr>
            <w:r>
              <w:rPr>
                <w:b/>
                <w:bCs/>
              </w:rPr>
              <w:t xml:space="preserve">MK</w:t>
            </w:r>
          </w:p>
        </w:tc>
        <w:tc>
          <w:tcPr>
            <w:tcW w:w="7653" w:type="dxa"/>
          </w:tcPr>
          <w:p>
            <w:pPr>
              <w:pStyle w:val="IsiTabel"/>
              <w:suppressAutoHyphens/>
            </w:pPr>
            <w:r>
              <w:t xml:space="preserve">Mahkamah Konstitusi</w:t>
            </w:r>
          </w:p>
        </w:tc>
      </w:tr>
      <w:tr>
        <w:trPr>
          <w:cantSplit/>
        </w:trPr>
        <w:tc>
          <w:tcPr>
            <w:tcW w:w="1701" w:type="dxa"/>
          </w:tcPr>
          <w:p>
            <w:pPr>
              <w:pStyle w:val="IsiTabel"/>
              <w:suppressAutoHyphens/>
            </w:pPr>
            <w:r>
              <w:rPr>
                <w:b/>
                <w:bCs/>
              </w:rPr>
              <w:t xml:space="preserve">MMI</w:t>
            </w:r>
          </w:p>
        </w:tc>
        <w:tc>
          <w:tcPr>
            <w:tcW w:w="7653" w:type="dxa"/>
          </w:tcPr>
          <w:p>
            <w:pPr>
              <w:pStyle w:val="IsiTabel"/>
              <w:suppressAutoHyphens/>
            </w:pPr>
            <w:r>
              <w:t xml:space="preserve">Modified Mercalli Intensity</w:t>
            </w:r>
          </w:p>
        </w:tc>
      </w:tr>
      <w:tr>
        <w:trPr>
          <w:cantSplit/>
        </w:trPr>
        <w:tc>
          <w:tcPr>
            <w:tcW w:w="1701" w:type="dxa"/>
          </w:tcPr>
          <w:p>
            <w:pPr>
              <w:pStyle w:val="IsiTabel"/>
              <w:suppressAutoHyphens/>
            </w:pPr>
            <w:r>
              <w:rPr>
                <w:b/>
                <w:bCs/>
              </w:rPr>
              <w:t xml:space="preserve">NOAA</w:t>
            </w:r>
          </w:p>
        </w:tc>
        <w:tc>
          <w:tcPr>
            <w:tcW w:w="7653" w:type="dxa"/>
          </w:tcPr>
          <w:p>
            <w:pPr>
              <w:pStyle w:val="IsiTabel"/>
              <w:suppressAutoHyphens/>
            </w:pPr>
            <w:r>
              <w:t xml:space="preserve">National Oceanic and Atmospheric Administration</w:t>
            </w:r>
          </w:p>
        </w:tc>
      </w:tr>
      <w:tr>
        <w:trPr>
          <w:cantSplit/>
        </w:trPr>
        <w:tc>
          <w:tcPr>
            <w:tcW w:w="1701" w:type="dxa"/>
          </w:tcPr>
          <w:p>
            <w:pPr>
              <w:pStyle w:val="IsiTabel"/>
              <w:suppressAutoHyphens/>
            </w:pPr>
            <w:r>
              <w:rPr>
                <w:b/>
                <w:bCs/>
              </w:rPr>
              <w:t xml:space="preserve">NRR</w:t>
            </w:r>
          </w:p>
        </w:tc>
        <w:tc>
          <w:tcPr>
            <w:tcW w:w="7653" w:type="dxa"/>
          </w:tcPr>
          <w:p>
            <w:pPr>
              <w:pStyle w:val="IsiTabel"/>
              <w:suppressAutoHyphens/>
            </w:pPr>
            <w:r>
              <w:t xml:space="preserve">National Risk Register</w:t>
            </w:r>
          </w:p>
        </w:tc>
      </w:tr>
      <w:tr>
        <w:trPr>
          <w:cantSplit/>
        </w:trPr>
        <w:tc>
          <w:tcPr>
            <w:tcW w:w="1701" w:type="dxa"/>
          </w:tcPr>
          <w:p>
            <w:pPr>
              <w:pStyle w:val="IsiTabel"/>
              <w:suppressAutoHyphens/>
            </w:pPr>
            <w:r>
              <w:rPr>
                <w:b/>
                <w:bCs/>
              </w:rPr>
              <w:t xml:space="preserve">NSPK</w:t>
            </w:r>
          </w:p>
        </w:tc>
        <w:tc>
          <w:tcPr>
            <w:tcW w:w="7653" w:type="dxa"/>
          </w:tcPr>
          <w:p>
            <w:pPr>
              <w:pStyle w:val="IsiTabel"/>
              <w:suppressAutoHyphens/>
            </w:pPr>
            <w:r>
              <w:t xml:space="preserve">Norma, Standar, Prosedur, dan Kriteria</w:t>
            </w:r>
          </w:p>
        </w:tc>
      </w:tr>
      <w:tr>
        <w:trPr>
          <w:cantSplit/>
        </w:trPr>
        <w:tc>
          <w:tcPr>
            <w:tcW w:w="1701" w:type="dxa"/>
          </w:tcPr>
          <w:p>
            <w:pPr>
              <w:pStyle w:val="IsiTabel"/>
              <w:suppressAutoHyphens/>
            </w:pPr>
            <w:r>
              <w:rPr>
                <w:b/>
                <w:bCs/>
              </w:rPr>
              <w:t xml:space="preserve">OMC</w:t>
            </w:r>
          </w:p>
        </w:tc>
        <w:tc>
          <w:tcPr>
            <w:tcW w:w="7653" w:type="dxa"/>
          </w:tcPr>
          <w:p>
            <w:pPr>
              <w:pStyle w:val="IsiTabel"/>
              <w:suppressAutoHyphens/>
            </w:pPr>
            <w:r>
              <w:t xml:space="preserve">Operasi Modifikasi Cuaca</w:t>
            </w:r>
          </w:p>
        </w:tc>
      </w:tr>
      <w:tr>
        <w:trPr>
          <w:cantSplit/>
        </w:trPr>
        <w:tc>
          <w:tcPr>
            <w:tcW w:w="1701" w:type="dxa"/>
          </w:tcPr>
          <w:p>
            <w:pPr>
              <w:pStyle w:val="IsiTabel"/>
              <w:suppressAutoHyphens/>
            </w:pPr>
            <w:r>
              <w:rPr>
                <w:b/>
                <w:bCs/>
              </w:rPr>
              <w:t xml:space="preserve">ONI</w:t>
            </w:r>
          </w:p>
        </w:tc>
        <w:tc>
          <w:tcPr>
            <w:tcW w:w="7653" w:type="dxa"/>
          </w:tcPr>
          <w:p>
            <w:pPr>
              <w:pStyle w:val="IsiTabel"/>
              <w:suppressAutoHyphens/>
            </w:pPr>
            <w:r>
              <w:t xml:space="preserve">Oceanic Niño Index</w:t>
            </w:r>
          </w:p>
        </w:tc>
      </w:tr>
      <w:tr>
        <w:trPr>
          <w:cantSplit/>
        </w:trPr>
        <w:tc>
          <w:tcPr>
            <w:tcW w:w="1701" w:type="dxa"/>
          </w:tcPr>
          <w:p>
            <w:pPr>
              <w:pStyle w:val="IsiTabel"/>
              <w:suppressAutoHyphens/>
            </w:pPr>
            <w:r>
              <w:rPr>
                <w:b/>
                <w:bCs/>
              </w:rPr>
              <w:t xml:space="preserve">OTK</w:t>
            </w:r>
          </w:p>
        </w:tc>
        <w:tc>
          <w:tcPr>
            <w:tcW w:w="7653" w:type="dxa"/>
          </w:tcPr>
          <w:p>
            <w:pPr>
              <w:pStyle w:val="IsiTabel"/>
              <w:suppressAutoHyphens/>
            </w:pPr>
            <w:r>
              <w:t xml:space="preserve">Organisasi dan Tata Kerja</w:t>
            </w:r>
          </w:p>
        </w:tc>
      </w:tr>
      <w:tr>
        <w:trPr>
          <w:cantSplit/>
        </w:trPr>
        <w:tc>
          <w:tcPr>
            <w:tcW w:w="1701" w:type="dxa"/>
          </w:tcPr>
          <w:p>
            <w:pPr>
              <w:pStyle w:val="IsiTabel"/>
              <w:suppressAutoHyphens/>
            </w:pPr>
            <w:r>
              <w:rPr>
                <w:b/>
                <w:bCs/>
              </w:rPr>
              <w:t xml:space="preserve">PAMSIMAS</w:t>
            </w:r>
          </w:p>
        </w:tc>
        <w:tc>
          <w:tcPr>
            <w:tcW w:w="7653" w:type="dxa"/>
          </w:tcPr>
          <w:p>
            <w:pPr>
              <w:pStyle w:val="IsiTabel"/>
              <w:suppressAutoHyphens/>
            </w:pPr>
            <w:r>
              <w:t xml:space="preserve">Penyediaan Air Minum dan Sanitasi Berbasis Masyarakat</w:t>
            </w:r>
          </w:p>
        </w:tc>
      </w:tr>
      <w:tr>
        <w:trPr>
          <w:cantSplit/>
        </w:trPr>
        <w:tc>
          <w:tcPr>
            <w:tcW w:w="1701" w:type="dxa"/>
          </w:tcPr>
          <w:p>
            <w:pPr>
              <w:pStyle w:val="IsiTabel"/>
              <w:suppressAutoHyphens/>
            </w:pPr>
            <w:r>
              <w:rPr>
                <w:b/>
                <w:bCs/>
              </w:rPr>
              <w:t xml:space="preserve">PARB</w:t>
            </w:r>
          </w:p>
        </w:tc>
        <w:tc>
          <w:tcPr>
            <w:tcW w:w="7653" w:type="dxa"/>
          </w:tcPr>
          <w:p>
            <w:pPr>
              <w:pStyle w:val="IsiTabel"/>
              <w:suppressAutoHyphens/>
            </w:pPr>
            <w:r>
              <w:t xml:space="preserve">Pembiayaan dan Asuransi Risiko Bencana</w:t>
            </w:r>
          </w:p>
        </w:tc>
      </w:tr>
      <w:tr>
        <w:trPr>
          <w:cantSplit/>
        </w:trPr>
        <w:tc>
          <w:tcPr>
            <w:tcW w:w="1701" w:type="dxa"/>
          </w:tcPr>
          <w:p>
            <w:pPr>
              <w:pStyle w:val="IsiTabel"/>
              <w:suppressAutoHyphens/>
            </w:pPr>
            <w:r>
              <w:rPr>
                <w:b/>
                <w:bCs/>
              </w:rPr>
              <w:t xml:space="preserve">PB</w:t>
            </w:r>
          </w:p>
        </w:tc>
        <w:tc>
          <w:tcPr>
            <w:tcW w:w="7653" w:type="dxa"/>
          </w:tcPr>
          <w:p>
            <w:pPr>
              <w:pStyle w:val="IsiTabel"/>
              <w:suppressAutoHyphens/>
            </w:pPr>
            <w:r>
              <w:t xml:space="preserve">Penanggulangan Bencana</w:t>
            </w:r>
          </w:p>
        </w:tc>
      </w:tr>
      <w:tr>
        <w:trPr>
          <w:cantSplit/>
        </w:trPr>
        <w:tc>
          <w:tcPr>
            <w:tcW w:w="1701" w:type="dxa"/>
          </w:tcPr>
          <w:p>
            <w:pPr>
              <w:pStyle w:val="IsiTabel"/>
              <w:suppressAutoHyphens/>
            </w:pPr>
            <w:r>
              <w:rPr>
                <w:b/>
                <w:bCs/>
              </w:rPr>
              <w:t xml:space="preserve">PDB</w:t>
            </w:r>
          </w:p>
        </w:tc>
        <w:tc>
          <w:tcPr>
            <w:tcW w:w="7653" w:type="dxa"/>
          </w:tcPr>
          <w:p>
            <w:pPr>
              <w:pStyle w:val="IsiTabel"/>
              <w:suppressAutoHyphens/>
            </w:pPr>
            <w:r>
              <w:t xml:space="preserve">Produk Domestik Bruto</w:t>
            </w:r>
          </w:p>
        </w:tc>
      </w:tr>
      <w:tr>
        <w:trPr>
          <w:cantSplit/>
        </w:trPr>
        <w:tc>
          <w:tcPr>
            <w:tcW w:w="1701" w:type="dxa"/>
          </w:tcPr>
          <w:p>
            <w:pPr>
              <w:pStyle w:val="IsiTabel"/>
              <w:suppressAutoHyphens/>
            </w:pPr>
            <w:r>
              <w:rPr>
                <w:b/>
                <w:bCs/>
              </w:rPr>
              <w:t xml:space="preserve">PDKM</w:t>
            </w:r>
          </w:p>
        </w:tc>
        <w:tc>
          <w:tcPr>
            <w:tcW w:w="7653" w:type="dxa"/>
          </w:tcPr>
          <w:p>
            <w:pPr>
              <w:pStyle w:val="IsiTabel"/>
              <w:suppressAutoHyphens/>
            </w:pPr>
            <w:r>
              <w:t xml:space="preserve">Peringatan Dini Kekeringan Meteorologis</w:t>
            </w:r>
          </w:p>
        </w:tc>
      </w:tr>
      <w:tr>
        <w:trPr>
          <w:cantSplit/>
        </w:trPr>
        <w:tc>
          <w:tcPr>
            <w:tcW w:w="1701" w:type="dxa"/>
          </w:tcPr>
          <w:p>
            <w:pPr>
              <w:pStyle w:val="IsiTabel"/>
              <w:suppressAutoHyphens/>
            </w:pPr>
            <w:r>
              <w:rPr>
                <w:b/>
                <w:bCs/>
              </w:rPr>
              <w:t xml:space="preserve">PDNA</w:t>
            </w:r>
          </w:p>
        </w:tc>
        <w:tc>
          <w:tcPr>
            <w:tcW w:w="7653" w:type="dxa"/>
          </w:tcPr>
          <w:p>
            <w:pPr>
              <w:pStyle w:val="IsiTabel"/>
              <w:suppressAutoHyphens/>
            </w:pPr>
            <w:r>
              <w:t xml:space="preserve">Post-Disaster Needs Assessment</w:t>
            </w:r>
          </w:p>
        </w:tc>
      </w:tr>
      <w:tr>
        <w:trPr>
          <w:cantSplit/>
        </w:trPr>
        <w:tc>
          <w:tcPr>
            <w:tcW w:w="1701" w:type="dxa"/>
          </w:tcPr>
          <w:p>
            <w:pPr>
              <w:pStyle w:val="IsiTabel"/>
              <w:suppressAutoHyphens/>
            </w:pPr>
            <w:r>
              <w:rPr>
                <w:b/>
                <w:bCs/>
              </w:rPr>
              <w:t xml:space="preserve">PKP</w:t>
            </w:r>
          </w:p>
        </w:tc>
        <w:tc>
          <w:tcPr>
            <w:tcW w:w="7653" w:type="dxa"/>
          </w:tcPr>
          <w:p>
            <w:pPr>
              <w:pStyle w:val="IsiTabel"/>
              <w:suppressAutoHyphens/>
            </w:pPr>
            <w:r>
              <w:t xml:space="preserve">Perumahan dan Kawasan Permukiman</w:t>
            </w:r>
          </w:p>
        </w:tc>
      </w:tr>
      <w:tr>
        <w:trPr>
          <w:cantSplit/>
        </w:trPr>
        <w:tc>
          <w:tcPr>
            <w:tcW w:w="1701" w:type="dxa"/>
          </w:tcPr>
          <w:p>
            <w:pPr>
              <w:pStyle w:val="IsiTabel"/>
              <w:suppressAutoHyphens/>
            </w:pPr>
            <w:r>
              <w:rPr>
                <w:b/>
                <w:bCs/>
              </w:rPr>
              <w:t xml:space="preserve">PP</w:t>
            </w:r>
          </w:p>
        </w:tc>
        <w:tc>
          <w:tcPr>
            <w:tcW w:w="7653" w:type="dxa"/>
          </w:tcPr>
          <w:p>
            <w:pPr>
              <w:pStyle w:val="IsiTabel"/>
              <w:suppressAutoHyphens/>
            </w:pPr>
            <w:r>
              <w:t xml:space="preserve">Peraturan Pemerintah</w:t>
            </w:r>
          </w:p>
        </w:tc>
      </w:tr>
      <w:tr>
        <w:trPr>
          <w:cantSplit/>
        </w:trPr>
        <w:tc>
          <w:tcPr>
            <w:tcW w:w="1701" w:type="dxa"/>
          </w:tcPr>
          <w:p>
            <w:pPr>
              <w:pStyle w:val="IsiTabel"/>
              <w:suppressAutoHyphens/>
            </w:pPr>
            <w:r>
              <w:rPr>
                <w:b/>
                <w:bCs/>
              </w:rPr>
              <w:t xml:space="preserve">PU</w:t>
            </w:r>
          </w:p>
        </w:tc>
        <w:tc>
          <w:tcPr>
            <w:tcW w:w="7653" w:type="dxa"/>
          </w:tcPr>
          <w:p>
            <w:pPr>
              <w:pStyle w:val="IsiTabel"/>
              <w:suppressAutoHyphens/>
            </w:pPr>
            <w:r>
              <w:t xml:space="preserve">Pekerjaan Umum</w:t>
            </w:r>
          </w:p>
        </w:tc>
      </w:tr>
      <w:tr>
        <w:trPr>
          <w:cantSplit/>
        </w:trPr>
        <w:tc>
          <w:tcPr>
            <w:tcW w:w="1701" w:type="dxa"/>
          </w:tcPr>
          <w:p>
            <w:pPr>
              <w:pStyle w:val="IsiTabel"/>
              <w:suppressAutoHyphens/>
            </w:pPr>
            <w:r>
              <w:rPr>
                <w:b/>
                <w:bCs/>
              </w:rPr>
              <w:t xml:space="preserve">PUPR</w:t>
            </w:r>
          </w:p>
        </w:tc>
        <w:tc>
          <w:tcPr>
            <w:tcW w:w="7653" w:type="dxa"/>
          </w:tcPr>
          <w:p>
            <w:pPr>
              <w:pStyle w:val="IsiTabel"/>
              <w:suppressAutoHyphens/>
            </w:pPr>
            <w:r>
              <w:t xml:space="preserve">Pekerjaan Umum dan Perumahan Rakyat</w:t>
            </w:r>
          </w:p>
        </w:tc>
      </w:tr>
      <w:tr>
        <w:trPr>
          <w:cantSplit/>
        </w:trPr>
        <w:tc>
          <w:tcPr>
            <w:tcW w:w="1701" w:type="dxa"/>
          </w:tcPr>
          <w:p>
            <w:pPr>
              <w:pStyle w:val="IsiTabel"/>
              <w:suppressAutoHyphens/>
            </w:pPr>
            <w:r>
              <w:rPr>
                <w:b/>
                <w:bCs/>
              </w:rPr>
              <w:t xml:space="preserve">PVMBG</w:t>
            </w:r>
          </w:p>
        </w:tc>
        <w:tc>
          <w:tcPr>
            <w:tcW w:w="7653" w:type="dxa"/>
          </w:tcPr>
          <w:p>
            <w:pPr>
              <w:pStyle w:val="IsiTabel"/>
              <w:suppressAutoHyphens/>
            </w:pPr>
            <w:r>
              <w:t xml:space="preserve">Pusat Vulkanologi dan Mitigasi Bencana Geologi</w:t>
            </w:r>
          </w:p>
        </w:tc>
      </w:tr>
      <w:tr>
        <w:trPr>
          <w:cantSplit/>
        </w:trPr>
        <w:tc>
          <w:tcPr>
            <w:tcW w:w="1701" w:type="dxa"/>
          </w:tcPr>
          <w:p>
            <w:pPr>
              <w:pStyle w:val="IsiTabel"/>
              <w:suppressAutoHyphens/>
            </w:pPr>
            <w:r>
              <w:rPr>
                <w:b/>
                <w:bCs/>
              </w:rPr>
              <w:t xml:space="preserve">Perban</w:t>
            </w:r>
          </w:p>
        </w:tc>
        <w:tc>
          <w:tcPr>
            <w:tcW w:w="7653" w:type="dxa"/>
          </w:tcPr>
          <w:p>
            <w:pPr>
              <w:pStyle w:val="IsiTabel"/>
              <w:suppressAutoHyphens/>
            </w:pPr>
            <w:r>
              <w:t xml:space="preserve">Peraturan Badan</w:t>
            </w:r>
          </w:p>
        </w:tc>
      </w:tr>
      <w:tr>
        <w:trPr>
          <w:cantSplit/>
        </w:trPr>
        <w:tc>
          <w:tcPr>
            <w:tcW w:w="1701" w:type="dxa"/>
          </w:tcPr>
          <w:p>
            <w:pPr>
              <w:pStyle w:val="IsiTabel"/>
              <w:suppressAutoHyphens/>
            </w:pPr>
            <w:r>
              <w:rPr>
                <w:b/>
                <w:bCs/>
              </w:rPr>
              <w:t xml:space="preserve">Perka</w:t>
            </w:r>
          </w:p>
        </w:tc>
        <w:tc>
          <w:tcPr>
            <w:tcW w:w="7653" w:type="dxa"/>
          </w:tcPr>
          <w:p>
            <w:pPr>
              <w:pStyle w:val="IsiTabel"/>
              <w:suppressAutoHyphens/>
            </w:pPr>
            <w:r>
              <w:t xml:space="preserve">Peraturan Kepala</w:t>
            </w:r>
          </w:p>
        </w:tc>
      </w:tr>
      <w:tr>
        <w:trPr>
          <w:cantSplit/>
        </w:trPr>
        <w:tc>
          <w:tcPr>
            <w:tcW w:w="1701" w:type="dxa"/>
          </w:tcPr>
          <w:p>
            <w:pPr>
              <w:pStyle w:val="IsiTabel"/>
              <w:suppressAutoHyphens/>
            </w:pPr>
            <w:r>
              <w:rPr>
                <w:b/>
                <w:bCs/>
              </w:rPr>
              <w:t xml:space="preserve">Permen</w:t>
            </w:r>
          </w:p>
        </w:tc>
        <w:tc>
          <w:tcPr>
            <w:tcW w:w="7653" w:type="dxa"/>
          </w:tcPr>
          <w:p>
            <w:pPr>
              <w:pStyle w:val="IsiTabel"/>
              <w:suppressAutoHyphens/>
            </w:pPr>
            <w:r>
              <w:t xml:space="preserve">Peraturan Menteri</w:t>
            </w:r>
          </w:p>
        </w:tc>
      </w:tr>
      <w:tr>
        <w:trPr>
          <w:cantSplit/>
        </w:trPr>
        <w:tc>
          <w:tcPr>
            <w:tcW w:w="1701" w:type="dxa"/>
          </w:tcPr>
          <w:p>
            <w:pPr>
              <w:pStyle w:val="IsiTabel"/>
              <w:suppressAutoHyphens/>
            </w:pPr>
            <w:r>
              <w:rPr>
                <w:b/>
                <w:bCs/>
              </w:rPr>
              <w:t xml:space="preserve">Perpres</w:t>
            </w:r>
          </w:p>
        </w:tc>
        <w:tc>
          <w:tcPr>
            <w:tcW w:w="7653" w:type="dxa"/>
          </w:tcPr>
          <w:p>
            <w:pPr>
              <w:pStyle w:val="IsiTabel"/>
              <w:suppressAutoHyphens/>
            </w:pPr>
            <w:r>
              <w:t xml:space="preserve">Peraturan Presiden</w:t>
            </w:r>
          </w:p>
        </w:tc>
      </w:tr>
      <w:tr>
        <w:trPr>
          <w:cantSplit/>
        </w:trPr>
        <w:tc>
          <w:tcPr>
            <w:tcW w:w="1701" w:type="dxa"/>
          </w:tcPr>
          <w:p>
            <w:pPr>
              <w:pStyle w:val="IsiTabel"/>
              <w:suppressAutoHyphens/>
            </w:pPr>
            <w:r>
              <w:rPr>
                <w:b/>
                <w:bCs/>
              </w:rPr>
              <w:t xml:space="preserve">Polri</w:t>
            </w:r>
          </w:p>
        </w:tc>
        <w:tc>
          <w:tcPr>
            <w:tcW w:w="7653" w:type="dxa"/>
          </w:tcPr>
          <w:p>
            <w:pPr>
              <w:pStyle w:val="IsiTabel"/>
              <w:suppressAutoHyphens/>
            </w:pPr>
            <w:r>
              <w:t xml:space="preserve">Kepolisian Negara Republik Indonesia</w:t>
            </w:r>
          </w:p>
        </w:tc>
      </w:tr>
      <w:tr>
        <w:trPr>
          <w:cantSplit/>
        </w:trPr>
        <w:tc>
          <w:tcPr>
            <w:tcW w:w="1701" w:type="dxa"/>
          </w:tcPr>
          <w:p>
            <w:pPr>
              <w:pStyle w:val="IsiTabel"/>
              <w:suppressAutoHyphens/>
            </w:pPr>
            <w:r>
              <w:rPr>
                <w:b/>
                <w:bCs/>
              </w:rPr>
              <w:t xml:space="preserve">Progsun</w:t>
            </w:r>
          </w:p>
        </w:tc>
        <w:tc>
          <w:tcPr>
            <w:tcW w:w="7653" w:type="dxa"/>
          </w:tcPr>
          <w:p>
            <w:pPr>
              <w:pStyle w:val="IsiTabel"/>
              <w:suppressAutoHyphens/>
            </w:pPr>
            <w:r>
              <w:t xml:space="preserve">Program Penyusunan Peraturan</w:t>
            </w:r>
          </w:p>
        </w:tc>
      </w:tr>
      <w:tr>
        <w:trPr>
          <w:cantSplit/>
        </w:trPr>
        <w:tc>
          <w:tcPr>
            <w:tcW w:w="1701" w:type="dxa"/>
          </w:tcPr>
          <w:p>
            <w:pPr>
              <w:pStyle w:val="IsiTabel"/>
              <w:suppressAutoHyphens/>
            </w:pPr>
            <w:r>
              <w:rPr>
                <w:b/>
                <w:bCs/>
              </w:rPr>
              <w:t xml:space="preserve">PuSGeN</w:t>
            </w:r>
          </w:p>
        </w:tc>
        <w:tc>
          <w:tcPr>
            <w:tcW w:w="7653" w:type="dxa"/>
          </w:tcPr>
          <w:p>
            <w:pPr>
              <w:pStyle w:val="IsiTabel"/>
              <w:suppressAutoHyphens/>
            </w:pPr>
            <w:r>
              <w:t xml:space="preserve">Pusat Studi Gempa Nasional</w:t>
            </w:r>
          </w:p>
        </w:tc>
      </w:tr>
      <w:tr>
        <w:trPr>
          <w:cantSplit/>
        </w:trPr>
        <w:tc>
          <w:tcPr>
            <w:tcW w:w="1701" w:type="dxa"/>
          </w:tcPr>
          <w:p>
            <w:pPr>
              <w:pStyle w:val="IsiTabel"/>
              <w:suppressAutoHyphens/>
            </w:pPr>
            <w:r>
              <w:rPr>
                <w:b/>
                <w:bCs/>
              </w:rPr>
              <w:t xml:space="preserve">Pusdalops</w:t>
            </w:r>
          </w:p>
        </w:tc>
        <w:tc>
          <w:tcPr>
            <w:tcW w:w="7653" w:type="dxa"/>
          </w:tcPr>
          <w:p>
            <w:pPr>
              <w:pStyle w:val="IsiTabel"/>
              <w:suppressAutoHyphens/>
            </w:pPr>
            <w:r>
              <w:t xml:space="preserve">Pusat Pengendalian Operasi</w:t>
            </w:r>
          </w:p>
        </w:tc>
      </w:tr>
      <w:tr>
        <w:trPr>
          <w:cantSplit/>
        </w:trPr>
        <w:tc>
          <w:tcPr>
            <w:tcW w:w="1701" w:type="dxa"/>
          </w:tcPr>
          <w:p>
            <w:pPr>
              <w:pStyle w:val="IsiTabel"/>
              <w:suppressAutoHyphens/>
            </w:pPr>
            <w:r>
              <w:rPr>
                <w:b/>
                <w:bCs/>
              </w:rPr>
              <w:t xml:space="preserve">Pusdatinkom</w:t>
            </w:r>
          </w:p>
        </w:tc>
        <w:tc>
          <w:tcPr>
            <w:tcW w:w="7653" w:type="dxa"/>
          </w:tcPr>
          <w:p>
            <w:pPr>
              <w:pStyle w:val="IsiTabel"/>
              <w:suppressAutoHyphens/>
            </w:pPr>
            <w:r>
              <w:t xml:space="preserve">Pusat Data, Informasi, dan Komunikasi Kebencanaan</w:t>
            </w:r>
          </w:p>
        </w:tc>
      </w:tr>
      <w:tr>
        <w:trPr>
          <w:cantSplit/>
        </w:trPr>
        <w:tc>
          <w:tcPr>
            <w:tcW w:w="1701" w:type="dxa"/>
          </w:tcPr>
          <w:p>
            <w:pPr>
              <w:pStyle w:val="IsiTabel"/>
              <w:suppressAutoHyphens/>
            </w:pPr>
            <w:r>
              <w:rPr>
                <w:b/>
                <w:bCs/>
              </w:rPr>
              <w:t xml:space="preserve">R3P</w:t>
            </w:r>
          </w:p>
        </w:tc>
        <w:tc>
          <w:tcPr>
            <w:tcW w:w="7653" w:type="dxa"/>
          </w:tcPr>
          <w:p>
            <w:pPr>
              <w:pStyle w:val="IsiTabel"/>
              <w:suppressAutoHyphens/>
            </w:pPr>
            <w:r>
              <w:t xml:space="preserve">Rencana Rehabilitasi dan Rekonstruksi Pascabencana</w:t>
            </w:r>
          </w:p>
        </w:tc>
      </w:tr>
      <w:tr>
        <w:trPr>
          <w:cantSplit/>
        </w:trPr>
        <w:tc>
          <w:tcPr>
            <w:tcW w:w="1701" w:type="dxa"/>
          </w:tcPr>
          <w:p>
            <w:pPr>
              <w:pStyle w:val="IsiTabel"/>
              <w:suppressAutoHyphens/>
            </w:pPr>
            <w:r>
              <w:rPr>
                <w:b/>
                <w:bCs/>
              </w:rPr>
              <w:t xml:space="preserve">RBI</w:t>
            </w:r>
          </w:p>
        </w:tc>
        <w:tc>
          <w:tcPr>
            <w:tcW w:w="7653" w:type="dxa"/>
          </w:tcPr>
          <w:p>
            <w:pPr>
              <w:pStyle w:val="IsiTabel"/>
              <w:suppressAutoHyphens/>
            </w:pPr>
            <w:r>
              <w:t xml:space="preserve">Risiko Bencana Indonesia</w:t>
            </w:r>
          </w:p>
        </w:tc>
      </w:tr>
      <w:tr>
        <w:trPr>
          <w:cantSplit/>
        </w:trPr>
        <w:tc>
          <w:tcPr>
            <w:tcW w:w="1701" w:type="dxa"/>
          </w:tcPr>
          <w:p>
            <w:pPr>
              <w:pStyle w:val="IsiTabel"/>
              <w:suppressAutoHyphens/>
            </w:pPr>
            <w:r>
              <w:rPr>
                <w:b/>
                <w:bCs/>
              </w:rPr>
              <w:t xml:space="preserve">RIPB</w:t>
            </w:r>
          </w:p>
        </w:tc>
        <w:tc>
          <w:tcPr>
            <w:tcW w:w="7653" w:type="dxa"/>
          </w:tcPr>
          <w:p>
            <w:pPr>
              <w:pStyle w:val="IsiTabel"/>
              <w:suppressAutoHyphens/>
            </w:pPr>
            <w:r>
              <w:t xml:space="preserve">Rencana Induk Penanggulangan Bencana</w:t>
            </w:r>
          </w:p>
        </w:tc>
      </w:tr>
      <w:tr>
        <w:trPr>
          <w:cantSplit/>
        </w:trPr>
        <w:tc>
          <w:tcPr>
            <w:tcW w:w="1701" w:type="dxa"/>
          </w:tcPr>
          <w:p>
            <w:pPr>
              <w:pStyle w:val="IsiTabel"/>
              <w:suppressAutoHyphens/>
            </w:pPr>
            <w:r>
              <w:rPr>
                <w:b/>
                <w:bCs/>
              </w:rPr>
              <w:t xml:space="preserve">RPBD</w:t>
            </w:r>
          </w:p>
        </w:tc>
        <w:tc>
          <w:tcPr>
            <w:tcW w:w="7653" w:type="dxa"/>
          </w:tcPr>
          <w:p>
            <w:pPr>
              <w:pStyle w:val="IsiTabel"/>
              <w:suppressAutoHyphens/>
            </w:pPr>
            <w:r>
              <w:t xml:space="preserve">Rencana Penanggulangan Bencana Daerah</w:t>
            </w:r>
          </w:p>
        </w:tc>
      </w:tr>
      <w:tr>
        <w:trPr>
          <w:cantSplit/>
        </w:trPr>
        <w:tc>
          <w:tcPr>
            <w:tcW w:w="1701" w:type="dxa"/>
          </w:tcPr>
          <w:p>
            <w:pPr>
              <w:pStyle w:val="IsiTabel"/>
              <w:suppressAutoHyphens/>
            </w:pPr>
            <w:r>
              <w:rPr>
                <w:b/>
                <w:bCs/>
              </w:rPr>
              <w:t xml:space="preserve">RPJMN</w:t>
            </w:r>
          </w:p>
        </w:tc>
        <w:tc>
          <w:tcPr>
            <w:tcW w:w="7653" w:type="dxa"/>
          </w:tcPr>
          <w:p>
            <w:pPr>
              <w:pStyle w:val="IsiTabel"/>
              <w:suppressAutoHyphens/>
            </w:pPr>
            <w:r>
              <w:t xml:space="preserve">Rencana Pembangunan Jangka Menengah Nasional</w:t>
            </w:r>
          </w:p>
        </w:tc>
      </w:tr>
      <w:tr>
        <w:trPr>
          <w:cantSplit/>
        </w:trPr>
        <w:tc>
          <w:tcPr>
            <w:tcW w:w="1701" w:type="dxa"/>
          </w:tcPr>
          <w:p>
            <w:pPr>
              <w:pStyle w:val="IsiTabel"/>
              <w:suppressAutoHyphens/>
            </w:pPr>
            <w:r>
              <w:rPr>
                <w:b/>
                <w:bCs/>
              </w:rPr>
              <w:t xml:space="preserve">RPKB</w:t>
            </w:r>
          </w:p>
        </w:tc>
        <w:tc>
          <w:tcPr>
            <w:tcW w:w="7653" w:type="dxa"/>
          </w:tcPr>
          <w:p>
            <w:pPr>
              <w:pStyle w:val="IsiTabel"/>
              <w:suppressAutoHyphens/>
            </w:pPr>
            <w:r>
              <w:t xml:space="preserve">Rencana Penanggulangan Kedaruratan Bencana</w:t>
            </w:r>
          </w:p>
        </w:tc>
      </w:tr>
      <w:tr>
        <w:trPr>
          <w:cantSplit/>
        </w:trPr>
        <w:tc>
          <w:tcPr>
            <w:tcW w:w="1701" w:type="dxa"/>
          </w:tcPr>
          <w:p>
            <w:pPr>
              <w:pStyle w:val="IsiTabel"/>
              <w:suppressAutoHyphens/>
            </w:pPr>
            <w:r>
              <w:rPr>
                <w:b/>
                <w:bCs/>
              </w:rPr>
              <w:t xml:space="preserve">RPSDA</w:t>
            </w:r>
          </w:p>
        </w:tc>
        <w:tc>
          <w:tcPr>
            <w:tcW w:w="7653" w:type="dxa"/>
          </w:tcPr>
          <w:p>
            <w:pPr>
              <w:pStyle w:val="IsiTabel"/>
              <w:suppressAutoHyphens/>
            </w:pPr>
            <w:r>
              <w:t xml:space="preserve">Rencana Pengelolaan Sumber Daya Air</w:t>
            </w:r>
          </w:p>
        </w:tc>
      </w:tr>
      <w:tr>
        <w:trPr>
          <w:cantSplit/>
        </w:trPr>
        <w:tc>
          <w:tcPr>
            <w:tcW w:w="1701" w:type="dxa"/>
          </w:tcPr>
          <w:p>
            <w:pPr>
              <w:pStyle w:val="IsiTabel"/>
              <w:suppressAutoHyphens/>
            </w:pPr>
            <w:r>
              <w:rPr>
                <w:b/>
                <w:bCs/>
              </w:rPr>
              <w:t xml:space="preserve">RTD</w:t>
            </w:r>
          </w:p>
        </w:tc>
        <w:tc>
          <w:tcPr>
            <w:tcW w:w="7653" w:type="dxa"/>
          </w:tcPr>
          <w:p>
            <w:pPr>
              <w:pStyle w:val="IsiTabel"/>
              <w:suppressAutoHyphens/>
            </w:pPr>
            <w:r>
              <w:t xml:space="preserve">Rencana Tindak Darurat</w:t>
            </w:r>
          </w:p>
        </w:tc>
      </w:tr>
      <w:tr>
        <w:trPr>
          <w:cantSplit/>
        </w:trPr>
        <w:tc>
          <w:tcPr>
            <w:tcW w:w="1701" w:type="dxa"/>
          </w:tcPr>
          <w:p>
            <w:pPr>
              <w:pStyle w:val="IsiTabel"/>
              <w:suppressAutoHyphens/>
            </w:pPr>
            <w:r>
              <w:rPr>
                <w:b/>
                <w:bCs/>
              </w:rPr>
              <w:t xml:space="preserve">RWCS</w:t>
            </w:r>
          </w:p>
        </w:tc>
        <w:tc>
          <w:tcPr>
            <w:tcW w:w="7653" w:type="dxa"/>
          </w:tcPr>
          <w:p>
            <w:pPr>
              <w:pStyle w:val="IsiTabel"/>
              <w:suppressAutoHyphens/>
            </w:pPr>
            <w:r>
              <w:t xml:space="preserve">Reasonable Worst Case Scenario</w:t>
            </w:r>
          </w:p>
        </w:tc>
      </w:tr>
      <w:tr>
        <w:trPr>
          <w:cantSplit/>
        </w:trPr>
        <w:tc>
          <w:tcPr>
            <w:tcW w:w="1701" w:type="dxa"/>
          </w:tcPr>
          <w:p>
            <w:pPr>
              <w:pStyle w:val="IsiTabel"/>
              <w:suppressAutoHyphens/>
            </w:pPr>
            <w:r>
              <w:rPr>
                <w:b/>
                <w:bCs/>
              </w:rPr>
              <w:t xml:space="preserve">Renas</w:t>
            </w:r>
          </w:p>
        </w:tc>
        <w:tc>
          <w:tcPr>
            <w:tcW w:w="7653" w:type="dxa"/>
          </w:tcPr>
          <w:p>
            <w:pPr>
              <w:pStyle w:val="IsiTabel"/>
              <w:suppressAutoHyphens/>
            </w:pPr>
            <w:r>
              <w:t xml:space="preserve">Rencana Nasional</w:t>
            </w:r>
          </w:p>
        </w:tc>
      </w:tr>
      <w:tr>
        <w:trPr>
          <w:cantSplit/>
        </w:trPr>
        <w:tc>
          <w:tcPr>
            <w:tcW w:w="1701" w:type="dxa"/>
          </w:tcPr>
          <w:p>
            <w:pPr>
              <w:pStyle w:val="IsiTabel"/>
              <w:suppressAutoHyphens/>
            </w:pPr>
            <w:r>
              <w:rPr>
                <w:b/>
                <w:bCs/>
              </w:rPr>
              <w:t xml:space="preserve">Renstra</w:t>
            </w:r>
          </w:p>
        </w:tc>
        <w:tc>
          <w:tcPr>
            <w:tcW w:w="7653" w:type="dxa"/>
          </w:tcPr>
          <w:p>
            <w:pPr>
              <w:pStyle w:val="IsiTabel"/>
              <w:suppressAutoHyphens/>
            </w:pPr>
            <w:r>
              <w:t xml:space="preserve">Rencana Strategis</w:t>
            </w:r>
          </w:p>
        </w:tc>
      </w:tr>
      <w:tr>
        <w:trPr>
          <w:cantSplit/>
        </w:trPr>
        <w:tc>
          <w:tcPr>
            <w:tcW w:w="1701" w:type="dxa"/>
          </w:tcPr>
          <w:p>
            <w:pPr>
              <w:pStyle w:val="IsiTabel"/>
              <w:suppressAutoHyphens/>
            </w:pPr>
            <w:r>
              <w:rPr>
                <w:b/>
                <w:bCs/>
              </w:rPr>
              <w:t xml:space="preserve">SDA</w:t>
            </w:r>
          </w:p>
        </w:tc>
        <w:tc>
          <w:tcPr>
            <w:tcW w:w="7653" w:type="dxa"/>
          </w:tcPr>
          <w:p>
            <w:pPr>
              <w:pStyle w:val="IsiTabel"/>
              <w:suppressAutoHyphens/>
            </w:pPr>
            <w:r>
              <w:t xml:space="preserve">Sumber Daya Air</w:t>
            </w:r>
          </w:p>
        </w:tc>
      </w:tr>
      <w:tr>
        <w:trPr>
          <w:cantSplit/>
        </w:trPr>
        <w:tc>
          <w:tcPr>
            <w:tcW w:w="1701" w:type="dxa"/>
          </w:tcPr>
          <w:p>
            <w:pPr>
              <w:pStyle w:val="IsiTabel"/>
              <w:suppressAutoHyphens/>
            </w:pPr>
            <w:r>
              <w:rPr>
                <w:b/>
                <w:bCs/>
              </w:rPr>
              <w:t xml:space="preserve">SKPDB</w:t>
            </w:r>
          </w:p>
        </w:tc>
        <w:tc>
          <w:tcPr>
            <w:tcW w:w="7653" w:type="dxa"/>
          </w:tcPr>
          <w:p>
            <w:pPr>
              <w:pStyle w:val="IsiTabel"/>
              <w:suppressAutoHyphens/>
            </w:pPr>
            <w:r>
              <w:t xml:space="preserve">Sistem Komando Penanganan Darurat Bencana</w:t>
            </w:r>
          </w:p>
        </w:tc>
      </w:tr>
      <w:tr>
        <w:trPr>
          <w:cantSplit/>
        </w:trPr>
        <w:tc>
          <w:tcPr>
            <w:tcW w:w="1701" w:type="dxa"/>
          </w:tcPr>
          <w:p>
            <w:pPr>
              <w:pStyle w:val="IsiTabel"/>
              <w:suppressAutoHyphens/>
            </w:pPr>
            <w:r>
              <w:rPr>
                <w:b/>
                <w:bCs/>
              </w:rPr>
              <w:t xml:space="preserve">SNPK</w:t>
            </w:r>
          </w:p>
        </w:tc>
        <w:tc>
          <w:tcPr>
            <w:tcW w:w="7653" w:type="dxa"/>
          </w:tcPr>
          <w:p>
            <w:pPr>
              <w:pStyle w:val="IsiTabel"/>
              <w:suppressAutoHyphens/>
            </w:pPr>
            <w:r>
              <w:t xml:space="preserve">Sistem Nasional Pemantauan Kekerasan</w:t>
            </w:r>
          </w:p>
        </w:tc>
      </w:tr>
      <w:tr>
        <w:trPr>
          <w:cantSplit/>
        </w:trPr>
        <w:tc>
          <w:tcPr>
            <w:tcW w:w="1701" w:type="dxa"/>
          </w:tcPr>
          <w:p>
            <w:pPr>
              <w:pStyle w:val="IsiTabel"/>
              <w:suppressAutoHyphens/>
            </w:pPr>
            <w:r>
              <w:rPr>
                <w:b/>
                <w:bCs/>
              </w:rPr>
              <w:t xml:space="preserve">SPAB</w:t>
            </w:r>
          </w:p>
        </w:tc>
        <w:tc>
          <w:tcPr>
            <w:tcW w:w="7653" w:type="dxa"/>
          </w:tcPr>
          <w:p>
            <w:pPr>
              <w:pStyle w:val="IsiTabel"/>
              <w:suppressAutoHyphens/>
            </w:pPr>
            <w:r>
              <w:t xml:space="preserve">Satuan Pendidikan Aman Bencana</w:t>
            </w:r>
          </w:p>
        </w:tc>
      </w:tr>
      <w:tr>
        <w:trPr>
          <w:cantSplit/>
        </w:trPr>
        <w:tc>
          <w:tcPr>
            <w:tcW w:w="1701" w:type="dxa"/>
          </w:tcPr>
          <w:p>
            <w:pPr>
              <w:pStyle w:val="IsiTabel"/>
              <w:suppressAutoHyphens/>
            </w:pPr>
            <w:r>
              <w:rPr>
                <w:b/>
                <w:bCs/>
              </w:rPr>
              <w:t xml:space="preserve">SPAM</w:t>
            </w:r>
          </w:p>
        </w:tc>
        <w:tc>
          <w:tcPr>
            <w:tcW w:w="7653" w:type="dxa"/>
          </w:tcPr>
          <w:p>
            <w:pPr>
              <w:pStyle w:val="IsiTabel"/>
              <w:suppressAutoHyphens/>
            </w:pPr>
            <w:r>
              <w:t xml:space="preserve">Sistem Penyediaan Air Minum</w:t>
            </w:r>
          </w:p>
        </w:tc>
      </w:tr>
      <w:tr>
        <w:trPr>
          <w:cantSplit/>
        </w:trPr>
        <w:tc>
          <w:tcPr>
            <w:tcW w:w="1701" w:type="dxa"/>
          </w:tcPr>
          <w:p>
            <w:pPr>
              <w:pStyle w:val="IsiTabel"/>
              <w:suppressAutoHyphens/>
            </w:pPr>
            <w:r>
              <w:rPr>
                <w:b/>
                <w:bCs/>
              </w:rPr>
              <w:t xml:space="preserve">SPM</w:t>
            </w:r>
          </w:p>
        </w:tc>
        <w:tc>
          <w:tcPr>
            <w:tcW w:w="7653" w:type="dxa"/>
          </w:tcPr>
          <w:p>
            <w:pPr>
              <w:pStyle w:val="IsiTabel"/>
              <w:suppressAutoHyphens/>
            </w:pPr>
            <w:r>
              <w:t xml:space="preserve">Standar Pelayanan Minimal</w:t>
            </w:r>
          </w:p>
        </w:tc>
      </w:tr>
      <w:tr>
        <w:trPr>
          <w:cantSplit/>
        </w:trPr>
        <w:tc>
          <w:tcPr>
            <w:tcW w:w="1701" w:type="dxa"/>
          </w:tcPr>
          <w:p>
            <w:pPr>
              <w:pStyle w:val="IsiTabel"/>
              <w:suppressAutoHyphens/>
            </w:pPr>
            <w:r>
              <w:rPr>
                <w:b/>
                <w:bCs/>
              </w:rPr>
              <w:t xml:space="preserve">SUPAS</w:t>
            </w:r>
          </w:p>
        </w:tc>
        <w:tc>
          <w:tcPr>
            <w:tcW w:w="7653" w:type="dxa"/>
          </w:tcPr>
          <w:p>
            <w:pPr>
              <w:pStyle w:val="IsiTabel"/>
              <w:suppressAutoHyphens/>
            </w:pPr>
            <w:r>
              <w:t xml:space="preserve">Survei Penduduk Antar Sensus</w:t>
            </w:r>
          </w:p>
        </w:tc>
      </w:tr>
      <w:tr>
        <w:trPr>
          <w:cantSplit/>
        </w:trPr>
        <w:tc>
          <w:tcPr>
            <w:tcW w:w="1701" w:type="dxa"/>
          </w:tcPr>
          <w:p>
            <w:pPr>
              <w:pStyle w:val="IsiTabel"/>
              <w:suppressAutoHyphens/>
            </w:pPr>
            <w:r>
              <w:rPr>
                <w:b/>
                <w:bCs/>
              </w:rPr>
              <w:t xml:space="preserve">TNI</w:t>
            </w:r>
          </w:p>
        </w:tc>
        <w:tc>
          <w:tcPr>
            <w:tcW w:w="7653" w:type="dxa"/>
          </w:tcPr>
          <w:p>
            <w:pPr>
              <w:pStyle w:val="IsiTabel"/>
              <w:suppressAutoHyphens/>
            </w:pPr>
            <w:r>
              <w:t xml:space="preserve">Tentara Nasional Indonesia</w:t>
            </w:r>
          </w:p>
        </w:tc>
      </w:tr>
      <w:tr>
        <w:trPr>
          <w:cantSplit/>
        </w:trPr>
        <w:tc>
          <w:tcPr>
            <w:tcW w:w="1701" w:type="dxa"/>
          </w:tcPr>
          <w:p>
            <w:pPr>
              <w:pStyle w:val="IsiTabel"/>
              <w:suppressAutoHyphens/>
            </w:pPr>
            <w:r>
              <w:rPr>
                <w:b/>
                <w:bCs/>
              </w:rPr>
              <w:t xml:space="preserve">TPA</w:t>
            </w:r>
          </w:p>
        </w:tc>
        <w:tc>
          <w:tcPr>
            <w:tcW w:w="7653" w:type="dxa"/>
          </w:tcPr>
          <w:p>
            <w:pPr>
              <w:pStyle w:val="IsiTabel"/>
              <w:suppressAutoHyphens/>
            </w:pPr>
            <w:r>
              <w:t xml:space="preserve">Tempat Pemrosesan Akhir</w:t>
            </w:r>
          </w:p>
        </w:tc>
      </w:tr>
      <w:tr>
        <w:trPr>
          <w:cantSplit/>
        </w:trPr>
        <w:tc>
          <w:tcPr>
            <w:tcW w:w="1701" w:type="dxa"/>
          </w:tcPr>
          <w:p>
            <w:pPr>
              <w:pStyle w:val="IsiTabel"/>
              <w:suppressAutoHyphens/>
            </w:pPr>
            <w:r>
              <w:rPr>
                <w:b/>
                <w:bCs/>
              </w:rPr>
              <w:t xml:space="preserve">TPST</w:t>
            </w:r>
          </w:p>
        </w:tc>
        <w:tc>
          <w:tcPr>
            <w:tcW w:w="7653" w:type="dxa"/>
          </w:tcPr>
          <w:p>
            <w:pPr>
              <w:pStyle w:val="IsiTabel"/>
              <w:suppressAutoHyphens/>
            </w:pPr>
            <w:r>
              <w:t xml:space="preserve">Tempat Pengolahan Sampah Terpadu</w:t>
            </w:r>
          </w:p>
        </w:tc>
      </w:tr>
      <w:tr>
        <w:trPr>
          <w:cantSplit/>
        </w:trPr>
        <w:tc>
          <w:tcPr>
            <w:tcW w:w="1701" w:type="dxa"/>
          </w:tcPr>
          <w:p>
            <w:pPr>
              <w:pStyle w:val="IsiTabel"/>
              <w:suppressAutoHyphens/>
            </w:pPr>
            <w:r>
              <w:rPr>
                <w:b/>
                <w:bCs/>
              </w:rPr>
              <w:t xml:space="preserve">USGS</w:t>
            </w:r>
          </w:p>
        </w:tc>
        <w:tc>
          <w:tcPr>
            <w:tcW w:w="7653" w:type="dxa"/>
          </w:tcPr>
          <w:p>
            <w:pPr>
              <w:pStyle w:val="IsiTabel"/>
              <w:suppressAutoHyphens/>
            </w:pPr>
            <w:r>
              <w:t xml:space="preserve">United States Geological Survey</w:t>
            </w:r>
          </w:p>
        </w:tc>
      </w:tr>
      <w:tr>
        <w:trPr>
          <w:cantSplit/>
        </w:trPr>
        <w:tc>
          <w:tcPr>
            <w:tcW w:w="1701" w:type="dxa"/>
          </w:tcPr>
          <w:p>
            <w:pPr>
              <w:pStyle w:val="IsiTabel"/>
              <w:suppressAutoHyphens/>
            </w:pPr>
            <w:r>
              <w:rPr>
                <w:b/>
                <w:bCs/>
              </w:rPr>
              <w:t xml:space="preserve">UU</w:t>
            </w:r>
          </w:p>
        </w:tc>
        <w:tc>
          <w:tcPr>
            <w:tcW w:w="7653" w:type="dxa"/>
          </w:tcPr>
          <w:p>
            <w:pPr>
              <w:pStyle w:val="IsiTabel"/>
              <w:suppressAutoHyphens/>
            </w:pPr>
            <w:r>
              <w:t xml:space="preserve">Undang-Undang</w:t>
            </w:r>
          </w:p>
        </w:tc>
      </w:tr>
      <w:tr>
        <w:trPr>
          <w:cantSplit/>
        </w:trPr>
        <w:tc>
          <w:tcPr>
            <w:tcW w:w="1701" w:type="dxa"/>
          </w:tcPr>
          <w:p>
            <w:pPr>
              <w:pStyle w:val="IsiTabel"/>
              <w:suppressAutoHyphens/>
            </w:pPr>
            <w:r>
              <w:rPr>
                <w:b/>
                <w:bCs/>
              </w:rPr>
              <w:t xml:space="preserve">WHO</w:t>
            </w:r>
          </w:p>
        </w:tc>
        <w:tc>
          <w:tcPr>
            <w:tcW w:w="7653" w:type="dxa"/>
          </w:tcPr>
          <w:p>
            <w:pPr>
              <w:pStyle w:val="IsiTabel"/>
              <w:suppressAutoHyphens/>
            </w:pPr>
            <w:r>
              <w:t xml:space="preserve">World Health Organization</w:t>
            </w:r>
          </w:p>
        </w:tc>
      </w:tr>
      <w:tr>
        <w:trPr>
          <w:cantSplit/>
        </w:trPr>
        <w:tc>
          <w:tcPr>
            <w:tcW w:w="1701" w:type="dxa"/>
          </w:tcPr>
          <w:p>
            <w:pPr>
              <w:pStyle w:val="IsiTabel"/>
              <w:suppressAutoHyphens/>
            </w:pPr>
            <w:r>
              <w:rPr>
                <w:b/>
                <w:bCs/>
              </w:rPr>
              <w:t xml:space="preserve">WMO</w:t>
            </w:r>
          </w:p>
        </w:tc>
        <w:tc>
          <w:tcPr>
            <w:tcW w:w="7653" w:type="dxa"/>
          </w:tcPr>
          <w:p>
            <w:pPr>
              <w:pStyle w:val="IsiTabel"/>
              <w:suppressAutoHyphens/>
            </w:pPr>
            <w:r>
              <w:t xml:space="preserve">World Meteorological Organization</w:t>
            </w:r>
          </w:p>
        </w:tc>
      </w:tr>
      <w:tr>
        <w:trPr>
          <w:cantSplit/>
        </w:trPr>
        <w:tc>
          <w:tcPr>
            <w:tcW w:w="1701" w:type="dxa"/>
          </w:tcPr>
          <w:p>
            <w:pPr>
              <w:pStyle w:val="IsiTabel"/>
              <w:suppressAutoHyphens/>
            </w:pPr>
            <w:r>
              <w:rPr>
                <w:b/>
                <w:bCs/>
              </w:rPr>
              <w:t xml:space="preserve">WS</w:t>
            </w:r>
          </w:p>
        </w:tc>
        <w:tc>
          <w:tcPr>
            <w:tcW w:w="7653" w:type="dxa"/>
          </w:tcPr>
          <w:p>
            <w:pPr>
              <w:pStyle w:val="IsiTabel"/>
              <w:suppressAutoHyphens/>
            </w:pPr>
            <w:r>
              <w:t xml:space="preserve">Wilayah Sungai</w:t>
            </w:r>
          </w:p>
        </w:tc>
      </w:tr>
      <w:tr>
        <w:trPr>
          <w:cantSplit/>
        </w:trPr>
        <w:tc>
          <w:tcPr>
            <w:tcW w:w="1701" w:type="dxa"/>
          </w:tcPr>
          <w:p>
            <w:pPr>
              <w:pStyle w:val="IsiTabel"/>
              <w:suppressAutoHyphens/>
            </w:pPr>
            <w:r>
              <w:rPr>
                <w:b/>
                <w:bCs/>
              </w:rPr>
              <w:t xml:space="preserve">YLL</w:t>
            </w:r>
          </w:p>
        </w:tc>
        <w:tc>
          <w:tcPr>
            <w:tcW w:w="7653" w:type="dxa"/>
          </w:tcPr>
          <w:p>
            <w:pPr>
              <w:pStyle w:val="IsiTabel"/>
              <w:suppressAutoHyphens/>
            </w:pPr>
            <w:r>
              <w:t xml:space="preserve">Years of Life Lost</w:t>
            </w:r>
          </w:p>
        </w:tc>
      </w:tr>
      <w:tr>
        <w:trPr>
          <w:cantSplit/>
        </w:trPr>
        <w:tc>
          <w:tcPr>
            <w:tcW w:w="1701" w:type="dxa"/>
          </w:tcPr>
          <w:p>
            <w:pPr>
              <w:pStyle w:val="IsiTabel"/>
              <w:suppressAutoHyphens/>
            </w:pPr>
            <w:r>
              <w:rPr>
                <w:b/>
                <w:bCs/>
              </w:rPr>
              <w:t xml:space="preserve">ZOM</w:t>
            </w:r>
          </w:p>
        </w:tc>
        <w:tc>
          <w:tcPr>
            <w:tcW w:w="7653" w:type="dxa"/>
          </w:tcPr>
          <w:p>
            <w:pPr>
              <w:pStyle w:val="IsiTabel"/>
              <w:suppressAutoHyphens/>
            </w:pPr>
            <w:r>
              <w:t xml:space="preserve">Zona Musim</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p>
    <w:p>
      <w:pPr>
        <w:pBdr>
          <w:top w:val="single" w:sz="16" w:space="0" w:color="D9600B"/>
        </w:pBdr>
        <w:spacing w:before="0" w:after="80" w:line="60" w:lineRule="exact"/>
        <w:ind w:right="8674"/>
      </w:pPr>
    </w:p>
    <w:p>
      <w:pPr>
        <w:pStyle w:val="Heading1"/>
        <w:numPr>
          <w:ilvl w:val="0"/>
          <w:numId w:val="901"/>
        </w:numPr>
      </w:pPr>
      <w:bookmarkStart w:id="34" w:name="_Toc00020"/>
      <w:r>
        <w:rPr>
          <w:sz w:val="18"/>
          <w:szCs w:val="18"/>
        </w:rPr>
        <w:br/>
      </w:r>
      <w:bookmarkStart w:id="33" w:name="_Ref0009"/>
      <w:r>
        <w:t xml:space="preserve">PENDAHULUAN</w:t>
      </w:r>
      <w:bookmarkEnd w:id="33"/>
      <w:bookmarkEnd w:id="34"/>
    </w:p>
    <w:p>
      <w:pPr>
        <w:pStyle w:val="Pertanyaan"/>
      </w:pPr>
      <w:r>
        <w:t xml:space="preserve">Mengapa korban bencana 2025 menuntut Grand Design sekarang, meskipun nilai IRB 2024 turun? Bagaimana kajian ini menjadi masukan peninjauan Renas PB 2025–2029? Jenis bencana apa yang dicakup, dan apa arti kerusuhan sosial dan mitigasi dalam kajian ini?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3" name="Gambar 13"/>
                  <wp:cNvGraphicFramePr>
                    <a:graphicFrameLocks noChangeAspect="1"/>
                  </wp:cNvGraphicFramePr>
                  <a:graphic>
                    <a:graphicData uri="http://schemas.openxmlformats.org/drawingml/2006/picture">
                      <pic:pic>
                        <pic:nvPicPr>
                          <pic:cNvPr id="13"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1.956</w:t>
            </w:r>
            <w:r>
              <w:t xml:space="preserve"> jiwa meninggal dan hilang akibat bencana alam pada 2025, tertinggi sejak 2018 dan </w:t>
            </w:r>
            <w:r>
              <w:t xml:space="preserve">3,4</w:t>
            </w:r>
            <w:r>
              <w:t xml:space="preserve"> kali median 2015–2024; </w:t>
            </w:r>
            <w:r>
              <w:t xml:space="preserve">68,6%</w:t>
            </w:r>
            <w:r>
              <w:t xml:space="preserve"> di antaranya berasal dari satu rangkaian banjir dan longsor di Sumatra pada akhir November 2025.</w:t>
            </w:r>
          </w:p>
          <w:p>
            <w:pPr>
              <w:pStyle w:val="DaftarKotak"/>
              <w:numPr>
                <w:ilvl w:val="0"/>
                <w:numId w:val="1"/>
              </w:numPr>
            </w:pPr>
            <w:r>
              <w:t xml:space="preserve">0,68</w:t>
            </w:r>
            <w:r>
              <w:t xml:space="preserve"> meninggal dan hilang per 100.000 penduduk (proksi penyusun) pada 2025, di atas proyeksi 2025 indikator 1.a Rencana Nasional Penanggulangan Bencana (Renas PB) 2025–2029 (</w:t>
            </w:r>
            <w:r>
              <w:t xml:space="preserve">0,22</w:t>
            </w:r>
            <w:r>
              <w:t xml:space="preserve">). Indeks Risiko Bencana (IRB) nasional </w:t>
            </w:r>
            <w:r>
              <w:t xml:space="preserve">turun 10,76%</w:t>
            </w:r>
            <w:r>
              <w:t xml:space="preserve"> pada 2019–2024 dan turun </w:t>
            </w:r>
            <w:r>
              <w:t xml:space="preserve">1,03%</w:t>
            </w:r>
            <w:r>
              <w:t xml:space="preserve"> pada 2025 terhadap target </w:t>
            </w:r>
            <w:r>
              <w:t xml:space="preserve">1,2%</w:t>
            </w:r>
            <w:r>
              <w:t xml:space="preserve">; indeks itu tidak mengukur korban tercatat.</w:t>
            </w:r>
          </w:p>
          <w:p>
            <w:pPr>
              <w:pStyle w:val="DaftarKotak"/>
              <w:numPr>
                <w:ilvl w:val="0"/>
                <w:numId w:val="1"/>
              </w:numPr>
            </w:pPr>
            <w:r>
              <w:t xml:space="preserve">11</w:t>
            </w:r>
            <w:r>
              <w:t xml:space="preserve"> rancangan dalam Program Penyusunan Peraturan Badan Nasional Penanggulangan Bencana (BNPB) 2026 tanpa perubahan Renas PB; perubahan sasaran dan indikator hanya tertampung jalur peninjauan berkala yang berakhir 2027.</w:t>
            </w:r>
          </w:p>
          <w:p>
            <w:pPr>
              <w:pStyle w:val="IsiKotak"/>
            </w:pPr>
            <w:r>
              <w:rPr>
                <w:b/>
                <w:bCs/>
                <w:color w:val="1A1A1A"/>
              </w:rPr>
              <w:t xml:space="preserve">Angka kunci: </w:t>
            </w:r>
          </w:p>
          <w:p>
            <w:pPr>
              <w:pStyle w:val="DaftarKotak"/>
              <w:numPr>
                <w:ilvl w:val="0"/>
                <w:numId w:val="1"/>
              </w:numPr>
            </w:pPr>
            <w:r>
              <w:t xml:space="preserve">1.735</w:t>
            </w:r>
            <w:r>
              <w:t xml:space="preserve"> meninggal dan </w:t>
            </w:r>
            <w:r>
              <w:t xml:space="preserve">221</w:t>
            </w:r>
            <w:r>
              <w:t xml:space="preserve"> hilang akibat bencana alam, 2025 </w:t>
            </w:r>
            <w:r>
              <w:t xml:space="preserve">(BNPB, t.t.-a)</w:t>
            </w:r>
            <w:r>
              <w:t xml:space="preserve">.</w:t>
            </w:r>
          </w:p>
          <w:p>
            <w:pPr>
              <w:pStyle w:val="DaftarKotak"/>
              <w:numPr>
                <w:ilvl w:val="0"/>
                <w:numId w:val="1"/>
              </w:numPr>
            </w:pPr>
            <w:r>
              <w:t xml:space="preserve">1.666</w:t>
            </w:r>
            <w:r>
              <w:t xml:space="preserve"> meninggal dan </w:t>
            </w:r>
            <w:r>
              <w:t xml:space="preserve">214</w:t>
            </w:r>
            <w:r>
              <w:t xml:space="preserve"> hilang akibat bencana, 2025, menurut data terverifikasi Laporan Kinerja Instansi Pemerintah (LKIP) BNPB 2025 </w:t>
            </w:r>
            <w:r>
              <w:t xml:space="preserve">(BNPB, 2026c, hlm. 7)</w:t>
            </w:r>
            <w:r>
              <w:t xml:space="preserve">.</w:t>
            </w:r>
          </w:p>
          <w:p>
            <w:pPr>
              <w:pStyle w:val="DaftarKotak"/>
              <w:numPr>
                <w:ilvl w:val="0"/>
                <w:numId w:val="1"/>
              </w:numPr>
            </w:pPr>
            <w:r>
              <w:t xml:space="preserve">1.202</w:t>
            </w:r>
            <w:r>
              <w:t xml:space="preserve"> meninggal, </w:t>
            </w:r>
            <w:r>
              <w:t xml:space="preserve">140</w:t>
            </w:r>
            <w:r>
              <w:t xml:space="preserve"> hilang, dan </w:t>
            </w:r>
            <w:r>
              <w:t xml:space="preserve">970.876</w:t>
            </w:r>
            <w:r>
              <w:t xml:space="preserve"> mengungsi dalam banjir dan longsor Aceh, Sumatera Utara, dan Sumatera Barat, November–Desember 2025 </w:t>
            </w:r>
            <w:r>
              <w:t xml:space="preserve">(BNPB, t.t.-a)</w:t>
            </w:r>
            <w:r>
              <w:t xml:space="preserve">.</w:t>
            </w:r>
          </w:p>
          <w:p>
            <w:pPr>
              <w:pStyle w:val="DaftarKotak"/>
              <w:numPr>
                <w:ilvl w:val="0"/>
                <w:numId w:val="1"/>
              </w:numPr>
            </w:pPr>
            <w:r>
              <w:t xml:space="preserve">128,52</w:t>
            </w:r>
            <w:r>
              <w:t xml:space="preserve">, nilai IRB nasional 2024, dari </w:t>
            </w:r>
            <w:r>
              <w:t xml:space="preserve">144,02</w:t>
            </w:r>
            <w:r>
              <w:t xml:space="preserve"> pada 2019 menurut Rencana Strategis (Renstra) BNPB 2025–2029 </w:t>
            </w:r>
            <w:r>
              <w:t xml:space="preserve">(BNPB, 2025e, hlm. 52)</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_Ref0077 \h \* CHARFORMAT </w:instrText>
            </w:r>
            <w:r>
              <w:fldChar w:fldCharType="separate"/>
            </w:r>
            <w:r>
              <w:t xml:space="preserve">09</w:t>
            </w:r>
            <w:r>
              <w:fldChar w:fldCharType="end"/>
            </w:r>
            <w:r>
              <w:t xml:space="preserve"> Ajukan rapat koordinasi peninjauan Renas PB (Usulan baru; Biro Perencanaan dengan Direktorat Pengembangan Strategi Penanggulangan Bencana; Kementerian Koordinator Bidang Pembangunan Manusia dan Kebudayaan; 100 hari).</w:t>
            </w:r>
          </w:p>
          <w:p>
            <w:pPr>
              <w:pStyle w:val="DaftarKotak"/>
              <w:numPr>
                <w:ilvl w:val="0"/>
                <w:numId w:val="1"/>
              </w:numPr>
            </w:pPr>
            <w:r>
              <w:fldChar w:fldCharType="begin"/>
            </w:r>
            <w:r>
              <w:instrText xml:space="preserve"> REF _Ref0086 \h \* CHARFORMAT </w:instrText>
            </w:r>
            <w:r>
              <w:fldChar w:fldCharType="separate"/>
            </w:r>
            <w:r>
              <w:t xml:space="preserve">10</w:t>
            </w:r>
            <w:r>
              <w:fldChar w:fldCharType="end"/>
            </w:r>
            <w:r>
              <w:t xml:space="preserve"> Tugaskan catatan metode Indeks Risiko Bencana Indonesia (IRBI) 2025 (Sudah ada, perlu dikembangkan; Direktorat Pemetaan dan Evaluasi Risiko Bencana dengan Pusat Data, Informasi, dan Komunikasi Kebencanaan; internal BNPB; 100 hari, penugasan dalam 14 hari pertama dan catatan terbit paling lambat hari ke-100).</w:t>
            </w:r>
          </w:p>
          <w:p>
            <w:pPr>
              <w:pStyle w:val="DaftarKotak"/>
              <w:numPr>
                <w:ilvl w:val="0"/>
                <w:numId w:val="1"/>
              </w:numPr>
            </w:pPr>
            <w:r>
              <w:fldChar w:fldCharType="begin"/>
            </w:r>
            <w:r>
              <w:instrText xml:space="preserve"> REF _Ref0087 \h \* CHARFORMAT </w:instrText>
            </w:r>
            <w:r>
              <w:fldChar w:fldCharType="separate"/>
            </w:r>
            <w:r>
              <w:t xml:space="preserve">11</w:t>
            </w:r>
            <w:r>
              <w:fldChar w:fldCharType="end"/>
            </w:r>
            <w:r>
              <w:t xml:space="preserve"> Ajukan izin prakarsa peraturan di luar program penyusunan (Usulan baru; Biro Hukum, Organisasi, dan Kerja Sama dengan Deputi Bidang Sistem dan Strategi dan Deputi Bidang Penanganan Darurat; internal BNPB; 100 hari, izin terbit dalam 14 hari pertama).</w:t>
            </w:r>
          </w:p>
          <w:p>
            <w:pPr>
              <w:pStyle w:val="DaftarKotak"/>
              <w:numPr>
                <w:ilvl w:val="0"/>
                <w:numId w:val="1"/>
              </w:numPr>
            </w:pPr>
            <w:r>
              <w:fldChar w:fldCharType="begin"/>
            </w:r>
            <w:r>
              <w:instrText xml:space="preserve"> REF _Ref0094 \h \* CHARFORMAT </w:instrText>
            </w:r>
            <w:r>
              <w:fldChar w:fldCharType="separate"/>
            </w:r>
            <w:r>
              <w:t xml:space="preserve">21</w:t>
            </w:r>
            <w:r>
              <w:fldChar w:fldCharType="end"/>
            </w:r>
            <w:r>
              <w:t xml:space="preserve"> Laporkan realisasi Renas PB 1.a dan 1.b tahunan (Sudah ada, perlu dikembangkan; Direktorat Pengembangan Strategi Penanggulangan Bencana dengan Pusat Data, Informasi, dan Komunikasi Kebencanaan; internal BNPB; 2026–2027).</w:t>
            </w:r>
          </w:p>
        </w:tc>
      </w:tr>
    </w:tbl>
    <w:p>
      <w:pPr>
        <w:pStyle w:val="Jarak"/>
      </w:pPr>
    </w:p>
    <w:p>
      <w:pPr>
        <w:pStyle w:val="Caption"/>
      </w:pPr>
      <w:bookmarkStart w:id="36" w:name="_Toc00021"/>
      <w:bookmarkStart w:id="35" w:name="_Ref001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5"/>
      <w:r>
        <w:rPr>
          <w:b/>
          <w:bCs/>
          <w:color w:val="051C2C"/>
        </w:rPr>
        <w:t xml:space="preserve"> </w:t>
      </w:r>
      <w:r>
        <w:t xml:space="preserve">Longsoran tebing di Kabupaten Agam, dilihat warga dan petugas, Agam, Sumatera Barat, 1 Desember 2025</w:t>
      </w:r>
      <w:bookmarkEnd w:id="36"/>
    </w:p>
    <w:p xmlns:a="http://schemas.openxmlformats.org/drawingml/2006/main" xmlns:pic="http://schemas.openxmlformats.org/drawingml/2006/picture">
      <w:pPr>
        <w:keepNext/>
        <w:spacing w:after="0" w:line="240" w:lineRule="auto"/>
        <w:jc w:val="center"/>
      </w:pPr>
      <w:bookmarkStart w:id="37" w:name="_Obj0004"/>
      <w:r>
        <w:drawing>
          <wp:inline distT="0" distB="0" distL="0" distR="0">
            <wp:extent cx="5940000" cy="2970000"/>
            <wp:effectExtent l="0" t="0" r="0" b="0"/>
            <wp:docPr id="14" name="Gambar 14"/>
            <wp:cNvGraphicFramePr>
              <a:graphicFrameLocks noChangeAspect="1"/>
            </wp:cNvGraphicFramePr>
            <a:graphic>
              <a:graphicData uri="http://schemas.openxmlformats.org/drawingml/2006/picture">
                <pic:pic>
                  <pic:nvPicPr>
                    <pic:cNvPr id="14" name="mit-b01-longsor-agam.jpg"/>
                    <pic:cNvPicPr/>
                  </pic:nvPicPr>
                  <pic:blipFill>
                    <a:blip r:embed="rId22"/>
                    <a:stretch>
                      <a:fillRect/>
                    </a:stretch>
                  </pic:blipFill>
                  <pic:spPr>
                    <a:xfrm>
                      <a:off x="0" y="0"/>
                      <a:ext cx="5940000" cy="2970000"/>
                    </a:xfrm>
                    <a:prstGeom prst="rect">
                      <a:avLst/>
                    </a:prstGeom>
                  </pic:spPr>
                </pic:pic>
              </a:graphicData>
            </a:graphic>
          </wp:inline>
        </w:drawing>
      </w:r>
      <w:bookmarkEnd w:id="37"/>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Heading2"/>
      </w:pPr>
      <w:bookmarkStart w:id="39" w:name="_Toc00022"/>
      <w:bookmarkStart w:id="38" w:name="_Ref0177"/>
      <w:r>
        <w:t xml:space="preserve">1.1</w:t>
      </w:r>
      <w:bookmarkEnd w:id="38"/>
      <w:r>
        <w:tab/>
      </w:r>
      <w:r>
        <w:t xml:space="preserve">Latar Belakang</w:t>
      </w:r>
      <w:bookmarkEnd w:id="39"/>
    </w:p>
    <w:p>
      <w:pPr>
        <w:pStyle w:val="IsiTemuan"/>
      </w:pPr>
      <w:r>
        <w:rPr>
          <w:b/>
          <w:bCs/>
          <w:color w:val="051C2C"/>
        </w:rPr>
        <w:t xml:space="preserve">Data dan Informasi Bencana Indonesia (DIBI) BNPB mencatat </w:t>
      </w:r>
      <w:r>
        <w:rPr>
          <w:b/>
          <w:bCs/>
          <w:color w:val="051C2C"/>
        </w:rPr>
        <w:t xml:space="preserve">1.735</w:t>
      </w:r>
      <w:r>
        <w:rPr>
          <w:b/>
          <w:bCs/>
          <w:color w:val="051C2C"/>
        </w:rPr>
        <w:t xml:space="preserve"> meninggal dan </w:t>
      </w:r>
      <w:r>
        <w:rPr>
          <w:b/>
          <w:bCs/>
          <w:color w:val="051C2C"/>
        </w:rPr>
        <w:t xml:space="preserve">221</w:t>
      </w:r>
      <w:r>
        <w:rPr>
          <w:b/>
          <w:bCs/>
          <w:color w:val="051C2C"/>
        </w:rPr>
        <w:t xml:space="preserve"> hilang akibat bencana alam pada 2025, jumlah tertinggi sejak 2018.</w:t>
      </w:r>
      <w:r>
        <w:t xml:space="preserve"> Jumlah keduanya, </w:t>
      </w:r>
      <w:r>
        <w:t xml:space="preserve">1.956</w:t>
      </w:r>
      <w:r>
        <w:t xml:space="preserve"> jiwa, setara </w:t>
      </w:r>
      <w:r>
        <w:t xml:space="preserve">3,4</w:t>
      </w:r>
      <w:r>
        <w:t xml:space="preserve"> kali median 2015–2024 (</w:t>
      </w:r>
      <w:r>
        <w:t xml:space="preserve">583,5</w:t>
      </w:r>
      <w:r>
        <w:t xml:space="preserve"> jiwa) dan hanya dilampaui 2018, yang mencatat </w:t>
      </w:r>
      <w:r>
        <w:t xml:space="preserve">6.240</w:t>
      </w:r>
      <w:r>
        <w:t xml:space="preserve"> jiwa (</w:t>
      </w:r>
      <w:r>
        <w:t xml:space="preserve">5.477</w:t>
      </w:r>
      <w:r>
        <w:t xml:space="preserve"> meninggal) </w:t>
      </w:r>
      <w:r>
        <w:t xml:space="preserve">(BNPB, t.t.-a)</w:t>
      </w:r>
      <w:r>
        <w:t xml:space="preserve">. LKIP BNPB 2025, yang terbit Februari 2026 dari data terverifikasi, mencatat </w:t>
      </w:r>
      <w:r>
        <w:t xml:space="preserve">1.666</w:t>
      </w:r>
      <w:r>
        <w:t xml:space="preserve"> meninggal dan </w:t>
      </w:r>
      <w:r>
        <w:t xml:space="preserve">214</w:t>
      </w:r>
      <w:r>
        <w:t xml:space="preserve"> hilang untuk tahun yang sama </w:t>
      </w:r>
      <w:r>
        <w:t xml:space="preserve">(BNPB, 2026c, hlm. 7)</w:t>
      </w:r>
      <w:r>
        <w:t xml:space="preserve">. Kedua angka resmi itu ditulis berdampingan dengan tanggal datanya, keduanya tertinggi sejak 2018, dan selisihnya menjadi permintaan data kepada Pusat Data, Informasi, dan Komunikasi Kebencanaan (Bab 13). Angka utama bab ini memakai seri bencana alam (kode 101–109, cakupan kejadian bencana), karena hanya seri itu yang sebanding antartahun. Seri DIBI patah pada 2024, ketika jenis di luar bencana alam mulai tercatat dan penanda kejadian bencana mulai dipakai. Sebaran sebelas tahun itu tampil pada </w:t>
      </w:r>
      <w:r>
        <w:fldChar w:fldCharType="begin"/>
      </w:r>
      <w:r>
        <w:instrText xml:space="preserve"> REF _Ref0043 \h \* CHARFORMAT </w:instrText>
      </w:r>
      <w:r>
        <w:fldChar w:fldCharType="separate"/>
      </w:r>
      <w:r>
        <w:t xml:space="preserve">Gambar 1.2</w:t>
      </w:r>
      <w:r>
        <w:fldChar w:fldCharType="end"/>
      </w:r>
      <w:r>
        <w:t xml:space="preserve">.</w:t>
      </w:r>
    </w:p>
    <w:p>
      <w:pPr>
        <w:pStyle w:val="IsiTemuan"/>
      </w:pPr>
      <w:r>
        <w:rPr>
          <w:b/>
          <w:bCs/>
          <w:color w:val="051C2C"/>
        </w:rPr>
        <w:t xml:space="preserve">Banjir dan longsor di Aceh, Sumatera Utara, dan Sumatera Barat pada akhir November 2025 menyumbang </w:t>
      </w:r>
      <w:r>
        <w:rPr>
          <w:b/>
          <w:bCs/>
          <w:color w:val="051C2C"/>
        </w:rPr>
        <w:t xml:space="preserve">1.342</w:t>
      </w:r>
      <w:r>
        <w:rPr>
          <w:b/>
          <w:bCs/>
          <w:color w:val="051C2C"/>
        </w:rPr>
        <w:t xml:space="preserve"> dari </w:t>
      </w:r>
      <w:r>
        <w:rPr>
          <w:b/>
          <w:bCs/>
          <w:color w:val="051C2C"/>
        </w:rPr>
        <w:t xml:space="preserve">1.956</w:t>
      </w:r>
      <w:r>
        <w:rPr>
          <w:b/>
          <w:bCs/>
          <w:color w:val="051C2C"/>
        </w:rPr>
        <w:t xml:space="preserve"> jiwa meninggal dan hilang akibat bencana alam 2025, atau </w:t>
      </w:r>
      <w:r>
        <w:rPr>
          <w:b/>
          <w:bCs/>
          <w:color w:val="051C2C"/>
        </w:rPr>
        <w:t xml:space="preserve">68,6%</w:t>
      </w:r>
      <w:r>
        <w:rPr>
          <w:b/>
          <w:bCs/>
          <w:color w:val="051C2C"/>
        </w:rPr>
        <w:t xml:space="preserve">.</w:t>
      </w:r>
      <w:r>
        <w:t xml:space="preserve"> DIBI mencatat </w:t>
      </w:r>
      <w:r>
        <w:t xml:space="preserve">1.202</w:t>
      </w:r>
      <w:r>
        <w:t xml:space="preserve"> meninggal, </w:t>
      </w:r>
      <w:r>
        <w:t xml:space="preserve">140</w:t>
      </w:r>
      <w:r>
        <w:t xml:space="preserve"> hilang, dan </w:t>
      </w:r>
      <w:r>
        <w:t xml:space="preserve">970.876</w:t>
      </w:r>
      <w:r>
        <w:t xml:space="preserve"> mengungsi di </w:t>
      </w:r>
      <w:r>
        <w:t xml:space="preserve">55</w:t>
      </w:r>
      <w:r>
        <w:t xml:space="preserve"> kab/kota</w:t>
      </w:r>
      <w:r>
        <w:rPr>
          <w:rStyle w:val="FootnoteReference"/>
        </w:rPr>
        <w:footnoteReference w:id="1"/>
      </w:r>
      <w:r>
        <w:t xml:space="preserve">. Rumah rusak berat tercatat </w:t>
      </w:r>
      <w:r>
        <w:t xml:space="preserve">62.956</w:t>
      </w:r>
      <w:r>
        <w:t xml:space="preserve"> unit untuk kategori banjir dan longsor, atau </w:t>
      </w:r>
      <w:r>
        <w:t xml:space="preserve">63.019</w:t>
      </w:r>
      <w:r>
        <w:t xml:space="preserve"> unit bila semua jenis bencana musim hujan dihitung </w:t>
      </w:r>
      <w:r>
        <w:t xml:space="preserve">(BNPB, t.t.-a)</w:t>
      </w:r>
      <w:r>
        <w:t xml:space="preserve">. Tanpa rangkaian itu, korban bencana alam 2025 menjadi </w:t>
      </w:r>
      <w:r>
        <w:t xml:space="preserve">614</w:t>
      </w:r>
      <w:r>
        <w:t xml:space="preserve"> jiwa, di bawah 2021 (</w:t>
      </w:r>
      <w:r>
        <w:t xml:space="preserve">815</w:t>
      </w:r>
      <w:r>
        <w:t xml:space="preserve">) dan 2022 (</w:t>
      </w:r>
      <w:r>
        <w:t xml:space="preserve">895</w:t>
      </w:r>
      <w:r>
        <w:t xml:space="preserve">)</w:t>
      </w:r>
      <w:r>
        <w:rPr>
          <w:rStyle w:val="FootnoteReference"/>
        </w:rPr>
        <w:footnoteReference w:id="2"/>
      </w:r>
      <w:r>
        <w:t xml:space="preserve">. Korban nasional tahunan ditentukan oleh kejadian katastrofik, sehingga sasaran korban Grand Design perlu dibaca bersama skenario terburuk yang masuk akal di Bab 6 dan Bab 7, tidak hanya bersama rerata tahunan.</w:t>
      </w:r>
    </w:p>
    <w:p>
      <w:pPr>
        <w:pStyle w:val="Caption"/>
      </w:pPr>
      <w:bookmarkStart w:id="41" w:name="_Toc00023"/>
      <w:bookmarkStart w:id="40" w:name="_Ref004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40"/>
      <w:r>
        <w:rPr>
          <w:b/>
          <w:bCs/>
          <w:color w:val="051C2C"/>
        </w:rPr>
        <w:t xml:space="preserve"> </w:t>
      </w:r>
      <w:r>
        <w:t xml:space="preserve">Meninggal dan hilang akibat bencana alam di Indonesia, 2015–2025 (jiwa)</w:t>
      </w:r>
      <w:bookmarkEnd w:id="41"/>
    </w:p>
    <w:p xmlns:a="http://schemas.openxmlformats.org/drawingml/2006/main" xmlns:pic="http://schemas.openxmlformats.org/drawingml/2006/picture">
      <w:pPr>
        <w:keepNext/>
        <w:spacing w:after="0" w:line="240" w:lineRule="auto"/>
        <w:jc w:val="center"/>
      </w:pPr>
      <w:bookmarkStart w:id="42" w:name="_Obj0005"/>
      <w:r>
        <w:drawing>
          <wp:inline distT="0" distB="0" distL="0" distR="0">
            <wp:extent cx="5940000" cy="2494800"/>
            <wp:effectExtent l="0" t="0" r="0" b="0"/>
            <wp:docPr id="15" name="Gambar 15"/>
            <wp:cNvGraphicFramePr>
              <a:graphicFrameLocks noChangeAspect="1"/>
            </wp:cNvGraphicFramePr>
            <a:graphic>
              <a:graphicData uri="http://schemas.openxmlformats.org/drawingml/2006/picture">
                <pic:pic>
                  <pic:nvPicPr>
                    <pic:cNvPr id="15" name="bab01-batang-korban-alam-2015-2025.png"/>
                    <pic:cNvPicPr/>
                  </pic:nvPicPr>
                  <pic:blipFill>
                    <a:blip r:embed="rId23"/>
                    <a:stretch>
                      <a:fillRect/>
                    </a:stretch>
                  </pic:blipFill>
                  <pic:spPr>
                    <a:xfrm>
                      <a:off x="0" y="0"/>
                      <a:ext cx="5940000" cy="2494800"/>
                    </a:xfrm>
                    <a:prstGeom prst="rect">
                      <a:avLst/>
                    </a:prstGeom>
                  </pic:spPr>
                </pic:pic>
              </a:graphicData>
            </a:graphic>
          </wp:inline>
        </w:drawing>
      </w:r>
      <w:bookmarkEnd w:id="42"/>
    </w:p>
    <w:p>
      <w:pPr>
        <w:pStyle w:val="Sumber"/>
        <w:spacing w:after="40"/>
      </w:pPr>
      <w:r>
        <w:rPr>
          <w:b/>
          <w:bCs/>
          <w:color w:val="6B7280"/>
          <w:sz w:val="17"/>
          <w:szCs w:val="17"/>
        </w:rPr>
        <w:t xml:space="preserve">Sumber: </w:t>
      </w:r>
      <w:r>
        <w:rPr>
          <w:color w:val="6B7280"/>
          <w:sz w:val="17"/>
          <w:szCs w:val="17"/>
        </w:rPr>
        <w:t xml:space="preserve">Pengolahan data Pantau Bencana dari DIBI BNPB, kejadian bencana alam kode 101–109</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Warna batang 2024–2025 menandai saringan ambang Juklak 7/2023 yang berlaku sejak data 2024. Versi semua klasifikasi 2025 (</w:t>
      </w:r>
      <w:r>
        <w:rPr>
          <w:color w:val="6B7280"/>
          <w:sz w:val="17"/>
          <w:szCs w:val="17"/>
        </w:rPr>
        <w:t xml:space="preserve">2.030</w:t>
      </w:r>
      <w:r>
        <w:rPr>
          <w:color w:val="6B7280"/>
          <w:sz w:val="17"/>
          <w:szCs w:val="17"/>
        </w:rPr>
        <w:t xml:space="preserve"> meninggal dan </w:t>
      </w:r>
      <w:r>
        <w:rPr>
          <w:color w:val="6B7280"/>
          <w:sz w:val="17"/>
          <w:szCs w:val="17"/>
        </w:rPr>
        <w:t xml:space="preserve">246</w:t>
      </w:r>
      <w:r>
        <w:rPr>
          <w:color w:val="6B7280"/>
          <w:sz w:val="17"/>
          <w:szCs w:val="17"/>
        </w:rPr>
        <w:t xml:space="preserve"> hilang) memuat jenis yang baru tercatat sejak 2024 dan tidak digambar.</w:t>
      </w:r>
    </w:p>
    <w:p>
      <w:pPr>
        <w:pStyle w:val="Sumber"/>
      </w:pPr>
      <w:r>
        <w:rPr>
          <w:b/>
          <w:bCs/>
          <w:color w:val="6B7280"/>
          <w:sz w:val="17"/>
          <w:szCs w:val="17"/>
        </w:rPr>
        <w:t xml:space="preserve">Catatan: </w:t>
      </w:r>
      <w:r>
        <w:rPr>
          <w:color w:val="6B7280"/>
          <w:sz w:val="17"/>
          <w:szCs w:val="17"/>
        </w:rPr>
        <w:t xml:space="preserve">Tiap batang memisahkan meninggal dari hilang dan mencantumkan nilainya di atas batang. Anotasi 2018 menandai gempa dan tsunami Sulawesi Tengah, gempa Lombok, dan tsunami Selat Sunda; anotasi 2025 menandai banjir dan longsor Sumatra.</w:t>
      </w:r>
    </w:p>
    <w:p>
      <w:pPr>
        <w:pStyle w:val="IsiTemuan"/>
      </w:pPr>
      <w:r>
        <w:rPr>
          <w:b/>
          <w:bCs/>
          <w:color w:val="051C2C"/>
        </w:rPr>
        <w:t xml:space="preserve">Versi semua klasifikasi DIBI 2025 mencatat </w:t>
      </w:r>
      <w:r>
        <w:rPr>
          <w:b/>
          <w:bCs/>
          <w:color w:val="051C2C"/>
        </w:rPr>
        <w:t xml:space="preserve">2.030</w:t>
      </w:r>
      <w:r>
        <w:rPr>
          <w:b/>
          <w:bCs/>
          <w:color w:val="051C2C"/>
        </w:rPr>
        <w:t xml:space="preserve"> meninggal dan </w:t>
      </w:r>
      <w:r>
        <w:rPr>
          <w:b/>
          <w:bCs/>
          <w:color w:val="051C2C"/>
        </w:rPr>
        <w:t xml:space="preserve">246</w:t>
      </w:r>
      <w:r>
        <w:rPr>
          <w:b/>
          <w:bCs/>
          <w:color w:val="051C2C"/>
        </w:rPr>
        <w:t xml:space="preserve"> hilang, termasuk </w:t>
      </w:r>
      <w:r>
        <w:rPr>
          <w:b/>
          <w:bCs/>
          <w:color w:val="051C2C"/>
        </w:rPr>
        <w:t xml:space="preserve">145</w:t>
      </w:r>
      <w:r>
        <w:rPr>
          <w:b/>
          <w:bCs/>
          <w:color w:val="051C2C"/>
        </w:rPr>
        <w:t xml:space="preserve"> meninggal akibat kebakaran permukiman, jenis yang tidak dikaji, dan </w:t>
      </w:r>
      <w:r>
        <w:rPr>
          <w:b/>
          <w:bCs/>
          <w:color w:val="051C2C"/>
        </w:rPr>
        <w:t xml:space="preserve">45</w:t>
      </w:r>
      <w:r>
        <w:rPr>
          <w:b/>
          <w:bCs/>
          <w:color w:val="051C2C"/>
        </w:rPr>
        <w:t xml:space="preserve"> meninggal dalam kategori lainnya.</w:t>
      </w:r>
      <w:r>
        <w:t xml:space="preserve"> Versi ini, seperti angka jenis dalam lingkup kajian (</w:t>
      </w:r>
      <w:r>
        <w:t xml:space="preserve">2.063</w:t>
      </w:r>
      <w:r>
        <w:t xml:space="preserve"> jiwa), memuat jenis di luar bencana alam yang praktis baru tercatat sejak 2024, sehingga hanya dipakai untuk komposisi korban 2025 dan tidak dibandingkan dengan tahun sebelum 2024 </w:t>
      </w:r>
      <w:r>
        <w:t xml:space="preserve">(BNPB, t.t.-a)</w:t>
      </w:r>
      <w:r>
        <w:t xml:space="preserve">.</w:t>
      </w:r>
    </w:p>
    <w:p>
      <w:pPr>
        <w:pStyle w:val="IsiTemuan"/>
      </w:pPr>
      <w:r>
        <w:rPr>
          <w:b/>
          <w:bCs/>
          <w:color w:val="051C2C"/>
        </w:rPr>
        <w:t xml:space="preserve">Dibagi penduduk pertengahan 2026 menurut Badan Pusat Statistik (BPS), </w:t>
      </w:r>
      <w:r>
        <w:rPr>
          <w:b/>
          <w:bCs/>
          <w:color w:val="051C2C"/>
        </w:rPr>
        <w:t xml:space="preserve">287.198.383</w:t>
      </w:r>
      <w:r>
        <w:rPr>
          <w:b/>
          <w:bCs/>
          <w:color w:val="051C2C"/>
        </w:rPr>
        <w:t xml:space="preserve"> jiwa, korban bencana alam 2025 setara </w:t>
      </w:r>
      <w:r>
        <w:rPr>
          <w:b/>
          <w:bCs/>
          <w:color w:val="051C2C"/>
        </w:rPr>
        <w:t xml:space="preserve">0,68</w:t>
      </w:r>
      <w:r>
        <w:rPr>
          <w:b/>
          <w:bCs/>
          <w:color w:val="051C2C"/>
        </w:rPr>
        <w:t xml:space="preserve"> meninggal dan hilang per 100.000 penduduk, di atas proyeksi 2025 indikator 1.a Renas PB 2025–2029 sebesar </w:t>
      </w:r>
      <w:r>
        <w:rPr>
          <w:b/>
          <w:bCs/>
          <w:color w:val="051C2C"/>
        </w:rPr>
        <w:t xml:space="preserve">0,22</w:t>
      </w:r>
      <w:r>
        <w:rPr>
          <w:b/>
          <w:bCs/>
          <w:color w:val="051C2C"/>
        </w:rPr>
        <w:t xml:space="preserve">.</w:t>
      </w:r>
      <w:r>
        <w:t xml:space="preserve"> Penyebut Survei Penduduk Antar Sensus (SUPAS) 2025 (</w:t>
      </w:r>
      <w:r>
        <w:t xml:space="preserve">284,67</w:t>
      </w:r>
      <w:r>
        <w:t xml:space="preserve"> juta jiwa) memberi </w:t>
      </w:r>
      <w:r>
        <w:t xml:space="preserve">0,69</w:t>
      </w:r>
      <w:r>
        <w:t xml:space="preserve">, penduduk Kajian Risiko Bencana (KRB) InaRISK memberi </w:t>
      </w:r>
      <w:r>
        <w:t xml:space="preserve">0,72</w:t>
      </w:r>
      <w:r>
        <w:t xml:space="preserve">, dan versi semua klasifikasi memberi </w:t>
      </w:r>
      <w:r>
        <w:t xml:space="preserve">0,79</w:t>
      </w:r>
      <w:r>
        <w:t xml:space="preserve"> sampai </w:t>
      </w:r>
      <w:r>
        <w:t xml:space="preserve">0,84</w:t>
      </w:r>
      <w:r>
        <w:t xml:space="preserve"> </w:t>
      </w:r>
      <w:r>
        <w:t xml:space="preserve">(Badan Pusat Statistik [BPS], 2026; Badan Pusat Statistik Provinsi Bengkulu [BPS Provinsi Bengkulu], 2026; BNPB, 2026j)</w:t>
      </w:r>
      <w:r>
        <w:t xml:space="preserve">. Semua rasio ini proksi penyusun dan belum menjadi realisasi resmi indikator 1.a, karena Tabel 2.8 Renas PB menulis </w:t>
      </w:r>
      <w:r>
        <w:t xml:space="preserve">0,22</w:t>
      </w:r>
      <w:r>
        <w:t xml:space="preserve"> sebagai "PROYEKSI 2025" dengan target 2029 "Menurun"; tahun dasar dan penyebutnya tidak ditulis, begitu pula jenis bencana yang dihitung </w:t>
      </w:r>
      <w:r>
        <w:t xml:space="preserve">(BNPB, 2025c, hlm. 32)</w:t>
      </w:r>
      <w:r>
        <w:t xml:space="preserve">. Dalam jiwa, proyeksi itu setara </w:t>
      </w:r>
      <w:r>
        <w:t xml:space="preserve">632</w:t>
      </w:r>
      <w:r>
        <w:t xml:space="preserve"> meninggal dan hilang (asumsi kebijakan), dekat median 2015–2024, sehingga satu kejadian besar seperti 2018 atau 2025 cukup untuk melampauinya beberapa kali lipat. Indikator 1.b, proyeksi </w:t>
      </w:r>
      <w:r>
        <w:t xml:space="preserve">2.643</w:t>
      </w:r>
      <w:r>
        <w:t xml:space="preserve"> terdampak per 100.000 penduduk, baru terukur setelah definisi terdampak ditetapkan, karena Petunjuk Pelaksanaan (Juklak) BNPB 7/2023 memisahkan penderita dari pengungsi </w:t>
      </w:r>
      <w:r>
        <w:t xml:space="preserve">(BNPB, 2023j, hlm. 28)</w:t>
      </w:r>
      <w:r>
        <w:t xml:space="preserve">.</w:t>
      </w:r>
    </w:p>
    <w:p>
      <w:pPr>
        <w:pStyle w:val="IsiTemuan"/>
      </w:pPr>
      <w:r>
        <w:rPr>
          <w:b/>
          <w:bCs/>
          <w:color w:val="051C2C"/>
        </w:rPr>
        <w:t xml:space="preserve">IRB nasional </w:t>
      </w:r>
      <w:r>
        <w:rPr>
          <w:b/>
          <w:bCs/>
          <w:color w:val="051C2C"/>
        </w:rPr>
        <w:t xml:space="preserve">turun 10,76%</w:t>
      </w:r>
      <w:r>
        <w:rPr>
          <w:b/>
          <w:bCs/>
          <w:color w:val="051C2C"/>
        </w:rPr>
        <w:t xml:space="preserve">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dan Renstra BNPB 2025–2029 menyatakan target penurunan 10% selama lima tahun tercapai </w:t>
      </w:r>
      <w:r>
        <w:rPr>
          <w:b/>
          <w:bCs/>
          <w:color w:val="051C2C"/>
        </w:rPr>
        <w:t xml:space="preserve">(BNPB, 2025e, hlm. 52)</w:t>
      </w:r>
      <w:r>
        <w:rPr>
          <w:b/>
          <w:bCs/>
          <w:color w:val="051C2C"/>
        </w:rPr>
        <w:t xml:space="preserve">.</w:t>
      </w:r>
      <w:r>
        <w:t xml:space="preserve"> Renstra juga menyatakan Indikator Kinerja Utama (IKU) "Rata-rata angka kematian akibat bencana saat keadaan darurat per 100.000 jiwa" tercapai pada 2022–2024, dari baseline </w:t>
      </w:r>
      <w:r>
        <w:t xml:space="preserve">0,43</w:t>
      </w:r>
      <w:r>
        <w:t xml:space="preserve"> (2020) menjadi </w:t>
      </w:r>
      <w:r>
        <w:t xml:space="preserve">0,15</w:t>
      </w:r>
      <w:r>
        <w:t xml:space="preserve"> (2024). Kedua ukuran resmi itu tidak menyatakan jumlah korban tercatat per tahun. IRB mengukur risiko termodelkan dari bahaya, kerentanan, dan kapasitas </w:t>
      </w:r>
      <w:r>
        <w:t xml:space="preserve">(BNPB, 2025e, hlm. 5)</w:t>
      </w:r>
      <w:r>
        <w:t xml:space="preserve">, sedangkan IKU kematian memakai kematian saat keadaan darurat dengan penyebut penduduk wilayah terdampak </w:t>
      </w:r>
      <w:r>
        <w:t xml:space="preserve">(BNPB, 2025e, hlm. 53)</w:t>
      </w:r>
      <w:r>
        <w:t xml:space="preserve">, metode yang tidak dapat direproduksi dari DIBI dibagi penduduk nasional. Turunnya IRB dan naiknya korban 2025 karena itu tidak bertentangan secara logis, tetapi indikator yang dinyatakan tercapai belum memberi tahu apakah korban turun. Capaian IRB dibahas di Bab 5.</w:t>
      </w:r>
    </w:p>
    <w:p>
      <w:pPr>
        <w:pStyle w:val="IsiTemuan"/>
      </w:pPr>
      <w:r>
        <w:rPr>
          <w:b/>
          <w:bCs/>
          <w:color w:val="051C2C"/>
        </w:rPr>
        <w:t xml:space="preserve">IRBI 2025 tidak dapat menjadi kelanjutan seri 2015–2024: nilai per bahaya 2025 semuanya bilangan bulat, dan rerata kab/kota naik sesudah turun tiap tahun pada 2016–2024 </w:t>
      </w:r>
      <w:r>
        <w:rPr>
          <w:b/>
          <w:bCs/>
          <w:color w:val="051C2C"/>
        </w:rPr>
        <w:t xml:space="preserve">(BNPB, t.t.-b)</w:t>
      </w:r>
      <w:r>
        <w:rPr>
          <w:b/>
          <w:bCs/>
          <w:color w:val="051C2C"/>
        </w:rPr>
        <w:t xml:space="preserve">.</w:t>
      </w:r>
      <w:r>
        <w:t xml:space="preserve"> LKIP BNPB 2025 sendiri menyatakan IRB 2013–2024 berbeda dari IRB yang disusun pada 2025 karena data bahaya dan kerentanan dimutakhirkan </w:t>
      </w:r>
      <w:r>
        <w:t xml:space="preserve">(BNPB, 2026c, hlm. 18–20)</w:t>
      </w:r>
      <w:r>
        <w:t xml:space="preserve">. LKIP menetapkan rerata IRB nasional 2025, </w:t>
      </w:r>
      <w:r>
        <w:t xml:space="preserve">147,95</w:t>
      </w:r>
      <w:r>
        <w:t xml:space="preserve">, sebagai baseline 2026–2029. Untuk menilai target 2025, BNPB menghitung ulang dengan kerentanan 2021 dan memperoleh penurunan </w:t>
      </w:r>
      <w:r>
        <w:t xml:space="preserve">1,03%</w:t>
      </w:r>
      <w:r>
        <w:t xml:space="preserve"> terhadap target </w:t>
      </w:r>
      <w:r>
        <w:t xml:space="preserve">1,2%</w:t>
      </w:r>
      <w:r>
        <w:t xml:space="preserve">, sehingga target dinyatakan tidak tercapai </w:t>
      </w:r>
      <w:r>
        <w:t xml:space="preserve">(BNPB, 2026c, hlm. x, 19)</w:t>
      </w:r>
      <w:r>
        <w:t xml:space="preserve">. Hitungan ulang itu memberi IRB 2024 sebesar </w:t>
      </w:r>
      <w:r>
        <w:t xml:space="preserve">171,95</w:t>
      </w:r>
      <w:r>
        <w:t xml:space="preserve">, berdampingan dengan </w:t>
      </w:r>
      <w:r>
        <w:t xml:space="preserve">128,52</w:t>
      </w:r>
      <w:r>
        <w:t xml:space="preserve"> pada seri IRBI 2015–2024. Keduanya resmi, tetapi dihitung dari komponen berbeda, sehingga tidak dirata-rata. Rencana Pembangunan Jangka Menengah Nasional (RPJMN) 2025–2029 menetapkan baseline penurunan nilai IRB nasional </w:t>
      </w:r>
      <w:r>
        <w:t xml:space="preserve">1,54%</w:t>
      </w:r>
      <w:r>
        <w:t xml:space="preserve"> pada 2023 dan target </w:t>
      </w:r>
      <w:r>
        <w:t xml:space="preserve">1,2%</w:t>
      </w:r>
      <w:r>
        <w:t xml:space="preserve"> per tahun </w:t>
      </w:r>
      <w:r>
        <w:t xml:space="preserve">(Republik Indonesia, 2025b, hlm. 913)</w:t>
      </w:r>
      <w:r>
        <w:t xml:space="preserve">. Bobot komponen dan cara agregasi kab/kota untuk baseline 2026–2029 belum terbit, sehingga capaian 2026–2029 belum dapat diperiksa pihak lain sampai catatan metode IRBI 2025 terbit (</w:t>
      </w:r>
      <w:r>
        <w:fldChar w:fldCharType="begin"/>
      </w:r>
      <w:r>
        <w:instrText xml:space="preserve"> REF _Ref0086 \h \* CHARFORMAT </w:instrText>
      </w:r>
      <w:r>
        <w:fldChar w:fldCharType="separate"/>
      </w:r>
      <w:r>
        <w:t xml:space="preserve">10</w:t>
      </w:r>
      <w:r>
        <w:fldChar w:fldCharType="end"/>
      </w:r>
      <w:r>
        <w:t xml:space="preserve">). Grand Design karena itu memerlukan sasaran korban dengan definisi hitung dan baseline tertulis, berdampingan dengan ukuran risiko yang sudah ada.</w:t>
      </w:r>
    </w:p>
    <w:p>
      <w:pPr>
        <w:pStyle w:val="Heading2"/>
      </w:pPr>
      <w:bookmarkStart w:id="44" w:name="_Toc00024"/>
      <w:bookmarkStart w:id="43" w:name="_Ref0190"/>
      <w:r>
        <w:t xml:space="preserve">1.2</w:t>
      </w:r>
      <w:bookmarkEnd w:id="43"/>
      <w:r>
        <w:tab/>
      </w:r>
      <w:r>
        <w:t xml:space="preserve">Posisi terhadap RIPB dan Renas PB</w:t>
      </w:r>
      <w:bookmarkEnd w:id="44"/>
    </w:p>
    <w:p>
      <w:pPr>
        <w:pStyle w:val="IsiTemuan"/>
      </w:pPr>
      <w:r>
        <w:rPr>
          <w:b/>
          <w:bCs/>
          <w:color w:val="051C2C"/>
        </w:rPr>
        <w:t xml:space="preserve">Renas PB 2025–2029 ditetapkan 6 Januari 2025, ditinjau berkala tiap dua tahun, dan dapat ditinjau sewaktu-waktu bila terjadi bencana (Perban BNPB 1/2025 Pasal 7 ayat (1) dan (2)) </w:t>
      </w:r>
      <w:r>
        <w:rPr>
          <w:b/>
          <w:bCs/>
          <w:color w:val="051C2C"/>
        </w:rPr>
        <w:t xml:space="preserve">(BNPB, 2025c, hlm. 4–5)</w:t>
      </w:r>
      <w:r>
        <w:rPr>
          <w:b/>
          <w:bCs/>
          <w:color w:val="051C2C"/>
        </w:rPr>
        <w:t xml:space="preserve">.</w:t>
      </w:r>
      <w:r>
        <w:t xml:space="preserve"> Pasal 7 ayat (3) menjadikan pemantauan dan evaluasi Renas PB bagian dari pemantauan dan evaluasi Rencana Induk Penanggulangan Bencana (RIPB) 2020–2044. RIPB dilaporkan tiap tahun kepada Presiden melalui menteri koordinator bidang pembangunan manusia dan kebudayaan dan ditinjau tiap lima tahun atau sewaktu-waktu (Perpres 87/2020 Pasal 6 dan Pasal 7 ayat (1)) </w:t>
      </w:r>
      <w:r>
        <w:t xml:space="preserve">(Republik Indonesia, 2020f)</w:t>
      </w:r>
      <w:r>
        <w:t xml:space="preserve">; PP 21/2008 Pasal 6 menetapkan peninjauan rencana penanggulangan bencana tiap dua tahun </w:t>
      </w:r>
      <w:r>
        <w:t xml:space="preserve">(Republik Indonesia, 2008a)</w:t>
      </w:r>
      <w:r>
        <w:t xml:space="preserve">. Tahap pertama RIPB berakhir 2024 dan pelaksanaan peninjauannya tidak ditemukan, sehingga kajian ini dapat menjadi masukan peninjauan Renas PB dan juga RIPB.</w:t>
      </w:r>
    </w:p>
    <w:p>
      <w:pPr>
        <w:pStyle w:val="IsiTemuan"/>
      </w:pPr>
      <w:r>
        <w:rPr>
          <w:b/>
          <w:bCs/>
          <w:color w:val="051C2C"/>
        </w:rPr>
        <w:t xml:space="preserve">Kajian ini menyentuh enam indikator Renas PB Tabel 2.8, yaitu 1.a, 1.b, 1.c, 2.a, 3.a, dan 4.c, dan dua di antaranya punya angka resmi yang bertentangan </w:t>
      </w:r>
      <w:r>
        <w:rPr>
          <w:b/>
          <w:bCs/>
          <w:color w:val="051C2C"/>
        </w:rPr>
        <w:t xml:space="preserve">(BNPB, 2025c, hlm. 32)</w:t>
      </w:r>
      <w:r>
        <w:rPr>
          <w:b/>
          <w:bCs/>
          <w:color w:val="051C2C"/>
        </w:rPr>
        <w:t xml:space="preserve">.</w:t>
      </w:r>
      <w:r>
        <w:t xml:space="preserve"> Renas PB 1.c menargetkan penduduk daerah berisiko yang tercakup peringatan dini naik dari </w:t>
      </w:r>
      <w:r>
        <w:t xml:space="preserve">11.060</w:t>
      </w:r>
      <w:r>
        <w:t xml:space="preserve"> menjadi </w:t>
      </w:r>
      <w:r>
        <w:t xml:space="preserve">52.000 per 100.000 penduduk</w:t>
      </w:r>
      <w:r>
        <w:t xml:space="preserve">, sedangkan indikator Kegiatan Prioritas (KP) 08.04.02 RPJMN bergerak dari </w:t>
      </w:r>
      <w:r>
        <w:t xml:space="preserve">6,00%</w:t>
      </w:r>
      <w:r>
        <w:t xml:space="preserve"> ke </w:t>
      </w:r>
      <w:r>
        <w:t xml:space="preserve">6,32%</w:t>
      </w:r>
      <w:r>
        <w:t xml:space="preserve"> pada 2029 </w:t>
      </w:r>
      <w:r>
        <w:t xml:space="preserve">(Republik Indonesia, 2025b, hlm. 913)</w:t>
      </w:r>
      <w:r>
        <w:t xml:space="preserve">. LKIP BNPB 2025 menghitung capaian Indikator Kinerja Program (IKP) peringatan dini Renstra BNPB 2025, </w:t>
      </w:r>
      <w:r>
        <w:t xml:space="preserve">6,10%</w:t>
      </w:r>
      <w:r>
        <w:t xml:space="preserve">, sebagai rerata sederhana cakupan tsunami (</w:t>
      </w:r>
      <w:r>
        <w:t xml:space="preserve">12,19%</w:t>
      </w:r>
      <w:r>
        <w:t xml:space="preserve">) dan banjir (</w:t>
      </w:r>
      <w:r>
        <w:t xml:space="preserve">0,01%</w:t>
      </w:r>
      <w:r>
        <w:t xml:space="preserve">) </w:t>
      </w:r>
      <w:r>
        <w:t xml:space="preserve">(BNPB, 2026c, hlm. 35)</w:t>
      </w:r>
      <w:r>
        <w:t xml:space="preserve">, sedangkan definisi tercakup dan penyebut Renas PB 1.c tidak tertulis. Untuk daerah berkapasitas minimal sedang, RPJMN memakai baseline </w:t>
      </w:r>
      <w:r>
        <w:t xml:space="preserve">62%</w:t>
      </w:r>
      <w:r>
        <w:t xml:space="preserve"> (2023) dan Renstra BNPB memakai titik awal </w:t>
      </w:r>
      <w:r>
        <w:t xml:space="preserve">67%</w:t>
      </w:r>
      <w:r>
        <w:t xml:space="preserve"> </w:t>
      </w:r>
      <w:r>
        <w:t xml:space="preserve">(BNPB, 2025e)</w:t>
      </w:r>
      <w:r>
        <w:t xml:space="preserve">. LKIP BNPB 2025 mencatat </w:t>
      </w:r>
      <w:r>
        <w:t xml:space="preserve">50%</w:t>
      </w:r>
      <w:r>
        <w:t xml:space="preserve"> provinsi berkategori Indeks Ketahanan Daerah (IKD) sedang atau tinggi pada 2025 menurut Manual IKU (Kepka BNPB 318/2025) </w:t>
      </w:r>
      <w:r>
        <w:t xml:space="preserve">(BNPB, 2026c, hlm. 15–16, 20)</w:t>
      </w:r>
      <w:r>
        <w:t xml:space="preserve">, sedangkan kelas kapasitas ringkasan KRB 2022–2026 untuk bahaya COVID-19 memberi </w:t>
      </w:r>
      <w:r>
        <w:t xml:space="preserve">38%</w:t>
      </w:r>
      <w:r>
        <w:t xml:space="preserve"> kab/kota </w:t>
      </w:r>
      <w:r>
        <w:t xml:space="preserve">(BNPB, 2026j)</w:t>
      </w:r>
      <w:r>
        <w:t xml:space="preserve">. Penyebut dan alat ukurnya berbeda, dan pilihannya dibahas di Bab 5.</w:t>
      </w:r>
    </w:p>
    <w:p>
      <w:pPr>
        <w:pStyle w:val="Caption"/>
      </w:pPr>
      <w:bookmarkStart w:id="46" w:name="_Toc00025"/>
      <w:bookmarkStart w:id="45" w:name="_Ref001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45"/>
      <w:r>
        <w:rPr>
          <w:b/>
          <w:bCs/>
          <w:color w:val="051C2C"/>
        </w:rPr>
        <w:t xml:space="preserve"> </w:t>
      </w:r>
      <w:r>
        <w:t xml:space="preserve">Rumah warga masih terendam air setelah banjir bandang, Gorontalo, 14 Juli 2024</w:t>
      </w:r>
      <w:bookmarkEnd w:id="46"/>
    </w:p>
    <w:p xmlns:a="http://schemas.openxmlformats.org/drawingml/2006/main" xmlns:pic="http://schemas.openxmlformats.org/drawingml/2006/picture">
      <w:pPr>
        <w:keepNext/>
        <w:spacing w:after="0" w:line="240" w:lineRule="auto"/>
        <w:jc w:val="center"/>
      </w:pPr>
      <w:bookmarkStart w:id="47" w:name="_Obj0006"/>
      <w:r>
        <w:drawing>
          <wp:inline distT="0" distB="0" distL="0" distR="0">
            <wp:extent cx="2898000" cy="2173500"/>
            <wp:effectExtent l="0" t="0" r="0" b="0"/>
            <wp:docPr id="16" name="Gambar 16"/>
            <wp:cNvGraphicFramePr>
              <a:graphicFrameLocks noChangeAspect="1"/>
            </wp:cNvGraphicFramePr>
            <a:graphic>
              <a:graphicData uri="http://schemas.openxmlformats.org/drawingml/2006/picture">
                <pic:pic>
                  <pic:nvPicPr>
                    <pic:cNvPr id="16" name="mit-b01-banjir-gorontalo.jpg"/>
                    <pic:cNvPicPr/>
                  </pic:nvPicPr>
                  <pic:blipFill>
                    <a:blip r:embed="rId24"/>
                    <a:stretch>
                      <a:fillRect/>
                    </a:stretch>
                  </pic:blipFill>
                  <pic:spPr>
                    <a:xfrm>
                      <a:off x="0" y="0"/>
                      <a:ext cx="2898000" cy="2173500"/>
                    </a:xfrm>
                    <a:prstGeom prst="rect">
                      <a:avLst/>
                    </a:prstGeom>
                  </pic:spPr>
                </pic:pic>
              </a:graphicData>
            </a:graphic>
          </wp:inline>
        </w:drawing>
      </w:r>
      <w:bookmarkEnd w:id="47"/>
    </w:p>
    <w:p>
      <w:pPr>
        <w:pStyle w:val="Sumber"/>
      </w:pPr>
      <w:r>
        <w:rPr>
          <w:b/>
          <w:bCs/>
          <w:color w:val="6B7280"/>
          <w:sz w:val="17"/>
          <w:szCs w:val="17"/>
        </w:rPr>
        <w:t xml:space="preserve">Sumber: </w:t>
      </w:r>
      <w:r>
        <w:rPr>
          <w:color w:val="6B7280"/>
          <w:sz w:val="17"/>
          <w:szCs w:val="17"/>
        </w:rPr>
        <w:t xml:space="preserve">Wikimedia Commons, Sandy Syafrudin Nina, CC BY 4.0</w:t>
      </w:r>
    </w:p>
    <w:p>
      <w:pPr>
        <w:pStyle w:val="Heading2"/>
      </w:pPr>
      <w:bookmarkStart w:id="49" w:name="_Toc00026"/>
      <w:bookmarkStart w:id="48" w:name="_Ref0222"/>
      <w:r>
        <w:t xml:space="preserve">1.3</w:t>
      </w:r>
      <w:bookmarkEnd w:id="48"/>
      <w:r>
        <w:tab/>
      </w:r>
      <w:r>
        <w:t xml:space="preserve">Tujuan</w:t>
      </w:r>
      <w:bookmarkEnd w:id="49"/>
    </w:p>
    <w:p>
      <w:pPr>
        <w:pStyle w:val="Isi"/>
      </w:pPr>
      <w:r>
        <w:t xml:space="preserve">Kajian ini menyusun Grand Design Mitigasi Bencana Indonesia 2026–2030 sebagai masukan bagi Kepala BNPB dan bagi peninjauan Renas PB menurut Perban BNPB 1/2025 Pasal 7. Tujuannya empat:</w:t>
      </w:r>
    </w:p>
    <w:p>
      <w:pPr>
        <w:pStyle w:val="Daftar"/>
        <w:numPr>
          <w:ilvl w:val="0"/>
          <w:numId w:val="2"/>
        </w:numPr>
      </w:pPr>
      <w:r>
        <w:t xml:space="preserve">menetapkan definisi hitung dan baseline sasaran korban yang terukur dari DIBI untuk indikator Renas PB 1.a dan 1.b;</w:t>
      </w:r>
    </w:p>
    <w:p>
      <w:pPr>
        <w:pStyle w:val="Daftar"/>
        <w:numPr>
          <w:ilvl w:val="0"/>
          <w:numId w:val="2"/>
        </w:numPr>
      </w:pPr>
      <w:r>
        <w:t xml:space="preserve">menyusun skenario terburuk yang masuk akal per jenis bencana yang tidak lebih ringan daripada kejadian tercatat terburuk untuk jenis dan wilayah yang sama;</w:t>
      </w:r>
    </w:p>
    <w:p>
      <w:pPr>
        <w:pStyle w:val="Daftar"/>
        <w:numPr>
          <w:ilvl w:val="0"/>
          <w:numId w:val="2"/>
        </w:numPr>
      </w:pPr>
      <w:r>
        <w:t xml:space="preserve">menamai kesenjangan sistem penanggulangan bencana beserta buktinya dan menyusun rekomendasi berlembaga dengan horizon 100 hari, 2026–2027, dan 2028–2030;</w:t>
      </w:r>
    </w:p>
    <w:p>
      <w:pPr>
        <w:pStyle w:val="Daftar"/>
        <w:numPr>
          <w:ilvl w:val="0"/>
          <w:numId w:val="2"/>
        </w:numPr>
      </w:pPr>
      <w:r>
        <w:t xml:space="preserve">menyediakan masukan bagi peninjauan Renas PB 2025–2029 dan RIPB 2020–2044.</w:t>
      </w:r>
    </w:p>
    <w:p>
      <w:pPr>
        <w:pStyle w:val="Heading2"/>
      </w:pPr>
      <w:bookmarkStart w:id="51" w:name="_Toc00027"/>
      <w:bookmarkStart w:id="50" w:name="_Ref0178"/>
      <w:r>
        <w:t xml:space="preserve">1.4</w:t>
      </w:r>
      <w:bookmarkEnd w:id="50"/>
      <w:r>
        <w:tab/>
      </w:r>
      <w:r>
        <w:t xml:space="preserve">Lingkup, Taksonomi, dan Definisi Operasional</w:t>
      </w:r>
      <w:bookmarkEnd w:id="51"/>
    </w:p>
    <w:p>
      <w:pPr>
        <w:pStyle w:val="IsiTemuan"/>
      </w:pPr>
      <w:r>
        <w:rPr>
          <w:b/>
          <w:bCs/>
          <w:color w:val="051C2C"/>
        </w:rPr>
        <w:t xml:space="preserve">Kajian mencakup tiga belas jenis bencana dari ketiga klasifikasi UU 24/2007 Pasal 1 angka 2–4 </w:t>
      </w:r>
      <w:r>
        <w:rPr>
          <w:b/>
          <w:bCs/>
          <w:color w:val="051C2C"/>
        </w:rPr>
        <w:t xml:space="preserve">(Republik Indonesia, 2007, hlm. 2)</w:t>
      </w:r>
      <w:r>
        <w:rPr>
          <w:b/>
          <w:bCs/>
          <w:color w:val="051C2C"/>
        </w:rPr>
        <w:t xml:space="preserve">.</w:t>
      </w:r>
      <w:r>
        <w:t xml:space="preserve"> Sembilan di antaranya bencana alam yang juga dihitung IRBI, dari gempa bumi sampai kebakaran hutan dan lahan (karhutla). Jenis nonalam yang dikaji adalah epidemi dan pandemi serta kebakaran industri dan kegagalan teknologi, ditambah kebakaran Tempat Pemrosesan Akhir (TPA) sebagai kategori kajian. Jenis sosial dibatasi pada konflik dan kerusuhan sosial antarkelompok. Taksonomi ini berbeda dari tiga taksonomi data BNPB yang dipakai di bab berikutnya. Juklak 7/2023 memuat </w:t>
      </w:r>
      <w:r>
        <w:t xml:space="preserve">13 jenis bencana</w:t>
      </w:r>
      <w:r>
        <w:t xml:space="preserve"> dalam tiga klasifikasi </w:t>
      </w:r>
      <w:r>
        <w:t xml:space="preserve">(BNPB, 2023j, hlm. 5–7)</w:t>
      </w:r>
      <w:r>
        <w:t xml:space="preserve">, KRB 2022–2026 memetakan </w:t>
      </w:r>
      <w:r>
        <w:t xml:space="preserve">14 jenis bahaya</w:t>
      </w:r>
      <w:r>
        <w:t xml:space="preserve"> </w:t>
      </w:r>
      <w:r>
        <w:t xml:space="preserve">(BNPB, 2025c, hlm. 22)</w:t>
      </w:r>
      <w:r>
        <w:t xml:space="preserve">, dan IRBI menghitung sembilan ancaman alam </w:t>
      </w:r>
      <w:r>
        <w:t xml:space="preserve">(BNPB, 2025e, hlm. 5)</w:t>
      </w:r>
      <w:r>
        <w:t xml:space="preserve">. Padanan ketiganya tampil pada </w:t>
      </w:r>
      <w:r>
        <w:fldChar w:fldCharType="begin"/>
      </w:r>
      <w:r>
        <w:instrText xml:space="preserve"> REF _Ref0330 \h \* CHARFORMAT </w:instrText>
      </w:r>
      <w:r>
        <w:fldChar w:fldCharType="separate"/>
      </w:r>
      <w:r>
        <w:t xml:space="preserve">Tabel 1.1</w:t>
      </w:r>
      <w:r>
        <w:fldChar w:fldCharType="end"/>
      </w:r>
      <w:r>
        <w:t xml:space="preserve">.</w:t>
      </w:r>
    </w:p>
    <w:p>
      <w:pPr>
        <w:pStyle w:val="Caption"/>
      </w:pPr>
      <w:bookmarkStart w:id="53" w:name="_Toc00028"/>
      <w:bookmarkStart w:id="52" w:name="_Ref033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2"/>
      <w:r>
        <w:rPr>
          <w:b/>
          <w:bCs/>
          <w:color w:val="051C2C"/>
        </w:rPr>
        <w:t xml:space="preserve"> </w:t>
      </w:r>
      <w:r>
        <w:t xml:space="preserve">Taksonomi dan lingkup kajian terhadap kode Juklak 7/2023, bahaya KRB 2022–2026, dan ancaman IRBI, 2026</w:t>
      </w:r>
      <w:bookmarkEnd w:id="5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65"/>
        <w:gridCol w:w="2809"/>
        <w:gridCol w:w="1344"/>
        <w:gridCol w:w="2145"/>
        <w:gridCol w:w="1111"/>
        <w:gridCol w:w="580"/>
      </w:tblGrid>
      <w:tr>
        <w:trPr>
          <w:cantSplit/>
          <w:tblHeader/>
        </w:trPr>
        <w:tc>
          <w:tcPr>
            <w:tcW w:w="1365" w:type="dxa"/>
            <w:shd w:val="clear" w:color="auto" w:fill="051C2C"/>
            <w:vAlign w:val="center"/>
          </w:tcPr>
          <w:p>
            <w:pPr>
              <w:pStyle w:val="KepalaTabel"/>
              <w:suppressAutoHyphens/>
            </w:pPr>
            <w:r>
              <w:t xml:space="preserve">KLASIFIKASI</w:t>
            </w:r>
          </w:p>
        </w:tc>
        <w:tc>
          <w:tcPr>
            <w:tcW w:w="2809" w:type="dxa"/>
            <w:shd w:val="clear" w:color="auto" w:fill="051C2C"/>
            <w:vAlign w:val="center"/>
          </w:tcPr>
          <w:p>
            <w:pPr>
              <w:pStyle w:val="KepalaTabel"/>
              <w:suppressAutoHyphens/>
            </w:pPr>
            <w:r>
              <w:t xml:space="preserve">JENIS</w:t>
            </w:r>
          </w:p>
        </w:tc>
        <w:tc>
          <w:tcPr>
            <w:tcW w:w="1344" w:type="dxa"/>
            <w:shd w:val="clear" w:color="auto" w:fill="051C2C"/>
            <w:vAlign w:val="center"/>
          </w:tcPr>
          <w:p>
            <w:pPr>
              <w:pStyle w:val="KepalaTabel"/>
              <w:suppressAutoHyphens/>
            </w:pPr>
            <w:r>
              <w:t xml:space="preserve">KODE JUKLAK</w:t>
            </w:r>
          </w:p>
        </w:tc>
        <w:tc>
          <w:tcPr>
            <w:tcW w:w="2145" w:type="dxa"/>
            <w:shd w:val="clear" w:color="auto" w:fill="051C2C"/>
            <w:vAlign w:val="center"/>
          </w:tcPr>
          <w:p>
            <w:pPr>
              <w:pStyle w:val="KepalaTabel"/>
              <w:suppressAutoHyphens/>
            </w:pPr>
            <w:r>
              <w:t xml:space="preserve">BAHAYA KRB</w:t>
            </w:r>
          </w:p>
        </w:tc>
        <w:tc>
          <w:tcPr>
            <w:tcW w:w="1111" w:type="dxa"/>
            <w:shd w:val="clear" w:color="auto" w:fill="051C2C"/>
            <w:vAlign w:val="center"/>
          </w:tcPr>
          <w:p>
            <w:pPr>
              <w:pStyle w:val="KepalaTabel"/>
              <w:suppressAutoHyphens/>
            </w:pPr>
            <w:r>
              <w:t xml:space="preserve">IRBI</w:t>
            </w:r>
          </w:p>
        </w:tc>
        <w:tc>
          <w:tcPr>
            <w:tcW w:w="580" w:type="dxa"/>
            <w:shd w:val="clear" w:color="auto" w:fill="051C2C"/>
            <w:vAlign w:val="center"/>
          </w:tcPr>
          <w:p>
            <w:pPr>
              <w:pStyle w:val="KepalaTabel"/>
              <w:suppressAutoHyphens/>
            </w:pPr>
            <w:r>
              <w:t xml:space="preserve">BAB</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Gempa bumi</w:t>
            </w:r>
          </w:p>
        </w:tc>
        <w:tc>
          <w:tcPr>
            <w:tcW w:w="1344" w:type="dxa"/>
          </w:tcPr>
          <w:p>
            <w:pPr>
              <w:pStyle w:val="IsiTabel"/>
              <w:suppressAutoHyphens/>
              <w:jc w:val="left"/>
            </w:pPr>
            <w:r>
              <w:t xml:space="preserve">107</w:t>
            </w:r>
          </w:p>
        </w:tc>
        <w:tc>
          <w:tcPr>
            <w:tcW w:w="2145" w:type="dxa"/>
          </w:tcPr>
          <w:p>
            <w:pPr>
              <w:pStyle w:val="IsiTabel"/>
              <w:suppressAutoHyphens/>
              <w:jc w:val="left"/>
            </w:pPr>
            <w:r>
              <w:t xml:space="preserve">gempa bumi; likuefaksi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6</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Tsunami</w:t>
            </w:r>
          </w:p>
        </w:tc>
        <w:tc>
          <w:tcPr>
            <w:tcW w:w="1344" w:type="dxa"/>
          </w:tcPr>
          <w:p>
            <w:pPr>
              <w:pStyle w:val="IsiTabel"/>
              <w:suppressAutoHyphens/>
              <w:jc w:val="left"/>
            </w:pPr>
            <w:r>
              <w:t xml:space="preserve">108</w:t>
            </w:r>
          </w:p>
        </w:tc>
        <w:tc>
          <w:tcPr>
            <w:tcW w:w="2145" w:type="dxa"/>
          </w:tcPr>
          <w:p>
            <w:pPr>
              <w:pStyle w:val="IsiTabel"/>
              <w:suppressAutoHyphens/>
              <w:jc w:val="left"/>
            </w:pPr>
            <w:r>
              <w:t xml:space="preserve">tsunami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6</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Gunung api</w:t>
            </w:r>
          </w:p>
        </w:tc>
        <w:tc>
          <w:tcPr>
            <w:tcW w:w="1344" w:type="dxa"/>
          </w:tcPr>
          <w:p>
            <w:pPr>
              <w:pStyle w:val="IsiTabel"/>
              <w:suppressAutoHyphens/>
              <w:jc w:val="left"/>
            </w:pPr>
            <w:r>
              <w:t xml:space="preserve">109</w:t>
            </w:r>
          </w:p>
        </w:tc>
        <w:tc>
          <w:tcPr>
            <w:tcW w:w="2145" w:type="dxa"/>
          </w:tcPr>
          <w:p>
            <w:pPr>
              <w:pStyle w:val="IsiTabel"/>
              <w:suppressAutoHyphens/>
              <w:jc w:val="left"/>
            </w:pPr>
            <w:r>
              <w:t xml:space="preserve">letusan gunung api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6</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Banjir dan banjir bandang</w:t>
            </w:r>
          </w:p>
        </w:tc>
        <w:tc>
          <w:tcPr>
            <w:tcW w:w="1344" w:type="dxa"/>
          </w:tcPr>
          <w:p>
            <w:pPr>
              <w:pStyle w:val="IsiTabel"/>
              <w:suppressAutoHyphens/>
              <w:jc w:val="left"/>
            </w:pPr>
            <w:r>
              <w:t xml:space="preserve">101</w:t>
            </w:r>
          </w:p>
        </w:tc>
        <w:tc>
          <w:tcPr>
            <w:tcW w:w="2145" w:type="dxa"/>
          </w:tcPr>
          <w:p>
            <w:pPr>
              <w:pStyle w:val="IsiTabel"/>
              <w:suppressAutoHyphens/>
              <w:jc w:val="left"/>
            </w:pPr>
            <w:r>
              <w:t xml:space="preserve">banjir; banjir bandang</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Tanah longsor</w:t>
            </w:r>
          </w:p>
        </w:tc>
        <w:tc>
          <w:tcPr>
            <w:tcW w:w="1344" w:type="dxa"/>
          </w:tcPr>
          <w:p>
            <w:pPr>
              <w:pStyle w:val="IsiTabel"/>
              <w:suppressAutoHyphens/>
              <w:jc w:val="left"/>
            </w:pPr>
            <w:r>
              <w:t xml:space="preserve">102</w:t>
            </w:r>
          </w:p>
        </w:tc>
        <w:tc>
          <w:tcPr>
            <w:tcW w:w="2145" w:type="dxa"/>
          </w:tcPr>
          <w:p>
            <w:pPr>
              <w:pStyle w:val="IsiTabel"/>
              <w:suppressAutoHyphens/>
              <w:jc w:val="left"/>
            </w:pPr>
            <w:r>
              <w:t xml:space="preserve">tanah longsor</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Cuaca ekstrem</w:t>
            </w:r>
          </w:p>
        </w:tc>
        <w:tc>
          <w:tcPr>
            <w:tcW w:w="1344" w:type="dxa"/>
          </w:tcPr>
          <w:p>
            <w:pPr>
              <w:pStyle w:val="IsiTabel"/>
              <w:suppressAutoHyphens/>
              <w:jc w:val="left"/>
            </w:pPr>
            <w:r>
              <w:t xml:space="preserve">104</w:t>
            </w:r>
          </w:p>
        </w:tc>
        <w:tc>
          <w:tcPr>
            <w:tcW w:w="2145" w:type="dxa"/>
          </w:tcPr>
          <w:p>
            <w:pPr>
              <w:pStyle w:val="IsiTabel"/>
              <w:suppressAutoHyphens/>
              <w:jc w:val="left"/>
            </w:pPr>
            <w:r>
              <w:t xml:space="preserve">cuaca ekstrem</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Gelombang ekstrem dan abrasi</w:t>
            </w:r>
          </w:p>
        </w:tc>
        <w:tc>
          <w:tcPr>
            <w:tcW w:w="1344" w:type="dxa"/>
          </w:tcPr>
          <w:p>
            <w:pPr>
              <w:pStyle w:val="IsiTabel"/>
              <w:suppressAutoHyphens/>
              <w:jc w:val="left"/>
            </w:pPr>
            <w:r>
              <w:t xml:space="preserve">103</w:t>
            </w:r>
          </w:p>
        </w:tc>
        <w:tc>
          <w:tcPr>
            <w:tcW w:w="2145" w:type="dxa"/>
          </w:tcPr>
          <w:p>
            <w:pPr>
              <w:pStyle w:val="IsiTabel"/>
              <w:suppressAutoHyphens/>
              <w:jc w:val="left"/>
            </w:pPr>
            <w:r>
              <w:t xml:space="preserve">gelombang ekstrem dan abrasi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Kekeringan</w:t>
            </w:r>
          </w:p>
        </w:tc>
        <w:tc>
          <w:tcPr>
            <w:tcW w:w="1344" w:type="dxa"/>
          </w:tcPr>
          <w:p>
            <w:pPr>
              <w:pStyle w:val="IsiTabel"/>
              <w:suppressAutoHyphens/>
              <w:jc w:val="left"/>
            </w:pPr>
            <w:r>
              <w:t xml:space="preserve">105</w:t>
            </w:r>
          </w:p>
        </w:tc>
        <w:tc>
          <w:tcPr>
            <w:tcW w:w="2145" w:type="dxa"/>
          </w:tcPr>
          <w:p>
            <w:pPr>
              <w:pStyle w:val="IsiTabel"/>
              <w:suppressAutoHyphens/>
              <w:jc w:val="left"/>
            </w:pPr>
            <w:r>
              <w:t xml:space="preserve">kekeringan</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2809" w:type="dxa"/>
          </w:tcPr>
          <w:p>
            <w:pPr>
              <w:pStyle w:val="IsiTabel"/>
              <w:suppressAutoHyphens/>
              <w:jc w:val="left"/>
            </w:pPr>
            <w:r>
              <w:t xml:space="preserve">Karhutla</w:t>
            </w:r>
          </w:p>
        </w:tc>
        <w:tc>
          <w:tcPr>
            <w:tcW w:w="1344" w:type="dxa"/>
          </w:tcPr>
          <w:p>
            <w:pPr>
              <w:pStyle w:val="IsiTabel"/>
              <w:suppressAutoHyphens/>
              <w:jc w:val="left"/>
            </w:pPr>
            <w:r>
              <w:t xml:space="preserve">106</w:t>
            </w:r>
          </w:p>
        </w:tc>
        <w:tc>
          <w:tcPr>
            <w:tcW w:w="2145" w:type="dxa"/>
          </w:tcPr>
          <w:p>
            <w:pPr>
              <w:pStyle w:val="IsiTabel"/>
              <w:suppressAutoHyphens/>
              <w:jc w:val="left"/>
            </w:pPr>
            <w:r>
              <w:t xml:space="preserve">karhutla</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Nonalam</w:t>
            </w:r>
          </w:p>
        </w:tc>
        <w:tc>
          <w:tcPr>
            <w:tcW w:w="2809" w:type="dxa"/>
          </w:tcPr>
          <w:p>
            <w:pPr>
              <w:pStyle w:val="IsiTabel"/>
              <w:suppressAutoHyphens/>
              <w:jc w:val="left"/>
            </w:pPr>
            <w:r>
              <w:t xml:space="preserve">Epidemi dan pandemi</w:t>
            </w:r>
          </w:p>
        </w:tc>
        <w:tc>
          <w:tcPr>
            <w:tcW w:w="1344" w:type="dxa"/>
          </w:tcPr>
          <w:p>
            <w:pPr>
              <w:pStyle w:val="IsiTabel"/>
              <w:suppressAutoHyphens/>
              <w:jc w:val="left"/>
            </w:pPr>
            <w:r>
              <w:t xml:space="preserve">201</w:t>
            </w:r>
          </w:p>
        </w:tc>
        <w:tc>
          <w:tcPr>
            <w:tcW w:w="2145" w:type="dxa"/>
          </w:tcPr>
          <w:p>
            <w:pPr>
              <w:pStyle w:val="IsiTabel"/>
              <w:suppressAutoHyphens/>
              <w:jc w:val="left"/>
            </w:pPr>
            <w:r>
              <w:t xml:space="preserve">COVID-19; epidemi wabah penyakit</w:t>
            </w:r>
          </w:p>
        </w:tc>
        <w:tc>
          <w:tcPr>
            <w:tcW w:w="1111" w:type="dxa"/>
          </w:tcPr>
          <w:p>
            <w:pPr>
              <w:pStyle w:val="IsiTabel"/>
              <w:suppressAutoHyphens/>
              <w:jc w:val="left"/>
            </w:pPr>
            <w:r>
              <w:t xml:space="preserve">tidak dinilai</w:t>
            </w:r>
          </w:p>
        </w:tc>
        <w:tc>
          <w:tcPr>
            <w:tcW w:w="580" w:type="dxa"/>
          </w:tcPr>
          <w:p>
            <w:pPr>
              <w:pStyle w:val="IsiTabel"/>
              <w:suppressAutoHyphens/>
              <w:jc w:val="left"/>
            </w:pPr>
            <w:r>
              <w:t xml:space="preserve">8</w:t>
            </w:r>
          </w:p>
        </w:tc>
      </w:tr>
      <w:tr>
        <w:trPr>
          <w:cantSplit/>
        </w:trPr>
        <w:tc>
          <w:tcPr>
            <w:tcW w:w="1365" w:type="dxa"/>
          </w:tcPr>
          <w:p>
            <w:pPr>
              <w:pStyle w:val="IsiTabel"/>
              <w:suppressAutoHyphens/>
              <w:jc w:val="left"/>
            </w:pPr>
            <w:r>
              <w:t xml:space="preserve">Nonalam</w:t>
            </w:r>
          </w:p>
        </w:tc>
        <w:tc>
          <w:tcPr>
            <w:tcW w:w="2809" w:type="dxa"/>
          </w:tcPr>
          <w:p>
            <w:pPr>
              <w:pStyle w:val="IsiTabel"/>
              <w:suppressAutoHyphens/>
              <w:jc w:val="left"/>
            </w:pPr>
            <w:r>
              <w:t xml:space="preserve">Kebakaran industri dan kegagalan teknologi</w:t>
            </w:r>
          </w:p>
        </w:tc>
        <w:tc>
          <w:tcPr>
            <w:tcW w:w="1344" w:type="dxa"/>
          </w:tcPr>
          <w:p>
            <w:pPr>
              <w:pStyle w:val="IsiTabel"/>
              <w:suppressAutoHyphens/>
              <w:jc w:val="left"/>
            </w:pPr>
            <w:r>
              <w:t xml:space="preserve">203</w:t>
            </w:r>
          </w:p>
        </w:tc>
        <w:tc>
          <w:tcPr>
            <w:tcW w:w="2145" w:type="dxa"/>
          </w:tcPr>
          <w:p>
            <w:pPr>
              <w:pStyle w:val="IsiTabel"/>
              <w:suppressAutoHyphens/>
              <w:jc w:val="left"/>
            </w:pPr>
            <w:r>
              <w:t xml:space="preserve">kegagalan teknologi</w:t>
            </w:r>
          </w:p>
        </w:tc>
        <w:tc>
          <w:tcPr>
            <w:tcW w:w="1111" w:type="dxa"/>
          </w:tcPr>
          <w:p>
            <w:pPr>
              <w:pStyle w:val="IsiTabel"/>
              <w:suppressAutoHyphens/>
              <w:jc w:val="left"/>
            </w:pPr>
            <w:r>
              <w:t xml:space="preserve">tidak dinilai</w:t>
            </w:r>
          </w:p>
        </w:tc>
        <w:tc>
          <w:tcPr>
            <w:tcW w:w="580" w:type="dxa"/>
          </w:tcPr>
          <w:p>
            <w:pPr>
              <w:pStyle w:val="IsiTabel"/>
              <w:suppressAutoHyphens/>
              <w:jc w:val="left"/>
            </w:pPr>
            <w:r>
              <w:t xml:space="preserve">8</w:t>
            </w:r>
          </w:p>
        </w:tc>
      </w:tr>
      <w:tr>
        <w:trPr>
          <w:cantSplit/>
        </w:trPr>
        <w:tc>
          <w:tcPr>
            <w:tcW w:w="1365" w:type="dxa"/>
          </w:tcPr>
          <w:p>
            <w:pPr>
              <w:pStyle w:val="IsiTabel"/>
              <w:keepNext/>
              <w:suppressAutoHyphens/>
              <w:jc w:val="left"/>
            </w:pPr>
            <w:bookmarkStart w:id="54" w:name="_Ekor004a"/>
            <w:bookmarkEnd w:id="54"/>
            <w:r>
              <w:t xml:space="preserve">Nonalam</w:t>
            </w:r>
          </w:p>
        </w:tc>
        <w:tc>
          <w:tcPr>
            <w:tcW w:w="2809" w:type="dxa"/>
          </w:tcPr>
          <w:p>
            <w:pPr>
              <w:pStyle w:val="IsiTabel"/>
              <w:keepNext/>
              <w:suppressAutoHyphens/>
              <w:jc w:val="left"/>
            </w:pPr>
            <w:r>
              <w:t xml:space="preserve">Kebakaran TPA</w:t>
            </w:r>
          </w:p>
        </w:tc>
        <w:tc>
          <w:tcPr>
            <w:tcW w:w="1344" w:type="dxa"/>
          </w:tcPr>
          <w:p>
            <w:pPr>
              <w:pStyle w:val="IsiTabel"/>
              <w:keepNext/>
              <w:suppressAutoHyphens/>
              <w:jc w:val="left"/>
            </w:pPr>
            <w:r>
              <w:t xml:space="preserve">–</w:t>
            </w:r>
          </w:p>
        </w:tc>
        <w:tc>
          <w:tcPr>
            <w:tcW w:w="2145" w:type="dxa"/>
          </w:tcPr>
          <w:p>
            <w:pPr>
              <w:pStyle w:val="IsiTabel"/>
              <w:keepNext/>
              <w:suppressAutoHyphens/>
              <w:jc w:val="left"/>
            </w:pPr>
            <w:r>
              <w:t xml:space="preserve">–</w:t>
            </w:r>
          </w:p>
        </w:tc>
        <w:tc>
          <w:tcPr>
            <w:tcW w:w="1111" w:type="dxa"/>
          </w:tcPr>
          <w:p>
            <w:pPr>
              <w:pStyle w:val="IsiTabel"/>
              <w:keepNext/>
              <w:suppressAutoHyphens/>
              <w:jc w:val="left"/>
            </w:pPr>
            <w:r>
              <w:t xml:space="preserve">tidak dinilai</w:t>
            </w:r>
          </w:p>
        </w:tc>
        <w:tc>
          <w:tcPr>
            <w:tcW w:w="580" w:type="dxa"/>
          </w:tcPr>
          <w:p>
            <w:pPr>
              <w:pStyle w:val="IsiTabel"/>
              <w:keepNext/>
              <w:suppressAutoHyphens/>
              <w:jc w:val="left"/>
            </w:pPr>
            <w:r>
              <w:t xml:space="preserve">8</w:t>
            </w:r>
          </w:p>
        </w:tc>
      </w:tr>
      <w:tr>
        <w:trPr>
          <w:cantSplit/>
        </w:trPr>
        <w:tc>
          <w:tcPr>
            <w:tcW w:w="1365" w:type="dxa"/>
          </w:tcPr>
          <w:p>
            <w:pPr>
              <w:pStyle w:val="IsiTabel"/>
              <w:keepNext/>
              <w:suppressAutoHyphens/>
              <w:jc w:val="left"/>
            </w:pPr>
            <w:r>
              <w:t xml:space="preserve">Sosial</w:t>
            </w:r>
          </w:p>
        </w:tc>
        <w:tc>
          <w:tcPr>
            <w:tcW w:w="2809" w:type="dxa"/>
          </w:tcPr>
          <w:p>
            <w:pPr>
              <w:pStyle w:val="IsiTabel"/>
              <w:keepNext/>
              <w:suppressAutoHyphens/>
              <w:jc w:val="left"/>
            </w:pPr>
            <w:r>
              <w:t xml:space="preserve">Konflik dan kerusuhan sosial antarkelompok</w:t>
            </w:r>
          </w:p>
        </w:tc>
        <w:tc>
          <w:tcPr>
            <w:tcW w:w="1344" w:type="dxa"/>
          </w:tcPr>
          <w:p>
            <w:pPr>
              <w:pStyle w:val="IsiTabel"/>
              <w:keepNext/>
              <w:suppressAutoHyphens/>
              <w:jc w:val="left"/>
            </w:pPr>
            <w:r>
              <w:t xml:space="preserve">301, lebih luas</w:t>
            </w:r>
          </w:p>
        </w:tc>
        <w:tc>
          <w:tcPr>
            <w:tcW w:w="2145" w:type="dxa"/>
          </w:tcPr>
          <w:p>
            <w:pPr>
              <w:pStyle w:val="IsiTabel"/>
              <w:keepNext/>
              <w:suppressAutoHyphens/>
              <w:jc w:val="left"/>
            </w:pPr>
            <w:r>
              <w:t xml:space="preserve">–</w:t>
            </w:r>
          </w:p>
        </w:tc>
        <w:tc>
          <w:tcPr>
            <w:tcW w:w="1111" w:type="dxa"/>
          </w:tcPr>
          <w:p>
            <w:pPr>
              <w:pStyle w:val="IsiTabel"/>
              <w:keepNext/>
              <w:suppressAutoHyphens/>
              <w:jc w:val="left"/>
            </w:pPr>
            <w:r>
              <w:t xml:space="preserve">tidak dinilai</w:t>
            </w:r>
          </w:p>
        </w:tc>
        <w:tc>
          <w:tcPr>
            <w:tcW w:w="580" w:type="dxa"/>
          </w:tcPr>
          <w:p>
            <w:pPr>
              <w:pStyle w:val="IsiTabel"/>
              <w:keepNext/>
              <w:suppressAutoHyphens/>
              <w:jc w:val="left"/>
            </w:pPr>
            <w:r>
              <w:t xml:space="preserve">9</w:t>
            </w:r>
          </w:p>
        </w:tc>
      </w:tr>
      <w:tr>
        <w:trPr>
          <w:cantSplit/>
        </w:trPr>
        <w:tc>
          <w:tcPr>
            <w:tcW w:w="1365" w:type="dxa"/>
          </w:tcPr>
          <w:p>
            <w:pPr>
              <w:pStyle w:val="IsiTabel"/>
              <w:keepNext/>
              <w:suppressAutoHyphens/>
              <w:jc w:val="left"/>
            </w:pPr>
            <w:r>
              <w:t xml:space="preserve">Di luar lingkup</w:t>
            </w:r>
          </w:p>
        </w:tc>
        <w:tc>
          <w:tcPr>
            <w:tcW w:w="2809" w:type="dxa"/>
          </w:tcPr>
          <w:p>
            <w:pPr>
              <w:pStyle w:val="IsiTabel"/>
              <w:keepNext/>
              <w:suppressAutoHyphens/>
              <w:jc w:val="left"/>
            </w:pPr>
            <w:r>
              <w:t xml:space="preserve">Kebakaran gedung dan permukiman</w:t>
            </w:r>
          </w:p>
        </w:tc>
        <w:tc>
          <w:tcPr>
            <w:tcW w:w="1344" w:type="dxa"/>
          </w:tcPr>
          <w:p>
            <w:pPr>
              <w:pStyle w:val="IsiTabel"/>
              <w:keepNext/>
              <w:suppressAutoHyphens/>
              <w:jc w:val="left"/>
            </w:pPr>
            <w:r>
              <w:t xml:space="preserve">202</w:t>
            </w:r>
          </w:p>
        </w:tc>
        <w:tc>
          <w:tcPr>
            <w:tcW w:w="2145" w:type="dxa"/>
          </w:tcPr>
          <w:p>
            <w:pPr>
              <w:pStyle w:val="IsiTabel"/>
              <w:keepNext/>
              <w:suppressAutoHyphens/>
              <w:jc w:val="left"/>
            </w:pPr>
            <w:r>
              <w:t xml:space="preserve">–</w:t>
            </w:r>
          </w:p>
        </w:tc>
        <w:tc>
          <w:tcPr>
            <w:tcW w:w="1111" w:type="dxa"/>
          </w:tcPr>
          <w:p>
            <w:pPr>
              <w:pStyle w:val="IsiTabel"/>
              <w:keepNext/>
              <w:suppressAutoHyphens/>
              <w:jc w:val="left"/>
            </w:pPr>
            <w:r>
              <w:t xml:space="preserve">tidak dinilai</w:t>
            </w:r>
          </w:p>
        </w:tc>
        <w:tc>
          <w:tcPr>
            <w:tcW w:w="580" w:type="dxa"/>
          </w:tcPr>
          <w:p>
            <w:pPr>
              <w:pStyle w:val="IsiTabel"/>
              <w:keepNext/>
              <w:suppressAutoHyphens/>
              <w:jc w:val="left"/>
            </w:pPr>
            <w:r>
              <w:t xml:space="preserve">–</w:t>
            </w:r>
          </w:p>
        </w:tc>
      </w:tr>
      <w:tr>
        <w:trPr>
          <w:cantSplit/>
        </w:trPr>
        <w:tc>
          <w:tcPr>
            <w:tcW w:w="1365" w:type="dxa"/>
          </w:tcPr>
          <w:p>
            <w:pPr>
              <w:pStyle w:val="IsiTabel"/>
              <w:suppressAutoHyphens/>
              <w:jc w:val="left"/>
            </w:pPr>
            <w:bookmarkStart w:id="55" w:name="_Ekor004z"/>
            <w:bookmarkEnd w:id="55"/>
            <w:r>
              <w:t xml:space="preserve">Di luar lingkup</w:t>
            </w:r>
          </w:p>
        </w:tc>
        <w:tc>
          <w:tcPr>
            <w:tcW w:w="2809" w:type="dxa"/>
          </w:tcPr>
          <w:p>
            <w:pPr>
              <w:pStyle w:val="IsiTabel"/>
              <w:suppressAutoHyphens/>
              <w:jc w:val="left"/>
            </w:pPr>
            <w:r>
              <w:t xml:space="preserve">Teror dan gagal modernisasi</w:t>
            </w:r>
          </w:p>
        </w:tc>
        <w:tc>
          <w:tcPr>
            <w:tcW w:w="1344" w:type="dxa"/>
          </w:tcPr>
          <w:p>
            <w:pPr>
              <w:pStyle w:val="IsiTabel"/>
              <w:suppressAutoHyphens/>
              <w:jc w:val="left"/>
            </w:pPr>
            <w:r>
              <w:t xml:space="preserve">301 (teror)</w:t>
            </w:r>
          </w:p>
        </w:tc>
        <w:tc>
          <w:tcPr>
            <w:tcW w:w="2145" w:type="dxa"/>
          </w:tcPr>
          <w:p>
            <w:pPr>
              <w:pStyle w:val="IsiTabel"/>
              <w:suppressAutoHyphens/>
              <w:jc w:val="left"/>
            </w:pPr>
            <w:r>
              <w:t xml:space="preserve">–</w:t>
            </w:r>
          </w:p>
        </w:tc>
        <w:tc>
          <w:tcPr>
            <w:tcW w:w="1111" w:type="dxa"/>
          </w:tcPr>
          <w:p>
            <w:pPr>
              <w:pStyle w:val="IsiTabel"/>
              <w:suppressAutoHyphens/>
              <w:jc w:val="left"/>
            </w:pPr>
            <w:r>
              <w:t xml:space="preserve">tidak dinilai</w:t>
            </w:r>
          </w:p>
        </w:tc>
        <w:tc>
          <w:tcPr>
            <w:tcW w:w="580"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UU 24/2007 Pasal 1 angka 2–4; Juklak BNPB 7/2023 hlm. 5–7; Renas PB 2025–2029 Tabel 2.2; Renstra BNPB 2025–2029 hlm. 5; DIBI BNPB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Padanan kode dan bahaya bersumber resmi; penentuan lingkup kajian, termasuk kategori kebakaran TPA, adalah asumsi kebijakan. "–" berarti tidak ada padanan di taksonomi itu. Kode 202 dapat memuat kebakaran gedung industri atau gudang yang tidak dapat dipisahkan dari data DIBI 2025.</w:t>
      </w:r>
    </w:p>
    <w:p>
      <w:pPr>
        <w:pStyle w:val="IsiTemuan"/>
      </w:pPr>
      <w:r>
        <w:rPr>
          <w:b/>
          <w:bCs/>
          <w:color w:val="051C2C"/>
        </w:rPr>
        <w:t xml:space="preserve">Kode 301 Juklak 7/2023 memuat nama kejadian "Teror" dan "Kerusuhan sosial" di samping "Konflik sosial" tanpa syarat antarkelompok, sehingga seri konflik DIBI tidak dipakai apa adanya </w:t>
      </w:r>
      <w:r>
        <w:rPr>
          <w:b/>
          <w:bCs/>
          <w:color w:val="051C2C"/>
        </w:rPr>
        <w:t xml:space="preserve">(BNPB, 2023j, hlm. 6)</w:t>
      </w:r>
      <w:r>
        <w:rPr>
          <w:b/>
          <w:bCs/>
          <w:color w:val="051C2C"/>
        </w:rPr>
        <w:t xml:space="preserve">.</w:t>
      </w:r>
      <w:r>
        <w:t xml:space="preserve"> Kajian membatasi kerusuhan sosial pada benturan fisik dengan kekerasan antara dua kelompok masyarakat atau lebih, mengikuti UU 24/2007 Pasal 1 angka 4 dan UU 7/2012 Pasal 1 angka 1 </w:t>
      </w:r>
      <w:r>
        <w:t xml:space="preserve">(Republik Indonesia, 2012, hlm. 2)</w:t>
      </w:r>
      <w:r>
        <w:t xml:space="preserve">. Batas ini lebih sempit daripada uraian Renas PB tentang "bencana sosial seperti konflik sosial, dan ekonomi yang menimbulkan kerusuhan" </w:t>
      </w:r>
      <w:r>
        <w:t xml:space="preserve">(BNPB, 2025c, hlm. 6)</w:t>
      </w:r>
      <w:r>
        <w:t xml:space="preserve">; kerusuhan bermotif ekonomi yang terjadi antarkelompok tetap masuk. Unjuk rasa yang berhadapan dengan aparat termasuk tugas Kepolisian Negara Republik Indonesia (Polri) memelihara keamanan dan ketertiban masyarakat (UU 2/2002 Pasal 13) </w:t>
      </w:r>
      <w:r>
        <w:t xml:space="preserve">(Republik Indonesia, 2002, hlm. 6)</w:t>
      </w:r>
      <w:r>
        <w:t xml:space="preserve">, dan dugaan pelanggaran hak asasi manusia berada pada Komisi Nasional Hak Asasi Manusia (UU 39/1999) </w:t>
      </w:r>
      <w:r>
        <w:t xml:space="preserve">(Republik Indonesia, 1999)</w:t>
      </w:r>
      <w:r>
        <w:t xml:space="preserve">. Status keadaan konflik ditetapkan menurut UU 7/2012, sedangkan Perpres 46/2026 Pasal 3 ayat (2) membuka peran Kepala BNPB dalam keadaan tertentu, termasuk di daerah yang sedang dalam rekonsiliasi pascakonflik sosial </w:t>
      </w:r>
      <w:r>
        <w:t xml:space="preserve">(Republik Indonesia, 2026a, hlm. 3)</w:t>
      </w:r>
      <w:r>
        <w:t xml:space="preserve">; pembagian perannya ada di Bab 9 dan Bab 12.</w:t>
      </w:r>
    </w:p>
    <w:p>
      <w:pPr>
        <w:pStyle w:val="IsiTemuan"/>
      </w:pPr>
      <w:r>
        <w:rPr>
          <w:b/>
          <w:bCs/>
          <w:color w:val="051C2C"/>
        </w:rPr>
        <w:t xml:space="preserve">UU 24/2007 Pasal 1 angka 9 mendefinisikan mitigasi sebagai "serangkaian upaya untuk mengurangi risiko bencana" tanpa batas tahap, sedangkan Pasal 44 dan Pasal 47 menempatkan mitigasi bencana pada tahap prabencana dalam situasi terdapat potensi bencana </w:t>
      </w:r>
      <w:r>
        <w:rPr>
          <w:b/>
          <w:bCs/>
          <w:color w:val="051C2C"/>
        </w:rPr>
        <w:t xml:space="preserve">(Republik Indonesia, 2007, hlm. 3–4, 21–23)</w:t>
      </w:r>
      <w:r>
        <w:rPr>
          <w:b/>
          <w:bCs/>
          <w:color w:val="051C2C"/>
        </w:rPr>
        <w:t xml:space="preserve">.</w:t>
      </w:r>
      <w:r>
        <w:t xml:space="preserve"> Kajian ini memakai arti luas, yaitu pengurangan risiko pada ketiga tahap menurut Pasal 33, karena strategi Grand Design mencakup prabencana, tanggap darurat, dan pascabencana. Kedua definisi operasional dirangkum dalam kotak berikut.</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1A1A1A"/>
              </w:rPr>
              <w:t xml:space="preserve">Kerusuhan sosial: </w:t>
            </w:r>
            <w:r>
              <w:t xml:space="preserve">konflik sosial berupa perseteruan atau benturan fisik dengan kekerasan antara dua kelompok masyarakat atau lebih (UU 24/2007 Pasal 1 angka 4; UU 7/2012 Pasal 1 angka 1). Uraian Renas PB hlm. 6 lebih luas karena memuat kerusuhan bermotif ekonomi tanpa syarat antarkelompok.</w:t>
            </w:r>
          </w:p>
          <w:p>
            <w:pPr>
              <w:pStyle w:val="IsiKotak"/>
            </w:pPr>
            <w:r>
              <w:rPr>
                <w:b/>
                <w:bCs/>
                <w:color w:val="1A1A1A"/>
              </w:rPr>
              <w:t xml:space="preserve">Mitigasi: </w:t>
            </w:r>
            <w:r>
              <w:t xml:space="preserve">pengurangan risiko bencana (UU 24/2007 Pasal 1 angka 9) pada tahap prabencana, tanggap darurat, dan pascabencana (Pasal 33). Dalam sistematika undang-undang, mitigasi bencana adalah kegiatan prabencana (Pasal 44 dan 47); arti luas adalah definisi kajian dan berlabel asumsi kebijakan.</w:t>
            </w:r>
          </w:p>
          <w:p>
            <w:pPr>
              <w:pStyle w:val="IsiKotak"/>
            </w:pPr>
            <w:r>
              <w:rPr>
                <w:b/>
                <w:bCs/>
                <w:color w:val="1A1A1A"/>
              </w:rPr>
              <w:t xml:space="preserve">Kebakaran TPA: </w:t>
            </w:r>
            <w:r>
              <w:t xml:space="preserve">kategori kajian berlabel tafsiran penyusun, karena tidak punya kode Juklak 7/2023 dan bukan bahaya KRB 2022–2026.</w:t>
            </w:r>
          </w:p>
          <w:p>
            <w:pPr>
              <w:pStyle w:val="IsiKotak"/>
            </w:pPr>
            <w:r>
              <w:rPr>
                <w:b/>
                <w:bCs/>
                <w:color w:val="1A1A1A"/>
              </w:rPr>
              <w:t xml:space="preserve">Di luar lingkup: </w:t>
            </w:r>
            <w:r>
              <w:t xml:space="preserve">kebakaran gedung dan permukiman (keputusan lingkup), unjuk rasa yang berhadapan dengan aparat (UU 2/2002 Pasal 13), teror, dan gagal modernisasi.</w:t>
            </w:r>
          </w:p>
        </w:tc>
      </w:tr>
    </w:tbl>
    <w:p>
      <w:pPr>
        <w:pStyle w:val="Jarak"/>
      </w:pPr>
    </w:p>
    <w:p>
      <w:pPr>
        <w:pStyle w:val="IsiTemuan"/>
      </w:pPr>
      <w:r>
        <w:rPr>
          <w:b/>
          <w:bCs/>
          <w:color w:val="051C2C"/>
        </w:rPr>
        <w:t xml:space="preserve">Kebakaran gedung dan permukiman berada di luar lingkup sebagai keputusan lingkup kajian, meskipun DIBI 2025 mencatat </w:t>
      </w:r>
      <w:r>
        <w:rPr>
          <w:b/>
          <w:bCs/>
          <w:color w:val="051C2C"/>
        </w:rPr>
        <w:t xml:space="preserve">327</w:t>
      </w:r>
      <w:r>
        <w:rPr>
          <w:b/>
          <w:bCs/>
          <w:color w:val="051C2C"/>
        </w:rPr>
        <w:t xml:space="preserve"> kejadian bencana dengan </w:t>
      </w:r>
      <w:r>
        <w:rPr>
          <w:b/>
          <w:bCs/>
          <w:color w:val="051C2C"/>
        </w:rPr>
        <w:t xml:space="preserve">145</w:t>
      </w:r>
      <w:r>
        <w:rPr>
          <w:b/>
          <w:bCs/>
          <w:color w:val="051C2C"/>
        </w:rPr>
        <w:t xml:space="preserve"> meninggal untuk jenis ini.</w:t>
      </w:r>
      <w:r>
        <w:t xml:space="preserve"> Pada cakupan semua laporan angkanya </w:t>
      </w:r>
      <w:r>
        <w:t xml:space="preserve">881</w:t>
      </w:r>
      <w:r>
        <w:t xml:space="preserve"> kejadian dan </w:t>
      </w:r>
      <w:r>
        <w:t xml:space="preserve">149</w:t>
      </w:r>
      <w:r>
        <w:t xml:space="preserve"> meninggal </w:t>
      </w:r>
      <w:r>
        <w:t xml:space="preserve">(BNPB, t.t.-a)</w:t>
      </w:r>
      <w:r>
        <w:t xml:space="preserve">. Pengecualian ini tidak berasal dari pembagian kewenangan, karena UU 23/2014 Lampiran huruf E menempatkan sub-urusan Bencana dan sub-urusan Kebakaran di semua tingkat pemerintahan </w:t>
      </w:r>
      <w:r>
        <w:t xml:space="preserve">(Republik Indonesia, 2014a, hlm. 332–333)</w:t>
      </w:r>
      <w:r>
        <w:t xml:space="preserve">, dan Renas PB menyebut kebakaran permukiman sebagai risiko nonalam yang meningkat </w:t>
      </w:r>
      <w:r>
        <w:t xml:space="preserve">(BNPB, 2025c, hlm. 29)</w:t>
      </w:r>
      <w:r>
        <w:t xml:space="preserve">. Alasannya, yang berlabel tafsiran penyusun, adalah korban per kejadian yang kecil, sementara kajian ini berpusat pada skenario terburuk per jenis. Kebakaran industri tetap dikaji sebagai bagian kegagalan teknologi (UU 24/2007 Pasal 1 angka 3; Juklak 7/2023 kode 203). Epidemi dan pandemi juga masuk lingkup walaupun DIBI tidak mencatat COVID-19; angka nonalam dan sosial disajikan lewat kartu analog berangka di Bab 8 dan Bab 9.</w:t>
      </w:r>
    </w:p>
    <w:p>
      <w:pPr>
        <w:pStyle w:val="Heading2"/>
      </w:pPr>
      <w:bookmarkStart w:id="57" w:name="_Toc00029"/>
      <w:bookmarkStart w:id="56" w:name="_Ref0213"/>
      <w:r>
        <w:t xml:space="preserve">1.5</w:t>
      </w:r>
      <w:bookmarkEnd w:id="56"/>
      <w:r>
        <w:tab/>
      </w:r>
      <w:r>
        <w:t xml:space="preserve">Status Dokumen dan Jalur Adopsi</w:t>
      </w:r>
      <w:bookmarkEnd w:id="57"/>
    </w:p>
    <w:p>
      <w:pPr>
        <w:pStyle w:val="IsiTemuan"/>
      </w:pPr>
      <w:r>
        <w:rPr>
          <w:b/>
          <w:bCs/>
          <w:color w:val="051C2C"/>
        </w:rPr>
        <w:t xml:space="preserve">Perubahan Renas PB karena peninjauan berkala dilakukan paling lambat tahun ketiga periode pelaksanaan (2027), dan perubahan karena bencana paling lambat tahun keempat (2028) </w:t>
      </w:r>
      <w:r>
        <w:rPr>
          <w:b/>
          <w:bCs/>
          <w:color w:val="051C2C"/>
        </w:rPr>
        <w:t xml:space="preserve">(BNPB, 2025c, hlm. 125)</w:t>
      </w:r>
      <w:r>
        <w:rPr>
          <w:b/>
          <w:bCs/>
          <w:color w:val="051C2C"/>
        </w:rPr>
        <w:t xml:space="preserve">.</w:t>
      </w:r>
      <w:r>
        <w:t xml:space="preserve"> Jalur bencana hanya menampung perubahan "terhadap program dan kegiatan dalam rencana aksi", sedangkan isu utama kajian ini berupa perubahan sasaran dan indikator. Isu itu meliputi definisi hitung dan baseline 1.a dan 1.b, catatan metode IRBI sebagai prasyarat 4.c, selisih target peringatan dini, serta pilihan ukuran kapasitas, dan hanya jelas tertampung di jalur berkala dan evaluasi paruh waktu 2027. Kajian mengusulkan banjir dan longsor Sumatra 2025 sebagai pemicu peninjauan sewaktu-waktu menurut Pasal 7 ayat (2), terbatas pada kegiatan prabencana dan kedaruratan banjir dan longsor (Bab 7 dan Bab 11); penetapan itu asumsi kebijakan penyusun. Pada kedua jalur, rekomendasi peninjauan harus termuat dalam hasil pemantauan dan evaluasi tahunan atau evaluasi paruh waktu.</w:t>
      </w:r>
    </w:p>
    <w:p>
      <w:pPr>
        <w:pStyle w:val="IsiTemuan"/>
      </w:pPr>
      <w:r>
        <w:rPr>
          <w:b/>
          <w:bCs/>
          <w:color w:val="051C2C"/>
        </w:rPr>
        <w:t xml:space="preserve">Evaluasi tahunan Renas PB 2025 seharusnya selesai paling lambat minggu terakhir triwulan II 2026, sehingga titik masuk yang tersisa adalah pemantauan pra-pelaksanaan triwulan IV 2026, evaluasi tahunan 2026, dan evaluasi paruh waktu 2027 </w:t>
      </w:r>
      <w:r>
        <w:rPr>
          <w:b/>
          <w:bCs/>
          <w:color w:val="051C2C"/>
        </w:rPr>
        <w:t xml:space="preserve">(BNPB, 2025c, hlm. 123–124)</w:t>
      </w:r>
      <w:r>
        <w:rPr>
          <w:b/>
          <w:bCs/>
          <w:color w:val="051C2C"/>
        </w:rPr>
        <w:t xml:space="preserve">.</w:t>
      </w:r>
      <w:r>
        <w:t xml:space="preserve"> Pemantauan pra-pelaksanaan meninjau rencana kerja K/L penanggung jawab untuk 2027, evaluasi tahunan 2026 selesai paling lambat akhir triwulan II 2027, dan evaluasi paruh waktu menghasilkan antara lain "Rekomendasi perbaikan RENAS PB Tahun 2025-2029 (bila perlu)". Laporan evaluasi tahunan 2025 tidak ditemukan.</w:t>
      </w:r>
    </w:p>
    <w:p>
      <w:pPr>
        <w:pStyle w:val="IsiTemuan"/>
      </w:pPr>
      <w:r>
        <w:rPr>
          <w:b/>
          <w:bCs/>
          <w:color w:val="051C2C"/>
        </w:rPr>
        <w:t xml:space="preserve">Kajian ini berstatus kajian rekomendasi dan tidak menetapkan apa pun sendiri; dua pintu berpasal tersedia bagi masukannya.</w:t>
      </w:r>
      <w:r>
        <w:t xml:space="preserve"> Pintu pertama adalah Unsur Pengarah, yang bertugas memberi masukan kepada Kepala BNPB (Perpres 1/2019 Pasal 10 dan 11) </w:t>
      </w:r>
      <w:r>
        <w:t xml:space="preserve">(Republik Indonesia, 2019a, hlm. 4–5)</w:t>
      </w:r>
      <w:r>
        <w:t xml:space="preserve">. Pintu kedua adalah siklus pemantauan dan evaluasi Renas PB. Kementerian Koordinator Bidang Pembangunan Manusia dan Kebudayaan (Kemenko PMK) berpasal sebagai pengoordinasi BNPB (Perpres 1/2019 Pasal 6), tetapi tidak ada pasal yang menjadikan rapat koordinasinya jalur peninjauan Renas PB, sehingga surat kepada Kemenko PMK untuk rapat itu adalah usulan penyusun (</w:t>
      </w:r>
      <w:r>
        <w:fldChar w:fldCharType="begin"/>
      </w:r>
      <w:r>
        <w:instrText xml:space="preserve"> REF _Ref0077 \h \* CHARFORMAT </w:instrText>
      </w:r>
      <w:r>
        <w:fldChar w:fldCharType="separate"/>
      </w:r>
      <w:r>
        <w:t xml:space="preserve">09</w:t>
      </w:r>
      <w:r>
        <w:fldChar w:fldCharType="end"/>
      </w:r>
      <w:r>
        <w:t xml:space="preserve">).</w:t>
      </w:r>
    </w:p>
    <w:p>
      <w:pPr>
        <w:pStyle w:val="IsiTemuan"/>
      </w:pPr>
      <w:r>
        <w:rPr>
          <w:b/>
          <w:bCs/>
          <w:color w:val="051C2C"/>
        </w:rPr>
        <w:t xml:space="preserve">Program Penyusunan Peraturan (Progsun) BNPB 2026 memuat </w:t>
      </w:r>
      <w:r>
        <w:rPr>
          <w:b/>
          <w:bCs/>
          <w:color w:val="051C2C"/>
        </w:rPr>
        <w:t xml:space="preserve">11</w:t>
      </w:r>
      <w:r>
        <w:rPr>
          <w:b/>
          <w:bCs/>
          <w:color w:val="051C2C"/>
        </w:rPr>
        <w:t xml:space="preserve"> rancangan, dan tidak satu pun berupa perubahan Renas PB </w:t>
      </w:r>
      <w:r>
        <w:rPr>
          <w:b/>
          <w:bCs/>
          <w:color w:val="051C2C"/>
        </w:rPr>
        <w:t xml:space="preserve">(BNPB, 2025b, hlm. 3–5)</w:t>
      </w:r>
      <w:r>
        <w:rPr>
          <w:b/>
          <w:bCs/>
          <w:color w:val="051C2C"/>
        </w:rPr>
        <w:t xml:space="preserve">.</w:t>
      </w:r>
      <w:r>
        <w:t xml:space="preserve"> Perubahan Renas PB pada 2026 atau 2027 tetap tidak terhalang, karena Perka BNPB 6/2014 Pasal 8 ayat (2) mengizinkan rancangan di luar program "setelah terlebih dahulu mengajukan permohonan izin prakarsa kepada Kepala BNPB" </w:t>
      </w:r>
      <w:r>
        <w:t xml:space="preserve">(BNPB, 2014b, hlm. 5–6)</w:t>
      </w:r>
      <w:r>
        <w:t xml:space="preserve">. Perka itu memakai istilah Peraturan Kepala BNPB, sehingga penerapannya pada Peraturan BNPB adalah padanan penyusun, dan perka itu dijadwalkan diubah dalam Progsun 2026 (</w:t>
      </w:r>
      <w:r>
        <w:fldChar w:fldCharType="begin"/>
      </w:r>
      <w:r>
        <w:instrText xml:space="preserve"> REF _Ref0087 \h \* CHARFORMAT </w:instrText>
      </w:r>
      <w:r>
        <w:fldChar w:fldCharType="separate"/>
      </w:r>
      <w:r>
        <w:t xml:space="preserve">11</w:t>
      </w:r>
      <w:r>
        <w:fldChar w:fldCharType="end"/>
      </w:r>
      <w:r>
        <w:t xml:space="preserve">). Keputusan yang diminta dari Kepala BNPB untuk menetapkan kajian ini sebagai masukan peninjauan dan menetapkan hari ke-0 peta jalan dirumuskan di Bab 13.</w:t>
      </w:r>
    </w:p>
    <w:p>
      <w:pPr>
        <w:pStyle w:val="Heading2"/>
      </w:pPr>
      <w:bookmarkStart w:id="59" w:name="_Toc00030"/>
      <w:bookmarkStart w:id="58" w:name="_Ref0211"/>
      <w:r>
        <w:t xml:space="preserve">1.6</w:t>
      </w:r>
      <w:bookmarkEnd w:id="58"/>
      <w:r>
        <w:tab/>
      </w:r>
      <w:r>
        <w:t xml:space="preserve">Sistematika</w:t>
      </w:r>
      <w:bookmarkEnd w:id="59"/>
    </w:p>
    <w:p>
      <w:pPr>
        <w:pStyle w:val="Isi"/>
        <w:sectPr>
          <w:headerReference w:type="default" r:id="rId9"/>
          <w:footerReference w:type="default" r:id="rId10"/>
          <w:type w:val="nextPage"/>
          <w:pgSz w:w="11906" w:h="16838"/>
          <w:pgMar w:top="1417" w:right="1134" w:bottom="1134" w:left="1417" w:header="680" w:footer="567" w:gutter="0"/>
          <w:pgNumType w:fmt="decimal" w:start="1"/>
          <w:cols w:space="708"/>
          <w:docGrid w:linePitch="360"/>
        </w:sectPr>
      </w:pPr>
      <w:r>
        <w:t xml:space="preserve">Bab 2 menempatkan kajian di antara dokumen BNPB yang sudah ditetapkan, dan Bab 3 menguraikan metode serta sumber data. Bab 4 menyusun histori bencana Indonesia dari DIBI, dan Bab 5 menyajikan profil risiko nasional, termasuk capaian IRB dan pilihan alat ukur kapasitas. Bab 6 sampai Bab 9 menyusun skenario terburuk yang masuk akal untuk bencana geologi, hidrometeorologi, nonalam, dan sosial. Bab 10 menamai kesenjangan sistem penanggulangan bencana, Bab 11 menyusun Grand Design Mitigasi 2026–2030, dan Bab 12 mengusulkan pemilik bermandat tiap rekomendasi beserta sumber dana dan peta jalannya. Bab 13 memuat kesimpulan, keputusan yang diminta dari Kepala BNPB, dan register rekomendasi.</w:t>
      </w:r>
    </w:p>
    <w:p>
      <w:pPr>
        <w:pBdr>
          <w:top w:val="single" w:sz="16" w:space="0" w:color="D9600B"/>
        </w:pBdr>
        <w:spacing w:before="0" w:after="80" w:line="60" w:lineRule="exact"/>
        <w:ind w:right="8674"/>
      </w:pPr>
    </w:p>
    <w:p>
      <w:pPr>
        <w:pStyle w:val="Heading1"/>
        <w:numPr>
          <w:ilvl w:val="0"/>
          <w:numId w:val="902"/>
        </w:numPr>
      </w:pPr>
      <w:bookmarkStart w:id="61" w:name="_Toc00031"/>
      <w:r>
        <w:rPr>
          <w:sz w:val="18"/>
          <w:szCs w:val="18"/>
        </w:rPr>
        <w:br/>
      </w:r>
      <w:bookmarkStart w:id="60" w:name="_Ref0012"/>
      <w:r>
        <w:t xml:space="preserve">TINJAUAN PUSTAKA DAN KERANGKA KONSEPTUAL</w:t>
      </w:r>
      <w:bookmarkEnd w:id="60"/>
      <w:bookmarkEnd w:id="61"/>
    </w:p>
    <w:p>
      <w:pPr>
        <w:pStyle w:val="Pertanyaan"/>
      </w:pPr>
      <w:r>
        <w:t xml:space="preserve">Apa yang sudah ditetapkan dokumen risiko dan perencanaan BNPB dan apa yang ditambahkan kajian ini? Regulasi apa yang berlaku untuk tiap jenis bencana dan tahap per Oktober 2026? Praktik pembanding dan metode kerugian mana yang dapat dipakai?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7" name="Gambar 17"/>
                  <wp:cNvGraphicFramePr>
                    <a:graphicFrameLocks noChangeAspect="1"/>
                  </wp:cNvGraphicFramePr>
                  <a:graphic>
                    <a:graphicData uri="http://schemas.openxmlformats.org/drawingml/2006/picture">
                      <pic:pic>
                        <pic:nvPicPr>
                          <pic:cNvPr id="17"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Jumlah potensi kerugian dua belas bahaya dalam Kajian Risiko Bencana (KRB) 2022–2026 Badan Nasional Penanggulangan Bencana (BNPB) mencapai </w:t>
            </w:r>
            <w:r>
              <w:t xml:space="preserve">1,91 kali</w:t>
            </w:r>
            <w:r>
              <w:t xml:space="preserve"> nilai multibahaya </w:t>
            </w:r>
            <w:r>
              <w:t xml:space="preserve">Rp4.082,6 triliun</w:t>
            </w:r>
            <w:r>
              <w:t xml:space="preserve">, sehingga angka multibahaya bukan penjumlahan dan tidak dipakai sebagai satu angka kerugian.</w:t>
            </w:r>
          </w:p>
          <w:p>
            <w:pPr>
              <w:pStyle w:val="DaftarKotak"/>
              <w:numPr>
                <w:ilvl w:val="0"/>
                <w:numId w:val="1"/>
              </w:numPr>
            </w:pPr>
            <w:r>
              <w:t xml:space="preserve">Kerangka penanggulangan bencana sudah berpasal di ketiga tahap, tetapi peraturan presiden tentang status dan tingkatan bencana yang diamanatkan UU 24/2007 Pasal 7 ayat (3) belum terbit, sehingga lima indikator penetapan di ayat (2) belum memiliki ambang.</w:t>
            </w:r>
          </w:p>
          <w:p>
            <w:pPr>
              <w:pStyle w:val="DaftarKotak"/>
              <w:numPr>
                <w:ilvl w:val="0"/>
                <w:numId w:val="1"/>
              </w:numPr>
            </w:pPr>
            <w:r>
              <w:t xml:space="preserve">Satu dari lima belas praktik dalam kompendium program kajian mitigasi berbukti kuat, yaitu paket kesiapsiagaan siklon Bangladesh; Desa dan Kelurahan Tangguh Bencana (Destana) serta Satuan Pendidikan Aman Bencana (SPAB) belum terbukti karena belum memiliki evaluasi dampak berpembanding.</w:t>
            </w:r>
          </w:p>
          <w:p>
            <w:pPr>
              <w:pStyle w:val="IsiKotak"/>
            </w:pPr>
            <w:r>
              <w:rPr>
                <w:b/>
                <w:bCs/>
                <w:color w:val="1A1A1A"/>
              </w:rPr>
              <w:t xml:space="preserve">Angka kunci: </w:t>
            </w:r>
          </w:p>
          <w:p>
            <w:pPr>
              <w:pStyle w:val="DaftarKotak"/>
              <w:numPr>
                <w:ilvl w:val="0"/>
                <w:numId w:val="1"/>
              </w:numPr>
            </w:pPr>
            <w:r>
              <w:t xml:space="preserve">271,1 juta jiwa</w:t>
            </w:r>
            <w:r>
              <w:t xml:space="preserve"> penduduk terpapar multibahaya menurut KRB 2022–2026, dikutip Rencana Nasional Penanggulangan Bencana (Renas PB) 2025–2029 </w:t>
            </w:r>
            <w:r>
              <w:t xml:space="preserve">(BNPB, 2025c, hlm. 20–24)</w:t>
            </w:r>
            <w:r>
              <w:t xml:space="preserve">.</w:t>
            </w:r>
          </w:p>
          <w:p>
            <w:pPr>
              <w:pStyle w:val="DaftarKotak"/>
              <w:numPr>
                <w:ilvl w:val="0"/>
                <w:numId w:val="1"/>
              </w:numPr>
            </w:pPr>
            <w:r>
              <w:t xml:space="preserve">38,0%</w:t>
            </w:r>
            <w:r>
              <w:t xml:space="preserve"> kab/kota berkapasitas minimal sedang menurut KRB 2022–2026, berdampingan dengan baseline </w:t>
            </w:r>
            <w:r>
              <w:t xml:space="preserve">62%</w:t>
            </w:r>
            <w:r>
              <w:t xml:space="preserve"> pada Rencana Pembangunan Jangka Menengah Nasional (RPJMN) 2025–2029 yang memakai alat ukur berbeda </w:t>
            </w:r>
            <w:r>
              <w:t xml:space="preserve">(BNPB, 2026k; Republik Indonesia, 2025b)</w:t>
            </w:r>
            <w:r>
              <w:t xml:space="preserve">.</w:t>
            </w:r>
          </w:p>
          <w:p>
            <w:pPr>
              <w:pStyle w:val="DaftarKotak"/>
              <w:numPr>
                <w:ilvl w:val="0"/>
                <w:numId w:val="1"/>
              </w:numPr>
            </w:pPr>
            <w:r>
              <w:t xml:space="preserve">Indeks Risiko Bencana (IRB) nasional </w:t>
            </w:r>
            <w:r>
              <w:t xml:space="preserve">turun 10,76%</w:t>
            </w:r>
            <w:r>
              <w:t xml:space="preserve"> pada 2019–2024 </w:t>
            </w:r>
            <w:r>
              <w:t xml:space="preserve">(BNPB, 2025e, hlm. 52)</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_Ref0089 \h \* CHARFORMAT </w:instrText>
            </w:r>
            <w:r>
              <w:fldChar w:fldCharType="separate"/>
            </w:r>
            <w:r>
              <w:t xml:space="preserve">35</w:t>
            </w:r>
            <w:r>
              <w:fldChar w:fldCharType="end"/>
            </w:r>
            <w:r>
              <w:t xml:space="preserve"> Penyebut alat ukur kapasitas daerah diputuskan Biro Perencanaan bersama Kementerian Perencanaan Pembangunan Nasional/Bappenas; Sudah ada, perlu dikembangkan; 2026–2027.</w:t>
            </w:r>
          </w:p>
          <w:p>
            <w:pPr>
              <w:pStyle w:val="DaftarKotak"/>
              <w:numPr>
                <w:ilvl w:val="0"/>
                <w:numId w:val="1"/>
              </w:numPr>
            </w:pPr>
            <w:r>
              <w:fldChar w:fldCharType="begin"/>
            </w:r>
            <w:r>
              <w:instrText xml:space="preserve"> REF _Ref0091 \h \* CHARFORMAT </w:instrText>
            </w:r>
            <w:r>
              <w:fldChar w:fldCharType="separate"/>
            </w:r>
            <w:r>
              <w:t xml:space="preserve">19</w:t>
            </w:r>
            <w:r>
              <w:fldChar w:fldCharType="end"/>
            </w:r>
            <w:r>
              <w:t xml:space="preserve"> Rancangan peraturan presiden tentang status dan tingkatan bencana diprakarsai Direktorat Sistem Penanggulangan Bencana bersama Kementerian Koordinator Bidang Pembangunan Manusia dan Kebudayaan (Kemenko PMK); Usulan baru; 2026–2027.</w:t>
            </w:r>
          </w:p>
          <w:p>
            <w:pPr>
              <w:pStyle w:val="DaftarKotak"/>
              <w:numPr>
                <w:ilvl w:val="0"/>
                <w:numId w:val="1"/>
              </w:numPr>
            </w:pPr>
            <w:r>
              <w:fldChar w:fldCharType="begin"/>
            </w:r>
            <w:r>
              <w:instrText xml:space="preserve"> REF _Ref0103 \h \* CHARFORMAT </w:instrText>
            </w:r>
            <w:r>
              <w:fldChar w:fldCharType="separate"/>
            </w:r>
            <w:r>
              <w:t xml:space="preserve">29</w:t>
            </w:r>
            <w:r>
              <w:fldChar w:fldCharType="end"/>
            </w:r>
            <w:r>
              <w:t xml:space="preserve"> Syarat analisis manfaat-biaya untuk penyaluran Dana Bersama prabencana disusun Direktorat Pengembangan Strategi Penanggulangan Bencana bersama Kementerian Keuangan; Usulan baru; 2028–2030.</w:t>
            </w:r>
          </w:p>
          <w:p>
            <w:pPr>
              <w:pStyle w:val="DaftarKotak"/>
              <w:numPr>
                <w:ilvl w:val="0"/>
                <w:numId w:val="1"/>
              </w:numPr>
            </w:pPr>
            <w:r>
              <w:fldChar w:fldCharType="begin"/>
            </w:r>
            <w:r>
              <w:instrText xml:space="preserve"> REF _Ref0104 \h \* CHARFORMAT </w:instrText>
            </w:r>
            <w:r>
              <w:fldChar w:fldCharType="separate"/>
            </w:r>
            <w:r>
              <w:t xml:space="preserve">40</w:t>
            </w:r>
            <w:r>
              <w:fldChar w:fldCharType="end"/>
            </w:r>
            <w:r>
              <w:t xml:space="preserve"> Agenda evaluasi dampak Destana, SPAB, dan hilir </w:t>
            </w:r>
            <w:r>
              <w:rPr>
                <w:i/>
                <w:iCs/>
              </w:rPr>
              <w:t xml:space="preserve">Indonesia Tsunami Early Warning System</w:t>
            </w:r>
            <w:r>
              <w:t xml:space="preserve"> (InaTEWS) dijalankan Direktorat Mitigasi Bencana bersama Badan Meteorologi, Klimatologi, dan Geofisika (BMKG) dan Kementerian Pendidikan Dasar dan Menengah; Sudah ada, perlu dikembangkan; 2028–2030.</w:t>
            </w:r>
          </w:p>
        </w:tc>
      </w:tr>
    </w:tbl>
    <w:p>
      <w:pPr>
        <w:pStyle w:val="Jarak"/>
      </w:pPr>
    </w:p>
    <w:p>
      <w:pPr>
        <w:pStyle w:val="Caption"/>
      </w:pPr>
      <w:bookmarkStart w:id="63" w:name="_Toc00032"/>
      <w:bookmarkStart w:id="62" w:name="_Ref001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62"/>
      <w:r>
        <w:rPr>
          <w:b/>
          <w:bCs/>
          <w:color w:val="051C2C"/>
        </w:rPr>
        <w:t xml:space="preserve"> </w:t>
      </w:r>
      <w:r>
        <w:t xml:space="preserve">Banjir Kanal Timur, Jakarta Timur, 2012</w:t>
      </w:r>
      <w:bookmarkEnd w:id="63"/>
    </w:p>
    <w:p xmlns:a="http://schemas.openxmlformats.org/drawingml/2006/main" xmlns:pic="http://schemas.openxmlformats.org/drawingml/2006/picture">
      <w:pPr>
        <w:keepNext/>
        <w:spacing w:after="0" w:line="240" w:lineRule="auto"/>
        <w:jc w:val="center"/>
      </w:pPr>
      <w:bookmarkStart w:id="64" w:name="_Obj0007"/>
      <w:r>
        <w:drawing>
          <wp:inline distT="0" distB="0" distL="0" distR="0">
            <wp:extent cx="5940000" cy="2970000"/>
            <wp:effectExtent l="0" t="0" r="0" b="0"/>
            <wp:docPr id="18" name="Gambar 18"/>
            <wp:cNvGraphicFramePr>
              <a:graphicFrameLocks noChangeAspect="1"/>
            </wp:cNvGraphicFramePr>
            <a:graphic>
              <a:graphicData uri="http://schemas.openxmlformats.org/drawingml/2006/picture">
                <pic:pic>
                  <pic:nvPicPr>
                    <pic:cNvPr id="18" name="air-b09-bkt.jpg"/>
                    <pic:cNvPicPr/>
                  </pic:nvPicPr>
                  <pic:blipFill>
                    <a:blip r:embed="rId25"/>
                    <a:stretch>
                      <a:fillRect/>
                    </a:stretch>
                  </pic:blipFill>
                  <pic:spPr>
                    <a:xfrm>
                      <a:off x="0" y="0"/>
                      <a:ext cx="5940000" cy="2970000"/>
                    </a:xfrm>
                    <a:prstGeom prst="rect">
                      <a:avLst/>
                    </a:prstGeom>
                  </pic:spPr>
                </pic:pic>
              </a:graphicData>
            </a:graphic>
          </wp:inline>
        </w:drawing>
      </w:r>
      <w:bookmarkEnd w:id="64"/>
    </w:p>
    <w:p>
      <w:pPr>
        <w:pStyle w:val="Sumber"/>
      </w:pPr>
      <w:r>
        <w:rPr>
          <w:b/>
          <w:bCs/>
          <w:color w:val="6B7280"/>
          <w:sz w:val="17"/>
          <w:szCs w:val="17"/>
        </w:rPr>
        <w:t xml:space="preserve">Sumber: </w:t>
      </w:r>
      <w:r>
        <w:rPr>
          <w:color w:val="6B7280"/>
          <w:sz w:val="17"/>
          <w:szCs w:val="17"/>
        </w:rPr>
        <w:t xml:space="preserve">Wikimedia Commons, Akhmad Fauzi, CC BY 3.0</w:t>
      </w:r>
    </w:p>
    <w:p>
      <w:pPr>
        <w:pStyle w:val="Heading2"/>
      </w:pPr>
      <w:bookmarkStart w:id="66" w:name="_Toc00033"/>
      <w:bookmarkStart w:id="65" w:name="_Ref0208"/>
      <w:r>
        <w:t xml:space="preserve">2.1</w:t>
      </w:r>
      <w:bookmarkEnd w:id="65"/>
      <w:r>
        <w:tab/>
      </w:r>
      <w:r>
        <w:t xml:space="preserve">Risiko, Ketangguhan, dan Kerangka Sendai</w:t>
      </w:r>
      <w:bookmarkEnd w:id="66"/>
    </w:p>
    <w:p>
      <w:pPr>
        <w:pStyle w:val="Isi"/>
      </w:pPr>
      <w:r>
        <w:t xml:space="preserve">Kerangka konseptual kajian ini bertumpu pada rumusan risiko BNPB. Lampiran Perka BNPB 2/2012 tentang Pedoman Umum Pengkajian Risiko Bencana menuliskan risiko sebagai hubungan ancaman dengan kerentanan dan kapasitas, dengan catatan bahwa pendekatan itu tidak dapat disamakan dengan rumus matematika </w:t>
      </w:r>
      <w:r>
        <w:t xml:space="preserve">(BNPB, 2012a)</w:t>
      </w:r>
      <w:r>
        <w:t xml:space="preserve">. Rumus R = H * V / C dalam analisis semi-kuantitatif masih dipakai, tetapi berisi nilai indeks, bukan nilai riil. Kajian risiko berlaku </w:t>
      </w:r>
      <w:r>
        <w:t xml:space="preserve">5 tahun</w:t>
      </w:r>
      <w:r>
        <w:t xml:space="preserve"> dan dapat ditinjau tiap </w:t>
      </w:r>
      <w:r>
        <w:t xml:space="preserve">2 tahun</w:t>
      </w:r>
      <w:r>
        <w:t xml:space="preserve"> atau sewaktu-waktu bila terjadi bencana. Indeks Risiko Bencana Indonesia (IRBI) dihitung dari bahaya, kerentanan, dan kapasitas untuk sembilan bahaya alam </w:t>
      </w:r>
      <w:r>
        <w:t xml:space="preserve">(BNPB, 2025e, hlm. 5)</w:t>
      </w:r>
      <w:r>
        <w:t xml:space="preserve">. Kajian ini memakai rumusan itu dan tidak membangun indeks risiko gabungan sendiri.</w:t>
      </w:r>
    </w:p>
    <w:p>
      <w:pPr>
        <w:pStyle w:val="Isi"/>
      </w:pPr>
      <w:r>
        <w:t xml:space="preserve">UU 24/2007 Pasal 1 angka 9 mendefinisikan mitigasi sebagai serangkaian upaya untuk mengurangi risiko bencana, baik melalui pembangunan fisik maupun penyadaran dan peningkatan kemampuan menghadapi ancaman bencana </w:t>
      </w:r>
      <w:r>
        <w:t xml:space="preserve">(Republik Indonesia, 2007)</w:t>
      </w:r>
      <w:r>
        <w:t xml:space="preserve">. Pasal 44 huruf c dan Pasal 47 menempatkan mitigasi di tahap prabencana dalam situasi terdapat potensi bencana. Judul kajian memakai istilah itu dalam arti luas yang mencakup ketiga tahap penyelenggaraan menurut Pasal 33, yaitu prabencana, tanggap darurat, dan pascabencana; definisi operasionalnya ada di Bab 1.</w:t>
      </w:r>
    </w:p>
    <w:p>
      <w:pPr>
        <w:pStyle w:val="Isi"/>
      </w:pPr>
      <w:r>
        <w:t xml:space="preserve">Ketangguhan daerah diukur BNPB dengan Indeks Ketahanan Daerah (IKD) yang memuat tujuh prioritas dan </w:t>
      </w:r>
      <w:r>
        <w:t xml:space="preserve">71 indikator</w:t>
      </w:r>
      <w:r>
        <w:t xml:space="preserve"> </w:t>
      </w:r>
      <w:r>
        <w:t xml:space="preserve">(BNPB, 2025e, hlm. 85)</w:t>
      </w:r>
      <w:r>
        <w:t xml:space="preserve">. Rerata IKD tercatat </w:t>
      </w:r>
      <w:r>
        <w:t xml:space="preserve">0,46</w:t>
      </w:r>
      <w:r>
        <w:t xml:space="preserve"> dengan kategori sedang </w:t>
      </w:r>
      <w:r>
        <w:t xml:space="preserve">(BNPB, 2025e, hlm. 70)</w:t>
      </w:r>
      <w:r>
        <w:t xml:space="preserve">. Rumus dan ambang kelas IKD tidak dikutip di sini karena lampiran Perka BNPB 3/2012 tentang Panduan Penilaian Kapasitas Daerah tidak terbaca di korpus peraturan kajian.</w:t>
      </w:r>
    </w:p>
    <w:p>
      <w:pPr>
        <w:pStyle w:val="IsiTemuan"/>
      </w:pPr>
      <w:r>
        <w:rPr>
          <w:b/>
          <w:bCs/>
          <w:color w:val="051C2C"/>
        </w:rPr>
        <w:t xml:space="preserve">Kerangka Sendai 2015–2030 menetapkan </w:t>
      </w:r>
      <w:r>
        <w:rPr>
          <w:b/>
          <w:bCs/>
          <w:color w:val="051C2C"/>
        </w:rPr>
        <w:t xml:space="preserve">7 target global</w:t>
      </w:r>
      <w:r>
        <w:rPr>
          <w:b/>
          <w:bCs/>
          <w:color w:val="051C2C"/>
        </w:rPr>
        <w:t xml:space="preserve"> dan </w:t>
      </w:r>
      <w:r>
        <w:rPr>
          <w:b/>
          <w:bCs/>
          <w:color w:val="051C2C"/>
        </w:rPr>
        <w:t xml:space="preserve">4 prioritas</w:t>
      </w:r>
      <w:r>
        <w:rPr>
          <w:b/>
          <w:bCs/>
          <w:color w:val="051C2C"/>
        </w:rPr>
        <w:t xml:space="preserve">; susunan indikator Renas PB 2025–2029 sejajar dengan target itu</w:t>
      </w:r>
      <w:r>
        <w:t xml:space="preserve"> </w:t>
      </w:r>
      <w:r>
        <w:t xml:space="preserve">(United Nations Office for Disaster Risk Reduction (UNISDR), 2015; BNPB, 2025c, hlm. 9)</w:t>
      </w:r>
      <w:r>
        <w:t xml:space="preserve">. Target (a) dan (b) menurunkan rerata kematian dan jumlah terdampak per 100.000 penduduk pada dekade 2020–2030 dibanding 2005–2015. Target (c) menyangkut kerugian ekonomi langsung terhadap produk domestik bruto (PDB), dan target (d) sampai (g) dipadankan per baris pada </w:t>
      </w:r>
      <w:r>
        <w:fldChar w:fldCharType="begin"/>
      </w:r>
      <w:r>
        <w:instrText xml:space="preserve"> REF _Ref0325 \h \* CHARFORMAT </w:instrText>
      </w:r>
      <w:r>
        <w:fldChar w:fldCharType="separate"/>
      </w:r>
      <w:r>
        <w:t xml:space="preserve">Tabel 2.1</w:t>
      </w:r>
      <w:r>
        <w:fldChar w:fldCharType="end"/>
      </w:r>
      <w:r>
        <w:t xml:space="preserve">. Renas PB menuliskan target indikator 1.a dan 1.b sebagai "Menurun" tanpa periode pembanding, dan indikator 2.b memakai penyebut belanja Anggaran Pendapatan dan Belanja Negara (APBN) yang berbeda dari Sendai. Tahun 2030 adalah tahun akhir Sendai sekaligus akhir horizon kajian ini; menurut penilaian penyusun, Grand Design dapat menjadi bahan laporan akhir Indonesia untuk Sendai.</w:t>
      </w:r>
    </w:p>
    <w:p>
      <w:pPr>
        <w:pStyle w:val="Caption"/>
      </w:pPr>
      <w:bookmarkStart w:id="68" w:name="_Toc00034"/>
      <w:bookmarkStart w:id="67" w:name="_Ref032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7"/>
      <w:r>
        <w:rPr>
          <w:b/>
          <w:bCs/>
          <w:color w:val="051C2C"/>
        </w:rPr>
        <w:t xml:space="preserve"> </w:t>
      </w:r>
      <w:r>
        <w:t xml:space="preserve">Target global Kerangka Sendai dan padanan indikator Renas PB 2025–2029 serta RPJMN 2025–2029</w:t>
      </w:r>
      <w:bookmarkEnd w:id="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313"/>
        <w:gridCol w:w="1508"/>
        <w:gridCol w:w="1123"/>
        <w:gridCol w:w="932"/>
        <w:gridCol w:w="1478"/>
      </w:tblGrid>
      <w:tr>
        <w:trPr>
          <w:cantSplit/>
          <w:tblHeader/>
        </w:trPr>
        <w:tc>
          <w:tcPr>
            <w:tcW w:w="4313" w:type="dxa"/>
            <w:shd w:val="clear" w:color="auto" w:fill="051C2C"/>
            <w:vAlign w:val="center"/>
          </w:tcPr>
          <w:p>
            <w:pPr>
              <w:pStyle w:val="KepalaTabel"/>
              <w:suppressAutoHyphens/>
            </w:pPr>
            <w:r>
              <w:t xml:space="preserve">TARGET SENDAI</w:t>
            </w:r>
          </w:p>
        </w:tc>
        <w:tc>
          <w:tcPr>
            <w:tcW w:w="1508" w:type="dxa"/>
            <w:shd w:val="clear" w:color="auto" w:fill="051C2C"/>
            <w:vAlign w:val="center"/>
          </w:tcPr>
          <w:p>
            <w:pPr>
              <w:pStyle w:val="KepalaTabel"/>
              <w:suppressAutoHyphens/>
            </w:pPr>
            <w:r>
              <w:t xml:space="preserve">INDIKATOR RENAS PB</w:t>
            </w:r>
          </w:p>
        </w:tc>
        <w:tc>
          <w:tcPr>
            <w:tcW w:w="1123" w:type="dxa"/>
            <w:shd w:val="clear" w:color="auto" w:fill="051C2C"/>
            <w:vAlign w:val="center"/>
          </w:tcPr>
          <w:p>
            <w:pPr>
              <w:pStyle w:val="KepalaTabel"/>
              <w:suppressAutoHyphens/>
            </w:pPr>
            <w:r>
              <w:t xml:space="preserve">PROYEKSI 2025</w:t>
            </w:r>
          </w:p>
        </w:tc>
        <w:tc>
          <w:tcPr>
            <w:tcW w:w="932" w:type="dxa"/>
            <w:shd w:val="clear" w:color="auto" w:fill="051C2C"/>
            <w:vAlign w:val="center"/>
          </w:tcPr>
          <w:p>
            <w:pPr>
              <w:pStyle w:val="KepalaTabel"/>
              <w:suppressAutoHyphens/>
            </w:pPr>
            <w:r>
              <w:t xml:space="preserve">TARGET 2029</w:t>
            </w:r>
          </w:p>
        </w:tc>
        <w:tc>
          <w:tcPr>
            <w:tcW w:w="1478" w:type="dxa"/>
            <w:shd w:val="clear" w:color="auto" w:fill="051C2C"/>
            <w:vAlign w:val="center"/>
          </w:tcPr>
          <w:p>
            <w:pPr>
              <w:pStyle w:val="KepalaTabel"/>
              <w:suppressAutoHyphens/>
            </w:pPr>
            <w:r>
              <w:t xml:space="preserve">INDIKATOR RPJMN DAN CATATAN</w:t>
            </w:r>
          </w:p>
        </w:tc>
      </w:tr>
      <w:tr>
        <w:trPr>
          <w:cantSplit/>
        </w:trPr>
        <w:tc>
          <w:tcPr>
            <w:tcW w:w="4313" w:type="dxa"/>
          </w:tcPr>
          <w:p>
            <w:pPr>
              <w:pStyle w:val="IsiTabel"/>
              <w:suppressAutoHyphens/>
              <w:jc w:val="left"/>
            </w:pPr>
            <w:r>
              <w:t xml:space="preserve">(a) kematian per 100.000 penduduk</w:t>
            </w:r>
          </w:p>
        </w:tc>
        <w:tc>
          <w:tcPr>
            <w:tcW w:w="1508" w:type="dxa"/>
          </w:tcPr>
          <w:p>
            <w:pPr>
              <w:pStyle w:val="IsiTabel"/>
              <w:suppressAutoHyphens/>
              <w:jc w:val="left"/>
            </w:pPr>
            <w:r>
              <w:t xml:space="preserve">1.a kematian dan hilang per 100.000 jiwa</w:t>
            </w:r>
          </w:p>
        </w:tc>
        <w:tc>
          <w:tcPr>
            <w:tcW w:w="1123" w:type="dxa"/>
          </w:tcPr>
          <w:p>
            <w:pPr>
              <w:pStyle w:val="IsiTabel"/>
              <w:suppressAutoHyphens/>
              <w:jc w:val="right"/>
            </w:pPr>
            <w:r>
              <w:t xml:space="preserve">0,22</w:t>
            </w:r>
          </w:p>
        </w:tc>
        <w:tc>
          <w:tcPr>
            <w:tcW w:w="932" w:type="dxa"/>
          </w:tcPr>
          <w:p>
            <w:pPr>
              <w:pStyle w:val="IsiTabel"/>
              <w:suppressAutoHyphens/>
              <w:jc w:val="right"/>
            </w:pPr>
            <w:r>
              <w:t xml:space="preserve">Menurun</w:t>
            </w:r>
          </w:p>
        </w:tc>
        <w:tc>
          <w:tcPr>
            <w:tcW w:w="1478" w:type="dxa"/>
          </w:tcPr>
          <w:p>
            <w:pPr>
              <w:pStyle w:val="IsiTabel"/>
              <w:suppressAutoHyphens/>
              <w:jc w:val="left"/>
            </w:pPr>
            <w:r>
              <w:t xml:space="preserve">tanpa periode pembanding seperti Sendai</w:t>
            </w:r>
          </w:p>
        </w:tc>
      </w:tr>
      <w:tr>
        <w:trPr>
          <w:cantSplit/>
        </w:trPr>
        <w:tc>
          <w:tcPr>
            <w:tcW w:w="4313" w:type="dxa"/>
          </w:tcPr>
          <w:p>
            <w:pPr>
              <w:pStyle w:val="IsiTabel"/>
              <w:suppressAutoHyphens/>
              <w:jc w:val="left"/>
            </w:pPr>
            <w:r>
              <w:t xml:space="preserve">(b) terdampak per 100.000 penduduk</w:t>
            </w:r>
          </w:p>
        </w:tc>
        <w:tc>
          <w:tcPr>
            <w:tcW w:w="1508" w:type="dxa"/>
          </w:tcPr>
          <w:p>
            <w:pPr>
              <w:pStyle w:val="IsiTabel"/>
              <w:suppressAutoHyphens/>
              <w:jc w:val="left"/>
            </w:pPr>
            <w:r>
              <w:t xml:space="preserve">1.b terdampak per 100.000 jiwa</w:t>
            </w:r>
          </w:p>
        </w:tc>
        <w:tc>
          <w:tcPr>
            <w:tcW w:w="1123" w:type="dxa"/>
          </w:tcPr>
          <w:p>
            <w:pPr>
              <w:pStyle w:val="IsiTabel"/>
              <w:suppressAutoHyphens/>
              <w:jc w:val="right"/>
            </w:pPr>
            <w:r>
              <w:t xml:space="preserve">2.643</w:t>
            </w:r>
          </w:p>
        </w:tc>
        <w:tc>
          <w:tcPr>
            <w:tcW w:w="932" w:type="dxa"/>
          </w:tcPr>
          <w:p>
            <w:pPr>
              <w:pStyle w:val="IsiTabel"/>
              <w:suppressAutoHyphens/>
              <w:jc w:val="right"/>
            </w:pPr>
            <w:r>
              <w:t xml:space="preserve">Menurun</w:t>
            </w:r>
          </w:p>
        </w:tc>
        <w:tc>
          <w:tcPr>
            <w:tcW w:w="1478" w:type="dxa"/>
          </w:tcPr>
          <w:p>
            <w:pPr>
              <w:pStyle w:val="IsiTabel"/>
              <w:suppressAutoHyphens/>
              <w:jc w:val="left"/>
            </w:pPr>
            <w:r>
              <w:t xml:space="preserve">tanpa periode pembanding seperti Sendai</w:t>
            </w:r>
          </w:p>
        </w:tc>
      </w:tr>
      <w:tr>
        <w:trPr>
          <w:cantSplit/>
        </w:trPr>
        <w:tc>
          <w:tcPr>
            <w:tcW w:w="4313" w:type="dxa"/>
          </w:tcPr>
          <w:p>
            <w:pPr>
              <w:pStyle w:val="IsiTabel"/>
              <w:suppressAutoHyphens/>
              <w:jc w:val="left"/>
            </w:pPr>
            <w:r>
              <w:t xml:space="preserve">(c) kerugian ekonomi langsung terhadap PDB</w:t>
            </w:r>
          </w:p>
        </w:tc>
        <w:tc>
          <w:tcPr>
            <w:tcW w:w="1508" w:type="dxa"/>
          </w:tcPr>
          <w:p>
            <w:pPr>
              <w:pStyle w:val="IsiTabel"/>
              <w:suppressAutoHyphens/>
              <w:jc w:val="left"/>
            </w:pPr>
            <w:r>
              <w:t xml:space="preserve">2.a kerugian ekonomi langsung relatif terhadap PDB (%)</w:t>
            </w:r>
          </w:p>
        </w:tc>
        <w:tc>
          <w:tcPr>
            <w:tcW w:w="1123" w:type="dxa"/>
          </w:tcPr>
          <w:p>
            <w:pPr>
              <w:pStyle w:val="IsiTabel"/>
              <w:suppressAutoHyphens/>
              <w:jc w:val="right"/>
            </w:pPr>
            <w:r>
              <w:t xml:space="preserve">0,137</w:t>
            </w:r>
          </w:p>
        </w:tc>
        <w:tc>
          <w:tcPr>
            <w:tcW w:w="932" w:type="dxa"/>
          </w:tcPr>
          <w:p>
            <w:pPr>
              <w:pStyle w:val="IsiTabel"/>
              <w:suppressAutoHyphens/>
              <w:jc w:val="right"/>
            </w:pPr>
            <w:r>
              <w:t xml:space="preserve">0,135</w:t>
            </w:r>
          </w:p>
        </w:tc>
        <w:tc>
          <w:tcPr>
            <w:tcW w:w="1478" w:type="dxa"/>
          </w:tcPr>
          <w:p>
            <w:pPr>
              <w:pStyle w:val="IsiTabel"/>
              <w:suppressAutoHyphens/>
              <w:jc w:val="left"/>
            </w:pPr>
            <w:r>
              <w:t xml:space="preserve">sasaran utama prioritas nasional 8 indikator 4, baseline </w:t>
            </w:r>
            <w:r>
              <w:t xml:space="preserve">0,140</w:t>
            </w:r>
            <w:r>
              <w:t xml:space="preserve"> (2022)</w:t>
            </w:r>
          </w:p>
        </w:tc>
      </w:tr>
      <w:tr>
        <w:trPr>
          <w:cantSplit/>
        </w:trPr>
        <w:tc>
          <w:tcPr>
            <w:tcW w:w="4313" w:type="dxa"/>
          </w:tcPr>
          <w:p>
            <w:pPr>
              <w:pStyle w:val="IsiTabel"/>
              <w:keepNext/>
              <w:suppressAutoHyphens/>
              <w:jc w:val="left"/>
            </w:pPr>
            <w:bookmarkStart w:id="69" w:name="_Ekor005a"/>
            <w:bookmarkEnd w:id="69"/>
            <w:r>
              <w:t xml:space="preserve">(d) kerusakan infrastruktur kritis</w:t>
            </w:r>
          </w:p>
        </w:tc>
        <w:tc>
          <w:tcPr>
            <w:tcW w:w="1508" w:type="dxa"/>
          </w:tcPr>
          <w:p>
            <w:pPr>
              <w:pStyle w:val="IsiTabel"/>
              <w:keepNext/>
              <w:suppressAutoHyphens/>
              <w:jc w:val="left"/>
            </w:pPr>
            <w:r>
              <w:t xml:space="preserve">2.b kerusakan infrastruktur relatif terhadap total belanja APBN</w:t>
            </w:r>
          </w:p>
        </w:tc>
        <w:tc>
          <w:tcPr>
            <w:tcW w:w="1123" w:type="dxa"/>
          </w:tcPr>
          <w:p>
            <w:pPr>
              <w:pStyle w:val="IsiTabel"/>
              <w:keepNext/>
              <w:suppressAutoHyphens/>
              <w:jc w:val="right"/>
            </w:pPr>
            <w:r>
              <w:t xml:space="preserve">0,004</w:t>
            </w:r>
          </w:p>
        </w:tc>
        <w:tc>
          <w:tcPr>
            <w:tcW w:w="932" w:type="dxa"/>
          </w:tcPr>
          <w:p>
            <w:pPr>
              <w:pStyle w:val="IsiTabel"/>
              <w:keepNext/>
              <w:suppressAutoHyphens/>
              <w:jc w:val="right"/>
            </w:pPr>
            <w:r>
              <w:t xml:space="preserve">0,003</w:t>
            </w:r>
          </w:p>
        </w:tc>
        <w:tc>
          <w:tcPr>
            <w:tcW w:w="1478" w:type="dxa"/>
          </w:tcPr>
          <w:p>
            <w:pPr>
              <w:pStyle w:val="IsiTabel"/>
              <w:keepNext/>
              <w:suppressAutoHyphens/>
              <w:jc w:val="left"/>
            </w:pPr>
            <w:r>
              <w:t xml:space="preserve">penyebut belanja APBN berbeda dari Sendai</w:t>
            </w:r>
          </w:p>
        </w:tc>
      </w:tr>
      <w:tr>
        <w:trPr>
          <w:cantSplit/>
        </w:trPr>
        <w:tc>
          <w:tcPr>
            <w:tcW w:w="4313" w:type="dxa"/>
          </w:tcPr>
          <w:p>
            <w:pPr>
              <w:pStyle w:val="IsiTabel"/>
              <w:keepNext/>
              <w:suppressAutoHyphens/>
              <w:jc w:val="left"/>
            </w:pPr>
            <w:r>
              <w:t xml:space="preserve">(e) strategi pengurangan risiko nasional dan lokal</w:t>
            </w:r>
          </w:p>
        </w:tc>
        <w:tc>
          <w:tcPr>
            <w:tcW w:w="1508" w:type="dxa"/>
          </w:tcPr>
          <w:p>
            <w:pPr>
              <w:pStyle w:val="IsiTabel"/>
              <w:keepNext/>
              <w:suppressAutoHyphens/>
              <w:jc w:val="left"/>
            </w:pPr>
            <w:r>
              <w:t xml:space="preserve">4.a implementasi strategi pengurangan risiko bencana nasional (%)</w:t>
            </w:r>
          </w:p>
        </w:tc>
        <w:tc>
          <w:tcPr>
            <w:tcW w:w="1123" w:type="dxa"/>
          </w:tcPr>
          <w:p>
            <w:pPr>
              <w:pStyle w:val="IsiTabel"/>
              <w:keepNext/>
              <w:suppressAutoHyphens/>
              <w:jc w:val="right"/>
            </w:pPr>
            <w:r>
              <w:t xml:space="preserve">87</w:t>
            </w:r>
          </w:p>
        </w:tc>
        <w:tc>
          <w:tcPr>
            <w:tcW w:w="932" w:type="dxa"/>
          </w:tcPr>
          <w:p>
            <w:pPr>
              <w:pStyle w:val="IsiTabel"/>
              <w:keepNext/>
              <w:suppressAutoHyphens/>
              <w:jc w:val="right"/>
            </w:pPr>
            <w:r>
              <w:t xml:space="preserve">100</w:t>
            </w:r>
          </w:p>
        </w:tc>
        <w:tc>
          <w:tcPr>
            <w:tcW w:w="1478" w:type="dxa"/>
          </w:tcPr>
          <w:p>
            <w:pPr>
              <w:pStyle w:val="IsiTabel"/>
              <w:keepNext/>
              <w:suppressAutoHyphens/>
              <w:jc w:val="left"/>
            </w:pPr>
            <w:r>
              <w:t xml:space="preserve">–</w:t>
            </w:r>
          </w:p>
        </w:tc>
      </w:tr>
      <w:tr>
        <w:trPr>
          <w:cantSplit/>
        </w:trPr>
        <w:tc>
          <w:tcPr>
            <w:tcW w:w="4313" w:type="dxa"/>
          </w:tcPr>
          <w:p>
            <w:pPr>
              <w:pStyle w:val="IsiTabel"/>
              <w:keepNext/>
              <w:suppressAutoHyphens/>
              <w:jc w:val="left"/>
            </w:pPr>
            <w:r>
              <w:t xml:space="preserve">(f) kerja sama internasional</w:t>
            </w:r>
          </w:p>
        </w:tc>
        <w:tc>
          <w:tcPr>
            <w:tcW w:w="1508" w:type="dxa"/>
          </w:tcPr>
          <w:p>
            <w:pPr>
              <w:pStyle w:val="IsiTabel"/>
              <w:keepNext/>
              <w:suppressAutoHyphens/>
              <w:jc w:val="left"/>
            </w:pPr>
            <w:r>
              <w:t xml:space="preserve">4.b peningkatan nilai kerja sama resmi internasional pengurangan risiko bencana (%)</w:t>
            </w:r>
          </w:p>
        </w:tc>
        <w:tc>
          <w:tcPr>
            <w:tcW w:w="1123" w:type="dxa"/>
          </w:tcPr>
          <w:p>
            <w:pPr>
              <w:pStyle w:val="IsiTabel"/>
              <w:keepNext/>
              <w:suppressAutoHyphens/>
              <w:jc w:val="right"/>
            </w:pPr>
            <w:r>
              <w:t xml:space="preserve">12</w:t>
            </w:r>
          </w:p>
        </w:tc>
        <w:tc>
          <w:tcPr>
            <w:tcW w:w="932" w:type="dxa"/>
          </w:tcPr>
          <w:p>
            <w:pPr>
              <w:pStyle w:val="IsiTabel"/>
              <w:keepNext/>
              <w:suppressAutoHyphens/>
              <w:jc w:val="right"/>
            </w:pPr>
            <w:r>
              <w:t xml:space="preserve">15</w:t>
            </w:r>
          </w:p>
        </w:tc>
        <w:tc>
          <w:tcPr>
            <w:tcW w:w="1478" w:type="dxa"/>
          </w:tcPr>
          <w:p>
            <w:pPr>
              <w:pStyle w:val="IsiTabel"/>
              <w:keepNext/>
              <w:suppressAutoHyphens/>
              <w:jc w:val="left"/>
            </w:pPr>
            <w:r>
              <w:t xml:space="preserve">–</w:t>
            </w:r>
          </w:p>
        </w:tc>
      </w:tr>
      <w:tr>
        <w:trPr>
          <w:cantSplit/>
        </w:trPr>
        <w:tc>
          <w:tcPr>
            <w:tcW w:w="4313" w:type="dxa"/>
          </w:tcPr>
          <w:p>
            <w:pPr>
              <w:pStyle w:val="IsiTabel"/>
              <w:suppressAutoHyphens/>
              <w:jc w:val="left"/>
            </w:pPr>
            <w:bookmarkStart w:id="70" w:name="_Ekor005z"/>
            <w:bookmarkEnd w:id="70"/>
            <w:r>
              <w:t xml:space="preserve">(g) peringatan dini multibahaya dan informasi risiko</w:t>
            </w:r>
          </w:p>
        </w:tc>
        <w:tc>
          <w:tcPr>
            <w:tcW w:w="1508" w:type="dxa"/>
          </w:tcPr>
          <w:p>
            <w:pPr>
              <w:pStyle w:val="IsiTabel"/>
              <w:suppressAutoHyphens/>
              <w:jc w:val="left"/>
            </w:pPr>
            <w:r>
              <w:t xml:space="preserve">1.c penduduk tercakup peringatan dini per 100.000 di daerah berisiko</w:t>
            </w:r>
          </w:p>
        </w:tc>
        <w:tc>
          <w:tcPr>
            <w:tcW w:w="1123" w:type="dxa"/>
          </w:tcPr>
          <w:p>
            <w:pPr>
              <w:pStyle w:val="IsiTabel"/>
              <w:suppressAutoHyphens/>
              <w:jc w:val="right"/>
            </w:pPr>
            <w:r>
              <w:t xml:space="preserve">11.060</w:t>
            </w:r>
          </w:p>
        </w:tc>
        <w:tc>
          <w:tcPr>
            <w:tcW w:w="932" w:type="dxa"/>
          </w:tcPr>
          <w:p>
            <w:pPr>
              <w:pStyle w:val="IsiTabel"/>
              <w:suppressAutoHyphens/>
              <w:jc w:val="right"/>
            </w:pPr>
            <w:r>
              <w:t xml:space="preserve">52.000</w:t>
            </w:r>
          </w:p>
        </w:tc>
        <w:tc>
          <w:tcPr>
            <w:tcW w:w="1478" w:type="dxa"/>
          </w:tcPr>
          <w:p>
            <w:pPr>
              <w:pStyle w:val="IsiTabel"/>
              <w:suppressAutoHyphens/>
              <w:jc w:val="left"/>
            </w:pPr>
            <w:r>
              <w:t xml:space="preserve">KP 08.04.02 cakupan layanan peringatan dini </w:t>
            </w:r>
            <w:r>
              <w:t xml:space="preserve">6,00%</w:t>
            </w:r>
            <w:r>
              <w:t xml:space="preserve"> (baseline) ke </w:t>
            </w:r>
            <w:r>
              <w:t xml:space="preserve">6,32%</w:t>
            </w:r>
            <w:r>
              <w:t xml:space="preserve"> (2029), penyebut berbeda</w:t>
            </w:r>
          </w:p>
        </w:tc>
      </w:tr>
    </w:tbl>
    <w:p>
      <w:pPr>
        <w:pStyle w:val="Sumber"/>
        <w:spacing w:after="40"/>
      </w:pPr>
      <w:r>
        <w:rPr>
          <w:b/>
          <w:bCs/>
          <w:color w:val="6B7280"/>
          <w:sz w:val="17"/>
          <w:szCs w:val="17"/>
        </w:rPr>
        <w:t xml:space="preserve">Sumber: </w:t>
      </w:r>
      <w:r>
        <w:rPr>
          <w:color w:val="6B7280"/>
          <w:sz w:val="17"/>
          <w:szCs w:val="17"/>
        </w:rPr>
        <w:t xml:space="preserve">UNISDR (2015), paragraf 18 </w:t>
      </w:r>
      <w:r>
        <w:rPr>
          <w:color w:val="6B7280"/>
          <w:sz w:val="17"/>
          <w:szCs w:val="17"/>
        </w:rPr>
        <w:t xml:space="preserve">(United Nations Office for Disaster Risk Reduction (UNISDR), 2015)</w:t>
      </w:r>
      <w:r>
        <w:rPr>
          <w:color w:val="6B7280"/>
          <w:sz w:val="17"/>
          <w:szCs w:val="17"/>
        </w:rPr>
        <w:t xml:space="preserve">; Renas PB 2025–2029, Tabel 2.8 </w:t>
      </w:r>
      <w:r>
        <w:rPr>
          <w:color w:val="6B7280"/>
          <w:sz w:val="17"/>
          <w:szCs w:val="17"/>
        </w:rPr>
        <w:t xml:space="preserve">(BNPB, 2025c, hlm. 32–33)</w:t>
      </w:r>
      <w:r>
        <w:rPr>
          <w:color w:val="6B7280"/>
          <w:sz w:val="17"/>
          <w:szCs w:val="17"/>
        </w:rPr>
        <w:t xml:space="preserve">; RPJMN 2025–2029, Lampiran I dan III </w:t>
      </w:r>
      <w:r>
        <w:rPr>
          <w:color w:val="6B7280"/>
          <w:sz w:val="17"/>
          <w:szCs w:val="17"/>
        </w:rPr>
        <w:t xml:space="preserve">(Republik Indonesia, 2025b)</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Pemadanan baris Sendai dengan indikator Renas PB adalah penilaian penyusun berlabel asumsi kebijakan karena Renas PB tidak menuliskannya per indikator; nilai indikator berlabel resmi.</w:t>
      </w:r>
    </w:p>
    <w:p>
      <w:pPr>
        <w:pStyle w:val="Heading2"/>
      </w:pPr>
      <w:bookmarkStart w:id="72" w:name="_Toc00035"/>
      <w:bookmarkStart w:id="71" w:name="_Ref0153"/>
      <w:r>
        <w:t xml:space="preserve">2.2</w:t>
      </w:r>
      <w:bookmarkEnd w:id="71"/>
      <w:r>
        <w:tab/>
      </w:r>
      <w:r>
        <w:t xml:space="preserve">Kajian BNPB Terdahulu</w:t>
      </w:r>
      <w:bookmarkEnd w:id="72"/>
    </w:p>
    <w:p>
      <w:pPr>
        <w:pStyle w:val="IsiTemuan"/>
      </w:pPr>
      <w:r>
        <w:rPr>
          <w:b/>
          <w:bCs/>
          <w:color w:val="051C2C"/>
        </w:rPr>
        <w:t xml:space="preserve">KRB 2022–2026 mencatat </w:t>
      </w:r>
      <w:r>
        <w:rPr>
          <w:b/>
          <w:bCs/>
          <w:color w:val="051C2C"/>
        </w:rPr>
        <w:t xml:space="preserve">271,1 juta jiwa</w:t>
      </w:r>
      <w:r>
        <w:rPr>
          <w:b/>
          <w:bCs/>
          <w:color w:val="051C2C"/>
        </w:rPr>
        <w:t xml:space="preserve"> penduduk terpapar multibahaya, dengan </w:t>
      </w:r>
      <w:r>
        <w:rPr>
          <w:b/>
          <w:bCs/>
          <w:color w:val="051C2C"/>
        </w:rPr>
        <w:t xml:space="preserve">65,32%</w:t>
      </w:r>
      <w:r>
        <w:rPr>
          <w:b/>
          <w:bCs/>
          <w:color w:val="051C2C"/>
        </w:rPr>
        <w:t xml:space="preserve"> dari </w:t>
      </w:r>
      <w:r>
        <w:rPr>
          <w:b/>
          <w:bCs/>
          <w:color w:val="051C2C"/>
        </w:rPr>
        <w:t xml:space="preserve">192,5 juta ha</w:t>
      </w:r>
      <w:r>
        <w:rPr>
          <w:b/>
          <w:bCs/>
          <w:color w:val="051C2C"/>
        </w:rPr>
        <w:t xml:space="preserve"> luas bahaya berada di kelas tinggi</w:t>
      </w:r>
      <w:r>
        <w:t xml:space="preserve"> </w:t>
      </w:r>
      <w:r>
        <w:t xml:space="preserve">(BNPB, 2025c, hlm. 20–24)</w:t>
      </w:r>
      <w:r>
        <w:t xml:space="preserve">. Potensi kerugian fisik dan ekonomi multibahaya tercatat </w:t>
      </w:r>
      <w:r>
        <w:t xml:space="preserve">Rp4.082,6 triliun</w:t>
      </w:r>
      <w:r>
        <w:t xml:space="preserve">, dengan komponen fisik Rp</w:t>
      </w:r>
      <w:r>
        <w:t xml:space="preserve">2.356.643.119</w:t>
      </w:r>
      <w:r>
        <w:t xml:space="preserve"> juta dan komponen ekonomi Rp</w:t>
      </w:r>
      <w:r>
        <w:t xml:space="preserve">1.725.921.319</w:t>
      </w:r>
      <w:r>
        <w:t xml:space="preserve"> juta. Semua provinsi berkelas risiko multibahaya Tinggi kecuali DKI Jakarta, yang berkelas Rendah, menurut susunan 34 provinsi lama </w:t>
      </w:r>
      <w:r>
        <w:t xml:space="preserve">(BNPB, 2025c, hlm. 25)</w:t>
      </w:r>
      <w:r>
        <w:t xml:space="preserve">. Dokumen asli KRB tidak dibuka, sehingga angka di subbab ini berasal dari kutipan Renas PB, kutipan Rencana Strategis (Renstra) BNPB 2025–2029, dan layanan InaRISK </w:t>
      </w:r>
      <w:r>
        <w:t xml:space="preserve">(BNPB, 2026k)</w:t>
      </w:r>
      <w:r>
        <w:t xml:space="preserve">.</w:t>
      </w:r>
    </w:p>
    <w:p>
      <w:pPr>
        <w:pStyle w:val="IsiTemuan"/>
      </w:pPr>
      <w:r>
        <w:rPr>
          <w:b/>
          <w:bCs/>
          <w:color w:val="051C2C"/>
        </w:rPr>
        <w:t xml:space="preserve">Jumlah potensi kerugian dua belas bahaya pada Tabel 2.6 Renas PB adalah </w:t>
      </w:r>
      <w:r>
        <w:rPr>
          <w:b/>
          <w:bCs/>
          <w:color w:val="051C2C"/>
        </w:rPr>
        <w:t xml:space="preserve">Rp7.812 triliun</w:t>
      </w:r>
      <w:r>
        <w:rPr>
          <w:b/>
          <w:bCs/>
          <w:color w:val="051C2C"/>
        </w:rPr>
        <w:t xml:space="preserve">, </w:t>
      </w:r>
      <w:r>
        <w:rPr>
          <w:b/>
          <w:bCs/>
          <w:color w:val="051C2C"/>
        </w:rPr>
        <w:t xml:space="preserve">1,91 kali</w:t>
      </w:r>
      <w:r>
        <w:rPr>
          <w:b/>
          <w:bCs/>
          <w:color w:val="051C2C"/>
        </w:rPr>
        <w:t xml:space="preserve"> nilai multibahaya</w:t>
      </w:r>
      <w:r>
        <w:t xml:space="preserve"> </w:t>
      </w:r>
      <w:r>
        <w:t xml:space="preserve">(BNPB, 2025c, hlm. 24–25)</w:t>
      </w:r>
      <w:r>
        <w:t xml:space="preserve">. Renas PB hanya menulis bahwa pengkajian multibahaya menggabungkan kelas bahaya, kerentanan, dan kapasitas; cara agregasi rupiahnya tidak dijelaskan. Potensi kerugian KRB adalah nilai aset terpapar hasil pemodelan, batas atas yang tidak dijumlah antarbahaya. Kajian ini menyebut angka multibahaya hanya sebagai potensi kerugian KRB dengan metode agregasi yang tidak dijelaskan dokumen. Paparan gempa bumi (</w:t>
      </w:r>
      <w:r>
        <w:t xml:space="preserve">272,4 juta jiwa</w:t>
      </w:r>
      <w:r>
        <w:t xml:space="preserve">), kekeringan (</w:t>
      </w:r>
      <w:r>
        <w:t xml:space="preserve">272,6 juta jiwa</w:t>
      </w:r>
      <w:r>
        <w:t xml:space="preserve">), dan cuaca ekstrem (</w:t>
      </w:r>
      <w:r>
        <w:t xml:space="preserve">255,4 juta jiwa</w:t>
      </w:r>
      <w:r>
        <w:t xml:space="preserve">) mendekati seluruh penduduk, sehingga KRB tidak dapat memilih wilayah prioritas untuk bahaya itu. Pemilihan wilayah memakai syarat daftar perhatian di Bab 3.</w:t>
      </w:r>
    </w:p>
    <w:p>
      <w:pPr>
        <w:pStyle w:val="IsiTemuan"/>
      </w:pPr>
      <w:r>
        <w:rPr>
          <w:b/>
          <w:bCs/>
          <w:color w:val="051C2C"/>
        </w:rPr>
        <w:t xml:space="preserve">Hanya </w:t>
      </w:r>
      <w:r>
        <w:rPr>
          <w:b/>
          <w:bCs/>
          <w:color w:val="051C2C"/>
        </w:rPr>
        <w:t xml:space="preserve">38,0%</w:t>
      </w:r>
      <w:r>
        <w:rPr>
          <w:b/>
          <w:bCs/>
          <w:color w:val="051C2C"/>
        </w:rPr>
        <w:t xml:space="preserve"> kab/kota berkapasitas minimal sedang menurut KRB 2022–2026: </w:t>
      </w:r>
      <w:r>
        <w:rPr>
          <w:b/>
          <w:bCs/>
          <w:color w:val="051C2C"/>
        </w:rPr>
        <w:t xml:space="preserve">190</w:t>
      </w:r>
      <w:r>
        <w:rPr>
          <w:b/>
          <w:bCs/>
          <w:color w:val="051C2C"/>
        </w:rPr>
        <w:t xml:space="preserve"> sedang dan </w:t>
      </w:r>
      <w:r>
        <w:rPr>
          <w:b/>
          <w:bCs/>
          <w:color w:val="051C2C"/>
        </w:rPr>
        <w:t xml:space="preserve">3</w:t>
      </w:r>
      <w:r>
        <w:rPr>
          <w:b/>
          <w:bCs/>
          <w:color w:val="051C2C"/>
        </w:rPr>
        <w:t xml:space="preserve"> tinggi dari </w:t>
      </w:r>
      <w:r>
        <w:rPr>
          <w:b/>
          <w:bCs/>
          <w:color w:val="051C2C"/>
        </w:rPr>
        <w:t xml:space="preserve">508 kab/kota</w:t>
      </w:r>
      <w:r>
        <w:rPr>
          <w:b/>
          <w:bCs/>
          <w:color w:val="051C2C"/>
        </w:rPr>
        <w:t xml:space="preserve"> yang dinilai</w:t>
      </w:r>
      <w:r>
        <w:t xml:space="preserve"> </w:t>
      </w:r>
      <w:r>
        <w:t xml:space="preserve">(BNPB, 2026k)</w:t>
      </w:r>
      <w:r>
        <w:t xml:space="preserve">. Sebanyak </w:t>
      </w:r>
      <w:r>
        <w:t xml:space="preserve">315 kab/kota</w:t>
      </w:r>
      <w:r>
        <w:t xml:space="preserve"> berkapasitas rendah. Persentase itu berlabel asumsi kebijakan karena kesetaraan kelas kapasitas KRB dengan alat ukur Indeks Ketahanan Daerah belum terbukti. Dua angka resmi berikut memakai alat ukur yang berbeda. RPJMN 2025–2029 kegiatan prioritas 08.04.01 memuat baseline </w:t>
      </w:r>
      <w:r>
        <w:t xml:space="preserve">62%</w:t>
      </w:r>
      <w:r>
        <w:t xml:space="preserve"> pada 2023, target </w:t>
      </w:r>
      <w:r>
        <w:t xml:space="preserve">67%</w:t>
      </w:r>
      <w:r>
        <w:t xml:space="preserve"> pada 2025, dan </w:t>
      </w:r>
      <w:r>
        <w:t xml:space="preserve">90%</w:t>
      </w:r>
      <w:r>
        <w:t xml:space="preserve"> pada 2029 </w:t>
      </w:r>
      <w:r>
        <w:t xml:space="preserve">(Republik Indonesia, 2025b)</w:t>
      </w:r>
      <w:r>
        <w:t xml:space="preserve">. Narasi Renstra menulis kenaikan dari </w:t>
      </w:r>
      <w:r>
        <w:t xml:space="preserve">67%</w:t>
      </w:r>
      <w:r>
        <w:t xml:space="preserve"> menjadi </w:t>
      </w:r>
      <w:r>
        <w:t xml:space="preserve">90%</w:t>
      </w:r>
      <w:r>
        <w:t xml:space="preserve">, padahal Tabel 4.5 Renstra sendiri menaruh </w:t>
      </w:r>
      <w:r>
        <w:t xml:space="preserve">67%</w:t>
      </w:r>
      <w:r>
        <w:t xml:space="preserve"> di kolom 2025 </w:t>
      </w:r>
      <w:r>
        <w:t xml:space="preserve">(BNPB, 2025e, hlm. 128–132)</w:t>
      </w:r>
      <w:r>
        <w:t xml:space="preserve">. Ketiga angka ditulis berdampingan tanpa dipilih; pilihan alat ukur menjadi keputusan Kepala BNPB (</w:t>
      </w:r>
      <w:r>
        <w:fldChar w:fldCharType="begin"/>
      </w:r>
      <w:r>
        <w:instrText xml:space="preserve"> REF _Ref0089 \h \* CHARFORMAT </w:instrText>
      </w:r>
      <w:r>
        <w:fldChar w:fldCharType="separate"/>
      </w:r>
      <w:r>
        <w:t xml:space="preserve">35</w:t>
      </w:r>
      <w:r>
        <w:fldChar w:fldCharType="end"/>
      </w:r>
      <w:r>
        <w:t xml:space="preserve">).</w:t>
      </w:r>
    </w:p>
    <w:p>
      <w:pPr>
        <w:pStyle w:val="IsiTemuan"/>
      </w:pPr>
      <w:r>
        <w:rPr>
          <w:b/>
          <w:bCs/>
          <w:color w:val="051C2C"/>
        </w:rPr>
        <w:t xml:space="preserve">IRB nasional turun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atau </w:t>
      </w:r>
      <w:r>
        <w:rPr>
          <w:b/>
          <w:bCs/>
          <w:color w:val="051C2C"/>
        </w:rPr>
        <w:t xml:space="preserve">turun 10,76%</w:t>
      </w:r>
      <w:r>
        <w:rPr>
          <w:b/>
          <w:bCs/>
          <w:color w:val="051C2C"/>
        </w:rPr>
        <w:t xml:space="preserve">, dan Renstra menyatakan target 2020–2024 tercapai</w:t>
      </w:r>
      <w:r>
        <w:t xml:space="preserve"> </w:t>
      </w:r>
      <w:r>
        <w:t xml:space="preserve">(BNPB, 2025e, hlm. 52)</w:t>
      </w:r>
      <w:r>
        <w:t xml:space="preserve">. Tabel 1.6 Renstra yang sama mencatat target tahunan 2020, 2021, dan 2022 belum tercapai, sehingga yang tercapai adalah target kumulatif. Penurunan tahunan 2020–2024 berkisar </w:t>
      </w:r>
      <w:r>
        <w:t xml:space="preserve">1,65%</w:t>
      </w:r>
      <w:r>
        <w:t xml:space="preserve"> sampai </w:t>
      </w:r>
      <w:r>
        <w:t xml:space="preserve">2,82%</w:t>
      </w:r>
      <w:r>
        <w:t xml:space="preserve">, seluruhnya di atas target </w:t>
      </w:r>
      <w:r>
        <w:t xml:space="preserve">1,2%</w:t>
      </w:r>
      <w:r>
        <w:t xml:space="preserve"> per tahun. RPJMN memuat baseline penurunan </w:t>
      </w:r>
      <w:r>
        <w:t xml:space="preserve">1,54%</w:t>
      </w:r>
      <w:r>
        <w:t xml:space="preserve"> pada 2023, sedangkan deret Renstra memberi </w:t>
      </w:r>
      <w:r>
        <w:t xml:space="preserve">2,44%</w:t>
      </w:r>
      <w:r>
        <w:t xml:space="preserve"> untuk tahun yang sama </w:t>
      </w:r>
      <w:r>
        <w:t xml:space="preserve">(Republik Indonesia, 2025b)</w:t>
      </w:r>
      <w:r>
        <w:t xml:space="preserve">. Definisi baseline RPJMN tidak tertulis, sehingga kedua angka ditulis berdampingan dan capaian target tidak dinilai. IRBI 2023 menempatkan </w:t>
      </w:r>
      <w:r>
        <w:t xml:space="preserve">13 provinsi</w:t>
      </w:r>
      <w:r>
        <w:t xml:space="preserve"> dan </w:t>
      </w:r>
      <w:r>
        <w:t xml:space="preserve">168 kab/kota</w:t>
      </w:r>
      <w:r>
        <w:t xml:space="preserve"> di kelas Tinggi </w:t>
      </w:r>
      <w:r>
        <w:t xml:space="preserve">(BNPB, 2025c, hlm. 19)</w:t>
      </w:r>
      <w:r>
        <w:t xml:space="preserve">. IRBI 2025 memakai skala bilangan bulat yang tidak sebanding dengan seri 2015–2024 dan menempatkan </w:t>
      </w:r>
      <w:r>
        <w:t xml:space="preserve">169 kab/kota</w:t>
      </w:r>
      <w:r>
        <w:t xml:space="preserve"> di status Tinggi </w:t>
      </w:r>
      <w:r>
        <w:t xml:space="preserve">(BNPB, t.t.-b)</w:t>
      </w:r>
      <w:r>
        <w:t xml:space="preserve">; kesimpulan bahwa skalanya berubah adalah analisis penyusun yang diuraikan di Bab 3. Kolom IRBI hanya memuat sembilan bahaya alam dan tidak memuat jenis nonalam maupun sosial.</w:t>
      </w:r>
    </w:p>
    <w:p>
      <w:pPr>
        <w:pStyle w:val="IsiTemuan"/>
      </w:pPr>
      <w:r>
        <w:rPr>
          <w:b/>
          <w:bCs/>
          <w:color w:val="051C2C"/>
        </w:rPr>
        <w:t xml:space="preserve">Buku Risiko Bencana Indonesia (RBI) 2023 mencatat </w:t>
      </w:r>
      <w:r>
        <w:rPr>
          <w:b/>
          <w:bCs/>
          <w:color w:val="051C2C"/>
        </w:rPr>
        <w:t xml:space="preserve">258,1 juta jiwa</w:t>
      </w:r>
      <w:r>
        <w:rPr>
          <w:b/>
          <w:bCs/>
          <w:color w:val="051C2C"/>
        </w:rPr>
        <w:t xml:space="preserve"> terpapar multi-ancaman, berbeda dari </w:t>
      </w:r>
      <w:r>
        <w:rPr>
          <w:b/>
          <w:bCs/>
          <w:color w:val="051C2C"/>
        </w:rPr>
        <w:t xml:space="preserve">271,1 juta jiwa</w:t>
      </w:r>
      <w:r>
        <w:rPr>
          <w:b/>
          <w:bCs/>
          <w:color w:val="051C2C"/>
        </w:rPr>
        <w:t xml:space="preserve"> dalam KRB 2022–2026, karena angka pertama dihitung per kelas risiko dan angka kedua per paparan bahaya</w:t>
      </w:r>
      <w:r>
        <w:t xml:space="preserve"> </w:t>
      </w:r>
      <w:r>
        <w:t xml:space="preserve">(BNPB, 2025e, hlm. 8–10)</w:t>
      </w:r>
      <w:r>
        <w:t xml:space="preserve">. Rupiah Buku RBI 2023 yang dikutip Renstra praktis sama dengan komponen ekonomi KRB 2022–2026 per kelas risiko. Layanan InaRISK memuat potensi kerugian ekonomi kelas sedang Rp</w:t>
      </w:r>
      <w:r>
        <w:t xml:space="preserve">315.980.124</w:t>
      </w:r>
      <w:r>
        <w:t xml:space="preserve"> juta dan kelas tinggi Rp</w:t>
      </w:r>
      <w:r>
        <w:t xml:space="preserve">1.409.941.196</w:t>
      </w:r>
      <w:r>
        <w:t xml:space="preserve"> juta, yang jumlahnya sama dengan komponen ekonomi KRB </w:t>
      </w:r>
      <w:r>
        <w:t xml:space="preserve">(BNPB, 2026k)</w:t>
      </w:r>
      <w:r>
        <w:t xml:space="preserve">. Kelas sedang berselisih Rp</w:t>
      </w:r>
      <w:r>
        <w:t xml:space="preserve">199.999</w:t>
      </w:r>
      <w:r>
        <w:t xml:space="preserve"> juta dengan kutipan Renstra, dan asal selisih itu tidak dapat dipastikan tanpa dokumen Buku RBI 2023. Judul Tabel 1.3 Renstra menyebut kerugian fisik dan ekonomi, sehingga rupiah itu tidak dijejerkan dengan potensi kerugian fisik dan ekonomi KRB tanpa catatan ini.</w:t>
      </w:r>
    </w:p>
    <w:p>
      <w:pPr>
        <w:pStyle w:val="IsiTemuan"/>
      </w:pPr>
      <w:r>
        <w:rPr>
          <w:b/>
          <w:bCs/>
          <w:color w:val="051C2C"/>
        </w:rPr>
        <w:t xml:space="preserve">National Assessment Report (NAR) 2023 yang dikutip Renstra mencatat jumlah kejadian bencana menurun dalam tiga tahun terakhir sementara korban tewas meningkat</w:t>
      </w:r>
      <w:r>
        <w:t xml:space="preserve"> </w:t>
      </w:r>
      <w:r>
        <w:t xml:space="preserve">(BNPB, 2025e, hlm. 23–24)</w:t>
      </w:r>
      <w:r>
        <w:t xml:space="preserve">. Tren lain yang dicatatnya mencakup ambiguitas regulasi dan kewenangan yang menimbulkan tumpang tindih. Penurunan IRB dan kenaikan korban tidak saling membantah: IRBI adalah indeks risiko termodelkan, sedangkan korban adalah kejadian tercatat. Keduanya disajikan berdampingan tanpa klaim sebab.</w:t>
      </w:r>
    </w:p>
    <w:p>
      <w:pPr>
        <w:pStyle w:val="IsiTemuan"/>
      </w:pPr>
      <w:r>
        <w:rPr>
          <w:b/>
          <w:bCs/>
          <w:color w:val="051C2C"/>
        </w:rPr>
        <w:t xml:space="preserve">Rencana Induk Penanggulangan Bencana (RIPB) 2020–2044 dalam Perpres 87/2020 terbagi atas </w:t>
      </w:r>
      <w:r>
        <w:rPr>
          <w:b/>
          <w:bCs/>
          <w:color w:val="051C2C"/>
        </w:rPr>
        <w:t xml:space="preserve">5 tahap lima tahunan</w:t>
      </w:r>
      <w:r>
        <w:rPr>
          <w:b/>
          <w:bCs/>
          <w:color w:val="051C2C"/>
        </w:rPr>
        <w:t xml:space="preserve"> dan ditinjau tiap </w:t>
      </w:r>
      <w:r>
        <w:rPr>
          <w:b/>
          <w:bCs/>
          <w:color w:val="051C2C"/>
        </w:rPr>
        <w:t xml:space="preserve">5 tahun</w:t>
      </w:r>
      <w:r>
        <w:t xml:space="preserve"> </w:t>
      </w:r>
      <w:r>
        <w:t xml:space="preserve">(Republik Indonesia, 2020f)</w:t>
      </w:r>
      <w:r>
        <w:t xml:space="preserve">. Pasal 3 ayat (3) menjadikan RIPB bahan penyusunan RPJMN dan rencana pembangunan jangka menengah daerah, tetapi penelusuran teks RPJMN 2025–2029 Lampiran I dan II tidak menemukan penyebutan RIPB </w:t>
      </w:r>
      <w:r>
        <w:t xml:space="preserve">(Republik Indonesia, 2025b)</w:t>
      </w:r>
      <w:r>
        <w:t xml:space="preserve">. Lampiran RIPB memuat </w:t>
      </w:r>
      <w:r>
        <w:t xml:space="preserve">5 sasaran</w:t>
      </w:r>
      <w:r>
        <w:t xml:space="preserve"> dan </w:t>
      </w:r>
      <w:r>
        <w:t xml:space="preserve">6 kebijakan</w:t>
      </w:r>
      <w:r>
        <w:t xml:space="preserve">, dan Renas PB menurunkan </w:t>
      </w:r>
      <w:r>
        <w:t xml:space="preserve">12 fokus capaian</w:t>
      </w:r>
      <w:r>
        <w:t xml:space="preserve"> untuk 2025–2029 </w:t>
      </w:r>
      <w:r>
        <w:t xml:space="preserve">(BNPB, 2025c, hlm. 14–16)</w:t>
      </w:r>
      <w:r>
        <w:t xml:space="preserve">.</w:t>
      </w:r>
    </w:p>
    <w:p>
      <w:pPr>
        <w:pStyle w:val="IsiTemuan"/>
      </w:pPr>
      <w:r>
        <w:rPr>
          <w:b/>
          <w:bCs/>
          <w:color w:val="051C2C"/>
        </w:rPr>
        <w:t xml:space="preserve">Renas PB 2025–2029 dalam Perban BNPB 1/2025 memuat </w:t>
      </w:r>
      <w:r>
        <w:rPr>
          <w:b/>
          <w:bCs/>
          <w:color w:val="051C2C"/>
        </w:rPr>
        <w:t xml:space="preserve">6 kebijakan</w:t>
      </w:r>
      <w:r>
        <w:rPr>
          <w:b/>
          <w:bCs/>
          <w:color w:val="051C2C"/>
        </w:rPr>
        <w:t xml:space="preserve">, </w:t>
      </w:r>
      <w:r>
        <w:rPr>
          <w:b/>
          <w:bCs/>
          <w:color w:val="051C2C"/>
        </w:rPr>
        <w:t xml:space="preserve">4 sasaran</w:t>
      </w:r>
      <w:r>
        <w:rPr>
          <w:b/>
          <w:bCs/>
          <w:color w:val="051C2C"/>
        </w:rPr>
        <w:t xml:space="preserve">, </w:t>
      </w:r>
      <w:r>
        <w:rPr>
          <w:b/>
          <w:bCs/>
          <w:color w:val="051C2C"/>
        </w:rPr>
        <w:t xml:space="preserve">19 strategi</w:t>
      </w:r>
      <w:r>
        <w:rPr>
          <w:b/>
          <w:bCs/>
          <w:color w:val="051C2C"/>
        </w:rPr>
        <w:t xml:space="preserve">, dan </w:t>
      </w:r>
      <w:r>
        <w:rPr>
          <w:b/>
          <w:bCs/>
          <w:color w:val="051C2C"/>
        </w:rPr>
        <w:t xml:space="preserve">44 program</w:t>
      </w:r>
      <w:r>
        <w:rPr>
          <w:b/>
          <w:bCs/>
          <w:color w:val="051C2C"/>
        </w:rPr>
        <w:t xml:space="preserve">, dan ditinjau tiap </w:t>
      </w:r>
      <w:r>
        <w:rPr>
          <w:b/>
          <w:bCs/>
          <w:color w:val="051C2C"/>
        </w:rPr>
        <w:t xml:space="preserve">2 tahun</w:t>
      </w:r>
      <w:r>
        <w:t xml:space="preserve"> </w:t>
      </w:r>
      <w:r>
        <w:t xml:space="preserve">(BNPB, 2025c, hlm. 4)</w:t>
      </w:r>
      <w:r>
        <w:t xml:space="preserve">. Perubahan lewat peninjauan berkala dilakukan paling lambat tahun ke-</w:t>
      </w:r>
      <w:r>
        <w:t xml:space="preserve">3</w:t>
      </w:r>
      <w:r>
        <w:t xml:space="preserve"> periode pelaksanaan, yaitu 2027, dan rekomendasinya harus termuat dalam hasil pemantauan dan evaluasi tahunan atau evaluasi paruh waktu </w:t>
      </w:r>
      <w:r>
        <w:t xml:space="preserve">(BNPB, 2025c, hlm. 125)</w:t>
      </w:r>
      <w:r>
        <w:t xml:space="preserve">. Perubahan karena bencana paling lambat tahun ke-</w:t>
      </w:r>
      <w:r>
        <w:t xml:space="preserve">4</w:t>
      </w:r>
      <w:r>
        <w:t xml:space="preserve">, yaitu 2028, dan terbatas pada program dan kegiatan rencana aksi. Temuan kajian yang hendak mengubah isi Renas PB di atas tingkat kegiatan rencana aksi karena itu harus masuk evaluasi tahunan 2026 atau evaluasi paruh waktu sebelum perubahan 2027.</w:t>
      </w:r>
    </w:p>
    <w:p>
      <w:pPr>
        <w:pStyle w:val="IsiTemuan"/>
      </w:pPr>
      <w:r>
        <w:rPr>
          <w:b/>
          <w:bCs/>
          <w:color w:val="051C2C"/>
        </w:rPr>
        <w:t xml:space="preserve">Renstra BNPB 2025–2029 dalam Perban BNPB 5/2025 menargetkan cakupan layanan peringatan dini di daerah berisiko naik dari </w:t>
      </w:r>
      <w:r>
        <w:rPr>
          <w:b/>
          <w:bCs/>
          <w:color w:val="051C2C"/>
        </w:rPr>
        <w:t xml:space="preserve">6,10%</w:t>
      </w:r>
      <w:r>
        <w:rPr>
          <w:b/>
          <w:bCs/>
          <w:color w:val="051C2C"/>
        </w:rPr>
        <w:t xml:space="preserve"> pada 2025 menjadi </w:t>
      </w:r>
      <w:r>
        <w:rPr>
          <w:b/>
          <w:bCs/>
          <w:color w:val="051C2C"/>
        </w:rPr>
        <w:t xml:space="preserve">6,32%</w:t>
      </w:r>
      <w:r>
        <w:rPr>
          <w:b/>
          <w:bCs/>
          <w:color w:val="051C2C"/>
        </w:rPr>
        <w:t xml:space="preserve"> pada 2029</w:t>
      </w:r>
      <w:r>
        <w:t xml:space="preserve"> </w:t>
      </w:r>
      <w:r>
        <w:t xml:space="preserve">(BNPB, 2025e, hlm. 133)</w:t>
      </w:r>
      <w:r>
        <w:t xml:space="preserve">. Renstra memuat </w:t>
      </w:r>
      <w:r>
        <w:t xml:space="preserve">7 program</w:t>
      </w:r>
      <w:r>
        <w:t xml:space="preserve"> dengan </w:t>
      </w:r>
      <w:r>
        <w:t xml:space="preserve">12</w:t>
      </w:r>
      <w:r>
        <w:t xml:space="preserve"> indikator kinerja program (IKP) dan dua indikator kinerja sasaran (IKS) turunan RPJMN, yaitu penurunan IRB dan daerah berkapasitas minimal sedang. Renas PB indikator 1.c menargetkan penduduk tercakup peringatan dini naik dari </w:t>
      </w:r>
      <w:r>
        <w:t xml:space="preserve">11.060 per 100.000 penduduk</w:t>
      </w:r>
      <w:r>
        <w:t xml:space="preserve"> menjadi </w:t>
      </w:r>
      <w:r>
        <w:t xml:space="preserve">52.000 per 100.000 penduduk</w:t>
      </w:r>
      <w:r>
        <w:t xml:space="preserve"> </w:t>
      </w:r>
      <w:r>
        <w:t xml:space="preserve">(BNPB, 2025c, hlm. 32–33)</w:t>
      </w:r>
      <w:r>
        <w:t xml:space="preserve">. Penyebut kedua indikator berbeda, sehingga selisihnya tidak dibaca sebagai kekurangan. RPJMN juga memuat desa berketahanan bencana (kegiatan prioritas 08.04.04) dari </w:t>
      </w:r>
      <w:r>
        <w:t xml:space="preserve">10,31%</w:t>
      </w:r>
      <w:r>
        <w:t xml:space="preserve"> menjadi </w:t>
      </w:r>
      <w:r>
        <w:t xml:space="preserve">11,74%</w:t>
      </w:r>
      <w:r>
        <w:t xml:space="preserve"> pada 2029 </w:t>
      </w:r>
      <w:r>
        <w:t xml:space="preserve">(Republik Indonesia, 2025b)</w:t>
      </w:r>
      <w:r>
        <w:t xml:space="preserve">.</w:t>
      </w:r>
    </w:p>
    <w:p>
      <w:pPr>
        <w:pStyle w:val="IsiTemuan"/>
      </w:pPr>
      <w:r>
        <w:rPr>
          <w:b/>
          <w:bCs/>
          <w:color w:val="051C2C"/>
        </w:rPr>
        <w:t xml:space="preserve">Kajian ini menambahkan lima hal di atas dokumen tersebut</w:t>
      </w:r>
      <w:r>
        <w:t xml:space="preserve"> (</w:t>
      </w:r>
      <w:r>
        <w:fldChar w:fldCharType="begin"/>
      </w:r>
      <w:r>
        <w:instrText xml:space="preserve"> REF _Ref0284 \h \* CHARFORMAT </w:instrText>
      </w:r>
      <w:r>
        <w:fldChar w:fldCharType="separate"/>
      </w:r>
      <w:r>
        <w:t xml:space="preserve">Tabel 2.2</w:t>
      </w:r>
      <w:r>
        <w:fldChar w:fldCharType="end"/>
      </w:r>
      <w:r>
        <w:t xml:space="preserve">). Skenario terburuk per jenis diberi lantai kejadian tercatat terburuk untuk jenis dan wilayah yang sama, dan IRBI dibaca berdampingan dengan Data dan Informasi Bencana Indonesia (DIBI). Angka yang berbeda versi direkonsiliasi. Matriks tahap dan jenis bencana diberi dasar pasal per baris, termasuk jenis nonalam dan sosial. Rekomendasi diberi jalur masuk ke peninjauan Renas PB Pasal 7 ayat (1) serta RIPB Pasal 7 Perpres 87/2020.</w:t>
      </w:r>
    </w:p>
    <w:p>
      <w:pPr>
        <w:pStyle w:val="Caption"/>
      </w:pPr>
      <w:bookmarkStart w:id="74" w:name="_Toc00036"/>
      <w:bookmarkStart w:id="73" w:name="_Ref028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3"/>
      <w:r>
        <w:rPr>
          <w:b/>
          <w:bCs/>
          <w:color w:val="051C2C"/>
        </w:rPr>
        <w:t xml:space="preserve"> </w:t>
      </w:r>
      <w:r>
        <w:t xml:space="preserve">Dokumen risiko dan perencanaan BNPB, angka pokok, keterbatasan, dan tambahan kajian ini, 2015–2029</w:t>
      </w:r>
      <w:bookmarkEnd w:id="7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94"/>
        <w:gridCol w:w="1396"/>
        <w:gridCol w:w="1676"/>
        <w:gridCol w:w="2293"/>
        <w:gridCol w:w="1695"/>
      </w:tblGrid>
      <w:tr>
        <w:trPr>
          <w:cantSplit/>
          <w:tblHeader/>
        </w:trPr>
        <w:tc>
          <w:tcPr>
            <w:tcW w:w="2294" w:type="dxa"/>
            <w:shd w:val="clear" w:color="auto" w:fill="051C2C"/>
            <w:vAlign w:val="center"/>
          </w:tcPr>
          <w:p>
            <w:pPr>
              <w:pStyle w:val="KepalaTabel"/>
              <w:suppressAutoHyphens/>
            </w:pPr>
            <w:r>
              <w:t xml:space="preserve">DOKUMEN</w:t>
            </w:r>
          </w:p>
        </w:tc>
        <w:tc>
          <w:tcPr>
            <w:tcW w:w="1396" w:type="dxa"/>
            <w:shd w:val="clear" w:color="auto" w:fill="051C2C"/>
            <w:vAlign w:val="center"/>
          </w:tcPr>
          <w:p>
            <w:pPr>
              <w:pStyle w:val="KepalaTabel"/>
              <w:suppressAutoHyphens/>
            </w:pPr>
            <w:r>
              <w:t xml:space="preserve">YANG DITETAPKAN</w:t>
            </w:r>
          </w:p>
        </w:tc>
        <w:tc>
          <w:tcPr>
            <w:tcW w:w="1676" w:type="dxa"/>
            <w:shd w:val="clear" w:color="auto" w:fill="051C2C"/>
            <w:vAlign w:val="center"/>
          </w:tcPr>
          <w:p>
            <w:pPr>
              <w:pStyle w:val="KepalaTabel"/>
              <w:suppressAutoHyphens/>
            </w:pPr>
            <w:r>
              <w:t xml:space="preserve">KETERBATASAN</w:t>
            </w:r>
          </w:p>
        </w:tc>
        <w:tc>
          <w:tcPr>
            <w:tcW w:w="2293" w:type="dxa"/>
            <w:shd w:val="clear" w:color="auto" w:fill="051C2C"/>
            <w:vAlign w:val="center"/>
          </w:tcPr>
          <w:p>
            <w:pPr>
              <w:pStyle w:val="KepalaTabel"/>
              <w:suppressAutoHyphens/>
            </w:pPr>
            <w:r>
              <w:t xml:space="preserve">YANG DITAMBAHKAN KAJIAN INI</w:t>
            </w:r>
          </w:p>
        </w:tc>
        <w:tc>
          <w:tcPr>
            <w:tcW w:w="1695" w:type="dxa"/>
            <w:shd w:val="clear" w:color="auto" w:fill="051C2C"/>
            <w:vAlign w:val="center"/>
          </w:tcPr>
          <w:p>
            <w:pPr>
              <w:pStyle w:val="KepalaTabel"/>
              <w:suppressAutoHyphens/>
            </w:pPr>
            <w:r>
              <w:t xml:space="preserve">KEYAKINAN</w:t>
            </w:r>
          </w:p>
        </w:tc>
      </w:tr>
      <w:tr>
        <w:trPr>
          <w:cantSplit/>
        </w:trPr>
        <w:tc>
          <w:tcPr>
            <w:tcW w:w="2294" w:type="dxa"/>
          </w:tcPr>
          <w:p>
            <w:pPr>
              <w:pStyle w:val="IsiTabel"/>
              <w:suppressAutoHyphens/>
              <w:jc w:val="left"/>
            </w:pPr>
            <w:r>
              <w:t xml:space="preserve">KRB 2022–2026</w:t>
            </w:r>
          </w:p>
        </w:tc>
        <w:tc>
          <w:tcPr>
            <w:tcW w:w="1396" w:type="dxa"/>
          </w:tcPr>
          <w:p>
            <w:pPr>
              <w:pStyle w:val="IsiTabel"/>
              <w:suppressAutoHyphens/>
              <w:jc w:val="left"/>
            </w:pPr>
            <w:r>
              <w:t xml:space="preserve">14 jenis bahaya</w:t>
            </w:r>
            <w:r>
              <w:t xml:space="preserve">; </w:t>
            </w:r>
            <w:r>
              <w:t xml:space="preserve">271.130.365</w:t>
            </w:r>
            <w:r>
              <w:t xml:space="preserve"> jiwa terpapar multibahaya; kapasitas minimal sedang </w:t>
            </w:r>
            <w:r>
              <w:t xml:space="preserve">38,0%</w:t>
            </w:r>
            <w:r>
              <w:t xml:space="preserve"> kab/kota</w:t>
            </w:r>
          </w:p>
        </w:tc>
        <w:tc>
          <w:tcPr>
            <w:tcW w:w="1676" w:type="dxa"/>
          </w:tcPr>
          <w:p>
            <w:pPr>
              <w:pStyle w:val="IsiTabel"/>
              <w:suppressAutoHyphens/>
              <w:jc w:val="left"/>
            </w:pPr>
            <w:r>
              <w:t xml:space="preserve">dokumen asli tidak dibuka; metode agregasi rupiah multibahaya tidak tertulis</w:t>
            </w:r>
          </w:p>
        </w:tc>
        <w:tc>
          <w:tcPr>
            <w:tcW w:w="2293" w:type="dxa"/>
          </w:tcPr>
          <w:p>
            <w:pPr>
              <w:pStyle w:val="IsiTabel"/>
              <w:suppressAutoHyphens/>
              <w:jc w:val="left"/>
            </w:pPr>
            <w:r>
              <w:t xml:space="preserve">skenario berlantai kejadian tercatat; potensi kerugian tidak dijumlah</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suppressAutoHyphens/>
              <w:jc w:val="left"/>
            </w:pPr>
            <w:r>
              <w:t xml:space="preserve">IRBI 2015–2024</w:t>
            </w:r>
          </w:p>
        </w:tc>
        <w:tc>
          <w:tcPr>
            <w:tcW w:w="1396" w:type="dxa"/>
          </w:tcPr>
          <w:p>
            <w:pPr>
              <w:pStyle w:val="IsiTabel"/>
              <w:suppressAutoHyphens/>
              <w:jc w:val="left"/>
            </w:pPr>
            <w:r>
              <w:t xml:space="preserve">IRB nasional </w:t>
            </w:r>
            <w:r>
              <w:t xml:space="preserve">144,02</w:t>
            </w:r>
            <w:r>
              <w:t xml:space="preserve"> (2019) ke </w:t>
            </w:r>
            <w:r>
              <w:t xml:space="preserve">128,52</w:t>
            </w:r>
            <w:r>
              <w:t xml:space="preserve"> (2024)</w:t>
            </w:r>
          </w:p>
        </w:tc>
        <w:tc>
          <w:tcPr>
            <w:tcW w:w="1676" w:type="dxa"/>
          </w:tcPr>
          <w:p>
            <w:pPr>
              <w:pStyle w:val="IsiTabel"/>
              <w:suppressAutoHyphens/>
              <w:jc w:val="left"/>
            </w:pPr>
            <w:r>
              <w:t xml:space="preserve">sembilan bahaya alam; tanpa nonalam dan sosial</w:t>
            </w:r>
          </w:p>
        </w:tc>
        <w:tc>
          <w:tcPr>
            <w:tcW w:w="2293" w:type="dxa"/>
          </w:tcPr>
          <w:p>
            <w:pPr>
              <w:pStyle w:val="IsiTabel"/>
              <w:suppressAutoHyphens/>
              <w:jc w:val="left"/>
            </w:pPr>
            <w:r>
              <w:t xml:space="preserve">dibaca berdampingan dengan kejadian DIBI</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suppressAutoHyphens/>
              <w:jc w:val="left"/>
            </w:pPr>
            <w:r>
              <w:t xml:space="preserve">IRBI 2025</w:t>
            </w:r>
          </w:p>
        </w:tc>
        <w:tc>
          <w:tcPr>
            <w:tcW w:w="1396" w:type="dxa"/>
          </w:tcPr>
          <w:p>
            <w:pPr>
              <w:pStyle w:val="IsiTabel"/>
              <w:suppressAutoHyphens/>
              <w:jc w:val="left"/>
            </w:pPr>
            <w:r>
              <w:t xml:space="preserve">169</w:t>
            </w:r>
            <w:r>
              <w:t xml:space="preserve"> kab/kota berstatus Tinggi</w:t>
            </w:r>
          </w:p>
        </w:tc>
        <w:tc>
          <w:tcPr>
            <w:tcW w:w="1676" w:type="dxa"/>
          </w:tcPr>
          <w:p>
            <w:pPr>
              <w:pStyle w:val="IsiTabel"/>
              <w:suppressAutoHyphens/>
              <w:jc w:val="left"/>
            </w:pPr>
            <w:r>
              <w:t xml:space="preserve">skala tidak sebanding dengan 2015–2024</w:t>
            </w:r>
          </w:p>
        </w:tc>
        <w:tc>
          <w:tcPr>
            <w:tcW w:w="2293" w:type="dxa"/>
          </w:tcPr>
          <w:p>
            <w:pPr>
              <w:pStyle w:val="IsiTabel"/>
              <w:suppressAutoHyphens/>
              <w:jc w:val="left"/>
            </w:pPr>
            <w:r>
              <w:t xml:space="preserve">potret 2025 terpisah dari tren</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294" w:type="dxa"/>
          </w:tcPr>
          <w:p>
            <w:pPr>
              <w:pStyle w:val="IsiTabel"/>
              <w:suppressAutoHyphens/>
              <w:jc w:val="left"/>
            </w:pPr>
            <w:r>
              <w:t xml:space="preserve">Buku RBI 2023</w:t>
            </w:r>
          </w:p>
        </w:tc>
        <w:tc>
          <w:tcPr>
            <w:tcW w:w="1396" w:type="dxa"/>
          </w:tcPr>
          <w:p>
            <w:pPr>
              <w:pStyle w:val="IsiTabel"/>
              <w:suppressAutoHyphens/>
              <w:jc w:val="left"/>
            </w:pPr>
            <w:r>
              <w:t xml:space="preserve">258.071.714</w:t>
            </w:r>
            <w:r>
              <w:t xml:space="preserve"> jiwa terpapar per kelas risiko</w:t>
            </w:r>
          </w:p>
        </w:tc>
        <w:tc>
          <w:tcPr>
            <w:tcW w:w="1676" w:type="dxa"/>
          </w:tcPr>
          <w:p>
            <w:pPr>
              <w:pStyle w:val="IsiTabel"/>
              <w:suppressAutoHyphens/>
              <w:jc w:val="left"/>
            </w:pPr>
            <w:r>
              <w:t xml:space="preserve">dikutip Renstra; rupiahnya komponen ekonomi saja</w:t>
            </w:r>
          </w:p>
        </w:tc>
        <w:tc>
          <w:tcPr>
            <w:tcW w:w="2293" w:type="dxa"/>
          </w:tcPr>
          <w:p>
            <w:pPr>
              <w:pStyle w:val="IsiTabel"/>
              <w:suppressAutoHyphens/>
              <w:jc w:val="left"/>
            </w:pPr>
            <w:r>
              <w:t xml:space="preserve">rekonsiliasi angka antarproduk</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suppressAutoHyphens/>
              <w:jc w:val="left"/>
            </w:pPr>
            <w:r>
              <w:t xml:space="preserve">NAR 2023</w:t>
            </w:r>
          </w:p>
        </w:tc>
        <w:tc>
          <w:tcPr>
            <w:tcW w:w="1396" w:type="dxa"/>
          </w:tcPr>
          <w:p>
            <w:pPr>
              <w:pStyle w:val="IsiTabel"/>
              <w:suppressAutoHyphens/>
              <w:jc w:val="left"/>
            </w:pPr>
            <w:r>
              <w:t xml:space="preserve">kejadian turun tiga tahun, korban tewas naik</w:t>
            </w:r>
          </w:p>
        </w:tc>
        <w:tc>
          <w:tcPr>
            <w:tcW w:w="1676" w:type="dxa"/>
          </w:tcPr>
          <w:p>
            <w:pPr>
              <w:pStyle w:val="IsiTabel"/>
              <w:suppressAutoHyphens/>
              <w:jc w:val="left"/>
            </w:pPr>
            <w:r>
              <w:t xml:space="preserve">dikutip Renstra tanpa angka</w:t>
            </w:r>
          </w:p>
        </w:tc>
        <w:tc>
          <w:tcPr>
            <w:tcW w:w="2293" w:type="dxa"/>
          </w:tcPr>
          <w:p>
            <w:pPr>
              <w:pStyle w:val="IsiTabel"/>
              <w:suppressAutoHyphens/>
              <w:jc w:val="left"/>
            </w:pPr>
            <w:r>
              <w:t xml:space="preserve">korban tercatat sebagai sasaran yang terukur</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bookmarkStart w:id="75" w:name="_Ekor006a"/>
            <w:bookmarkEnd w:id="75"/>
            <w:r>
              <w:t xml:space="preserve">RIPB 2020–2044</w:t>
            </w:r>
          </w:p>
        </w:tc>
        <w:tc>
          <w:tcPr>
            <w:tcW w:w="1396" w:type="dxa"/>
          </w:tcPr>
          <w:p>
            <w:pPr>
              <w:pStyle w:val="IsiTabel"/>
              <w:keepNext/>
              <w:suppressAutoHyphens/>
              <w:jc w:val="left"/>
            </w:pPr>
            <w:r>
              <w:t xml:space="preserve">5 sasaran</w:t>
            </w:r>
            <w:r>
              <w:t xml:space="preserve">, </w:t>
            </w:r>
            <w:r>
              <w:t xml:space="preserve">6 kebijakan</w:t>
            </w:r>
            <w:r>
              <w:t xml:space="preserve">, peninjauan tiap </w:t>
            </w:r>
            <w:r>
              <w:t xml:space="preserve">5 tahun</w:t>
            </w:r>
          </w:p>
        </w:tc>
        <w:tc>
          <w:tcPr>
            <w:tcW w:w="1676" w:type="dxa"/>
          </w:tcPr>
          <w:p>
            <w:pPr>
              <w:pStyle w:val="IsiTabel"/>
              <w:keepNext/>
              <w:suppressAutoHyphens/>
              <w:jc w:val="left"/>
            </w:pPr>
            <w:r>
              <w:t xml:space="preserve">tidak disebut di RPJMN Lampiran I dan II</w:t>
            </w:r>
          </w:p>
        </w:tc>
        <w:tc>
          <w:tcPr>
            <w:tcW w:w="2293" w:type="dxa"/>
          </w:tcPr>
          <w:p>
            <w:pPr>
              <w:pStyle w:val="IsiTabel"/>
              <w:keepNext/>
              <w:suppressAutoHyphens/>
              <w:jc w:val="left"/>
            </w:pPr>
            <w:r>
              <w:t xml:space="preserve">masukan peninjauan RIPB</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r>
              <w:t xml:space="preserve">Renas PB 2025–2029</w:t>
            </w:r>
          </w:p>
        </w:tc>
        <w:tc>
          <w:tcPr>
            <w:tcW w:w="1396" w:type="dxa"/>
          </w:tcPr>
          <w:p>
            <w:pPr>
              <w:pStyle w:val="IsiTabel"/>
              <w:keepNext/>
              <w:suppressAutoHyphens/>
              <w:jc w:val="left"/>
            </w:pPr>
            <w:r>
              <w:t xml:space="preserve">44 program</w:t>
            </w:r>
            <w:r>
              <w:t xml:space="preserve">; Tabel 2.8 indikator Sendai</w:t>
            </w:r>
          </w:p>
        </w:tc>
        <w:tc>
          <w:tcPr>
            <w:tcW w:w="1676" w:type="dxa"/>
          </w:tcPr>
          <w:p>
            <w:pPr>
              <w:pStyle w:val="IsiTabel"/>
              <w:keepNext/>
              <w:suppressAutoHyphens/>
              <w:jc w:val="left"/>
            </w:pPr>
            <w:r>
              <w:t xml:space="preserve">target 1.a dan 1.b tanpa angka 2029</w:t>
            </w:r>
          </w:p>
        </w:tc>
        <w:tc>
          <w:tcPr>
            <w:tcW w:w="2293" w:type="dxa"/>
          </w:tcPr>
          <w:p>
            <w:pPr>
              <w:pStyle w:val="IsiTabel"/>
              <w:keepNext/>
              <w:suppressAutoHyphens/>
              <w:jc w:val="left"/>
            </w:pPr>
            <w:r>
              <w:t xml:space="preserve">jalur masuk peninjauan berkala 2027</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r>
              <w:t xml:space="preserve">Renstra BNPB 2025–2029</w:t>
            </w:r>
          </w:p>
        </w:tc>
        <w:tc>
          <w:tcPr>
            <w:tcW w:w="1396" w:type="dxa"/>
          </w:tcPr>
          <w:p>
            <w:pPr>
              <w:pStyle w:val="IsiTabel"/>
              <w:keepNext/>
              <w:suppressAutoHyphens/>
              <w:jc w:val="left"/>
            </w:pPr>
            <w:r>
              <w:t xml:space="preserve">12</w:t>
            </w:r>
            <w:r>
              <w:t xml:space="preserve"> IKP; IKS kapasitas dan penurunan IRB</w:t>
            </w:r>
          </w:p>
        </w:tc>
        <w:tc>
          <w:tcPr>
            <w:tcW w:w="1676" w:type="dxa"/>
          </w:tcPr>
          <w:p>
            <w:pPr>
              <w:pStyle w:val="IsiTabel"/>
              <w:keepNext/>
              <w:suppressAutoHyphens/>
              <w:jc w:val="left"/>
            </w:pPr>
            <w:r>
              <w:t xml:space="preserve">titik awal kapasitas memakai nilai 2025</w:t>
            </w:r>
          </w:p>
        </w:tc>
        <w:tc>
          <w:tcPr>
            <w:tcW w:w="2293" w:type="dxa"/>
          </w:tcPr>
          <w:p>
            <w:pPr>
              <w:pStyle w:val="IsiTabel"/>
              <w:keepNext/>
              <w:suppressAutoHyphens/>
              <w:jc w:val="left"/>
            </w:pPr>
            <w:r>
              <w:t xml:space="preserve">rekonsiliasi kapasitas dan peringatan dini</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bookmarkStart w:id="76" w:name="_Ekor006z"/>
            <w:bookmarkEnd w:id="76"/>
            <w:r>
              <w:t xml:space="preserve">RPJMN 2025–2029</w:t>
            </w:r>
          </w:p>
        </w:tc>
        <w:tc>
          <w:tcPr>
            <w:tcW w:w="1396" w:type="dxa"/>
          </w:tcPr>
          <w:p>
            <w:pPr>
              <w:pStyle w:val="IsiTabel"/>
              <w:keepNext/>
              <w:suppressAutoHyphens/>
              <w:jc w:val="left"/>
            </w:pPr>
            <w:r>
              <w:t xml:space="preserve">baseline kapasitas </w:t>
            </w:r>
            <w:r>
              <w:t xml:space="preserve">62%</w:t>
            </w:r>
            <w:r>
              <w:t xml:space="preserve"> (2023); penurunan IRB </w:t>
            </w:r>
            <w:r>
              <w:t xml:space="preserve">1,54%</w:t>
            </w:r>
            <w:r>
              <w:t xml:space="preserve"> (2023)</w:t>
            </w:r>
          </w:p>
        </w:tc>
        <w:tc>
          <w:tcPr>
            <w:tcW w:w="1676" w:type="dxa"/>
          </w:tcPr>
          <w:p>
            <w:pPr>
              <w:pStyle w:val="IsiTabel"/>
              <w:keepNext/>
              <w:suppressAutoHyphens/>
              <w:jc w:val="left"/>
            </w:pPr>
            <w:r>
              <w:t xml:space="preserve">definisi baseline penurunan IRB tidak tertulis</w:t>
            </w:r>
          </w:p>
        </w:tc>
        <w:tc>
          <w:tcPr>
            <w:tcW w:w="2293" w:type="dxa"/>
          </w:tcPr>
          <w:p>
            <w:pPr>
              <w:pStyle w:val="IsiTabel"/>
              <w:keepNext/>
              <w:suppressAutoHyphens/>
              <w:jc w:val="left"/>
            </w:pPr>
            <w:r>
              <w:t xml:space="preserve">angka ditulis berdampingan tanpa menilai capaian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w:t>
      </w:r>
      <w:r>
        <w:rPr>
          <w:color w:val="6B7280"/>
          <w:sz w:val="17"/>
          <w:szCs w:val="17"/>
        </w:rPr>
        <w:t xml:space="preserve">(BNPB, 2025c)</w:t>
      </w:r>
      <w:r>
        <w:rPr>
          <w:color w:val="6B7280"/>
          <w:sz w:val="17"/>
          <w:szCs w:val="17"/>
        </w:rPr>
        <w:t xml:space="preserve">; Renstra BNPB 2025–2029 </w:t>
      </w:r>
      <w:r>
        <w:rPr>
          <w:color w:val="6B7280"/>
          <w:sz w:val="17"/>
          <w:szCs w:val="17"/>
        </w:rPr>
        <w:t xml:space="preserve">(BNPB, 2025e)</w:t>
      </w:r>
      <w:r>
        <w:rPr>
          <w:color w:val="6B7280"/>
          <w:sz w:val="17"/>
          <w:szCs w:val="17"/>
        </w:rPr>
        <w:t xml:space="preserve">; InaRISK BNPB, KRB 2022–2026 dan IRBI 2015–2025 </w:t>
      </w:r>
      <w:r>
        <w:rPr>
          <w:color w:val="6B7280"/>
          <w:sz w:val="17"/>
          <w:szCs w:val="17"/>
        </w:rPr>
        <w:t xml:space="preserve">(BNPB, 2026k, t.t.-b)</w:t>
      </w:r>
      <w:r>
        <w:rPr>
          <w:color w:val="6B7280"/>
          <w:sz w:val="17"/>
          <w:szCs w:val="17"/>
        </w:rPr>
        <w:t xml:space="preserve">; Perpres 87/2020 </w:t>
      </w:r>
      <w:r>
        <w:rPr>
          <w:color w:val="6B7280"/>
          <w:sz w:val="17"/>
          <w:szCs w:val="17"/>
        </w:rPr>
        <w:t xml:space="preserve">(Republik Indonesia, 2020f)</w:t>
      </w:r>
      <w:r>
        <w:rPr>
          <w:color w:val="6B7280"/>
          <w:sz w:val="17"/>
          <w:szCs w:val="17"/>
        </w:rPr>
        <w:t xml:space="preserve">; Perpres 12/2025 </w:t>
      </w:r>
      <w:r>
        <w:rPr>
          <w:color w:val="6B7280"/>
          <w:sz w:val="17"/>
          <w:szCs w:val="17"/>
        </w:rPr>
        <w:t xml:space="preserve">(Republik Indonesia, 2025b)</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Baris IRBI 2025 berlabel asumsi kebijakan karena kesimpulan perubahan skala adalah analisis penyusun yang belum dikonfirmasi dokumen BNPB. Persentase kapasitas minimal sedang pada baris KRB juga berlabel asumsi kebijakan karena kesetaraannya dengan alat ukur RPJMN dan Renstra belum terbukti.</w:t>
      </w:r>
    </w:p>
    <w:p>
      <w:pPr>
        <w:pStyle w:val="Heading2"/>
      </w:pPr>
      <w:bookmarkStart w:id="78" w:name="_Toc00037"/>
      <w:bookmarkStart w:id="77" w:name="_Ref0202"/>
      <w:r>
        <w:t xml:space="preserve">2.3</w:t>
      </w:r>
      <w:bookmarkEnd w:id="77"/>
      <w:r>
        <w:tab/>
      </w:r>
      <w:r>
        <w:t xml:space="preserve">Regulasi Penanggulangan Bencana</w:t>
      </w:r>
      <w:bookmarkEnd w:id="78"/>
    </w:p>
    <w:p>
      <w:pPr>
        <w:pStyle w:val="IsiTemuan"/>
      </w:pPr>
      <w:r>
        <w:rPr>
          <w:b/>
          <w:bCs/>
          <w:color w:val="051C2C"/>
        </w:rPr>
        <w:t xml:space="preserve">Kerangka umum penanggulangan bencana per Oktober 2026 berpasal di ketiga tahap, dengan UU 24/2007, PP 21/2008, dan PP 22/2008 berstatus Berlaku di basis data Badan Pemeriksa Keuangan (BPK)</w:t>
      </w:r>
      <w:r>
        <w:t xml:space="preserve"> </w:t>
      </w:r>
      <w:r>
        <w:t xml:space="preserve">(Republik Indonesia, 2007, 2008a, 2008b)</w:t>
      </w:r>
      <w:r>
        <w:t xml:space="preserve">. PP 21/2008 Pasal 6 mewajibkan perencanaan berbasis analisis risiko yang berlaku lima tahun dan ditinjau tiap dua tahun. PP 22/2008 Pasal 5 dan 6 menyediakan dana kontinjensi untuk kesiapsiagaan prabencana dan dana siap pakai (DSP) di anggaran BNPB untuk tanggap darurat; Pasal 17 ayat (2) membatasi DSP pada delapan jenis pengadaan. Perban BNPB 4/2020 Pasal 20 ayat (1) memperluas pemakaian DSP ke keadaan tertentu dan risiko bencana berdampak luas yang ditetapkan Kepala BNPB </w:t>
      </w:r>
      <w:r>
        <w:t xml:space="preserve">(BNPB, 2020a)</w:t>
      </w:r>
      <w:r>
        <w:t xml:space="preserve">.</w:t>
      </w:r>
    </w:p>
    <w:p>
      <w:pPr>
        <w:pStyle w:val="IsiTemuan"/>
      </w:pPr>
      <w:r>
        <w:rPr>
          <w:b/>
          <w:bCs/>
          <w:color w:val="051C2C"/>
        </w:rPr>
        <w:t xml:space="preserve">Perpres 75/2021 menempatkan pengelolaan Dana Bersama Penanggulangan Bencana pada Menteri Keuangan</w:t>
      </w:r>
      <w:r>
        <w:t xml:space="preserve"> </w:t>
      </w:r>
      <w:r>
        <w:t xml:space="preserve">(Republik Indonesia, 2021b)</w:t>
      </w:r>
      <w:r>
        <w:t xml:space="preserve">. Penyaluran untuk prabencana dan pascabencana dilakukan atas permohonan tertulis pemerintah daerah atau kementerian/lembaga kepada BNPB (Pasal 8 ayat (1)), lalu Kepala BNPB menerbitkan rekomendasi kepada Menteri Keuangan (ayat (2)–(4)). Perban BNPB 1/2026, yang mencabut Perban BNPB 1/2024, tidak mensyaratkan analisis manfaat-biaya dalam Pasal 14 ayat (4) dan Pasal 16 ayat (3) </w:t>
      </w:r>
      <w:r>
        <w:t xml:space="preserve">(BNPB, 2026d)</w:t>
      </w:r>
      <w:r>
        <w:t xml:space="preserve">. Celah ini ditindaklanjuti di </w:t>
      </w:r>
      <w:r>
        <w:fldChar w:fldCharType="begin"/>
      </w:r>
      <w:r>
        <w:instrText xml:space="preserve"> REF _Ref0103 \h \* CHARFORMAT </w:instrText>
      </w:r>
      <w:r>
        <w:fldChar w:fldCharType="separate"/>
      </w:r>
      <w:r>
        <w:t xml:space="preserve">29</w:t>
      </w:r>
      <w:r>
        <w:fldChar w:fldCharType="end"/>
      </w:r>
      <w:r>
        <w:t xml:space="preserve">.</w:t>
      </w:r>
    </w:p>
    <w:p>
      <w:pPr>
        <w:pStyle w:val="Isi"/>
      </w:pPr>
      <w:r>
        <w:t xml:space="preserve">Instrumen prabencana terdiri atas Perban BNPB 1/2023 tentang Satu Data Bencana </w:t>
      </w:r>
      <w:r>
        <w:t xml:space="preserve">(BNPB, 2023b)</w:t>
      </w:r>
      <w:r>
        <w:t xml:space="preserve">, Perban BNPB 2/2023 tentang Penyusunan Rencana Kontinjensi yang meminta lima aspek dampak dan pertimbangan sejarah kejadian terburuk </w:t>
      </w:r>
      <w:r>
        <w:t xml:space="preserve">(BNPB, 2023c)</w:t>
      </w:r>
      <w:r>
        <w:t xml:space="preserve">, dan Perban BNPB 2/2024 tentang Sistem Peringatan Dini Bencana </w:t>
      </w:r>
      <w:r>
        <w:t xml:space="preserve">(BNPB, 2024c)</w:t>
      </w:r>
      <w:r>
        <w:t xml:space="preserve">. Perban BNPB 7/2025 tentang Desa dan Kelurahan Tangguh Bencana mencabut Perka BNPB 1/2012 </w:t>
      </w:r>
      <w:r>
        <w:t xml:space="preserve">(BNPB, 2025g)</w:t>
      </w:r>
      <w:r>
        <w:t xml:space="preserve">. Perban BNPB 9/2025 mengatur rencana penanggulangan kedaruratan bencana daerah (RPKB) </w:t>
      </w:r>
      <w:r>
        <w:t xml:space="preserve">(BNPB, 2025h)</w:t>
      </w:r>
      <w:r>
        <w:t xml:space="preserve">, dan Perban BNPB 3/2026 tentang pedoman rencana penanggulangan bencana daerah (RPBD) mencabut Perka BNPB 4/2008 </w:t>
      </w:r>
      <w:r>
        <w:t xml:space="preserve">(BNPB, 2026e)</w:t>
      </w:r>
      <w:r>
        <w:t xml:space="preserve">. Standar pelayanan minimal (SPM) sub-urusan bencana bertumpu pada PP 2/2018 dan Permendagri 101/2018, keduanya Berlaku menurut BPK </w:t>
      </w:r>
      <w:r>
        <w:t xml:space="preserve">(Republik Indonesia, 2018a; Kementerian Dalam Negeri, 2018)</w:t>
      </w:r>
      <w:r>
        <w:t xml:space="preserve">, dengan Juklak BNPB 4–7/2026 untuk empat subkegiatan </w:t>
      </w:r>
      <w:r>
        <w:t xml:space="preserve">(BNPB, 2026f)</w:t>
      </w:r>
      <w:r>
        <w:t xml:space="preserve">. Tahap tanggap darurat diatur Perka BNPB 3/2016 tentang Sistem Komando Penanganan Darurat Bencana </w:t>
      </w:r>
      <w:r>
        <w:t xml:space="preserve">(BNPB, 2016)</w:t>
      </w:r>
      <w:r>
        <w:t xml:space="preserve">, dan tahap pascabencana diatur Perka BNPB 15/2011 serta Perban BNPB 5/2017 </w:t>
      </w:r>
      <w:r>
        <w:t xml:space="preserve">(BNPB, 2011a, 2017a)</w:t>
      </w:r>
      <w:r>
        <w:t xml:space="preserve">. Perban BNPB 3/2026, Juklak 4–7/2026, Perban BNPB 1/2026, dan Perpres 46/2026 berumur kurang dari setahun, sehingga bukti pelaksanaannya belum ada.</w:t>
      </w:r>
    </w:p>
    <w:p>
      <w:pPr>
        <w:pStyle w:val="IsiTemuan"/>
      </w:pPr>
      <w:r>
        <w:rPr>
          <w:b/>
          <w:bCs/>
          <w:color w:val="051C2C"/>
        </w:rPr>
        <w:t xml:space="preserve">Perpres 46/2026 mengubah Perpres 17/2018 sehingga keadaan tertentu mencakup potensi bencana yang disebabkan faktor alam, nonalam, dan/atau sosial, serta pemerintah daerah dalam proses rekonsiliasi pascakonflik sosial berkapasitas fiskal rendah</w:t>
      </w:r>
      <w:r>
        <w:t xml:space="preserve"> </w:t>
      </w:r>
      <w:r>
        <w:t xml:space="preserve">(Republik Indonesia, 2026a, 2018c)</w:t>
      </w:r>
      <w:r>
        <w:t xml:space="preserve">. Pasal 3 ayat (4) meminta pedoman yang ditetapkan Kepala BNPB, sedangkan pedoman yang ada, Perban BNPB 5/2018, ditetapkan sebelum perubahan itu.</w:t>
      </w:r>
    </w:p>
    <w:p>
      <w:pPr>
        <w:pStyle w:val="IsiTemuan"/>
      </w:pPr>
      <w:r>
        <w:rPr>
          <w:b/>
          <w:bCs/>
          <w:color w:val="051C2C"/>
        </w:rPr>
        <w:t xml:space="preserve">Rezim per jenis untuk empat jenis nonalam dan sosial berjalan di luar UU 24/2007.</w:t>
      </w:r>
      <w:r>
        <w:t xml:space="preserve"> Untuk epidemi dan wabah, UU 17/2023 tentang Kesehatan mencabut UU 6/2018 tentang Kekarantinaan Kesehatan, dan status "kejadian luar biasa" (KLB) ditetapkan kepala daerah atau Menteri menurut cakupannya, terpisah dari status keadaan darurat bencana </w:t>
      </w:r>
      <w:r>
        <w:t xml:space="preserve">(Republik Indonesia, 2023b, 2018d)</w:t>
      </w:r>
      <w:r>
        <w:t xml:space="preserve">. Status bencana nasional nonalam COVID-19 berlaku </w:t>
      </w:r>
      <w:r>
        <w:t xml:space="preserve">1.165 hari</w:t>
      </w:r>
      <w:r>
        <w:t xml:space="preserve">, dari Keppres 12/2020 sampai Keppres 17/2023 </w:t>
      </w:r>
      <w:r>
        <w:t xml:space="preserve">(Republik Indonesia, 2020c, 2023a)</w:t>
      </w:r>
      <w:r>
        <w:t xml:space="preserve">. UU 7/2012 menempatkan penghentian kekerasan konflik sosial pada Kepolisian Negara Republik Indonesia dan status keadaan konflik pada kepala daerah atau Presiden; BNPB menjadi unsur satuan tugas penyelesaian konflik skala nasional (Pasal 49 ayat (2) huruf l) </w:t>
      </w:r>
      <w:r>
        <w:t xml:space="preserve">(Republik Indonesia, 2012)</w:t>
      </w:r>
      <w:r>
        <w:t xml:space="preserve">. PP 2/2015 menugaskan pemenuhan kebutuhan dasar pengungsi konflik kepada menteri urusan sosial </w:t>
      </w:r>
      <w:r>
        <w:t xml:space="preserve">(Republik Indonesia, 2015b)</w:t>
      </w:r>
      <w:r>
        <w:t xml:space="preserve">. Penggolongan kebakaran tempat pemrosesan akhir sampah (TPA) ke UU 18/2008 Pasal 9 adalah tafsiran penyusun </w:t>
      </w:r>
      <w:r>
        <w:t xml:space="preserve">(Republik Indonesia, 2008d)</w:t>
      </w:r>
      <w:r>
        <w:t xml:space="preserve">.</w:t>
      </w:r>
    </w:p>
    <w:p>
      <w:pPr>
        <w:pStyle w:val="IsiTemuan"/>
      </w:pPr>
      <w:r>
        <w:rPr>
          <w:b/>
          <w:bCs/>
          <w:color w:val="051C2C"/>
        </w:rPr>
        <w:t xml:space="preserve">UU 1/1970, UU 3/2014, PP 11/1979, dan Peraturan Menteri Energi dan Sumber Daya Mineral 32/2021 mengatur keselamatan industri dan migas tanpa menyebut BNPB, sehingga BNPB tidak berkedudukan sebagai regulator keselamatan industri</w:t>
      </w:r>
      <w:r>
        <w:t xml:space="preserve"> </w:t>
      </w:r>
      <w:r>
        <w:t xml:space="preserve">(Republik Indonesia, 1970, 2014b, 1979; Kementerian Energi dan Sumber Daya Mineral [Kementerian ESDM], 2021)</w:t>
      </w:r>
      <w:r>
        <w:t xml:space="preserve">. Gempa bumi dan tsunami bertumpu pada kewenangan BMKG dalam UU 31/2009 Pasal 32–33, demikian pula cuaca ekstrem; gunung api dan gerakan tanah pada Lampiran CC UU 23/2014 yang masih berlaku, dan banjir pada PP 30/2024 Pasal 96–97. Inpres 3/2020 tentang karhutla masih beralamat ke lembaga yang nomenklaturnya sudah berubah.</w:t>
      </w:r>
    </w:p>
    <w:p>
      <w:pPr>
        <w:pStyle w:val="IsiTemuan"/>
      </w:pPr>
      <w:r>
        <w:rPr>
          <w:b/>
          <w:bCs/>
          <w:color w:val="051C2C"/>
        </w:rPr>
        <w:t xml:space="preserve">Dua celah norma tersisa: peraturan presiden tentang status dan tingkatan bencana yang diamanatkan UU 24/2007 Pasal 7 ayat (3) sejak 2007 belum terbit, dan status KLB belum dikaitkan dengan status keadaan darurat bencana</w:t>
      </w:r>
      <w:r>
        <w:t xml:space="preserve"> </w:t>
      </w:r>
      <w:r>
        <w:t xml:space="preserve">(BPK Perwakilan Provinsi Jawa Barat, 2025)</w:t>
      </w:r>
      <w:r>
        <w:t xml:space="preserve">. Celah pertama bukan celah kriteria. Pasal 7 ayat (2) sudah memuat lima indikator, mulai dari jumlah korban sampai dampak sosial ekonomi </w:t>
      </w:r>
      <w:r>
        <w:t xml:space="preserve">(Republik Indonesia, 2007)</w:t>
      </w:r>
      <w:r>
        <w:t xml:space="preserve">. Yang belum ada adalah ambang dan tata cara yang mengubah indikator itu menjadi tingkatan. PP 21/2008 Pasal 23 ayat (2) menetapkan status menurut tingkat wilayah, dari Presiden untuk tingkat nasional sampai bupati/wali kota untuk kab/kota, dan Penjelasan Pasal 21 ayat (1) huruf b memasukkan penentuan tingkatan ke dalam penentuan status </w:t>
      </w:r>
      <w:r>
        <w:t xml:space="preserve">(Republik Indonesia, 2008a)</w:t>
      </w:r>
      <w:r>
        <w:t xml:space="preserve">. Penelusuran Jaringan Dokumentasi dan Informasi Hukum (JDIH) BPK dan tulisan hukum BPK Perwakilan Jawa Barat 3 Februari 2025 sama-sama menyatakan peraturan presiden itu belum terbit; verifikasi kedua di JDIH Kementerian Sekretariat Negara belum dijalankan. Celah pertama ditindaklanjuti di </w:t>
      </w:r>
      <w:r>
        <w:fldChar w:fldCharType="begin"/>
      </w:r>
      <w:r>
        <w:instrText xml:space="preserve"> REF _Ref0091 \h \* CHARFORMAT </w:instrText>
      </w:r>
      <w:r>
        <w:fldChar w:fldCharType="separate"/>
      </w:r>
      <w:r>
        <w:t xml:space="preserve">19</w:t>
      </w:r>
      <w:r>
        <w:fldChar w:fldCharType="end"/>
      </w:r>
      <w:r>
        <w:t xml:space="preserve">, dan keduanya diuraikan di Bab 10 (</w:t>
      </w:r>
      <w:r>
        <w:fldChar w:fldCharType="begin"/>
      </w:r>
      <w:r>
        <w:instrText xml:space="preserve"> REF _Ref0320 \h \* CHARFORMAT </w:instrText>
      </w:r>
      <w:r>
        <w:fldChar w:fldCharType="separate"/>
      </w:r>
      <w:r>
        <w:t xml:space="preserve">Tabel 2.3</w:t>
      </w:r>
      <w:r>
        <w:fldChar w:fldCharType="end"/>
      </w:r>
      <w:r>
        <w:t xml:space="preserve">).</w:t>
      </w:r>
    </w:p>
    <w:p>
      <w:pPr>
        <w:pStyle w:val="Caption"/>
      </w:pPr>
      <w:bookmarkStart w:id="80" w:name="_Toc00038"/>
      <w:bookmarkStart w:id="79" w:name="_Ref032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79"/>
      <w:r>
        <w:rPr>
          <w:b/>
          <w:bCs/>
          <w:color w:val="051C2C"/>
        </w:rPr>
        <w:t xml:space="preserve"> </w:t>
      </w:r>
      <w:r>
        <w:t xml:space="preserve">Kronologi regulasi penanggulangan bencana yang dirujuk kajian, 2007–2026</w:t>
      </w:r>
      <w:bookmarkEnd w:id="8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42"/>
        <w:gridCol w:w="2909"/>
        <w:gridCol w:w="4082"/>
        <w:gridCol w:w="1521"/>
      </w:tblGrid>
      <w:tr>
        <w:trPr>
          <w:cantSplit/>
          <w:tblHeader/>
        </w:trPr>
        <w:tc>
          <w:tcPr>
            <w:tcW w:w="842" w:type="dxa"/>
            <w:shd w:val="clear" w:color="auto" w:fill="051C2C"/>
            <w:vAlign w:val="center"/>
          </w:tcPr>
          <w:p>
            <w:pPr>
              <w:pStyle w:val="KepalaTabel"/>
              <w:suppressAutoHyphens/>
            </w:pPr>
            <w:r>
              <w:t xml:space="preserve">TAHUN</w:t>
            </w:r>
          </w:p>
        </w:tc>
        <w:tc>
          <w:tcPr>
            <w:tcW w:w="2909" w:type="dxa"/>
            <w:shd w:val="clear" w:color="auto" w:fill="051C2C"/>
            <w:vAlign w:val="center"/>
          </w:tcPr>
          <w:p>
            <w:pPr>
              <w:pStyle w:val="KepalaTabel"/>
              <w:suppressAutoHyphens/>
            </w:pPr>
            <w:r>
              <w:t xml:space="preserve">REGULASI</w:t>
            </w:r>
          </w:p>
        </w:tc>
        <w:tc>
          <w:tcPr>
            <w:tcW w:w="4082" w:type="dxa"/>
            <w:shd w:val="clear" w:color="auto" w:fill="051C2C"/>
            <w:vAlign w:val="center"/>
          </w:tcPr>
          <w:p>
            <w:pPr>
              <w:pStyle w:val="KepalaTabel"/>
              <w:suppressAutoHyphens/>
            </w:pPr>
            <w:r>
              <w:t xml:space="preserve">JENIS DAN TAHAP</w:t>
            </w:r>
          </w:p>
        </w:tc>
        <w:tc>
          <w:tcPr>
            <w:tcW w:w="1521" w:type="dxa"/>
            <w:shd w:val="clear" w:color="auto" w:fill="051C2C"/>
            <w:vAlign w:val="center"/>
          </w:tcPr>
          <w:p>
            <w:pPr>
              <w:pStyle w:val="KepalaTabel"/>
              <w:suppressAutoHyphens/>
            </w:pPr>
            <w:r>
              <w:t xml:space="preserve">STATUS PER OKTOBER 2026</w:t>
            </w:r>
          </w:p>
        </w:tc>
      </w:tr>
      <w:tr>
        <w:trPr>
          <w:cantSplit/>
        </w:trPr>
        <w:tc>
          <w:tcPr>
            <w:tcW w:w="842" w:type="dxa"/>
          </w:tcPr>
          <w:p>
            <w:pPr>
              <w:pStyle w:val="IsiTabel"/>
              <w:suppressAutoHyphens/>
              <w:jc w:val="left"/>
            </w:pPr>
            <w:r>
              <w:t xml:space="preserve">2007</w:t>
            </w:r>
          </w:p>
        </w:tc>
        <w:tc>
          <w:tcPr>
            <w:tcW w:w="2909" w:type="dxa"/>
          </w:tcPr>
          <w:p>
            <w:pPr>
              <w:pStyle w:val="IsiTabel"/>
              <w:suppressAutoHyphens/>
              <w:jc w:val="left"/>
            </w:pPr>
            <w:r>
              <w:t xml:space="preserve">UU 24/2007 tentang Penanggulangan Bencana</w:t>
            </w:r>
          </w:p>
        </w:tc>
        <w:tc>
          <w:tcPr>
            <w:tcW w:w="4082" w:type="dxa"/>
          </w:tcPr>
          <w:p>
            <w:pPr>
              <w:pStyle w:val="IsiTabel"/>
              <w:suppressAutoHyphens/>
              <w:jc w:val="left"/>
            </w:pPr>
            <w:r>
              <w:t xml:space="preserve">semua jenis; tiga tahap (Pasal 33)</w:t>
            </w:r>
          </w:p>
        </w:tc>
        <w:tc>
          <w:tcPr>
            <w:tcW w:w="1521" w:type="dxa"/>
          </w:tcPr>
          <w:p>
            <w:pPr>
              <w:pStyle w:val="IsiTabel"/>
              <w:suppressAutoHyphens/>
              <w:jc w:val="left"/>
            </w:pPr>
            <w:r>
              <w:t xml:space="preserve">Berlaku; amanat Pasal 7 ayat (3) belum dilaksanakan</w:t>
            </w:r>
          </w:p>
        </w:tc>
      </w:tr>
      <w:tr>
        <w:trPr>
          <w:cantSplit/>
        </w:trPr>
        <w:tc>
          <w:tcPr>
            <w:tcW w:w="842" w:type="dxa"/>
          </w:tcPr>
          <w:p>
            <w:pPr>
              <w:pStyle w:val="IsiTabel"/>
              <w:suppressAutoHyphens/>
              <w:jc w:val="left"/>
            </w:pPr>
            <w:r>
              <w:t xml:space="preserve">2008</w:t>
            </w:r>
          </w:p>
        </w:tc>
        <w:tc>
          <w:tcPr>
            <w:tcW w:w="2909" w:type="dxa"/>
          </w:tcPr>
          <w:p>
            <w:pPr>
              <w:pStyle w:val="IsiTabel"/>
              <w:suppressAutoHyphens/>
              <w:jc w:val="left"/>
            </w:pPr>
            <w:r>
              <w:t xml:space="preserve">PP 21/2008 dan PP 22/2008</w:t>
            </w:r>
          </w:p>
        </w:tc>
        <w:tc>
          <w:tcPr>
            <w:tcW w:w="4082" w:type="dxa"/>
          </w:tcPr>
          <w:p>
            <w:pPr>
              <w:pStyle w:val="IsiTabel"/>
              <w:suppressAutoHyphens/>
              <w:jc w:val="left"/>
            </w:pPr>
            <w:r>
              <w:t xml:space="preserve">perencanaan; pendanaan dan DSP</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2008</w:t>
            </w:r>
          </w:p>
        </w:tc>
        <w:tc>
          <w:tcPr>
            <w:tcW w:w="2909" w:type="dxa"/>
          </w:tcPr>
          <w:p>
            <w:pPr>
              <w:pStyle w:val="IsiTabel"/>
              <w:suppressAutoHyphens/>
              <w:jc w:val="left"/>
            </w:pPr>
            <w:r>
              <w:t xml:space="preserve">UU 18/2008 tentang Pengelolaan Sampah</w:t>
            </w:r>
          </w:p>
        </w:tc>
        <w:tc>
          <w:tcPr>
            <w:tcW w:w="4082" w:type="dxa"/>
          </w:tcPr>
          <w:p>
            <w:pPr>
              <w:pStyle w:val="IsiTabel"/>
              <w:suppressAutoHyphens/>
              <w:jc w:val="left"/>
            </w:pPr>
            <w:r>
              <w:t xml:space="preserve">kebakaran TPA, tafsiran penyusun</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2011</w:t>
            </w:r>
          </w:p>
        </w:tc>
        <w:tc>
          <w:tcPr>
            <w:tcW w:w="2909" w:type="dxa"/>
          </w:tcPr>
          <w:p>
            <w:pPr>
              <w:pStyle w:val="IsiTabel"/>
              <w:suppressAutoHyphens/>
              <w:jc w:val="left"/>
            </w:pPr>
            <w:r>
              <w:t xml:space="preserve">Perka BNPB 15/2011</w:t>
            </w:r>
          </w:p>
        </w:tc>
        <w:tc>
          <w:tcPr>
            <w:tcW w:w="4082" w:type="dxa"/>
          </w:tcPr>
          <w:p>
            <w:pPr>
              <w:pStyle w:val="IsiTabel"/>
              <w:suppressAutoHyphens/>
              <w:jc w:val="left"/>
            </w:pPr>
            <w:r>
              <w:t xml:space="preserve">pascabencana; pengkajian kebutuhan</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2012</w:t>
            </w:r>
          </w:p>
        </w:tc>
        <w:tc>
          <w:tcPr>
            <w:tcW w:w="2909" w:type="dxa"/>
          </w:tcPr>
          <w:p>
            <w:pPr>
              <w:pStyle w:val="IsiTabel"/>
              <w:suppressAutoHyphens/>
              <w:jc w:val="left"/>
            </w:pPr>
            <w:r>
              <w:t xml:space="preserve">Perka BNPB 2/2012</w:t>
            </w:r>
          </w:p>
        </w:tc>
        <w:tc>
          <w:tcPr>
            <w:tcW w:w="4082" w:type="dxa"/>
          </w:tcPr>
          <w:p>
            <w:pPr>
              <w:pStyle w:val="IsiTabel"/>
              <w:suppressAutoHyphens/>
              <w:jc w:val="left"/>
            </w:pPr>
            <w:r>
              <w:t xml:space="preserve">prabencana; pengkajian risiko</w:t>
            </w:r>
          </w:p>
        </w:tc>
        <w:tc>
          <w:tcPr>
            <w:tcW w:w="1521" w:type="dxa"/>
          </w:tcPr>
          <w:p>
            <w:pPr>
              <w:pStyle w:val="IsiTabel"/>
              <w:suppressAutoHyphens/>
              <w:jc w:val="left"/>
            </w:pPr>
            <w:r>
              <w:t xml:space="preserve">Berlaku; lampiran dibaca dari salinan pemerintah daerah</w:t>
            </w:r>
          </w:p>
        </w:tc>
      </w:tr>
      <w:tr>
        <w:trPr>
          <w:cantSplit/>
        </w:trPr>
        <w:tc>
          <w:tcPr>
            <w:tcW w:w="842" w:type="dxa"/>
          </w:tcPr>
          <w:p>
            <w:pPr>
              <w:pStyle w:val="IsiTabel"/>
              <w:suppressAutoHyphens/>
              <w:jc w:val="left"/>
            </w:pPr>
            <w:r>
              <w:t xml:space="preserve">2012</w:t>
            </w:r>
          </w:p>
        </w:tc>
        <w:tc>
          <w:tcPr>
            <w:tcW w:w="2909" w:type="dxa"/>
          </w:tcPr>
          <w:p>
            <w:pPr>
              <w:pStyle w:val="IsiTabel"/>
              <w:suppressAutoHyphens/>
              <w:jc w:val="left"/>
            </w:pPr>
            <w:r>
              <w:t xml:space="preserve">UU 7/2012 tentang Penanganan Konflik Sosial</w:t>
            </w:r>
          </w:p>
        </w:tc>
        <w:tc>
          <w:tcPr>
            <w:tcW w:w="4082" w:type="dxa"/>
          </w:tcPr>
          <w:p>
            <w:pPr>
              <w:pStyle w:val="IsiTabel"/>
              <w:suppressAutoHyphens/>
              <w:jc w:val="left"/>
            </w:pPr>
            <w:r>
              <w:t xml:space="preserve">konflik sosial; tiga tahap</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2015</w:t>
            </w:r>
          </w:p>
        </w:tc>
        <w:tc>
          <w:tcPr>
            <w:tcW w:w="2909" w:type="dxa"/>
          </w:tcPr>
          <w:p>
            <w:pPr>
              <w:pStyle w:val="IsiTabel"/>
              <w:suppressAutoHyphens/>
              <w:jc w:val="left"/>
            </w:pPr>
            <w:r>
              <w:t xml:space="preserve">PP 2/2015</w:t>
            </w:r>
          </w:p>
        </w:tc>
        <w:tc>
          <w:tcPr>
            <w:tcW w:w="4082" w:type="dxa"/>
          </w:tcPr>
          <w:p>
            <w:pPr>
              <w:pStyle w:val="IsiTabel"/>
              <w:suppressAutoHyphens/>
              <w:jc w:val="left"/>
            </w:pPr>
            <w:r>
              <w:t xml:space="preserve">konflik sosial; pengungsi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2016</w:t>
            </w:r>
          </w:p>
        </w:tc>
        <w:tc>
          <w:tcPr>
            <w:tcW w:w="2909" w:type="dxa"/>
          </w:tcPr>
          <w:p>
            <w:pPr>
              <w:pStyle w:val="IsiTabel"/>
              <w:suppressAutoHyphens/>
              <w:jc w:val="left"/>
            </w:pPr>
            <w:r>
              <w:t xml:space="preserve">Perka BNPB 3/2016</w:t>
            </w:r>
          </w:p>
        </w:tc>
        <w:tc>
          <w:tcPr>
            <w:tcW w:w="4082" w:type="dxa"/>
          </w:tcPr>
          <w:p>
            <w:pPr>
              <w:pStyle w:val="IsiTabel"/>
              <w:suppressAutoHyphens/>
              <w:jc w:val="left"/>
            </w:pPr>
            <w:r>
              <w:t xml:space="preserve">tanggap darurat; sistem komando</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2017</w:t>
            </w:r>
          </w:p>
        </w:tc>
        <w:tc>
          <w:tcPr>
            <w:tcW w:w="2909" w:type="dxa"/>
          </w:tcPr>
          <w:p>
            <w:pPr>
              <w:pStyle w:val="IsiTabel"/>
              <w:suppressAutoHyphens/>
              <w:jc w:val="left"/>
            </w:pPr>
            <w:r>
              <w:t xml:space="preserve">Perban BNPB 5/2017 dan 6/2017</w:t>
            </w:r>
          </w:p>
        </w:tc>
        <w:tc>
          <w:tcPr>
            <w:tcW w:w="4082" w:type="dxa"/>
          </w:tcPr>
          <w:p>
            <w:pPr>
              <w:pStyle w:val="IsiTabel"/>
              <w:suppressAutoHyphens/>
              <w:jc w:val="left"/>
            </w:pPr>
            <w:r>
              <w:t xml:space="preserve">pascabencana; R3P dan rehabilitasi-rekonstruksi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2018</w:t>
            </w:r>
          </w:p>
        </w:tc>
        <w:tc>
          <w:tcPr>
            <w:tcW w:w="2909" w:type="dxa"/>
          </w:tcPr>
          <w:p>
            <w:pPr>
              <w:pStyle w:val="IsiTabel"/>
              <w:suppressAutoHyphens/>
              <w:jc w:val="left"/>
            </w:pPr>
            <w:r>
              <w:t xml:space="preserve">PP 2/2018 dan Permendagri 101/2018</w:t>
            </w:r>
          </w:p>
        </w:tc>
        <w:tc>
          <w:tcPr>
            <w:tcW w:w="4082" w:type="dxa"/>
          </w:tcPr>
          <w:p>
            <w:pPr>
              <w:pStyle w:val="IsiTabel"/>
              <w:suppressAutoHyphens/>
              <w:jc w:val="left"/>
            </w:pPr>
            <w:r>
              <w:t xml:space="preserve">prabencana; SPM sub-urusan bencana</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2018</w:t>
            </w:r>
          </w:p>
        </w:tc>
        <w:tc>
          <w:tcPr>
            <w:tcW w:w="2909" w:type="dxa"/>
          </w:tcPr>
          <w:p>
            <w:pPr>
              <w:pStyle w:val="IsiTabel"/>
              <w:suppressAutoHyphens/>
              <w:jc w:val="left"/>
            </w:pPr>
            <w:r>
              <w:t xml:space="preserve">Perpres 17/2018</w:t>
            </w:r>
          </w:p>
        </w:tc>
        <w:tc>
          <w:tcPr>
            <w:tcW w:w="4082" w:type="dxa"/>
          </w:tcPr>
          <w:p>
            <w:pPr>
              <w:pStyle w:val="IsiTabel"/>
              <w:suppressAutoHyphens/>
              <w:jc w:val="left"/>
            </w:pPr>
            <w:r>
              <w:t xml:space="preserve">keadaan tertentu</w:t>
            </w:r>
          </w:p>
        </w:tc>
        <w:tc>
          <w:tcPr>
            <w:tcW w:w="1521" w:type="dxa"/>
          </w:tcPr>
          <w:p>
            <w:pPr>
              <w:pStyle w:val="IsiTabel"/>
              <w:suppressAutoHyphens/>
              <w:jc w:val="left"/>
            </w:pPr>
            <w:r>
              <w:t xml:space="preserve">Berlaku; diubah Perpres 46/2026</w:t>
            </w:r>
          </w:p>
        </w:tc>
      </w:tr>
      <w:tr>
        <w:trPr>
          <w:cantSplit/>
        </w:trPr>
        <w:tc>
          <w:tcPr>
            <w:tcW w:w="842" w:type="dxa"/>
          </w:tcPr>
          <w:p>
            <w:pPr>
              <w:pStyle w:val="IsiTabel"/>
              <w:suppressAutoHyphens/>
              <w:jc w:val="left"/>
            </w:pPr>
            <w:r>
              <w:t xml:space="preserve">2018</w:t>
            </w:r>
          </w:p>
        </w:tc>
        <w:tc>
          <w:tcPr>
            <w:tcW w:w="2909" w:type="dxa"/>
          </w:tcPr>
          <w:p>
            <w:pPr>
              <w:pStyle w:val="IsiTabel"/>
              <w:suppressAutoHyphens/>
              <w:jc w:val="left"/>
            </w:pPr>
            <w:r>
              <w:t xml:space="preserve">UU 6/2018 tentang Kekarantinaan Kesehatan</w:t>
            </w:r>
          </w:p>
        </w:tc>
        <w:tc>
          <w:tcPr>
            <w:tcW w:w="4082" w:type="dxa"/>
          </w:tcPr>
          <w:p>
            <w:pPr>
              <w:pStyle w:val="IsiTabel"/>
              <w:suppressAutoHyphens/>
              <w:jc w:val="left"/>
            </w:pPr>
            <w:r>
              <w:t xml:space="preserve">epidemi</w:t>
            </w:r>
          </w:p>
        </w:tc>
        <w:tc>
          <w:tcPr>
            <w:tcW w:w="1521" w:type="dxa"/>
          </w:tcPr>
          <w:p>
            <w:pPr>
              <w:pStyle w:val="IsiTabel"/>
              <w:suppressAutoHyphens/>
              <w:jc w:val="left"/>
            </w:pPr>
            <w:r>
              <w:t xml:space="preserve">Tidak Berlaku; dicabut UU 17/2023</w:t>
            </w:r>
          </w:p>
        </w:tc>
      </w:tr>
      <w:tr>
        <w:trPr>
          <w:cantSplit/>
        </w:trPr>
        <w:tc>
          <w:tcPr>
            <w:tcW w:w="842" w:type="dxa"/>
          </w:tcPr>
          <w:p>
            <w:pPr>
              <w:pStyle w:val="IsiTabel"/>
              <w:suppressAutoHyphens/>
              <w:jc w:val="left"/>
            </w:pPr>
            <w:r>
              <w:t xml:space="preserve">2019</w:t>
            </w:r>
          </w:p>
        </w:tc>
        <w:tc>
          <w:tcPr>
            <w:tcW w:w="2909" w:type="dxa"/>
          </w:tcPr>
          <w:p>
            <w:pPr>
              <w:pStyle w:val="IsiTabel"/>
              <w:suppressAutoHyphens/>
              <w:jc w:val="left"/>
            </w:pPr>
            <w:r>
              <w:t xml:space="preserve">Perpres 1/2019 tentang BNPB</w:t>
            </w:r>
          </w:p>
        </w:tc>
        <w:tc>
          <w:tcPr>
            <w:tcW w:w="4082" w:type="dxa"/>
          </w:tcPr>
          <w:p>
            <w:pPr>
              <w:pStyle w:val="IsiTabel"/>
              <w:suppressAutoHyphens/>
              <w:jc w:val="left"/>
            </w:pPr>
            <w:r>
              <w:t xml:space="preserve">kelembagaan</w:t>
            </w:r>
          </w:p>
        </w:tc>
        <w:tc>
          <w:tcPr>
            <w:tcW w:w="1521" w:type="dxa"/>
          </w:tcPr>
          <w:p>
            <w:pPr>
              <w:pStyle w:val="IsiTabel"/>
              <w:suppressAutoHyphens/>
              <w:jc w:val="left"/>
            </w:pPr>
            <w:r>
              <w:t xml:space="preserve">Berlaku; diubah Perpres 29/2021</w:t>
            </w:r>
          </w:p>
        </w:tc>
      </w:tr>
      <w:tr>
        <w:trPr>
          <w:cantSplit/>
        </w:trPr>
        <w:tc>
          <w:tcPr>
            <w:tcW w:w="842" w:type="dxa"/>
          </w:tcPr>
          <w:p>
            <w:pPr>
              <w:pStyle w:val="IsiTabel"/>
              <w:suppressAutoHyphens/>
              <w:jc w:val="left"/>
            </w:pPr>
            <w:r>
              <w:t xml:space="preserve">2020</w:t>
            </w:r>
          </w:p>
        </w:tc>
        <w:tc>
          <w:tcPr>
            <w:tcW w:w="2909" w:type="dxa"/>
          </w:tcPr>
          <w:p>
            <w:pPr>
              <w:pStyle w:val="IsiTabel"/>
              <w:suppressAutoHyphens/>
              <w:jc w:val="left"/>
            </w:pPr>
            <w:r>
              <w:t xml:space="preserve">Perban BNPB 4/2020</w:t>
            </w:r>
          </w:p>
        </w:tc>
        <w:tc>
          <w:tcPr>
            <w:tcW w:w="4082" w:type="dxa"/>
          </w:tcPr>
          <w:p>
            <w:pPr>
              <w:pStyle w:val="IsiTabel"/>
              <w:suppressAutoHyphens/>
              <w:jc w:val="left"/>
            </w:pPr>
            <w:r>
              <w:t xml:space="preserve">tanggap darurat; DSP</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2020</w:t>
            </w:r>
          </w:p>
        </w:tc>
        <w:tc>
          <w:tcPr>
            <w:tcW w:w="2909" w:type="dxa"/>
          </w:tcPr>
          <w:p>
            <w:pPr>
              <w:pStyle w:val="IsiTabel"/>
              <w:suppressAutoHyphens/>
              <w:jc w:val="left"/>
            </w:pPr>
            <w:r>
              <w:t xml:space="preserve">Perpres 87/2020 tentang RIPB 2020–2044</w:t>
            </w:r>
          </w:p>
        </w:tc>
        <w:tc>
          <w:tcPr>
            <w:tcW w:w="4082" w:type="dxa"/>
          </w:tcPr>
          <w:p>
            <w:pPr>
              <w:pStyle w:val="IsiTabel"/>
              <w:suppressAutoHyphens/>
              <w:jc w:val="left"/>
            </w:pPr>
            <w:r>
              <w:t xml:space="preserve">perencanaan nasional</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2020</w:t>
            </w:r>
          </w:p>
        </w:tc>
        <w:tc>
          <w:tcPr>
            <w:tcW w:w="2909" w:type="dxa"/>
          </w:tcPr>
          <w:p>
            <w:pPr>
              <w:pStyle w:val="IsiTabel"/>
              <w:suppressAutoHyphens/>
              <w:jc w:val="left"/>
            </w:pPr>
            <w:r>
              <w:t xml:space="preserve">Keppres 7/2020, Keppres 12/2020, Perpres 82/2020</w:t>
            </w:r>
          </w:p>
        </w:tc>
        <w:tc>
          <w:tcPr>
            <w:tcW w:w="4082" w:type="dxa"/>
          </w:tcPr>
          <w:p>
            <w:pPr>
              <w:pStyle w:val="IsiTabel"/>
              <w:suppressAutoHyphens/>
              <w:jc w:val="left"/>
            </w:pPr>
            <w:r>
              <w:t xml:space="preserve">COVID-19</w:t>
            </w:r>
          </w:p>
        </w:tc>
        <w:tc>
          <w:tcPr>
            <w:tcW w:w="1521" w:type="dxa"/>
          </w:tcPr>
          <w:p>
            <w:pPr>
              <w:pStyle w:val="IsiTabel"/>
              <w:suppressAutoHyphens/>
              <w:jc w:val="left"/>
            </w:pPr>
            <w:r>
              <w:t xml:space="preserve">Tidak Berlaku; Keppres 7/2020 dicabut Perpres 82/2020, Perpres 82/2020 dicabut Perpres 48/2023, Keppres 12/2020 dicabut Keppres 17/2023</w:t>
            </w:r>
          </w:p>
        </w:tc>
      </w:tr>
      <w:tr>
        <w:trPr>
          <w:cantSplit/>
        </w:trPr>
        <w:tc>
          <w:tcPr>
            <w:tcW w:w="842" w:type="dxa"/>
          </w:tcPr>
          <w:p>
            <w:pPr>
              <w:pStyle w:val="IsiTabel"/>
              <w:suppressAutoHyphens/>
              <w:jc w:val="left"/>
            </w:pPr>
            <w:r>
              <w:t xml:space="preserve">2021</w:t>
            </w:r>
          </w:p>
        </w:tc>
        <w:tc>
          <w:tcPr>
            <w:tcW w:w="2909" w:type="dxa"/>
          </w:tcPr>
          <w:p>
            <w:pPr>
              <w:pStyle w:val="IsiTabel"/>
              <w:suppressAutoHyphens/>
              <w:jc w:val="left"/>
            </w:pPr>
            <w:r>
              <w:t xml:space="preserve">Perpres 75/2021 tentang Dana Bersama</w:t>
            </w:r>
          </w:p>
        </w:tc>
        <w:tc>
          <w:tcPr>
            <w:tcW w:w="4082" w:type="dxa"/>
          </w:tcPr>
          <w:p>
            <w:pPr>
              <w:pStyle w:val="IsiTabel"/>
              <w:suppressAutoHyphens/>
              <w:jc w:val="left"/>
            </w:pPr>
            <w:r>
              <w:t xml:space="preserve">pendanaan tiga tahap dan transfer risiko</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2023</w:t>
            </w:r>
          </w:p>
        </w:tc>
        <w:tc>
          <w:tcPr>
            <w:tcW w:w="2909" w:type="dxa"/>
          </w:tcPr>
          <w:p>
            <w:pPr>
              <w:pStyle w:val="IsiTabel"/>
              <w:suppressAutoHyphens/>
              <w:jc w:val="left"/>
            </w:pPr>
            <w:r>
              <w:t xml:space="preserve">Perban BNPB 1/2023 dan 2/2023</w:t>
            </w:r>
          </w:p>
        </w:tc>
        <w:tc>
          <w:tcPr>
            <w:tcW w:w="4082" w:type="dxa"/>
          </w:tcPr>
          <w:p>
            <w:pPr>
              <w:pStyle w:val="IsiTabel"/>
              <w:suppressAutoHyphens/>
              <w:jc w:val="left"/>
            </w:pPr>
            <w:r>
              <w:t xml:space="preserve">prabencana; satu data dan rencana kontinjensi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2023</w:t>
            </w:r>
          </w:p>
        </w:tc>
        <w:tc>
          <w:tcPr>
            <w:tcW w:w="2909" w:type="dxa"/>
          </w:tcPr>
          <w:p>
            <w:pPr>
              <w:pStyle w:val="IsiTabel"/>
              <w:suppressAutoHyphens/>
              <w:jc w:val="left"/>
            </w:pPr>
            <w:r>
              <w:t xml:space="preserve">UU 17/2023 tentang Kesehatan</w:t>
            </w:r>
          </w:p>
        </w:tc>
        <w:tc>
          <w:tcPr>
            <w:tcW w:w="4082" w:type="dxa"/>
          </w:tcPr>
          <w:p>
            <w:pPr>
              <w:pStyle w:val="IsiTabel"/>
              <w:suppressAutoHyphens/>
              <w:jc w:val="left"/>
            </w:pPr>
            <w:r>
              <w:t xml:space="preserve">epidemi dan KLB</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2024</w:t>
            </w:r>
          </w:p>
        </w:tc>
        <w:tc>
          <w:tcPr>
            <w:tcW w:w="2909" w:type="dxa"/>
          </w:tcPr>
          <w:p>
            <w:pPr>
              <w:pStyle w:val="IsiTabel"/>
              <w:suppressAutoHyphens/>
              <w:jc w:val="left"/>
            </w:pPr>
            <w:r>
              <w:t xml:space="preserve">Perban BNPB 2/2024</w:t>
            </w:r>
          </w:p>
        </w:tc>
        <w:tc>
          <w:tcPr>
            <w:tcW w:w="4082" w:type="dxa"/>
          </w:tcPr>
          <w:p>
            <w:pPr>
              <w:pStyle w:val="IsiTabel"/>
              <w:suppressAutoHyphens/>
              <w:jc w:val="left"/>
            </w:pPr>
            <w:r>
              <w:t xml:space="preserve">prabencana; peringatan dini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2025</w:t>
            </w:r>
          </w:p>
        </w:tc>
        <w:tc>
          <w:tcPr>
            <w:tcW w:w="2909" w:type="dxa"/>
          </w:tcPr>
          <w:p>
            <w:pPr>
              <w:pStyle w:val="IsiTabel"/>
              <w:suppressAutoHyphens/>
              <w:jc w:val="left"/>
            </w:pPr>
            <w:r>
              <w:t xml:space="preserve">Perban BNPB 1/2025 dan 5/2025</w:t>
            </w:r>
          </w:p>
        </w:tc>
        <w:tc>
          <w:tcPr>
            <w:tcW w:w="4082" w:type="dxa"/>
          </w:tcPr>
          <w:p>
            <w:pPr>
              <w:pStyle w:val="IsiTabel"/>
              <w:suppressAutoHyphens/>
              <w:jc w:val="left"/>
            </w:pPr>
            <w:r>
              <w:t xml:space="preserve">Renas PB dan Renstra BNPB 2025–2029</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2025</w:t>
            </w:r>
          </w:p>
        </w:tc>
        <w:tc>
          <w:tcPr>
            <w:tcW w:w="2909" w:type="dxa"/>
          </w:tcPr>
          <w:p>
            <w:pPr>
              <w:pStyle w:val="IsiTabel"/>
              <w:suppressAutoHyphens/>
              <w:jc w:val="left"/>
            </w:pPr>
            <w:r>
              <w:t xml:space="preserve">Perban BNPB 7/2025, 9/2025, dan 11/2025</w:t>
            </w:r>
          </w:p>
        </w:tc>
        <w:tc>
          <w:tcPr>
            <w:tcW w:w="4082" w:type="dxa"/>
          </w:tcPr>
          <w:p>
            <w:pPr>
              <w:pStyle w:val="IsiTabel"/>
              <w:suppressAutoHyphens/>
              <w:jc w:val="left"/>
            </w:pPr>
            <w:r>
              <w:t xml:space="preserve">Destana; RPKB; perubahan organisasi BNPB</w:t>
            </w:r>
          </w:p>
        </w:tc>
        <w:tc>
          <w:tcPr>
            <w:tcW w:w="1521" w:type="dxa"/>
          </w:tcPr>
          <w:p>
            <w:pPr>
              <w:pStyle w:val="IsiTabel"/>
              <w:suppressAutoHyphens/>
              <w:jc w:val="left"/>
            </w:pPr>
            <w:r>
              <w:t xml:space="preserve">Berlaku</w:t>
            </w:r>
          </w:p>
        </w:tc>
      </w:tr>
      <w:tr>
        <w:trPr>
          <w:cantSplit/>
        </w:trPr>
        <w:tc>
          <w:tcPr>
            <w:tcW w:w="842" w:type="dxa"/>
          </w:tcPr>
          <w:p>
            <w:pPr>
              <w:pStyle w:val="IsiTabel"/>
              <w:keepNext/>
              <w:suppressAutoHyphens/>
              <w:jc w:val="left"/>
            </w:pPr>
            <w:bookmarkStart w:id="81" w:name="_Ekor007a"/>
            <w:bookmarkEnd w:id="81"/>
            <w:r>
              <w:t xml:space="preserve">2026</w:t>
            </w:r>
          </w:p>
        </w:tc>
        <w:tc>
          <w:tcPr>
            <w:tcW w:w="2909" w:type="dxa"/>
          </w:tcPr>
          <w:p>
            <w:pPr>
              <w:pStyle w:val="IsiTabel"/>
              <w:keepNext/>
              <w:suppressAutoHyphens/>
              <w:jc w:val="left"/>
            </w:pPr>
            <w:r>
              <w:t xml:space="preserve">Perban BNPB 1/2026</w:t>
            </w:r>
          </w:p>
        </w:tc>
        <w:tc>
          <w:tcPr>
            <w:tcW w:w="4082" w:type="dxa"/>
          </w:tcPr>
          <w:p>
            <w:pPr>
              <w:pStyle w:val="IsiTabel"/>
              <w:keepNext/>
              <w:suppressAutoHyphens/>
              <w:jc w:val="left"/>
            </w:pPr>
            <w:r>
              <w:t xml:space="preserve">Dana Bersama</w:t>
            </w:r>
          </w:p>
        </w:tc>
        <w:tc>
          <w:tcPr>
            <w:tcW w:w="1521" w:type="dxa"/>
          </w:tcPr>
          <w:p>
            <w:pPr>
              <w:pStyle w:val="IsiTabel"/>
              <w:keepNext/>
              <w:suppressAutoHyphens/>
              <w:jc w:val="left"/>
            </w:pPr>
            <w:r>
              <w:t xml:space="preserve">Berlaku; mencabut Perban BNPB 1/2024</w:t>
            </w:r>
          </w:p>
        </w:tc>
      </w:tr>
      <w:tr>
        <w:trPr>
          <w:cantSplit/>
        </w:trPr>
        <w:tc>
          <w:tcPr>
            <w:tcW w:w="842" w:type="dxa"/>
          </w:tcPr>
          <w:p>
            <w:pPr>
              <w:pStyle w:val="IsiTabel"/>
              <w:keepNext/>
              <w:suppressAutoHyphens/>
              <w:jc w:val="left"/>
            </w:pPr>
            <w:r>
              <w:t xml:space="preserve">2026</w:t>
            </w:r>
          </w:p>
        </w:tc>
        <w:tc>
          <w:tcPr>
            <w:tcW w:w="2909" w:type="dxa"/>
          </w:tcPr>
          <w:p>
            <w:pPr>
              <w:pStyle w:val="IsiTabel"/>
              <w:keepNext/>
              <w:suppressAutoHyphens/>
              <w:jc w:val="left"/>
            </w:pPr>
            <w:r>
              <w:t xml:space="preserve">Perpres 46/2026</w:t>
            </w:r>
          </w:p>
        </w:tc>
        <w:tc>
          <w:tcPr>
            <w:tcW w:w="4082" w:type="dxa"/>
          </w:tcPr>
          <w:p>
            <w:pPr>
              <w:pStyle w:val="IsiTabel"/>
              <w:keepNext/>
              <w:suppressAutoHyphens/>
              <w:jc w:val="left"/>
            </w:pPr>
            <w:r>
              <w:t xml:space="preserve">keadaan tertentu alam, nonalam, dan sosial</w:t>
            </w:r>
          </w:p>
        </w:tc>
        <w:tc>
          <w:tcPr>
            <w:tcW w:w="1521" w:type="dxa"/>
          </w:tcPr>
          <w:p>
            <w:pPr>
              <w:pStyle w:val="IsiTabel"/>
              <w:keepNext/>
              <w:suppressAutoHyphens/>
              <w:jc w:val="left"/>
            </w:pPr>
            <w:r>
              <w:t xml:space="preserve">Berlaku</w:t>
            </w:r>
          </w:p>
        </w:tc>
      </w:tr>
      <w:tr>
        <w:trPr>
          <w:cantSplit/>
        </w:trPr>
        <w:tc>
          <w:tcPr>
            <w:tcW w:w="842" w:type="dxa"/>
          </w:tcPr>
          <w:p>
            <w:pPr>
              <w:pStyle w:val="IsiTabel"/>
              <w:keepNext/>
              <w:suppressAutoHyphens/>
              <w:jc w:val="left"/>
            </w:pPr>
            <w:r>
              <w:t xml:space="preserve">2026</w:t>
            </w:r>
          </w:p>
        </w:tc>
        <w:tc>
          <w:tcPr>
            <w:tcW w:w="2909" w:type="dxa"/>
          </w:tcPr>
          <w:p>
            <w:pPr>
              <w:pStyle w:val="IsiTabel"/>
              <w:keepNext/>
              <w:suppressAutoHyphens/>
              <w:jc w:val="left"/>
            </w:pPr>
            <w:r>
              <w:t xml:space="preserve">Juklak BNPB 4–7/2026 dan Perban BNPB 3/2026</w:t>
            </w:r>
          </w:p>
        </w:tc>
        <w:tc>
          <w:tcPr>
            <w:tcW w:w="4082" w:type="dxa"/>
          </w:tcPr>
          <w:p>
            <w:pPr>
              <w:pStyle w:val="IsiTabel"/>
              <w:keepNext/>
              <w:suppressAutoHyphens/>
              <w:jc w:val="left"/>
            </w:pPr>
            <w:r>
              <w:t xml:space="preserve">SPM; RPBD</w:t>
            </w:r>
          </w:p>
        </w:tc>
        <w:tc>
          <w:tcPr>
            <w:tcW w:w="1521" w:type="dxa"/>
          </w:tcPr>
          <w:p>
            <w:pPr>
              <w:pStyle w:val="IsiTabel"/>
              <w:keepNext/>
              <w:suppressAutoHyphens/>
              <w:jc w:val="left"/>
            </w:pPr>
            <w:r>
              <w:t xml:space="preserve">Berlaku; RPBD mencabut Perka BNPB 4/2008</w:t>
            </w:r>
          </w:p>
        </w:tc>
      </w:tr>
      <w:tr>
        <w:trPr>
          <w:cantSplit/>
        </w:trPr>
        <w:tc>
          <w:tcPr>
            <w:tcW w:w="842" w:type="dxa"/>
          </w:tcPr>
          <w:p>
            <w:pPr>
              <w:pStyle w:val="IsiTabel"/>
              <w:suppressAutoHyphens/>
              <w:jc w:val="left"/>
            </w:pPr>
            <w:bookmarkStart w:id="82" w:name="_Ekor007z"/>
            <w:bookmarkEnd w:id="82"/>
            <w:r>
              <w:t xml:space="preserve">–</w:t>
            </w:r>
          </w:p>
        </w:tc>
        <w:tc>
          <w:tcPr>
            <w:tcW w:w="2909" w:type="dxa"/>
          </w:tcPr>
          <w:p>
            <w:pPr>
              <w:pStyle w:val="IsiTabel"/>
              <w:suppressAutoHyphens/>
              <w:jc w:val="left"/>
            </w:pPr>
            <w:r>
              <w:t xml:space="preserve">Perpres status dan tingkatan bencana</w:t>
            </w:r>
          </w:p>
        </w:tc>
        <w:tc>
          <w:tcPr>
            <w:tcW w:w="4082" w:type="dxa"/>
          </w:tcPr>
          <w:p>
            <w:pPr>
              <w:pStyle w:val="IsiTabel"/>
              <w:suppressAutoHyphens/>
              <w:jc w:val="left"/>
            </w:pPr>
            <w:r>
              <w:t xml:space="preserve">semua jenis</w:t>
            </w:r>
          </w:p>
        </w:tc>
        <w:tc>
          <w:tcPr>
            <w:tcW w:w="1521" w:type="dxa"/>
          </w:tcPr>
          <w:p>
            <w:pPr>
              <w:pStyle w:val="IsiTabel"/>
              <w:suppressAutoHyphens/>
              <w:jc w:val="left"/>
            </w:pPr>
            <w:r>
              <w:t xml:space="preserve">belum terbit</w:t>
            </w:r>
          </w:p>
        </w:tc>
      </w:tr>
    </w:tbl>
    <w:p>
      <w:pPr>
        <w:pStyle w:val="Sumber"/>
        <w:spacing w:after="40"/>
      </w:pPr>
      <w:r>
        <w:rPr>
          <w:b/>
          <w:bCs/>
          <w:color w:val="6B7280"/>
          <w:sz w:val="17"/>
          <w:szCs w:val="17"/>
        </w:rPr>
        <w:t xml:space="preserve">Sumber: </w:t>
      </w:r>
      <w:r>
        <w:rPr>
          <w:color w:val="6B7280"/>
          <w:sz w:val="17"/>
          <w:szCs w:val="17"/>
        </w:rPr>
        <w:t xml:space="preserve">Teks peraturan dan metadata status JDIH BPK, dicek 24 Okt 2026 </w:t>
      </w:r>
      <w:r>
        <w:rPr>
          <w:color w:val="6B7280"/>
          <w:sz w:val="17"/>
          <w:szCs w:val="17"/>
        </w:rPr>
        <w:t xml:space="preserve">(Republik Indonesia, 2007, 2008a, 2008b, 2020f, 2021b, 2026a, 2023b)</w:t>
      </w:r>
      <w:r>
        <w:rPr>
          <w:color w:val="6B7280"/>
          <w:sz w:val="17"/>
          <w:szCs w:val="17"/>
        </w:rPr>
        <w:t xml:space="preserve">; indeks JDIH BNPB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Perka BNPB 3/2012 dan Juklak 10/2023 tidak dimuat karena teksnya tidak terbaca di korpus; riwayat COVID-19 hanya baris pencabutan; kolom tahun baris terakhir "–" karena peraturannya belum terbit.</w:t>
      </w:r>
    </w:p>
    <w:p>
      <w:pPr>
        <w:pStyle w:val="Heading2"/>
      </w:pPr>
      <w:bookmarkStart w:id="84" w:name="_Toc00039"/>
      <w:bookmarkStart w:id="83" w:name="_Ref0157"/>
      <w:r>
        <w:t xml:space="preserve">2.4</w:t>
      </w:r>
      <w:bookmarkEnd w:id="83"/>
      <w:r>
        <w:tab/>
      </w:r>
      <w:r>
        <w:t xml:space="preserve">Kelembagaan</w:t>
      </w:r>
      <w:bookmarkEnd w:id="84"/>
    </w:p>
    <w:p>
      <w:pPr>
        <w:pStyle w:val="IsiTemuan"/>
      </w:pPr>
      <w:r>
        <w:rPr>
          <w:b/>
          <w:bCs/>
          <w:color w:val="051C2C"/>
        </w:rPr>
        <w:t xml:space="preserve">UU 24/2007 Pasal 5 menjadikan Pemerintah dan pemerintah daerah sama-sama penanggung jawab penanggulangan bencana, sedangkan BNPB memberi pedoman dari pencegahan sampai rekonstruksi, memegang komando saat darurat, dan memakai DSP (Pasal 12, 50, dan 62)</w:t>
      </w:r>
      <w:r>
        <w:t xml:space="preserve"> </w:t>
      </w:r>
      <w:r>
        <w:t xml:space="preserve">(Republik Indonesia, 2007)</w:t>
      </w:r>
      <w:r>
        <w:t xml:space="preserve">. Status keadaan darurat ditetapkan Presiden atau kepala daerah menurut tingkatnya (Perpres 17/2018 Pasal 2) </w:t>
      </w:r>
      <w:r>
        <w:t xml:space="preserve">(Republik Indonesia, 2018c)</w:t>
      </w:r>
      <w:r>
        <w:t xml:space="preserve">. Kemenko PMK memiliki Deputi Bidang Koordinasi Penanggulangan Bencana dan Konflik Sosial (Perpres 144/2024 Pasal 24–26) dan dilibatkan dalam penetapan prioritas Dana Bersama (Perban BNPB 1/2026 Pasal 7) </w:t>
      </w:r>
      <w:r>
        <w:t xml:space="preserve">(Republik Indonesia, 2024e)</w:t>
      </w:r>
      <w:r>
        <w:t xml:space="preserve">. Klaster nasional berjumlah enam menurut Kepka BNPB 308/2024 sebagaimana dikutip Juklak 16/2025; teks Kepka itu tidak dibuka, sehingga dua versi susunan klaster dibahas berdampingan di Bab 10.</w:t>
      </w:r>
    </w:p>
    <w:p>
      <w:pPr>
        <w:pStyle w:val="IsiTemuan"/>
      </w:pPr>
      <w:r>
        <w:rPr>
          <w:b/>
          <w:bCs/>
          <w:color w:val="051C2C"/>
        </w:rPr>
        <w:t xml:space="preserve">Organisasi BNPB berlandaskan Perpres 1/2019 jo. Perpres 29/2021, dengan susunan lima deputi dan lima belas direktorat menurut Perban BNPB 6/2025 jo. Perban BNPB 11/2025</w:t>
      </w:r>
      <w:r>
        <w:t xml:space="preserve"> </w:t>
      </w:r>
      <w:r>
        <w:t xml:space="preserve">(Republik Indonesia, 2019a, 2021a; BNPB, 2025f, 2025d)</w:t>
      </w:r>
      <w:r>
        <w:t xml:space="preserve">. Perban BNPB 11/2025 mengubah Deputi Bidang Penanganan Darurat menjadi satu direktorat koordinasi dan tiga direktorat wilayah. Renstra BNPB 2025–2029 masih memakai nama unit organisasi lama, sehingga unit pelaksana rekomendasi kajian ini mengikuti Perban BNPB 11/2025.</w:t>
      </w:r>
    </w:p>
    <w:p>
      <w:pPr>
        <w:pStyle w:val="Isi"/>
      </w:pPr>
      <w:r>
        <w:t xml:space="preserve">Rantai peringatan dini tidak berada di bawah satu kementerian koordinator. BMKG bertanggung jawab kepada Presiden melalui menteri bidang transportasi (Perpres 12/2024) </w:t>
      </w:r>
      <w:r>
        <w:t xml:space="preserve">(Republik Indonesia, 2024d)</w:t>
      </w:r>
      <w:r>
        <w:t xml:space="preserve">, Badan Nasional Pencarian dan Pertolongan (Basarnas) dikoordinasikan menteri bidang perhubungan (Perpres 83/2016), dan Kementerian Pekerjaan Umum serta Kementerian Perhubungan berada di bawah Kementerian Koordinator Bidang Infrastruktur dan Pembangunan Kewilayahan. BNPB dikoordinasikan Kemenko PMK. Rumusan rantai ini disimpulkan penyusun dari teks peraturan masing-masing lembaga.</w:t>
      </w:r>
    </w:p>
    <w:p>
      <w:pPr>
        <w:pStyle w:val="Heading2"/>
      </w:pPr>
      <w:bookmarkStart w:id="86" w:name="_Toc00040"/>
      <w:bookmarkStart w:id="85" w:name="_Ref0192"/>
      <w:r>
        <w:t xml:space="preserve">2.5</w:t>
      </w:r>
      <w:bookmarkEnd w:id="85"/>
      <w:r>
        <w:tab/>
      </w:r>
      <w:r>
        <w:t xml:space="preserve">Praktik Pembanding</w:t>
      </w:r>
      <w:bookmarkEnd w:id="86"/>
    </w:p>
    <w:p>
      <w:pPr>
        <w:pStyle w:val="IsiTemuan"/>
      </w:pPr>
      <w:r>
        <w:rPr>
          <w:b/>
          <w:bCs/>
          <w:color w:val="051C2C"/>
        </w:rPr>
        <w:t xml:space="preserve">Satu dari lima belas baris kompendium program untuk kajian mitigasi berbukti kuat dan dua belum terbukti, sedangkan dua belas sisanya terbagi sama banyak antara bukti sedang dan lemah</w:t>
      </w:r>
      <w:r>
        <w:t xml:space="preserve"> (</w:t>
      </w:r>
      <w:r>
        <w:fldChar w:fldCharType="begin"/>
      </w:r>
      <w:r>
        <w:instrText xml:space="preserve"> REF _Ref0314 \h \* CHARFORMAT </w:instrText>
      </w:r>
      <w:r>
        <w:fldChar w:fldCharType="separate"/>
      </w:r>
      <w:r>
        <w:t xml:space="preserve">Tabel 2.4</w:t>
      </w:r>
      <w:r>
        <w:fldChar w:fldCharType="end"/>
      </w:r>
      <w:r>
        <w:t xml:space="preserve">). Program dalam negeri dengan bukti terbaik adalah hulu InaTEWS, berbukti sedang. Rubrik kompendium memberi "kuat" untuk deret sebelum-sesudah resmi atau studi bertinjauan dengan pola konsisten, bukan untuk uji kausal. Belum terbukti berarti bukti dampak tidak ditemukan, bukan program tidak bermanfaat.</w:t>
      </w:r>
    </w:p>
    <w:p>
      <w:pPr>
        <w:pStyle w:val="IsiTemuan"/>
      </w:pPr>
      <w:r>
        <w:rPr>
          <w:b/>
          <w:bCs/>
          <w:color w:val="051C2C"/>
        </w:rPr>
        <w:t xml:space="preserve">Kematian akibat siklon di Bangladesh turun dari </w:t>
      </w:r>
      <w:r>
        <w:rPr>
          <w:b/>
          <w:bCs/>
          <w:color w:val="051C2C"/>
        </w:rPr>
        <w:t xml:space="preserve">500.300 jiwa</w:t>
      </w:r>
      <w:r>
        <w:rPr>
          <w:b/>
          <w:bCs/>
          <w:color w:val="051C2C"/>
        </w:rPr>
        <w:t xml:space="preserve"> pada 1970 menjadi </w:t>
      </w:r>
      <w:r>
        <w:rPr>
          <w:b/>
          <w:bCs/>
          <w:color w:val="051C2C"/>
        </w:rPr>
        <w:t xml:space="preserve">4.234 jiwa</w:t>
      </w:r>
      <w:r>
        <w:rPr>
          <w:b/>
          <w:bCs/>
          <w:color w:val="051C2C"/>
        </w:rPr>
        <w:t xml:space="preserve"> pada Siklon Sidr 2007 dan </w:t>
      </w:r>
      <w:r>
        <w:rPr>
          <w:b/>
          <w:bCs/>
          <w:color w:val="051C2C"/>
        </w:rPr>
        <w:t xml:space="preserve">197 jiwa</w:t>
      </w:r>
      <w:r>
        <w:rPr>
          <w:b/>
          <w:bCs/>
          <w:color w:val="051C2C"/>
        </w:rPr>
        <w:t xml:space="preserve"> pada 2009</w:t>
      </w:r>
      <w:r>
        <w:t xml:space="preserve"> </w:t>
      </w:r>
      <w:r>
        <w:t xml:space="preserve">(Haque dkk., 2012)</w:t>
      </w:r>
      <w:r>
        <w:t xml:space="preserve">. </w:t>
      </w:r>
      <w:r>
        <w:t xml:space="preserve">Haque dkk. (2012)</w:t>
      </w:r>
      <w:r>
        <w:t xml:space="preserve"> menyebut penurunan </w:t>
      </w:r>
      <w:r>
        <w:t xml:space="preserve">100 kali</w:t>
      </w:r>
      <w:r>
        <w:t xml:space="preserve"> lipat pada 1970–2007, dengan lebih dari </w:t>
      </w:r>
      <w:r>
        <w:t xml:space="preserve">20.000</w:t>
      </w:r>
      <w:r>
        <w:t xml:space="preserve"> relawan menyiarkan peringatan. Penurunan itu konsisten dengan paket kesiapsiagaan yang memadukan peringatan dini Cyclone Preparedness Programme dan tempat perlindungan siklon dengan tanggul pesisir serta penyadaran warga. Atribusi ke paket belum dievaluasi dengan pembanding. Pada periode yang sama prakiraan cuaca dan kondisi ekonomi ikut berubah, dan efek terpisah tiap komponen belum dibuktikan. Padanan di Indonesia adalah Destana dan hilir InaTEWS bersama relawan penanggulangan bencana, dengan status Sudah ada, perlu dikembangkan. Mandat penyebaran peringatan sampai rumah tangga belum diberikan kepada ketiganya.</w:t>
      </w:r>
    </w:p>
    <w:p>
      <w:pPr>
        <w:pStyle w:val="IsiTemuan"/>
      </w:pPr>
      <w:r>
        <w:rPr>
          <w:b/>
          <w:bCs/>
          <w:color w:val="051C2C"/>
        </w:rPr>
        <w:t xml:space="preserve">Siklon Phailin 2013 di Odisha menewaskan </w:t>
      </w:r>
      <w:r>
        <w:rPr>
          <w:b/>
          <w:bCs/>
          <w:color w:val="051C2C"/>
        </w:rPr>
        <w:t xml:space="preserve">44 jiwa</w:t>
      </w:r>
      <w:r>
        <w:rPr>
          <w:b/>
          <w:bCs/>
          <w:color w:val="051C2C"/>
        </w:rPr>
        <w:t xml:space="preserve"> menurut penilaian pemerintah, dengan lebih dari </w:t>
      </w:r>
      <w:r>
        <w:rPr>
          <w:b/>
          <w:bCs/>
          <w:color w:val="051C2C"/>
        </w:rPr>
        <w:t xml:space="preserve">1</w:t>
      </w:r>
      <w:r>
        <w:rPr>
          <w:b/>
          <w:bCs/>
          <w:color w:val="051C2C"/>
        </w:rPr>
        <w:t xml:space="preserve"> juta jiwa dievakuasi dalam </w:t>
      </w:r>
      <w:r>
        <w:rPr>
          <w:b/>
          <w:bCs/>
          <w:color w:val="051C2C"/>
        </w:rPr>
        <w:t xml:space="preserve">36 jam</w:t>
      </w:r>
      <w:r>
        <w:rPr>
          <w:b/>
          <w:bCs/>
          <w:color w:val="051C2C"/>
        </w:rPr>
        <w:t xml:space="preserve"> sebelum pendaratan</w:t>
      </w:r>
      <w:r>
        <w:t xml:space="preserve"> </w:t>
      </w:r>
      <w:r>
        <w:t xml:space="preserve">(Government of Odisha, 2013)</w:t>
      </w:r>
      <w:r>
        <w:t xml:space="preserve">. Siklon Super 1999 di negara bagian yang sama menewaskan sekitar </w:t>
      </w:r>
      <w:r>
        <w:t xml:space="preserve">10.000</w:t>
      </w:r>
      <w:r>
        <w:t xml:space="preserve"> jiwa. Bank Dunia mencatat </w:t>
      </w:r>
      <w:r>
        <w:t xml:space="preserve">38 jiwa</w:t>
      </w:r>
      <w:r>
        <w:t xml:space="preserve"> korban jiwa dalam tiga hari setelah pendaratan </w:t>
      </w:r>
      <w:r>
        <w:t xml:space="preserve">(World Bank, 2013)</w:t>
      </w:r>
      <w:r>
        <w:t xml:space="preserve">; kedua angka ditulis berdampingan. Pembandingnya hanya dua badai yang berbeda, tanpa pembanding terkontrol. Padanannya rencana kontinjensi (Perban BNPB 2/2023) dan RPKB (Perban BNPB 9/2025), yang belum membakukan pemicu evakuasi berbasis prakiraan.</w:t>
      </w:r>
    </w:p>
    <w:p>
      <w:pPr>
        <w:pStyle w:val="IsiTemuan"/>
      </w:pPr>
      <w:r>
        <w:rPr>
          <w:b/>
          <w:bCs/>
          <w:color w:val="051C2C"/>
        </w:rPr>
        <w:t xml:space="preserve">Di Kamaishi, </w:t>
      </w:r>
      <w:r>
        <w:rPr>
          <w:b/>
          <w:bCs/>
          <w:color w:val="051C2C"/>
        </w:rPr>
        <w:t xml:space="preserve">99,8%</w:t>
      </w:r>
      <w:r>
        <w:rPr>
          <w:b/>
          <w:bCs/>
          <w:color w:val="051C2C"/>
        </w:rPr>
        <w:t xml:space="preserve"> dari sekitar </w:t>
      </w:r>
      <w:r>
        <w:rPr>
          <w:b/>
          <w:bCs/>
          <w:color w:val="051C2C"/>
        </w:rPr>
        <w:t xml:space="preserve">3.000</w:t>
      </w:r>
      <w:r>
        <w:rPr>
          <w:b/>
          <w:bCs/>
          <w:color w:val="051C2C"/>
        </w:rPr>
        <w:t xml:space="preserve"> siswa sekolah dasar dan sekolah menengah pertama selamat saat tsunami Maret 2011</w:t>
      </w:r>
      <w:r>
        <w:t xml:space="preserve"> </w:t>
      </w:r>
      <w:r>
        <w:t xml:space="preserve">(Japan Science and Technology Agency, 2016)</w:t>
      </w:r>
      <w:r>
        <w:t xml:space="preserve">. Bukti itu berasal dari satu kejadian tanpa kelompok pembanding. Padanannya SPAB, yang pelaksananya berpindah ke kementerian urusan pendidikan sejak 2023, dengan BNPB sebagai kontributor Renas PB 2.1.2.a.</w:t>
      </w:r>
    </w:p>
    <w:p>
      <w:pPr>
        <w:pStyle w:val="IsiTemuan"/>
      </w:pPr>
      <w:r>
        <w:rPr>
          <w:b/>
          <w:bCs/>
          <w:color w:val="051C2C"/>
        </w:rPr>
        <w:t xml:space="preserve">Pada gempa Maule 2010, kegagalan bangunan hunian berizin 1985–2009 di Chile tercatat </w:t>
      </w:r>
      <w:r>
        <w:rPr>
          <w:b/>
          <w:bCs/>
          <w:color w:val="051C2C"/>
        </w:rPr>
        <w:t xml:space="preserve">0,5%</w:t>
      </w:r>
      <w:r>
        <w:rPr>
          <w:b/>
          <w:bCs/>
          <w:color w:val="051C2C"/>
        </w:rPr>
        <w:t xml:space="preserve"> pada </w:t>
      </w:r>
      <w:r>
        <w:rPr>
          <w:b/>
          <w:bCs/>
          <w:color w:val="051C2C"/>
        </w:rPr>
        <w:t xml:space="preserve">9.974 bangunan</w:t>
      </w:r>
      <w:r>
        <w:rPr>
          <w:b/>
          <w:bCs/>
          <w:color w:val="051C2C"/>
        </w:rPr>
        <w:t xml:space="preserve"> tiga lantai atau lebih dan </w:t>
      </w:r>
      <w:r>
        <w:rPr>
          <w:b/>
          <w:bCs/>
          <w:color w:val="051C2C"/>
        </w:rPr>
        <w:t xml:space="preserve">2,8%</w:t>
      </w:r>
      <w:r>
        <w:rPr>
          <w:b/>
          <w:bCs/>
          <w:color w:val="051C2C"/>
        </w:rPr>
        <w:t xml:space="preserve"> pada bangunan sembilan lantai atau lebih</w:t>
      </w:r>
      <w:r>
        <w:t xml:space="preserve"> </w:t>
      </w:r>
      <w:r>
        <w:t xml:space="preserve">(Tomás Guendelman, 2012)</w:t>
      </w:r>
      <w:r>
        <w:t xml:space="preserve">. Korban jiwa resmi sementara tercatat </w:t>
      </w:r>
      <w:r>
        <w:t xml:space="preserve">528 jiwa</w:t>
      </w:r>
      <w:r>
        <w:t xml:space="preserve"> </w:t>
      </w:r>
      <w:r>
        <w:t xml:space="preserve">(European Commission Humanitarian Aid (ECHO), 2010)</w:t>
      </w:r>
      <w:r>
        <w:t xml:space="preserve">. Bukti itu berasal dari satu gempa tanpa pembanding bangunan nonkode, dan rumah nonteknis di Indonesia tidak tersentuh izin bangunan. Padanannya Renas PB 2.3.4.a tentang pengawasan penerapan standar bangunan tahan bencana dengan penanggung jawab Kementerian Pekerjaan Umum dan BNPB.</w:t>
      </w:r>
    </w:p>
    <w:p>
      <w:pPr>
        <w:pStyle w:val="IsiTemuan"/>
      </w:pPr>
      <w:r>
        <w:rPr>
          <w:b/>
          <w:bCs/>
          <w:color w:val="051C2C"/>
        </w:rPr>
        <w:t xml:space="preserve">Caribbean Catastrophe Risk Insurance Facility (CCRIF) mencatat </w:t>
      </w:r>
      <w:r>
        <w:rPr>
          <w:b/>
          <w:bCs/>
          <w:color w:val="051C2C"/>
        </w:rPr>
        <w:t xml:space="preserve">63 pembayaran</w:t>
      </w:r>
      <w:r>
        <w:rPr>
          <w:b/>
          <w:bCs/>
          <w:color w:val="051C2C"/>
        </w:rPr>
        <w:t xml:space="preserve"> senilai US$</w:t>
      </w:r>
      <w:r>
        <w:rPr>
          <w:b/>
          <w:bCs/>
          <w:color w:val="051C2C"/>
        </w:rPr>
        <w:t xml:space="preserve">266,8</w:t>
      </w:r>
      <w:r>
        <w:rPr>
          <w:b/>
          <w:bCs/>
          <w:color w:val="051C2C"/>
        </w:rPr>
        <w:t xml:space="preserve"> juta sampai Desember 2023</w:t>
      </w:r>
      <w:r>
        <w:t xml:space="preserve"> </w:t>
      </w:r>
      <w:r>
        <w:t xml:space="preserve">(Artemis, 2023; World Bank, 2022)</w:t>
      </w:r>
      <w:r>
        <w:t xml:space="preserve">. Evaluasi African Risk Capacity (ARC) mencatat </w:t>
      </w:r>
      <w:r>
        <w:t xml:space="preserve">16</w:t>
      </w:r>
      <w:r>
        <w:t xml:space="preserve"> dari </w:t>
      </w:r>
      <w:r>
        <w:t xml:space="preserve">36 negara</w:t>
      </w:r>
      <w:r>
        <w:t xml:space="preserve"> anggota membeli polis, dengan premi reasuransi </w:t>
      </w:r>
      <w:r>
        <w:t xml:space="preserve">81%</w:t>
      </w:r>
      <w:r>
        <w:t xml:space="preserve"> dari harapan pembayaran </w:t>
      </w:r>
      <w:r>
        <w:t xml:space="preserve">(Oxford Policy Management, 2022)</w:t>
      </w:r>
      <w:r>
        <w:t xml:space="preserve">. Asuransi Barang Milik Negara menutup klaim Rp</w:t>
      </w:r>
      <w:r>
        <w:t xml:space="preserve">1,14</w:t>
      </w:r>
      <w:r>
        <w:t xml:space="preserve"> miliar pada 2020, sedangkan alamat tautan berita Direktorat Jenderal Kekayaan Negara yang sama memuat Rp</w:t>
      </w:r>
      <w:r>
        <w:t xml:space="preserve">114</w:t>
      </w:r>
      <w:r>
        <w:t xml:space="preserve"> miliar </w:t>
      </w:r>
      <w:r>
        <w:t xml:space="preserve">(Direktorat Jenderal Kekayaan Negara, Kementerian Keuangan, 2021)</w:t>
      </w:r>
      <w:r>
        <w:t xml:space="preserve">; kedua angka ditulis berdampingan. Padanannya Dana Bersama dan Asuransi Barang Milik Negara pada Renas PB 4.6.3.a.</w:t>
      </w:r>
    </w:p>
    <w:p>
      <w:pPr>
        <w:pStyle w:val="IsiTemuan"/>
      </w:pPr>
      <w:r>
        <w:rPr>
          <w:b/>
          <w:bCs/>
          <w:color w:val="051C2C"/>
        </w:rPr>
        <w:t xml:space="preserve">Rasio manfaat hibah mitigasi Federal Emergency Management Agency (FEMA), </w:t>
      </w:r>
      <w:r>
        <w:rPr>
          <w:b/>
          <w:bCs/>
          <w:color w:val="051C2C"/>
        </w:rPr>
        <w:t xml:space="preserve">sekitar 6,0</w:t>
      </w:r>
      <w:r>
        <w:rPr>
          <w:b/>
          <w:bCs/>
          <w:color w:val="051C2C"/>
        </w:rPr>
        <w:t xml:space="preserve"> dolar untuk tiap dolar hibah, adalah keluaran model tanpa pengukuran pascakejadian sebagai pasangan tercatat, sehingga FEMA hanya menjadi rujukan tata kelola untuk syarat analisis manfaat-biaya</w:t>
      </w:r>
      <w:r>
        <w:t xml:space="preserve"> </w:t>
      </w:r>
      <w:r>
        <w:t xml:space="preserve">(FEMA Federal Insurance and Mitigation Administration, 2018)</w:t>
      </w:r>
      <w:r>
        <w:t xml:space="preserve">. Rasio itu berasal dari analisis National Institute of Building Sciences yang dikutip FEMA. Program Building Resilient Infrastructure and Communities (BRIC) dihentikan FEMA, lalu FEMA mengajukan rencana memulainya lagi </w:t>
      </w:r>
      <w:r>
        <w:t xml:space="preserve">(North Carolina Department of Justice, 2026)</w:t>
      </w:r>
      <w:r>
        <w:t xml:space="preserve">.</w:t>
      </w:r>
    </w:p>
    <w:p>
      <w:pPr>
        <w:pStyle w:val="Isi"/>
      </w:pPr>
      <w:r>
        <w:t xml:space="preserve">Filipina menjadi pelajaran tandingan karena klaim keberhasilan evakuasi Albay berasal dari laporan pelaksana, dan perbandingan antartopan yang mendasarinya tidak mengendalikan kekuatan topan maupun keterpaparan; WorldRiskIndex 2025 menempatkan Filipina tertinggi dan Indonesia pada </w:t>
      </w:r>
      <w:r>
        <w:t xml:space="preserve">39,80</w:t>
      </w:r>
      <w:r>
        <w:t xml:space="preserve"> </w:t>
      </w:r>
      <w:r>
        <w:t xml:space="preserve">(Bündnis Entwicklung Hilft, 2025)</w:t>
      </w:r>
      <w:r>
        <w:t xml:space="preserve">.</w:t>
      </w:r>
    </w:p>
    <w:p>
      <w:pPr>
        <w:pStyle w:val="IsiTemuan"/>
      </w:pPr>
      <w:r>
        <w:rPr>
          <w:b/>
          <w:bCs/>
          <w:color w:val="051C2C"/>
        </w:rPr>
        <w:t xml:space="preserve">Siaran pers BMKG untuk gempa Donggala 28 September 2018 mencatat kenaikan muka air </w:t>
      </w:r>
      <w:r>
        <w:rPr>
          <w:b/>
          <w:bCs/>
          <w:color w:val="051C2C"/>
        </w:rPr>
        <w:t xml:space="preserve">6 cm</w:t>
      </w:r>
      <w:r>
        <w:rPr>
          <w:b/>
          <w:bCs/>
          <w:color w:val="051C2C"/>
        </w:rPr>
        <w:t xml:space="preserve"> di tide gauge Mamuju (Sulawesi Barat), sementara tsunami tetap melanda Palu</w:t>
      </w:r>
      <w:r>
        <w:t xml:space="preserve"> </w:t>
      </w:r>
      <w:r>
        <w:t xml:space="preserve">(Badan Meteorologi, Klimatologi, dan Geofisika, 2018)</w:t>
      </w:r>
      <w:r>
        <w:t xml:space="preserve">. Peringatan dini tsunami diakhiri setelah perkiraan waktu tiba terlewati dan mekanisme sumber diperbarui menjadi sesar mendatar, dan tide gauge rujukan itu berada di luar Teluk Palu. Di hilir, Renstra mencatat keterpenuhan sistem peringatan dini </w:t>
      </w:r>
      <w:r>
        <w:t xml:space="preserve">6%</w:t>
      </w:r>
      <w:r>
        <w:t xml:space="preserve"> dari masyarakat terpapar di kawasan risiko tinggi </w:t>
      </w:r>
      <w:r>
        <w:t xml:space="preserve">(BNPB, 2025e, hlm. 70)</w:t>
      </w:r>
      <w:r>
        <w:t xml:space="preserve">. InaTEWS karena itu berposisi sebagai program berjalan yang wajib dievaluasi dampaknya.</w:t>
      </w:r>
    </w:p>
    <w:p>
      <w:pPr>
        <w:pStyle w:val="IsiTemuan"/>
      </w:pPr>
      <w:r>
        <w:rPr>
          <w:b/>
          <w:bCs/>
          <w:color w:val="051C2C"/>
        </w:rPr>
        <w:t xml:space="preserve">Destana membina </w:t>
      </w:r>
      <w:r>
        <w:rPr>
          <w:b/>
          <w:bCs/>
          <w:color w:val="051C2C"/>
        </w:rPr>
        <w:t xml:space="preserve">2.234 desa/kelurahan</w:t>
      </w:r>
      <w:r>
        <w:rPr>
          <w:b/>
          <w:bCs/>
          <w:color w:val="051C2C"/>
        </w:rPr>
        <w:t xml:space="preserve"> pada 2024 dengan target </w:t>
      </w:r>
      <w:r>
        <w:rPr>
          <w:b/>
          <w:bCs/>
          <w:color w:val="051C2C"/>
        </w:rPr>
        <w:t xml:space="preserve">7.234 desa/kelurahan</w:t>
      </w:r>
      <w:r>
        <w:rPr>
          <w:b/>
          <w:bCs/>
          <w:color w:val="051C2C"/>
        </w:rPr>
        <w:t xml:space="preserve"> pada 2029, dibanding </w:t>
      </w:r>
      <w:r>
        <w:rPr>
          <w:b/>
          <w:bCs/>
          <w:color w:val="051C2C"/>
        </w:rPr>
        <w:t xml:space="preserve">53.000 desa</w:t>
      </w:r>
      <w:r>
        <w:rPr>
          <w:b/>
          <w:bCs/>
          <w:color w:val="051C2C"/>
        </w:rPr>
        <w:t xml:space="preserve"> di daerah rawan</w:t>
      </w:r>
      <w:r>
        <w:t xml:space="preserve"> </w:t>
      </w:r>
      <w:r>
        <w:t xml:space="preserve">(BNPB, 2025c, hlm. 107, 2025e, hlm. 69)</w:t>
      </w:r>
      <w:r>
        <w:t xml:space="preserve">. SPAB menargetkan peserta didik naik dari </w:t>
      </w:r>
      <w:r>
        <w:t xml:space="preserve">4.433.262 peserta didik</w:t>
      </w:r>
      <w:r>
        <w:t xml:space="preserve"> menjadi </w:t>
      </w:r>
      <w:r>
        <w:t xml:space="preserve">38.946.645 peserta didik</w:t>
      </w:r>
      <w:r>
        <w:t xml:space="preserve"> </w:t>
      </w:r>
      <w:r>
        <w:t xml:space="preserve">(BNPB, 2025c, hlm. 72)</w:t>
      </w:r>
      <w:r>
        <w:t xml:space="preserve">. Kedua program berjalan tanpa evaluasi sebelum-sesudah atau desa dan sekolah pembanding. Tingkat ketangguhan dalam Perban BNPB 7/2025 dapat menjadi garis dasar evaluasi </w:t>
      </w:r>
      <w:r>
        <w:t xml:space="preserve">(BNPB, 2025g)</w:t>
      </w:r>
      <w:r>
        <w:t xml:space="preserve">, dan agenda evaluasinya ada di </w:t>
      </w:r>
      <w:r>
        <w:fldChar w:fldCharType="begin"/>
      </w:r>
      <w:r>
        <w:instrText xml:space="preserve"> REF _Ref0104 \h \* CHARFORMAT </w:instrText>
      </w:r>
      <w:r>
        <w:fldChar w:fldCharType="separate"/>
      </w:r>
      <w:r>
        <w:t xml:space="preserve">40</w:t>
      </w:r>
      <w:r>
        <w:fldChar w:fldCharType="end"/>
      </w:r>
      <w:r>
        <w:t xml:space="preserve">.</w:t>
      </w:r>
    </w:p>
    <w:p>
      <w:pPr>
        <w:pStyle w:val="IsiTemuan"/>
      </w:pPr>
      <w:r>
        <w:rPr>
          <w:b/>
          <w:bCs/>
          <w:color w:val="051C2C"/>
        </w:rPr>
        <w:t xml:space="preserve">Kompendium tidak memuat program untuk empat jenis nonalam dan sosial dalam lingkup kajian, sehingga rujukan yang tersisa untuk jenis itu adalah tata kelola.</w:t>
      </w:r>
      <w:r>
        <w:t xml:space="preserve"> Untuk epidemi, Joint External Evaluation (JEE) International Health Regulations (IHR) Indonesia 2023 menilai </w:t>
      </w:r>
      <w:r>
        <w:t xml:space="preserve">56 indikator</w:t>
      </w:r>
      <w:r>
        <w:t xml:space="preserve">: </w:t>
      </w:r>
      <w:r>
        <w:t xml:space="preserve">32</w:t>
      </w:r>
      <w:r>
        <w:t xml:space="preserve"> berskor 4, </w:t>
      </w:r>
      <w:r>
        <w:t xml:space="preserve">20</w:t>
      </w:r>
      <w:r>
        <w:t xml:space="preserve"> berskor 3, </w:t>
      </w:r>
      <w:r>
        <w:t xml:space="preserve">3</w:t>
      </w:r>
      <w:r>
        <w:t xml:space="preserve"> berskor 5, dan </w:t>
      </w:r>
      <w:r>
        <w:t xml:space="preserve">1</w:t>
      </w:r>
      <w:r>
        <w:t xml:space="preserve"> berskor 2 menurut bagian rinci </w:t>
      </w:r>
      <w:r>
        <w:t xml:space="preserve">(World Health Organization, 2024)</w:t>
      </w:r>
      <w:r>
        <w:t xml:space="preserve">. Tabel ringkasan dalam dokumen yang sama memuat sebaran yang berbeda pada tiga indikator, dan World Health Organization (WHO) menyatakan JEE 2023 tidak dapat dibandingkan dengan JEE 2017. Skor State Party Self-Assessment Annual Reporting (SPAR) Indonesia naik dari </w:t>
      </w:r>
      <w:r>
        <w:t xml:space="preserve">64%</w:t>
      </w:r>
      <w:r>
        <w:t xml:space="preserve"> pada 2021 menjadi </w:t>
      </w:r>
      <w:r>
        <w:t xml:space="preserve">80%</w:t>
      </w:r>
      <w:r>
        <w:t xml:space="preserve"> pada 2025 </w:t>
      </w:r>
      <w:r>
        <w:t xml:space="preserve">(World Health Organization, 2026b)</w:t>
      </w:r>
      <w:r>
        <w:t xml:space="preserve">.</w:t>
      </w:r>
    </w:p>
    <w:p>
      <w:pPr>
        <w:pStyle w:val="IsiTemuan"/>
      </w:pPr>
      <w:r>
        <w:rPr>
          <w:b/>
          <w:bCs/>
          <w:color w:val="051C2C"/>
        </w:rPr>
        <w:t xml:space="preserve">Tiga dokumen dirujuk sebagai metode, bukan sebagai program.</w:t>
      </w:r>
      <w:r>
        <w:t xml:space="preserve"> National Risk Register Inggris memberi bentuk skenario terburuk yang masuk akal, pita kemungkinan dalam </w:t>
      </w:r>
      <w:r>
        <w:t xml:space="preserve">5 tahun</w:t>
      </w:r>
      <w:r>
        <w:t xml:space="preserve"> dari di bawah </w:t>
      </w:r>
      <w:r>
        <w:t xml:space="preserve">0,2%</w:t>
      </w:r>
      <w:r>
        <w:t xml:space="preserve"> sampai di atas </w:t>
      </w:r>
      <w:r>
        <w:t xml:space="preserve">25%</w:t>
      </w:r>
      <w:r>
        <w:t xml:space="preserve">, dan skala dampak lima tingkat </w:t>
      </w:r>
      <w:r>
        <w:t xml:space="preserve">(Cabinet Office, 2025)</w:t>
      </w:r>
      <w:r>
        <w:t xml:space="preserve">. Perkiraan kerusakan Nankai oleh Cabinet Office Jepang (Maret 2025) dipinjam bentuk tabel kerusakan baku dan tuas evakuasinya untuk analisis kepekaan di Bab 3; angkanya keluaran model tanpa kejadian pembanding dan tidak dikutip di bab ini </w:t>
      </w:r>
      <w:r>
        <w:t xml:space="preserve">(中央防災会議 防災対策実行会議 南海トラフ巨大地震対策検討ワーキンググループ (Central Disaster Management Council, Japan), 2025)</w:t>
      </w:r>
      <w:r>
        <w:t xml:space="preserve">. National Disaster Resilience Strategy Selandia Baru dirujuk untuk strukturnya, yaitu </w:t>
      </w:r>
      <w:r>
        <w:t xml:space="preserve">3 prioritas</w:t>
      </w:r>
      <w:r>
        <w:t xml:space="preserve"> dengan masing-masing </w:t>
      </w:r>
      <w:r>
        <w:t xml:space="preserve">6 objektif</w:t>
      </w:r>
      <w:r>
        <w:t xml:space="preserve"> </w:t>
      </w:r>
      <w:r>
        <w:t xml:space="preserve">(Ministry of Civil Defence &amp; Emergency Management, 2019)</w:t>
      </w:r>
      <w:r>
        <w:t xml:space="preserve">.</w:t>
      </w:r>
    </w:p>
    <w:p>
      <w:pPr>
        <w:pStyle w:val="Caption"/>
      </w:pPr>
      <w:bookmarkStart w:id="88" w:name="_Toc00041"/>
      <w:bookmarkStart w:id="87" w:name="_Ref031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87"/>
      <w:r>
        <w:rPr>
          <w:b/>
          <w:bCs/>
          <w:color w:val="051C2C"/>
        </w:rPr>
        <w:t xml:space="preserve"> </w:t>
      </w:r>
      <w:r>
        <w:t xml:space="preserve">Praktik pembanding kajian mitigasi menurut kekuatan bukti dan padanannya di Indonesia, 1970–2026</w:t>
      </w:r>
      <w:bookmarkEnd w:id="8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10"/>
        <w:gridCol w:w="1049"/>
        <w:gridCol w:w="1500"/>
        <w:gridCol w:w="1510"/>
        <w:gridCol w:w="2059"/>
        <w:gridCol w:w="1526"/>
      </w:tblGrid>
      <w:tr>
        <w:trPr>
          <w:cantSplit/>
          <w:tblHeader/>
        </w:trPr>
        <w:tc>
          <w:tcPr>
            <w:tcW w:w="1710" w:type="dxa"/>
            <w:shd w:val="clear" w:color="auto" w:fill="051C2C"/>
            <w:vAlign w:val="center"/>
          </w:tcPr>
          <w:p>
            <w:pPr>
              <w:pStyle w:val="KepalaTabel"/>
              <w:suppressAutoHyphens/>
            </w:pPr>
            <w:r>
              <w:t xml:space="preserve">PRAKTIK DAN LOKASI</w:t>
            </w:r>
          </w:p>
        </w:tc>
        <w:tc>
          <w:tcPr>
            <w:tcW w:w="1049" w:type="dxa"/>
            <w:shd w:val="clear" w:color="auto" w:fill="051C2C"/>
            <w:vAlign w:val="center"/>
          </w:tcPr>
          <w:p>
            <w:pPr>
              <w:pStyle w:val="KepalaTabel"/>
              <w:suppressAutoHyphens/>
            </w:pPr>
            <w:r>
              <w:t xml:space="preserve">BUKTI DAN POSISI</w:t>
            </w:r>
          </w:p>
        </w:tc>
        <w:tc>
          <w:tcPr>
            <w:tcW w:w="1500" w:type="dxa"/>
            <w:shd w:val="clear" w:color="auto" w:fill="051C2C"/>
            <w:vAlign w:val="center"/>
          </w:tcPr>
          <w:p>
            <w:pPr>
              <w:pStyle w:val="KepalaTabel"/>
              <w:suppressAutoHyphens/>
            </w:pPr>
            <w:r>
              <w:t xml:space="preserve">ANGKA DAMPAK</w:t>
            </w:r>
          </w:p>
        </w:tc>
        <w:tc>
          <w:tcPr>
            <w:tcW w:w="1510" w:type="dxa"/>
            <w:shd w:val="clear" w:color="auto" w:fill="051C2C"/>
            <w:vAlign w:val="center"/>
          </w:tcPr>
          <w:p>
            <w:pPr>
              <w:pStyle w:val="KepalaTabel"/>
              <w:suppressAutoHyphens/>
            </w:pPr>
            <w:r>
              <w:t xml:space="preserve">SYARAT DAN BATAS PENGALIHAN</w:t>
            </w:r>
          </w:p>
        </w:tc>
        <w:tc>
          <w:tcPr>
            <w:tcW w:w="2059" w:type="dxa"/>
            <w:shd w:val="clear" w:color="auto" w:fill="051C2C"/>
            <w:vAlign w:val="center"/>
          </w:tcPr>
          <w:p>
            <w:pPr>
              <w:pStyle w:val="KepalaTabel"/>
              <w:suppressAutoHyphens/>
            </w:pPr>
            <w:r>
              <w:t xml:space="preserve">PADANAN DI INDONESIA</w:t>
            </w:r>
          </w:p>
        </w:tc>
        <w:tc>
          <w:tcPr>
            <w:tcW w:w="1526" w:type="dxa"/>
            <w:shd w:val="clear" w:color="auto" w:fill="051C2C"/>
            <w:vAlign w:val="center"/>
          </w:tcPr>
          <w:p>
            <w:pPr>
              <w:pStyle w:val="KepalaTabel"/>
              <w:suppressAutoHyphens/>
            </w:pPr>
            <w:r>
              <w:t xml:space="preserve">KEYAKINAN</w:t>
            </w:r>
          </w:p>
        </w:tc>
      </w:tr>
      <w:tr>
        <w:trPr>
          <w:cantSplit/>
        </w:trPr>
        <w:tc>
          <w:tcPr>
            <w:tcW w:w="1710" w:type="dxa"/>
          </w:tcPr>
          <w:p>
            <w:pPr>
              <w:pStyle w:val="IsiTabel"/>
              <w:suppressAutoHyphens/>
              <w:jc w:val="left"/>
            </w:pPr>
            <w:r>
              <w:t xml:space="preserve">Paket kesiapsiagaan siklon, Bangladesh</w:t>
            </w:r>
          </w:p>
        </w:tc>
        <w:tc>
          <w:tcPr>
            <w:tcW w:w="1049" w:type="dxa"/>
          </w:tcPr>
          <w:p>
            <w:pPr>
              <w:pStyle w:val="IsiTabel"/>
              <w:suppressAutoHyphens/>
              <w:jc w:val="left"/>
            </w:pPr>
            <w:r>
              <w:t xml:space="preserve">kuat menurut rubrik; Program (bukti kuat)</w:t>
            </w:r>
          </w:p>
        </w:tc>
        <w:tc>
          <w:tcPr>
            <w:tcW w:w="1500" w:type="dxa"/>
          </w:tcPr>
          <w:p>
            <w:pPr>
              <w:pStyle w:val="IsiTabel"/>
              <w:suppressAutoHyphens/>
              <w:jc w:val="left"/>
            </w:pPr>
            <w:r>
              <w:t xml:space="preserve">kematian </w:t>
            </w:r>
            <w:r>
              <w:t xml:space="preserve">500.300</w:t>
            </w:r>
            <w:r>
              <w:t xml:space="preserve"> (1970) ke </w:t>
            </w:r>
            <w:r>
              <w:t xml:space="preserve">4.234</w:t>
            </w:r>
            <w:r>
              <w:t xml:space="preserve"> (2007)</w:t>
            </w:r>
          </w:p>
        </w:tc>
        <w:tc>
          <w:tcPr>
            <w:tcW w:w="1510" w:type="dxa"/>
          </w:tcPr>
          <w:p>
            <w:pPr>
              <w:pStyle w:val="IsiTabel"/>
              <w:suppressAutoHyphens/>
              <w:jc w:val="left"/>
            </w:pPr>
            <w:r>
              <w:t xml:space="preserve">paket utuh, bukan satu komponen; atribusi belum diuji</w:t>
            </w:r>
          </w:p>
        </w:tc>
        <w:tc>
          <w:tcPr>
            <w:tcW w:w="2059" w:type="dxa"/>
          </w:tcPr>
          <w:p>
            <w:pPr>
              <w:pStyle w:val="IsiTabel"/>
              <w:suppressAutoHyphens/>
              <w:jc w:val="left"/>
            </w:pPr>
            <w:r>
              <w:t xml:space="preserve">relawan penanggulangan bencana, Destana, hilir InaTEWS; Sudah ada, perlu dikembangkan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Evakuasi siklon, Odisha</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44</w:t>
            </w:r>
            <w:r>
              <w:t xml:space="preserve"> meninggal Phailin 2013</w:t>
            </w:r>
          </w:p>
        </w:tc>
        <w:tc>
          <w:tcPr>
            <w:tcW w:w="1510" w:type="dxa"/>
          </w:tcPr>
          <w:p>
            <w:pPr>
              <w:pStyle w:val="IsiTabel"/>
              <w:suppressAutoHyphens/>
              <w:jc w:val="left"/>
            </w:pPr>
            <w:r>
              <w:t xml:space="preserve">pemicu evakuasi berbasis prakiraan</w:t>
            </w:r>
          </w:p>
        </w:tc>
        <w:tc>
          <w:tcPr>
            <w:tcW w:w="2059" w:type="dxa"/>
          </w:tcPr>
          <w:p>
            <w:pPr>
              <w:pStyle w:val="IsiTabel"/>
              <w:suppressAutoHyphens/>
              <w:jc w:val="left"/>
            </w:pPr>
            <w:r>
              <w:t xml:space="preserve">rencana kontinjensi dan RPKB; pemicu belum dibakukan</w:t>
            </w:r>
          </w:p>
        </w:tc>
        <w:tc>
          <w:tcPr>
            <w:tcW w:w="1526" w:type="dxa"/>
          </w:tcPr>
          <w:p>
            <w:pPr>
              <w:pStyle w:val="IsiTabel"/>
              <w:suppressAutoHyphens/>
              <w:jc w:val="left"/>
            </w:pPr>
            <w:r>
              <w:rPr>
                <w:b/>
                <w:bCs/>
                <w:color w:val="FFFFFF"/>
                <w:sz w:val="16"/>
                <w:szCs w:val="16"/>
                <w:shd w:val="clear" w:color="auto" w:fill="051C2C"/>
              </w:rPr>
              <w:t xml:space="preserve">  Resmi  </w:t>
            </w:r>
          </w:p>
        </w:tc>
      </w:tr>
      <w:tr>
        <w:trPr>
          <w:cantSplit/>
        </w:trPr>
        <w:tc>
          <w:tcPr>
            <w:tcW w:w="1710" w:type="dxa"/>
          </w:tcPr>
          <w:p>
            <w:pPr>
              <w:pStyle w:val="IsiTabel"/>
              <w:suppressAutoHyphens/>
              <w:jc w:val="left"/>
            </w:pPr>
            <w:r>
              <w:t xml:space="preserve">Pendidikan tsunami, Kamaishi</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99,8%</w:t>
            </w:r>
            <w:r>
              <w:t xml:space="preserve"> siswa selamat (2011)</w:t>
            </w:r>
          </w:p>
        </w:tc>
        <w:tc>
          <w:tcPr>
            <w:tcW w:w="1510" w:type="dxa"/>
          </w:tcPr>
          <w:p>
            <w:pPr>
              <w:pStyle w:val="IsiTabel"/>
              <w:suppressAutoHyphens/>
              <w:jc w:val="left"/>
            </w:pPr>
            <w:r>
              <w:t xml:space="preserve">gladi yang menuntut keputusan sendiri; satu kejadian</w:t>
            </w:r>
          </w:p>
        </w:tc>
        <w:tc>
          <w:tcPr>
            <w:tcW w:w="2059" w:type="dxa"/>
          </w:tcPr>
          <w:p>
            <w:pPr>
              <w:pStyle w:val="IsiTabel"/>
              <w:suppressAutoHyphens/>
              <w:jc w:val="left"/>
            </w:pPr>
            <w:r>
              <w:t xml:space="preserve">SPAB; belum terbukti</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Kode bangunan NCh433, Chile</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kegagalan </w:t>
            </w:r>
            <w:r>
              <w:t xml:space="preserve">0,5%</w:t>
            </w:r>
            <w:r>
              <w:t xml:space="preserve"> bangunan tiga lantai atau lebih (2010)</w:t>
            </w:r>
          </w:p>
        </w:tc>
        <w:tc>
          <w:tcPr>
            <w:tcW w:w="1510" w:type="dxa"/>
          </w:tcPr>
          <w:p>
            <w:pPr>
              <w:pStyle w:val="IsiTabel"/>
              <w:suppressAutoHyphens/>
              <w:jc w:val="left"/>
            </w:pPr>
            <w:r>
              <w:t xml:space="preserve">penegakan izin; rumah nonteknis tidak tersentuh</w:t>
            </w:r>
          </w:p>
        </w:tc>
        <w:tc>
          <w:tcPr>
            <w:tcW w:w="2059" w:type="dxa"/>
          </w:tcPr>
          <w:p>
            <w:pPr>
              <w:pStyle w:val="IsiTabel"/>
              <w:suppressAutoHyphens/>
              <w:jc w:val="left"/>
            </w:pPr>
            <w:r>
              <w:t xml:space="preserve">Renas PB 2.3.4.a; Sudah ada, perlu dikembangkan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CCRIF dan ARC</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63</w:t>
            </w:r>
            <w:r>
              <w:t xml:space="preserve"> pembayaran CCRIF; </w:t>
            </w:r>
            <w:r>
              <w:t xml:space="preserve">16</w:t>
            </w:r>
            <w:r>
              <w:t xml:space="preserve"> dari </w:t>
            </w:r>
            <w:r>
              <w:t xml:space="preserve">36</w:t>
            </w:r>
            <w:r>
              <w:t xml:space="preserve"> anggota ARC berpolis</w:t>
            </w:r>
          </w:p>
        </w:tc>
        <w:tc>
          <w:tcPr>
            <w:tcW w:w="1510" w:type="dxa"/>
          </w:tcPr>
          <w:p>
            <w:pPr>
              <w:pStyle w:val="IsiTabel"/>
              <w:suppressAutoHyphens/>
              <w:jc w:val="left"/>
            </w:pPr>
            <w:r>
              <w:t xml:space="preserve">pemicu parametrik yang cocok dengan kerugian nyata</w:t>
            </w:r>
          </w:p>
        </w:tc>
        <w:tc>
          <w:tcPr>
            <w:tcW w:w="2059" w:type="dxa"/>
          </w:tcPr>
          <w:p>
            <w:pPr>
              <w:pStyle w:val="IsiTabel"/>
              <w:suppressAutoHyphens/>
              <w:jc w:val="left"/>
            </w:pPr>
            <w:r>
              <w:t xml:space="preserve">Dana Bersama dan Asuransi Barang Milik Negara; Sudah ada, perlu dikembangkan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Hibah mitigasi FEMA, Amerika Serikat</w:t>
            </w:r>
          </w:p>
        </w:tc>
        <w:tc>
          <w:tcPr>
            <w:tcW w:w="1049" w:type="dxa"/>
          </w:tcPr>
          <w:p>
            <w:pPr>
              <w:pStyle w:val="IsiTabel"/>
              <w:suppressAutoHyphens/>
              <w:jc w:val="left"/>
            </w:pPr>
            <w:r>
              <w:t xml:space="preserve">sedang; Rujukan tata kelola</w:t>
            </w:r>
          </w:p>
        </w:tc>
        <w:tc>
          <w:tcPr>
            <w:tcW w:w="1500" w:type="dxa"/>
          </w:tcPr>
          <w:p>
            <w:pPr>
              <w:pStyle w:val="IsiTabel"/>
              <w:suppressAutoHyphens/>
              <w:jc w:val="left"/>
            </w:pPr>
            <w:r>
              <w:t xml:space="preserve">sekitar 6,0</w:t>
            </w:r>
            <w:r>
              <w:t xml:space="preserve"> dolar per dolar, hasil model</w:t>
            </w:r>
          </w:p>
        </w:tc>
        <w:tc>
          <w:tcPr>
            <w:tcW w:w="1510" w:type="dxa"/>
          </w:tcPr>
          <w:p>
            <w:pPr>
              <w:pStyle w:val="IsiTabel"/>
              <w:suppressAutoHyphens/>
              <w:jc w:val="left"/>
            </w:pPr>
            <w:r>
              <w:t xml:space="preserve">syarat analisis manfaat-biaya</w:t>
            </w:r>
          </w:p>
        </w:tc>
        <w:tc>
          <w:tcPr>
            <w:tcW w:w="2059" w:type="dxa"/>
          </w:tcPr>
          <w:p>
            <w:pPr>
              <w:pStyle w:val="IsiTabel"/>
              <w:suppressAutoHyphens/>
              <w:jc w:val="left"/>
            </w:pPr>
            <w:r>
              <w:t xml:space="preserve">Dana Bersama tanpa syarat manfaat-biaya</w:t>
            </w:r>
          </w:p>
        </w:tc>
        <w:tc>
          <w:tcPr>
            <w:tcW w:w="1526"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710" w:type="dxa"/>
          </w:tcPr>
          <w:p>
            <w:pPr>
              <w:pStyle w:val="IsiTabel"/>
              <w:keepNext/>
              <w:suppressAutoHyphens/>
              <w:jc w:val="left"/>
            </w:pPr>
            <w:bookmarkStart w:id="89" w:name="_Ekor008a"/>
            <w:bookmarkEnd w:id="89"/>
            <w:r>
              <w:t xml:space="preserve">Evakuasi preemptif, Filipina</w:t>
            </w:r>
          </w:p>
        </w:tc>
        <w:tc>
          <w:tcPr>
            <w:tcW w:w="1049" w:type="dxa"/>
          </w:tcPr>
          <w:p>
            <w:pPr>
              <w:pStyle w:val="IsiTabel"/>
              <w:keepNext/>
              <w:suppressAutoHyphens/>
              <w:jc w:val="left"/>
            </w:pPr>
            <w:r>
              <w:t xml:space="preserve">lemah; Pelajaran, bukan teladan</w:t>
            </w:r>
          </w:p>
        </w:tc>
        <w:tc>
          <w:tcPr>
            <w:tcW w:w="1500" w:type="dxa"/>
          </w:tcPr>
          <w:p>
            <w:pPr>
              <w:pStyle w:val="IsiTabel"/>
              <w:keepNext/>
              <w:suppressAutoHyphens/>
              <w:jc w:val="left"/>
            </w:pPr>
            <w:r>
              <w:t xml:space="preserve">klaim tanpa korban dari laporan pelaksana</w:t>
            </w:r>
          </w:p>
        </w:tc>
        <w:tc>
          <w:tcPr>
            <w:tcW w:w="1510" w:type="dxa"/>
          </w:tcPr>
          <w:p>
            <w:pPr>
              <w:pStyle w:val="IsiTabel"/>
              <w:keepNext/>
              <w:suppressAutoHyphens/>
              <w:jc w:val="left"/>
            </w:pPr>
            <w:r>
              <w:t xml:space="preserve">kekuatan topan dan keterpaparan tidak dikendalikan</w:t>
            </w:r>
          </w:p>
        </w:tc>
        <w:tc>
          <w:tcPr>
            <w:tcW w:w="2059" w:type="dxa"/>
          </w:tcPr>
          <w:p>
            <w:pPr>
              <w:pStyle w:val="IsiTabel"/>
              <w:keepNext/>
              <w:suppressAutoHyphens/>
              <w:jc w:val="left"/>
            </w:pPr>
            <w:r>
              <w:t xml:space="preserve">tidak dialihkan</w:t>
            </w:r>
          </w:p>
        </w:tc>
        <w:tc>
          <w:tcPr>
            <w:tcW w:w="15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keepNext/>
              <w:suppressAutoHyphens/>
              <w:jc w:val="left"/>
            </w:pPr>
            <w:r>
              <w:t xml:space="preserve">InaTEWS, nasional</w:t>
            </w:r>
          </w:p>
        </w:tc>
        <w:tc>
          <w:tcPr>
            <w:tcW w:w="1049" w:type="dxa"/>
          </w:tcPr>
          <w:p>
            <w:pPr>
              <w:pStyle w:val="IsiTabel"/>
              <w:keepNext/>
              <w:suppressAutoHyphens/>
              <w:jc w:val="left"/>
            </w:pPr>
            <w:r>
              <w:t xml:space="preserve">sedang di hulu; Program berjalan, wajib evaluasi dampak</w:t>
            </w:r>
          </w:p>
        </w:tc>
        <w:tc>
          <w:tcPr>
            <w:tcW w:w="1500" w:type="dxa"/>
          </w:tcPr>
          <w:p>
            <w:pPr>
              <w:pStyle w:val="IsiTabel"/>
              <w:keepNext/>
              <w:suppressAutoHyphens/>
              <w:jc w:val="left"/>
            </w:pPr>
            <w:r>
              <w:t xml:space="preserve">keterpenuhan hilir </w:t>
            </w:r>
            <w:r>
              <w:t xml:space="preserve">6%</w:t>
            </w:r>
          </w:p>
        </w:tc>
        <w:tc>
          <w:tcPr>
            <w:tcW w:w="1510" w:type="dxa"/>
          </w:tcPr>
          <w:p>
            <w:pPr>
              <w:pStyle w:val="IsiTabel"/>
              <w:keepNext/>
              <w:suppressAutoHyphens/>
              <w:jc w:val="left"/>
            </w:pPr>
            <w:r>
              <w:t xml:space="preserve">waktu tiba dan penerimaan warga belum dievaluasi</w:t>
            </w:r>
          </w:p>
        </w:tc>
        <w:tc>
          <w:tcPr>
            <w:tcW w:w="2059" w:type="dxa"/>
          </w:tcPr>
          <w:p>
            <w:pPr>
              <w:pStyle w:val="IsiTabel"/>
              <w:keepNext/>
              <w:suppressAutoHyphens/>
              <w:jc w:val="left"/>
            </w:pPr>
            <w:r>
              <w:t xml:space="preserve">program dalam negeri</w:t>
            </w:r>
          </w:p>
        </w:tc>
        <w:tc>
          <w:tcPr>
            <w:tcW w:w="15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710" w:type="dxa"/>
          </w:tcPr>
          <w:p>
            <w:pPr>
              <w:pStyle w:val="IsiTabel"/>
              <w:keepNext/>
              <w:suppressAutoHyphens/>
              <w:jc w:val="left"/>
            </w:pPr>
            <w:r>
              <w:t xml:space="preserve">Destana, nasional</w:t>
            </w:r>
          </w:p>
        </w:tc>
        <w:tc>
          <w:tcPr>
            <w:tcW w:w="1049" w:type="dxa"/>
          </w:tcPr>
          <w:p>
            <w:pPr>
              <w:pStyle w:val="IsiTabel"/>
              <w:keepNext/>
              <w:suppressAutoHyphens/>
              <w:jc w:val="left"/>
            </w:pPr>
            <w:r>
              <w:t xml:space="preserve">belum terbukti; Program berjalan, wajib evaluasi dampak</w:t>
            </w:r>
          </w:p>
        </w:tc>
        <w:tc>
          <w:tcPr>
            <w:tcW w:w="1500" w:type="dxa"/>
          </w:tcPr>
          <w:p>
            <w:pPr>
              <w:pStyle w:val="IsiTabel"/>
              <w:keepNext/>
              <w:suppressAutoHyphens/>
              <w:jc w:val="left"/>
            </w:pPr>
            <w:r>
              <w:t xml:space="preserve">2.234</w:t>
            </w:r>
            <w:r>
              <w:t xml:space="preserve"> desa/kelurahan (2024)</w:t>
            </w:r>
          </w:p>
        </w:tc>
        <w:tc>
          <w:tcPr>
            <w:tcW w:w="1510" w:type="dxa"/>
          </w:tcPr>
          <w:p>
            <w:pPr>
              <w:pStyle w:val="IsiTabel"/>
              <w:keepNext/>
              <w:suppressAutoHyphens/>
              <w:jc w:val="left"/>
            </w:pPr>
            <w:r>
              <w:t xml:space="preserve">tanpa garis dasar dan desa pembanding</w:t>
            </w:r>
          </w:p>
        </w:tc>
        <w:tc>
          <w:tcPr>
            <w:tcW w:w="2059" w:type="dxa"/>
          </w:tcPr>
          <w:p>
            <w:pPr>
              <w:pStyle w:val="IsiTabel"/>
              <w:keepNext/>
              <w:suppressAutoHyphens/>
              <w:jc w:val="left"/>
            </w:pPr>
            <w:r>
              <w:t xml:space="preserve">program dalam negeri (Perban BNPB 7/2025)</w:t>
            </w:r>
          </w:p>
        </w:tc>
        <w:tc>
          <w:tcPr>
            <w:tcW w:w="15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710" w:type="dxa"/>
          </w:tcPr>
          <w:p>
            <w:pPr>
              <w:pStyle w:val="IsiTabel"/>
              <w:keepNext/>
              <w:suppressAutoHyphens/>
              <w:jc w:val="left"/>
            </w:pPr>
            <w:bookmarkStart w:id="90" w:name="_Ekor008z"/>
            <w:bookmarkEnd w:id="90"/>
            <w:r>
              <w:t xml:space="preserve">SPAB, nasional</w:t>
            </w:r>
          </w:p>
        </w:tc>
        <w:tc>
          <w:tcPr>
            <w:tcW w:w="1049" w:type="dxa"/>
          </w:tcPr>
          <w:p>
            <w:pPr>
              <w:pStyle w:val="IsiTabel"/>
              <w:keepNext/>
              <w:suppressAutoHyphens/>
              <w:jc w:val="left"/>
            </w:pPr>
            <w:r>
              <w:t xml:space="preserve">belum terbukti; Program berjalan, wajib evaluasi dampak</w:t>
            </w:r>
          </w:p>
        </w:tc>
        <w:tc>
          <w:tcPr>
            <w:tcW w:w="1500" w:type="dxa"/>
          </w:tcPr>
          <w:p>
            <w:pPr>
              <w:pStyle w:val="IsiTabel"/>
              <w:keepNext/>
              <w:suppressAutoHyphens/>
              <w:jc w:val="left"/>
            </w:pPr>
            <w:r>
              <w:t xml:space="preserve">4.433.262</w:t>
            </w:r>
            <w:r>
              <w:t xml:space="preserve"> peserta didik (2024)</w:t>
            </w:r>
          </w:p>
        </w:tc>
        <w:tc>
          <w:tcPr>
            <w:tcW w:w="1510" w:type="dxa"/>
          </w:tcPr>
          <w:p>
            <w:pPr>
              <w:pStyle w:val="IsiTabel"/>
              <w:keepNext/>
              <w:suppressAutoHyphens/>
              <w:jc w:val="left"/>
            </w:pPr>
            <w:r>
              <w:t xml:space="preserve">tanpa evaluasi berpembanding</w:t>
            </w:r>
          </w:p>
        </w:tc>
        <w:tc>
          <w:tcPr>
            <w:tcW w:w="2059" w:type="dxa"/>
          </w:tcPr>
          <w:p>
            <w:pPr>
              <w:pStyle w:val="IsiTabel"/>
              <w:keepNext/>
              <w:suppressAutoHyphens/>
              <w:jc w:val="left"/>
            </w:pPr>
            <w:r>
              <w:t xml:space="preserve">program dalam negeri</w:t>
            </w:r>
          </w:p>
        </w:tc>
        <w:tc>
          <w:tcPr>
            <w:tcW w:w="15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Kompendium program kajian ini dengan rubrik kekuatan bukti, dihitung 24 Okt 2026 </w:t>
      </w:r>
      <w:r>
        <w:rPr>
          <w:color w:val="6B7280"/>
          <w:sz w:val="17"/>
          <w:szCs w:val="17"/>
        </w:rPr>
        <w:t xml:space="preserve">(Haque dkk., 2012; Government of Odisha, 2013; Japan Science and Technology Agency, 2016; Tomás Guendelman, 2012; Artemis, 2023; Oxford Policy Management, 2022; FEMA Federal Insurance and Mitigation Administration, 2018; Badan Meteorologi, Klimatologi, dan Geofisika, 2018; BNPB, 2025c)</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Program luar negeri tidak diberi status usulan; kolom padanan menyebut program Indonesia yang setara beserta statusnya. Baris program dalam negeri berbukti lemah lainnya (Masyarakat Peduli Api dan Desa Bebas Api, sekat kanal, Rekompak, Badan Rehabilitasi dan Rekonstruksi Aceh-Nias, rehabilitasi-rekonstruksi Lombok) diuraikan di Bab 11.</w:t>
      </w:r>
    </w:p>
    <w:p>
      <w:pPr>
        <w:pStyle w:val="Heading2"/>
      </w:pPr>
      <w:bookmarkStart w:id="92" w:name="_Toc00042"/>
      <w:bookmarkStart w:id="91" w:name="_Ref0182"/>
      <w:r>
        <w:t xml:space="preserve">2.6</w:t>
      </w:r>
      <w:bookmarkEnd w:id="91"/>
      <w:r>
        <w:tab/>
      </w:r>
      <w:r>
        <w:t xml:space="preserve">Metode Kerugian</w:t>
      </w:r>
      <w:bookmarkEnd w:id="92"/>
    </w:p>
    <w:p>
      <w:pPr>
        <w:pStyle w:val="IsiTemuan"/>
      </w:pPr>
      <w:r>
        <w:rPr>
          <w:b/>
          <w:bCs/>
          <w:color w:val="051C2C"/>
        </w:rPr>
        <w:t xml:space="preserve">Perka BNPB 15/2011 adalah pedoman pengkajian kebutuhan pascabencana yang menggabungkan metode Damage and Loss Assessment (DaLA) dan Human Recovery Need Assessment (HRNA)</w:t>
      </w:r>
      <w:r>
        <w:t xml:space="preserve"> </w:t>
      </w:r>
      <w:r>
        <w:t xml:space="preserve">(BNPB, 2011a)</w:t>
      </w:r>
      <w:r>
        <w:t xml:space="preserve">. Alurnya bergerak dari pengkajian akibat dan dampak ke pengkajian kebutuhan pemulihan, dengan nilai kerusakan dihitung sebagai jumlah unit fisik rusak dikalikan harga satuan. Perban BNPB 5/2017 Pasal 1 angka 5 mendefinisikan Jitupasna sebagai "suatu rangkaian kegiatan pengkajian dan penilaian akibat, analisis dampak, perkiraan kebutuhan, dan rekomendasi awal terhadap strategi pemulihan" yang menjadi dasar Rencana Rehabilitasi dan Rekonstruksi Pascabencana (R3P) </w:t>
      </w:r>
      <w:r>
        <w:t xml:space="preserve">(BNPB, 2017a)</w:t>
      </w:r>
      <w:r>
        <w:t xml:space="preserve">. Pasal 8 ayat (1) huruf b menjadikannya isi wajib R3P, dan Pasal 9 ayat (6) mengamanatkan petunjuk pelaksanaan yang belum teridentifikasi di korpus.</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Istilah Jitupasna tidak tercantum dalam teks Perka BNPB 15/2011; dasar hukumnya ditulis "pengkajian kebutuhan pascabencana (Jitupasna; Perka BNPB 15/2011 dan Perban BNPB 5/2017)".</w:t>
            </w:r>
          </w:p>
        </w:tc>
      </w:tr>
    </w:tbl>
    <w:p>
      <w:pPr>
        <w:pStyle w:val="Jarak"/>
      </w:pPr>
    </w:p>
    <w:p>
      <w:pPr>
        <w:pStyle w:val="Isi"/>
      </w:pPr>
      <w:r>
        <w:t xml:space="preserve">Post-Disaster Needs Assessment (PDNA) Guidelines Volume A (2013) yang disusun Uni Eropa, United Nations Development Group, dan Bank Dunia memakai metode yang dikembangkan Economic Commission for Latin America and the Caribbean </w:t>
      </w:r>
      <w:r>
        <w:t xml:space="preserve">(European Union, 2013)</w:t>
      </w:r>
      <w:r>
        <w:t xml:space="preserve">. Kerusakan aset dinilai dalam satuan fisik lalu dinyatakan sebagai biaya penggantian, sedangkan kerugian ekonomi adalah perubahan aliran ekonomi sampai pemulihan dan rekonstruksi selesai.</w:t>
      </w:r>
    </w:p>
    <w:p>
      <w:pPr>
        <w:pStyle w:val="IsiTemuan"/>
      </w:pPr>
      <w:r>
        <w:rPr>
          <w:b/>
          <w:bCs/>
          <w:color w:val="051C2C"/>
        </w:rPr>
        <w:t xml:space="preserve">R3P Gempa Cianjur 2022 memisahkan kerusakan </w:t>
      </w:r>
      <w:r>
        <w:rPr>
          <w:b/>
          <w:bCs/>
          <w:color w:val="051C2C"/>
        </w:rPr>
        <w:t xml:space="preserve">Rp4 triliun</w:t>
      </w:r>
      <w:r>
        <w:rPr>
          <w:b/>
          <w:bCs/>
          <w:color w:val="051C2C"/>
        </w:rPr>
        <w:t xml:space="preserve">, kerugian </w:t>
      </w:r>
      <w:r>
        <w:rPr>
          <w:b/>
          <w:bCs/>
          <w:color w:val="051C2C"/>
        </w:rPr>
        <w:t xml:space="preserve">Rp570 miliar</w:t>
      </w:r>
      <w:r>
        <w:rPr>
          <w:b/>
          <w:bCs/>
          <w:color w:val="051C2C"/>
        </w:rPr>
        <w:t xml:space="preserve">, dan kebutuhan pemulihan </w:t>
      </w:r>
      <w:r>
        <w:rPr>
          <w:b/>
          <w:bCs/>
          <w:color w:val="051C2C"/>
        </w:rPr>
        <w:t xml:space="preserve">Rp5,1 triliun</w:t>
      </w:r>
      <w:r>
        <w:rPr>
          <w:b/>
          <w:bCs/>
          <w:color w:val="051C2C"/>
        </w:rPr>
        <w:t xml:space="preserve"> untuk 2023–2025</w:t>
      </w:r>
      <w:r>
        <w:t xml:space="preserve"> </w:t>
      </w:r>
      <w:r>
        <w:t xml:space="preserve">(Pemerintah Kabupaten Cianjur, 2022)</w:t>
      </w:r>
      <w:r>
        <w:t xml:space="preserve">. Kerusakan perumahan mencapai </w:t>
      </w:r>
      <w:r>
        <w:t xml:space="preserve">Rp3,2 triliun</w:t>
      </w:r>
      <w:r>
        <w:t xml:space="preserve">, dan berkas itu berstatus contoh dokumen tanpa nomor penetapan. Korban meninggal tercatat </w:t>
      </w:r>
      <w:r>
        <w:t xml:space="preserve">334 jiwa</w:t>
      </w:r>
      <w:r>
        <w:t xml:space="preserve"> menurut data Badan Penanggulangan Bencana Daerah (BPBD) 7 Desember 2022 di dokumen itu, sedangkan DIBI kini mencatat </w:t>
      </w:r>
      <w:r>
        <w:t xml:space="preserve">602 jiwa</w:t>
      </w:r>
      <w:r>
        <w:t xml:space="preserve"> </w:t>
      </w:r>
      <w:r>
        <w:t xml:space="preserve">(BNPB, t.t.-a)</w:t>
      </w:r>
      <w:r>
        <w:t xml:space="preserve">. Kedua angka ditulis berdampingan dengan tanggal datanya, karena dokumen pendataan ulang korban dan catatan pemutakhiran DIBI belum dibuka. Untuk Lombok 2018, total kebutuhan R3P </w:t>
      </w:r>
      <w:r>
        <w:t xml:space="preserve">Rp11,4 triliun</w:t>
      </w:r>
      <w:r>
        <w:t xml:space="preserve"> dengan realisasi </w:t>
      </w:r>
      <w:r>
        <w:t xml:space="preserve">94,73%</w:t>
      </w:r>
      <w:r>
        <w:t xml:space="preserve"> per 11 September 2023 </w:t>
      </w:r>
      <w:r>
        <w:t xml:space="preserve">(Kementerian Koordinator Bidang Pembangunan Manusia dan Kebudayaan [Kemenko PMK], 2024)</w:t>
      </w:r>
      <w:r>
        <w:t xml:space="preserve">; dokumen R3P Lombok dan Sulawesi Tengah tidak ditemukan.</w:t>
      </w:r>
    </w:p>
    <w:p>
      <w:pPr>
        <w:pStyle w:val="IsiTemuan"/>
      </w:pPr>
      <w:r>
        <w:rPr>
          <w:b/>
          <w:bCs/>
          <w:color w:val="051C2C"/>
        </w:rPr>
        <w:t xml:space="preserve">Kajian ini memakai tiga besaran kerugian materiil yang tidak dijumlah, masing-masing dengan padanan kategori PDNA</w:t>
      </w:r>
      <w:r>
        <w:t xml:space="preserve"> </w:t>
      </w:r>
      <w:r>
        <w:t xml:space="preserve">(BNPB, 2011a; European Union, 2013)</w:t>
      </w:r>
      <w:r>
        <w:t xml:space="preserve">:</w:t>
      </w:r>
    </w:p>
    <w:p>
      <w:pPr>
        <w:pStyle w:val="Daftar"/>
        <w:numPr>
          <w:ilvl w:val="0"/>
          <w:numId w:val="1"/>
        </w:numPr>
      </w:pPr>
      <w:r>
        <w:t xml:space="preserve">Potensi kerugian KRB sebelum kejadian, setara nilai aset terpapar.</w:t>
      </w:r>
    </w:p>
    <w:p>
      <w:pPr>
        <w:pStyle w:val="Daftar"/>
        <w:numPr>
          <w:ilvl w:val="0"/>
          <w:numId w:val="1"/>
        </w:numPr>
      </w:pPr>
      <w:r>
        <w:t xml:space="preserve">Kerusakan dan kerugian kejadian analog dari dokumen penilaian pascabencana.</w:t>
      </w:r>
    </w:p>
    <w:p>
      <w:pPr>
        <w:pStyle w:val="Daftar"/>
        <w:numPr>
          <w:ilvl w:val="0"/>
          <w:numId w:val="1"/>
        </w:numPr>
      </w:pPr>
      <w:r>
        <w:t xml:space="preserve">Kebutuhan stimulan rumah untuk jenis yang merusak rumah, setara sebagian kebutuhan pemulihan.</w:t>
      </w:r>
    </w:p>
    <w:p>
      <w:pPr>
        <w:pStyle w:val="Isi"/>
      </w:pPr>
      <w:r>
        <w:t xml:space="preserve">Satu-satunya angka tercatat resmi yang sejenis dengan potensi kerugian KRB adalah indikator kerugian ekonomi langsung terhadap PDB, yaitu </w:t>
      </w:r>
      <w:r>
        <w:t xml:space="preserve">0,140%</w:t>
      </w:r>
      <w:r>
        <w:t xml:space="preserve"> pada 2022 dan proyeksi </w:t>
      </w:r>
      <w:r>
        <w:t xml:space="preserve">0,137%</w:t>
      </w:r>
      <w:r>
        <w:t xml:space="preserve"> pada 2025 </w:t>
      </w:r>
      <w:r>
        <w:t xml:space="preserve">(Republik Indonesia, 2025b)</w:t>
      </w:r>
      <w:r>
        <w:t xml:space="preserve">. Metode hitung indikator itu tidak dijelaskan di Renas PB maupun RPJMN, dan seri rupiah kerugian tercatat per kejadian tidak tersedia.</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Kerugian imateriil dinyatakan dalam satuan fisik dari DIBI, yaitu korban meninggal dan hilang serta pengungsi dan pengungsi-hari, sedangkan </w:t>
      </w:r>
      <w:r>
        <w:rPr>
          <w:b/>
          <w:bCs/>
          <w:i/>
          <w:iCs/>
          <w:color w:val="051C2C"/>
        </w:rPr>
        <w:t xml:space="preserve">years of life lost</w:t>
      </w:r>
      <w:r>
        <w:rPr>
          <w:b/>
          <w:bCs/>
          <w:color w:val="051C2C"/>
        </w:rPr>
        <w:t xml:space="preserve"> (YLL) hanya muncul di lampiran metode</w:t>
      </w:r>
      <w:r>
        <w:t xml:space="preserve"> </w:t>
      </w:r>
      <w:r>
        <w:t xml:space="preserve">(BNPB, t.t.-a, 2023j)</w:t>
      </w:r>
      <w:r>
        <w:t xml:space="preserve">. DIBI mencatat korban meninggal sebagai nominal terakhir serta pengungsi dan penderita sebagai nominal terbesar selama tanggap darurat; pengungsi-hari dihitung dari rentang durasi karena tidak tercatat langsung. </w:t>
      </w:r>
      <w:r>
        <w:rPr>
          <w:i/>
          <w:iCs/>
        </w:rPr>
        <w:t xml:space="preserve">Disability-adjusted life years</w:t>
      </w:r>
      <w:r>
        <w:t xml:space="preserve"> (DALY) tidak dihitung. Komponen disabilitasnya, </w:t>
      </w:r>
      <w:r>
        <w:rPr>
          <w:i/>
          <w:iCs/>
        </w:rPr>
        <w:t xml:space="preserve">years lived with disability</w:t>
      </w:r>
      <w:r>
        <w:t xml:space="preserve">, menurut WHO dihitung dari prevalensi kondisi nonfatal dikalikan bobot disabilitas </w:t>
      </w:r>
      <w:r>
        <w:t xml:space="preserve">(World Health Organization, 2026d)</w:t>
      </w:r>
      <w:r>
        <w:t xml:space="preserve">. Kolom luka dan sakit di DIBI tidak stabil antartahun dan banyak tidak terisi, dan bobot disabilitas per kejadian tidak tersedia; kesimpulan bahwa DALY tidak dapat dihitung adalah penilaian penyusun. Nilai statistik nyawa dalam rupiah tidak dipakai di badan teks karena sumbernya belum terbuka.</w:t>
      </w:r>
    </w:p>
    <w:p>
      <w:pPr>
        <w:pBdr>
          <w:top w:val="single" w:sz="16" w:space="0" w:color="D9600B"/>
        </w:pBdr>
        <w:spacing w:before="0" w:after="80" w:line="60" w:lineRule="exact"/>
        <w:ind w:right="8674"/>
      </w:pPr>
    </w:p>
    <w:p>
      <w:pPr>
        <w:pStyle w:val="Heading1"/>
        <w:numPr>
          <w:ilvl w:val="0"/>
          <w:numId w:val="903"/>
        </w:numPr>
      </w:pPr>
      <w:bookmarkStart w:id="94" w:name="_Toc00043"/>
      <w:r>
        <w:rPr>
          <w:sz w:val="18"/>
          <w:szCs w:val="18"/>
        </w:rPr>
        <w:br/>
      </w:r>
      <w:bookmarkStart w:id="93" w:name="_Ref0007"/>
      <w:r>
        <w:t xml:space="preserve">METODOLOGI</w:t>
      </w:r>
      <w:bookmarkEnd w:id="93"/>
      <w:bookmarkEnd w:id="94"/>
    </w:p>
    <w:p>
      <w:pPr>
        <w:pStyle w:val="Pertanyaan"/>
      </w:pPr>
      <w:r>
        <w:t xml:space="preserve">Bagaimana IRBI dan DIBI dibaca tanpa membandingkan skala yang patah? Bagaimana skenario terburuk, lantai, kemungkinan, dampak, dan kerugian didefinisikan untuk semua jenis bencana, dan dengan label keyakinan apa? Angka mana yang berbeda versi, dan versi mana yang dipakai?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9" name="Gambar 19"/>
                  <wp:cNvGraphicFramePr>
                    <a:graphicFrameLocks noChangeAspect="1"/>
                  </wp:cNvGraphicFramePr>
                  <a:graphic>
                    <a:graphicData uri="http://schemas.openxmlformats.org/drawingml/2006/picture">
                      <pic:pic>
                        <pic:nvPicPr>
                          <pic:cNvPr id="19"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Indeks Risiko Bencana Indonesia (IRBI) 2025 tidak sebanding dengan IRBI 2015–2024: rerata nasional naik </w:t>
            </w:r>
            <w:r>
              <w:t xml:space="preserve">19,43</w:t>
            </w:r>
            <w:r>
              <w:t xml:space="preserve"> poin menjadi </w:t>
            </w:r>
            <w:r>
              <w:t xml:space="preserve">147,95</w:t>
            </w:r>
            <w:r>
              <w:t xml:space="preserve"> dan korelasi peringkat kab/kota dengan 2024 hanya </w:t>
            </w:r>
            <w:r>
              <w:t xml:space="preserve">0,589</w:t>
            </w:r>
            <w:r>
              <w:t xml:space="preserve">, sehingga capaian penurunan indeks risiko bencana (IRB) 2025 belum dapat dinilai.</w:t>
            </w:r>
          </w:p>
          <w:p>
            <w:pPr>
              <w:pStyle w:val="DaftarKotak"/>
              <w:numPr>
                <w:ilvl w:val="0"/>
                <w:numId w:val="1"/>
              </w:numPr>
            </w:pPr>
            <w:r>
              <w:t xml:space="preserve">Lantai musim hujan nasional menurut Data dan Informasi Bencana Indonesia (DIBI) adalah </w:t>
            </w:r>
            <w:r>
              <w:t xml:space="preserve">1.692 jiwa</w:t>
            </w:r>
            <w:r>
              <w:t xml:space="preserve"> meninggal dan hilang pada 2025/2026, di atas batas tinggi semua pita model; lantai per jenis belum dapat ditetapkan.</w:t>
            </w:r>
          </w:p>
          <w:p>
            <w:pPr>
              <w:pStyle w:val="DaftarKotak"/>
              <w:numPr>
                <w:ilvl w:val="0"/>
                <w:numId w:val="1"/>
              </w:numPr>
            </w:pPr>
            <w:r>
              <w:t xml:space="preserve">Kejadian bencana nasional 2024 tercatat dalam delapan versi; versi resmi primer berkisar </w:t>
            </w:r>
            <w:r>
              <w:t xml:space="preserve">3.472</w:t>
            </w:r>
            <w:r>
              <w:t xml:space="preserve"> sampai </w:t>
            </w:r>
            <w:r>
              <w:t xml:space="preserve">3.636</w:t>
            </w:r>
            <w:r>
              <w:t xml:space="preserve"> kejadian menurut cakupannya, dan baseline resmi kapasitas daerah adalah </w:t>
            </w:r>
            <w:r>
              <w:t xml:space="preserve">62%</w:t>
            </w:r>
            <w:r>
              <w:t xml:space="preserve"> pada 2023, bukan </w:t>
            </w:r>
            <w:r>
              <w:t xml:space="preserve">67%</w:t>
            </w:r>
            <w:r>
              <w:t xml:space="preserve">.</w:t>
            </w:r>
          </w:p>
          <w:p>
            <w:pPr>
              <w:pStyle w:val="IsiKotak"/>
            </w:pPr>
            <w:r>
              <w:rPr>
                <w:b/>
                <w:bCs/>
                <w:color w:val="1A1A1A"/>
              </w:rPr>
              <w:t xml:space="preserve">Angka kunci: </w:t>
            </w:r>
          </w:p>
          <w:p>
            <w:pPr>
              <w:pStyle w:val="DaftarKotak"/>
              <w:numPr>
                <w:ilvl w:val="0"/>
                <w:numId w:val="1"/>
              </w:numPr>
            </w:pPr>
            <w:r>
              <w:t xml:space="preserve">-0,31</w:t>
            </w:r>
            <w:r>
              <w:t xml:space="preserve"> korelasi peringkat IRBI 2025 banjir dengan jumlah laporan banjir DIBI 2015–2025 per kab/kota (pengolahan data InaRISK dan DIBI, Badan Nasional Penanggulangan Bencana atau BNPB).</w:t>
            </w:r>
          </w:p>
          <w:p>
            <w:pPr>
              <w:pStyle w:val="DaftarKotak"/>
              <w:numPr>
                <w:ilvl w:val="0"/>
                <w:numId w:val="1"/>
              </w:numPr>
            </w:pPr>
            <w:r>
              <w:t xml:space="preserve">23,7%</w:t>
            </w:r>
            <w:r>
              <w:t xml:space="preserve"> peluang paling sedikit satu musim hujan seburuk lantai dalam lima musim, pita keempat </w:t>
            </w:r>
            <w:r>
              <w:rPr>
                <w:i/>
                <w:iCs/>
              </w:rPr>
              <w:t xml:space="preserve">National Risk Register</w:t>
            </w:r>
            <w:r>
              <w:t xml:space="preserve"> (NRR) (pengolahan data DIBI BNPB).</w:t>
            </w:r>
          </w:p>
          <w:p>
            <w:pPr>
              <w:pStyle w:val="DaftarKotak"/>
              <w:numPr>
                <w:ilvl w:val="0"/>
                <w:numId w:val="1"/>
              </w:numPr>
            </w:pPr>
            <w:r>
              <w:t xml:space="preserve">253</w:t>
            </w:r>
            <w:r>
              <w:t xml:space="preserve"> kab/kota masuk daftar perhatian banjir, sedangkan kekeringan </w:t>
            </w:r>
            <w:r>
              <w:t xml:space="preserve">9</w:t>
            </w:r>
            <w:r>
              <w:t xml:space="preserve"> kab/kota (pengolahan data IRBI 2025 dan DIBI 2015–2025).</w:t>
            </w:r>
          </w:p>
          <w:p>
            <w:pPr>
              <w:pStyle w:val="IsiKotak"/>
            </w:pPr>
            <w:r>
              <w:rPr>
                <w:b/>
                <w:bCs/>
                <w:color w:val="1A1A1A"/>
              </w:rPr>
              <w:t xml:space="preserve">Rekomendasi: </w:t>
            </w:r>
            <w:r>
              <w:fldChar w:fldCharType="begin"/>
            </w:r>
            <w:r>
              <w:instrText xml:space="preserve"> REF _Ref0086 \h \* CHARFORMAT </w:instrText>
            </w:r>
            <w:r>
              <w:fldChar w:fldCharType="separate"/>
            </w:r>
            <w:r>
              <w:t xml:space="preserve">10</w:t>
            </w:r>
            <w:r>
              <w:fldChar w:fldCharType="end"/>
            </w:r>
            <w:r>
              <w:t xml:space="preserve">, </w:t>
            </w:r>
            <w:r>
              <w:fldChar w:fldCharType="begin"/>
            </w:r>
            <w:r>
              <w:instrText xml:space="preserve"> REF _Ref0093 \h \* CHARFORMAT </w:instrText>
            </w:r>
            <w:r>
              <w:fldChar w:fldCharType="separate"/>
            </w:r>
            <w:r>
              <w:t xml:space="preserve">20</w:t>
            </w:r>
            <w:r>
              <w:fldChar w:fldCharType="end"/>
            </w:r>
            <w:r>
              <w:t xml:space="preserve">, </w:t>
            </w:r>
            <w:r>
              <w:fldChar w:fldCharType="begin"/>
            </w:r>
            <w:r>
              <w:instrText xml:space="preserve"> REF _Ref0105 \h \* CHARFORMAT </w:instrText>
            </w:r>
            <w:r>
              <w:fldChar w:fldCharType="separate"/>
            </w:r>
            <w:r>
              <w:t xml:space="preserve">30</w:t>
            </w:r>
            <w:r>
              <w:fldChar w:fldCharType="end"/>
            </w:r>
          </w:p>
        </w:tc>
      </w:tr>
    </w:tbl>
    <w:p>
      <w:pPr>
        <w:pStyle w:val="Jarak"/>
      </w:pPr>
    </w:p>
    <w:p>
      <w:pPr>
        <w:pStyle w:val="Caption"/>
      </w:pPr>
      <w:bookmarkStart w:id="96" w:name="_Toc00044"/>
      <w:bookmarkStart w:id="95" w:name="_Ref001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95"/>
      <w:r>
        <w:rPr>
          <w:b/>
          <w:bCs/>
          <w:color w:val="051C2C"/>
        </w:rPr>
        <w:t xml:space="preserve"> </w:t>
      </w:r>
      <w:r>
        <w:t xml:space="preserve">Citra satelit asap kebakaran di atas Kalimantan, Kalimantan, 15 September 2019</w:t>
      </w:r>
      <w:bookmarkEnd w:id="96"/>
    </w:p>
    <w:p xmlns:a="http://schemas.openxmlformats.org/drawingml/2006/main" xmlns:pic="http://schemas.openxmlformats.org/drawingml/2006/picture">
      <w:pPr>
        <w:keepNext/>
        <w:spacing w:after="0" w:line="240" w:lineRule="auto"/>
        <w:jc w:val="center"/>
      </w:pPr>
      <w:bookmarkStart w:id="97" w:name="_Obj0008"/>
      <w:r>
        <w:drawing>
          <wp:inline distT="0" distB="0" distL="0" distR="0">
            <wp:extent cx="5940000" cy="2970000"/>
            <wp:effectExtent l="0" t="0" r="0" b="0"/>
            <wp:docPr id="20" name="Gambar 20"/>
            <wp:cNvGraphicFramePr>
              <a:graphicFrameLocks noChangeAspect="1"/>
            </wp:cNvGraphicFramePr>
            <a:graphic>
              <a:graphicData uri="http://schemas.openxmlformats.org/drawingml/2006/picture">
                <pic:pic>
                  <pic:nvPicPr>
                    <pic:cNvPr id="20" name="mit-b03-citra-asap.jpg"/>
                    <pic:cNvPicPr/>
                  </pic:nvPicPr>
                  <pic:blipFill>
                    <a:blip r:embed="rId26"/>
                    <a:stretch>
                      <a:fillRect/>
                    </a:stretch>
                  </pic:blipFill>
                  <pic:spPr>
                    <a:xfrm>
                      <a:off x="0" y="0"/>
                      <a:ext cx="5940000" cy="2970000"/>
                    </a:xfrm>
                    <a:prstGeom prst="rect">
                      <a:avLst/>
                    </a:prstGeom>
                  </pic:spPr>
                </pic:pic>
              </a:graphicData>
            </a:graphic>
          </wp:inline>
        </w:drawing>
      </w:r>
      <w:bookmarkEnd w:id="97"/>
    </w:p>
    <w:p>
      <w:pPr>
        <w:pStyle w:val="Sumber"/>
      </w:pPr>
      <w:r>
        <w:rPr>
          <w:b/>
          <w:bCs/>
          <w:color w:val="6B7280"/>
          <w:sz w:val="17"/>
          <w:szCs w:val="17"/>
        </w:rPr>
        <w:t xml:space="preserve">Sumber: </w:t>
      </w:r>
      <w:r>
        <w:rPr>
          <w:color w:val="6B7280"/>
          <w:sz w:val="17"/>
          <w:szCs w:val="17"/>
        </w:rPr>
        <w:t xml:space="preserve">Wikimedia Commons, NASA Earth Observatory, Joshua Stevens (LANCE MODIS Rapid Response), PD</w:t>
      </w:r>
    </w:p>
    <w:p>
      <w:pPr>
        <w:pStyle w:val="Heading2"/>
      </w:pPr>
      <w:bookmarkStart w:id="99" w:name="_Toc00045"/>
      <w:bookmarkStart w:id="98" w:name="_Ref0117"/>
      <w:r>
        <w:t xml:space="preserve">3.1</w:t>
      </w:r>
      <w:bookmarkEnd w:id="98"/>
      <w:r>
        <w:tab/>
      </w:r>
      <w:r>
        <w:t xml:space="preserve">Data, Produsen, dan Label Keyakinan</w:t>
      </w:r>
      <w:bookmarkEnd w:id="99"/>
    </w:p>
    <w:p>
      <w:pPr>
        <w:pStyle w:val="IsiTemuan"/>
      </w:pPr>
      <w:r>
        <w:rPr>
          <w:b/>
          <w:bCs/>
          <w:color w:val="051C2C"/>
        </w:rPr>
        <w:t xml:space="preserve">Dari sepuluh kelompok data kajian, hanya tiga yang dihasilkan produsen Data Bencana menurut Peraturan Badan (Perban) BNPB 1/2023, yaitu DIBI, IRBI, dan Kajian Risiko Bencana (KRB) 2022–2026.</w:t>
      </w:r>
      <w:r>
        <w:t xml:space="preserve"> Peraturan itu menetapkan unit kerja di lingkungan BNPB sebagai Produsen Data Bencana </w:t>
      </w:r>
      <w:r>
        <w:t xml:space="preserve">(BNPB, 2023b, hlm. 2)</w:t>
      </w:r>
      <w:r>
        <w:t xml:space="preserve">. DIBI ditarik dari dasbor publik Pusat Data, Informasi, dan Komunikasi Kebencanaan (Pusdatinkom) pada 23 Oktober 2026 </w:t>
      </w:r>
      <w:r>
        <w:t xml:space="preserve">(BNPB, t.t.-a)</w:t>
      </w:r>
      <w:r>
        <w:t xml:space="preserve">; IRBI dan KRB berasal dari InaRISK </w:t>
      </w:r>
      <w:r>
        <w:t xml:space="preserve">(BNPB, t.t.-b, 2026j)</w:t>
      </w:r>
      <w:r>
        <w:t xml:space="preserve">. Lembaga lain pada </w:t>
      </w:r>
      <w:r>
        <w:fldChar w:fldCharType="begin"/>
      </w:r>
      <w:r>
        <w:instrText xml:space="preserve"> REF _Ref0328 \h \* CHARFORMAT </w:instrText>
      </w:r>
      <w:r>
        <w:fldChar w:fldCharType="separate"/>
      </w:r>
      <w:r>
        <w:t xml:space="preserve">Tabel 3.1</w:t>
      </w:r>
      <w:r>
        <w:fldChar w:fldCharType="end"/>
      </w:r>
      <w:r>
        <w:t xml:space="preserve"> adalah penerbit. Keluaran simulasi Pantau Bencana bukan Data Bencana, sehingga selalu berlabel Estimasi model dengan pernyataan produsen.</w:t>
      </w:r>
    </w:p>
    <w:p>
      <w:pPr>
        <w:pStyle w:val="Caption"/>
      </w:pPr>
      <w:bookmarkStart w:id="101" w:name="_Toc00046"/>
      <w:bookmarkStart w:id="100" w:name="_Ref032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00"/>
      <w:r>
        <w:rPr>
          <w:b/>
          <w:bCs/>
          <w:color w:val="051C2C"/>
        </w:rPr>
        <w:t xml:space="preserve"> </w:t>
      </w:r>
      <w:r>
        <w:t xml:space="preserve">Sumber data, penerbit, cakupan, dan label keyakinan kajian mitigasi bencana Indonesia, 1950–2026</w:t>
      </w:r>
      <w:bookmarkEnd w:id="10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23"/>
        <w:gridCol w:w="1398"/>
        <w:gridCol w:w="1949"/>
        <w:gridCol w:w="1525"/>
        <w:gridCol w:w="1359"/>
      </w:tblGrid>
      <w:tr>
        <w:trPr>
          <w:cantSplit/>
          <w:tblHeader/>
        </w:trPr>
        <w:tc>
          <w:tcPr>
            <w:tcW w:w="3123" w:type="dxa"/>
            <w:shd w:val="clear" w:color="auto" w:fill="051C2C"/>
            <w:vAlign w:val="center"/>
          </w:tcPr>
          <w:p>
            <w:pPr>
              <w:pStyle w:val="KepalaTabel"/>
              <w:suppressAutoHyphens/>
            </w:pPr>
            <w:r>
              <w:t xml:space="preserve">DATA</w:t>
            </w:r>
          </w:p>
        </w:tc>
        <w:tc>
          <w:tcPr>
            <w:tcW w:w="1398" w:type="dxa"/>
            <w:shd w:val="clear" w:color="auto" w:fill="051C2C"/>
            <w:vAlign w:val="center"/>
          </w:tcPr>
          <w:p>
            <w:pPr>
              <w:pStyle w:val="KepalaTabel"/>
              <w:suppressAutoHyphens/>
            </w:pPr>
            <w:r>
              <w:t xml:space="preserve">PENERBIT</w:t>
            </w:r>
          </w:p>
        </w:tc>
        <w:tc>
          <w:tcPr>
            <w:tcW w:w="1949" w:type="dxa"/>
            <w:shd w:val="clear" w:color="auto" w:fill="051C2C"/>
            <w:vAlign w:val="center"/>
          </w:tcPr>
          <w:p>
            <w:pPr>
              <w:pStyle w:val="KepalaTabel"/>
              <w:suppressAutoHyphens/>
            </w:pPr>
            <w:r>
              <w:t xml:space="preserve">CAKUPAN</w:t>
            </w:r>
          </w:p>
        </w:tc>
        <w:tc>
          <w:tcPr>
            <w:tcW w:w="1525" w:type="dxa"/>
            <w:shd w:val="clear" w:color="auto" w:fill="051C2C"/>
            <w:vAlign w:val="center"/>
          </w:tcPr>
          <w:p>
            <w:pPr>
              <w:pStyle w:val="KepalaTabel"/>
              <w:suppressAutoHyphens/>
            </w:pPr>
            <w:r>
              <w:t xml:space="preserve">KEYAKINAN</w:t>
            </w:r>
          </w:p>
        </w:tc>
        <w:tc>
          <w:tcPr>
            <w:tcW w:w="1359" w:type="dxa"/>
            <w:shd w:val="clear" w:color="auto" w:fill="051C2C"/>
            <w:vAlign w:val="center"/>
          </w:tcPr>
          <w:p>
            <w:pPr>
              <w:pStyle w:val="KepalaTabel"/>
              <w:suppressAutoHyphens/>
            </w:pPr>
            <w:r>
              <w:t xml:space="preserve">CATATAN PAKAI</w:t>
            </w:r>
          </w:p>
        </w:tc>
      </w:tr>
      <w:tr>
        <w:trPr>
          <w:cantSplit/>
        </w:trPr>
        <w:tc>
          <w:tcPr>
            <w:tcW w:w="3123" w:type="dxa"/>
          </w:tcPr>
          <w:p>
            <w:pPr>
              <w:pStyle w:val="IsiTabel"/>
              <w:suppressAutoHyphens/>
              <w:jc w:val="left"/>
            </w:pPr>
            <w:r>
              <w:t xml:space="preserve">DIBI</w:t>
            </w:r>
          </w:p>
        </w:tc>
        <w:tc>
          <w:tcPr>
            <w:tcW w:w="1398" w:type="dxa"/>
          </w:tcPr>
          <w:p>
            <w:pPr>
              <w:pStyle w:val="IsiTabel"/>
              <w:suppressAutoHyphens/>
              <w:jc w:val="left"/>
            </w:pPr>
            <w:r>
              <w:t xml:space="preserve">BNPB, Pusdatinkom (walidata)</w:t>
            </w:r>
          </w:p>
        </w:tc>
        <w:tc>
          <w:tcPr>
            <w:tcW w:w="1949" w:type="dxa"/>
          </w:tcPr>
          <w:p>
            <w:pPr>
              <w:pStyle w:val="IsiTabel"/>
              <w:suppressAutoHyphens/>
              <w:jc w:val="left"/>
            </w:pPr>
            <w:r>
              <w:t xml:space="preserve">2008–2026, kab/kota</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cakupan selalu disebut; patahan 2018 dan 2024</w:t>
            </w:r>
          </w:p>
        </w:tc>
      </w:tr>
      <w:tr>
        <w:trPr>
          <w:cantSplit/>
        </w:trPr>
        <w:tc>
          <w:tcPr>
            <w:tcW w:w="3123" w:type="dxa"/>
          </w:tcPr>
          <w:p>
            <w:pPr>
              <w:pStyle w:val="IsiTabel"/>
              <w:suppressAutoHyphens/>
              <w:jc w:val="left"/>
            </w:pPr>
            <w:r>
              <w:t xml:space="preserve">IRBI</w:t>
            </w:r>
          </w:p>
        </w:tc>
        <w:tc>
          <w:tcPr>
            <w:tcW w:w="1398" w:type="dxa"/>
          </w:tcPr>
          <w:p>
            <w:pPr>
              <w:pStyle w:val="IsiTabel"/>
              <w:suppressAutoHyphens/>
              <w:jc w:val="left"/>
            </w:pPr>
            <w:r>
              <w:t xml:space="preserve">BNPB, InaRISK</w:t>
            </w:r>
          </w:p>
        </w:tc>
        <w:tc>
          <w:tcPr>
            <w:tcW w:w="1949" w:type="dxa"/>
          </w:tcPr>
          <w:p>
            <w:pPr>
              <w:pStyle w:val="IsiTabel"/>
              <w:suppressAutoHyphens/>
              <w:jc w:val="left"/>
            </w:pPr>
            <w:r>
              <w:t xml:space="preserve">2015–2025, kab/kota</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2025 terpisah; tidak untuk memeringkat</w:t>
            </w:r>
          </w:p>
        </w:tc>
      </w:tr>
      <w:tr>
        <w:trPr>
          <w:cantSplit/>
        </w:trPr>
        <w:tc>
          <w:tcPr>
            <w:tcW w:w="3123" w:type="dxa"/>
          </w:tcPr>
          <w:p>
            <w:pPr>
              <w:pStyle w:val="IsiTabel"/>
              <w:suppressAutoHyphens/>
              <w:jc w:val="left"/>
            </w:pPr>
            <w:r>
              <w:t xml:space="preserve">KRB 2022–2026</w:t>
            </w:r>
          </w:p>
        </w:tc>
        <w:tc>
          <w:tcPr>
            <w:tcW w:w="1398" w:type="dxa"/>
          </w:tcPr>
          <w:p>
            <w:pPr>
              <w:pStyle w:val="IsiTabel"/>
              <w:suppressAutoHyphens/>
              <w:jc w:val="left"/>
            </w:pPr>
            <w:r>
              <w:t xml:space="preserve">BNPB, InaRISK</w:t>
            </w:r>
          </w:p>
        </w:tc>
        <w:tc>
          <w:tcPr>
            <w:tcW w:w="1949" w:type="dxa"/>
          </w:tcPr>
          <w:p>
            <w:pPr>
              <w:pStyle w:val="IsiTabel"/>
              <w:suppressAutoHyphens/>
              <w:jc w:val="left"/>
            </w:pPr>
            <w:r>
              <w:t xml:space="preserve">14</w:t>
            </w:r>
            <w:r>
              <w:t xml:space="preserve"> bahaya, kab/kota</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batas atas; tidak dijumlah antarbahaya</w:t>
            </w:r>
          </w:p>
        </w:tc>
      </w:tr>
      <w:tr>
        <w:trPr>
          <w:cantSplit/>
        </w:trPr>
        <w:tc>
          <w:tcPr>
            <w:tcW w:w="3123" w:type="dxa"/>
          </w:tcPr>
          <w:p>
            <w:pPr>
              <w:pStyle w:val="IsiTabel"/>
              <w:suppressAutoHyphens/>
              <w:jc w:val="left"/>
            </w:pPr>
            <w:r>
              <w:t xml:space="preserve">Oceanic Niño Index (ONI)</w:t>
            </w:r>
          </w:p>
        </w:tc>
        <w:tc>
          <w:tcPr>
            <w:tcW w:w="1398" w:type="dxa"/>
          </w:tcPr>
          <w:p>
            <w:pPr>
              <w:pStyle w:val="IsiTabel"/>
              <w:suppressAutoHyphens/>
              <w:jc w:val="left"/>
            </w:pPr>
            <w:r>
              <w:t xml:space="preserve">Climate Prediction Center, National Oceanic and Atmospheric Administration (NOAA CPC)</w:t>
            </w:r>
          </w:p>
        </w:tc>
        <w:tc>
          <w:tcPr>
            <w:tcW w:w="1949" w:type="dxa"/>
          </w:tcPr>
          <w:p>
            <w:pPr>
              <w:pStyle w:val="IsiTabel"/>
              <w:suppressAutoHyphens/>
              <w:jc w:val="left"/>
            </w:pPr>
            <w:r>
              <w:t xml:space="preserve">1950–2026</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359" w:type="dxa"/>
          </w:tcPr>
          <w:p>
            <w:pPr>
              <w:pStyle w:val="IsiTabel"/>
              <w:suppressAutoHyphens/>
              <w:jc w:val="left"/>
            </w:pPr>
            <w:r>
              <w:t xml:space="preserve">fase El Niño-Southern Oscillation (ENSO), bukan prakiraan</w:t>
            </w:r>
          </w:p>
        </w:tc>
      </w:tr>
      <w:tr>
        <w:trPr>
          <w:cantSplit/>
        </w:trPr>
        <w:tc>
          <w:tcPr>
            <w:tcW w:w="3123" w:type="dxa"/>
          </w:tcPr>
          <w:p>
            <w:pPr>
              <w:pStyle w:val="IsiTabel"/>
              <w:suppressAutoHyphens/>
              <w:jc w:val="left"/>
            </w:pPr>
            <w:r>
              <w:t xml:space="preserve">Katalog dan dampak gempa</w:t>
            </w:r>
          </w:p>
        </w:tc>
        <w:tc>
          <w:tcPr>
            <w:tcW w:w="1398" w:type="dxa"/>
          </w:tcPr>
          <w:p>
            <w:pPr>
              <w:pStyle w:val="IsiTabel"/>
              <w:suppressAutoHyphens/>
              <w:jc w:val="left"/>
            </w:pPr>
            <w:r>
              <w:t xml:space="preserve">United States Geological Survey (USGS)</w:t>
            </w:r>
          </w:p>
        </w:tc>
        <w:tc>
          <w:tcPr>
            <w:tcW w:w="1949" w:type="dxa"/>
          </w:tcPr>
          <w:p>
            <w:pPr>
              <w:pStyle w:val="IsiTabel"/>
              <w:suppressAutoHyphens/>
              <w:jc w:val="left"/>
            </w:pPr>
            <w:r>
              <w:t xml:space="preserve">per kejadian</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359" w:type="dxa"/>
          </w:tcPr>
          <w:p>
            <w:pPr>
              <w:pStyle w:val="IsiTabel"/>
              <w:suppressAutoHyphens/>
              <w:jc w:val="left"/>
            </w:pPr>
            <w:r>
              <w:t xml:space="preserve">pembanding korban; laju gempa</w:t>
            </w:r>
          </w:p>
        </w:tc>
      </w:tr>
      <w:tr>
        <w:trPr>
          <w:cantSplit/>
        </w:trPr>
        <w:tc>
          <w:tcPr>
            <w:tcW w:w="3123" w:type="dxa"/>
          </w:tcPr>
          <w:p>
            <w:pPr>
              <w:pStyle w:val="IsiTabel"/>
              <w:suppressAutoHyphens/>
              <w:jc w:val="left"/>
            </w:pPr>
            <w:r>
              <w:t xml:space="preserve">Peta Sumber dan Bahaya Gempa 2024</w:t>
            </w:r>
          </w:p>
        </w:tc>
        <w:tc>
          <w:tcPr>
            <w:tcW w:w="1398" w:type="dxa"/>
          </w:tcPr>
          <w:p>
            <w:pPr>
              <w:pStyle w:val="IsiTabel"/>
              <w:suppressAutoHyphens/>
              <w:jc w:val="left"/>
            </w:pPr>
            <w:r>
              <w:t xml:space="preserve">Kementerian Pekerjaan Umum, Pusat Studi Gempa Nasional (PuSGeN)</w:t>
            </w:r>
          </w:p>
        </w:tc>
        <w:tc>
          <w:tcPr>
            <w:tcW w:w="1949" w:type="dxa"/>
          </w:tcPr>
          <w:p>
            <w:pPr>
              <w:pStyle w:val="IsiTabel"/>
              <w:suppressAutoHyphens/>
              <w:jc w:val="left"/>
            </w:pPr>
            <w:r>
              <w:t xml:space="preserve">megathrust dan sesar</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magnitudo maksimum dan periode ulang</w:t>
            </w:r>
          </w:p>
        </w:tc>
      </w:tr>
      <w:tr>
        <w:trPr>
          <w:cantSplit/>
        </w:trPr>
        <w:tc>
          <w:tcPr>
            <w:tcW w:w="3123" w:type="dxa"/>
          </w:tcPr>
          <w:p>
            <w:pPr>
              <w:pStyle w:val="IsiTabel"/>
              <w:keepNext/>
              <w:suppressAutoHyphens/>
              <w:jc w:val="left"/>
            </w:pPr>
            <w:bookmarkStart w:id="102" w:name="_Ekor009a"/>
            <w:bookmarkEnd w:id="102"/>
            <w:r>
              <w:t xml:space="preserve">SiPongi</w:t>
            </w:r>
          </w:p>
        </w:tc>
        <w:tc>
          <w:tcPr>
            <w:tcW w:w="1398" w:type="dxa"/>
          </w:tcPr>
          <w:p>
            <w:pPr>
              <w:pStyle w:val="IsiTabel"/>
              <w:keepNext/>
              <w:suppressAutoHyphens/>
              <w:jc w:val="left"/>
            </w:pPr>
            <w:r>
              <w:t xml:space="preserve">Kementerian Kehutanan</w:t>
            </w:r>
          </w:p>
        </w:tc>
        <w:tc>
          <w:tcPr>
            <w:tcW w:w="1949" w:type="dxa"/>
          </w:tcPr>
          <w:p>
            <w:pPr>
              <w:pStyle w:val="IsiTabel"/>
              <w:keepNext/>
              <w:suppressAutoHyphens/>
              <w:jc w:val="left"/>
            </w:pPr>
            <w:r>
              <w:t xml:space="preserve">2015–2026</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359" w:type="dxa"/>
          </w:tcPr>
          <w:p>
            <w:pPr>
              <w:pStyle w:val="IsiTabel"/>
              <w:keepNext/>
              <w:suppressAutoHyphens/>
              <w:jc w:val="left"/>
            </w:pPr>
            <w:r>
              <w:t xml:space="preserve">luas karhutla</w:t>
            </w:r>
          </w:p>
        </w:tc>
      </w:tr>
      <w:tr>
        <w:trPr>
          <w:cantSplit/>
        </w:trPr>
        <w:tc>
          <w:tcPr>
            <w:tcW w:w="3123" w:type="dxa"/>
          </w:tcPr>
          <w:p>
            <w:pPr>
              <w:pStyle w:val="IsiTabel"/>
              <w:keepNext/>
              <w:suppressAutoHyphens/>
              <w:jc w:val="left"/>
            </w:pPr>
            <w:r>
              <w:t xml:space="preserve">Penduduk dan Potensi Desa (Podes)</w:t>
            </w:r>
          </w:p>
        </w:tc>
        <w:tc>
          <w:tcPr>
            <w:tcW w:w="1398" w:type="dxa"/>
          </w:tcPr>
          <w:p>
            <w:pPr>
              <w:pStyle w:val="IsiTabel"/>
              <w:keepNext/>
              <w:suppressAutoHyphens/>
              <w:jc w:val="left"/>
            </w:pPr>
            <w:r>
              <w:t xml:space="preserve">Badan Pusat Statistik (BPS)</w:t>
            </w:r>
          </w:p>
        </w:tc>
        <w:tc>
          <w:tcPr>
            <w:tcW w:w="1949" w:type="dxa"/>
          </w:tcPr>
          <w:p>
            <w:pPr>
              <w:pStyle w:val="IsiTabel"/>
              <w:keepNext/>
              <w:suppressAutoHyphens/>
              <w:jc w:val="left"/>
            </w:pPr>
            <w:r>
              <w:t xml:space="preserve">2020–2026</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359" w:type="dxa"/>
          </w:tcPr>
          <w:p>
            <w:pPr>
              <w:pStyle w:val="IsiTabel"/>
              <w:keepNext/>
              <w:suppressAutoHyphens/>
              <w:jc w:val="left"/>
            </w:pPr>
            <w:r>
              <w:t xml:space="preserve">penyebut</w:t>
            </w:r>
          </w:p>
        </w:tc>
      </w:tr>
      <w:tr>
        <w:trPr>
          <w:cantSplit/>
        </w:trPr>
        <w:tc>
          <w:tcPr>
            <w:tcW w:w="3123" w:type="dxa"/>
          </w:tcPr>
          <w:p>
            <w:pPr>
              <w:pStyle w:val="IsiTabel"/>
              <w:keepNext/>
              <w:suppressAutoHyphens/>
              <w:jc w:val="left"/>
            </w:pPr>
            <w:r>
              <w:t xml:space="preserve">Data World Health Organization (WHO), Bank Dunia, jurnal</w:t>
            </w:r>
          </w:p>
        </w:tc>
        <w:tc>
          <w:tcPr>
            <w:tcW w:w="1398" w:type="dxa"/>
          </w:tcPr>
          <w:p>
            <w:pPr>
              <w:pStyle w:val="IsiTabel"/>
              <w:keepNext/>
              <w:suppressAutoHyphens/>
              <w:jc w:val="left"/>
            </w:pPr>
            <w:r>
              <w:t xml:space="preserve">lembaga luar negeri, peneliti</w:t>
            </w:r>
          </w:p>
        </w:tc>
        <w:tc>
          <w:tcPr>
            <w:tcW w:w="1949" w:type="dxa"/>
          </w:tcPr>
          <w:p>
            <w:pPr>
              <w:pStyle w:val="IsiTabel"/>
              <w:keepNext/>
              <w:suppressAutoHyphens/>
              <w:jc w:val="left"/>
            </w:pPr>
            <w:r>
              <w:t xml:space="preserve">per kejadian</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359" w:type="dxa"/>
          </w:tcPr>
          <w:p>
            <w:pPr>
              <w:pStyle w:val="IsiTabel"/>
              <w:keepNext/>
              <w:suppressAutoHyphens/>
              <w:jc w:val="left"/>
            </w:pPr>
            <w:r>
              <w:t xml:space="preserve">pembanding dan analog</w:t>
            </w:r>
          </w:p>
        </w:tc>
      </w:tr>
      <w:tr>
        <w:trPr>
          <w:cantSplit/>
        </w:trPr>
        <w:tc>
          <w:tcPr>
            <w:tcW w:w="3123" w:type="dxa"/>
          </w:tcPr>
          <w:p>
            <w:pPr>
              <w:pStyle w:val="IsiTabel"/>
              <w:keepNext/>
              <w:suppressAutoHyphens/>
              <w:jc w:val="left"/>
            </w:pPr>
            <w:bookmarkStart w:id="103" w:name="_Ekor009z"/>
            <w:bookmarkEnd w:id="103"/>
            <w:r>
              <w:t xml:space="preserve">Keluaran Pantau Bencana</w:t>
            </w:r>
          </w:p>
        </w:tc>
        <w:tc>
          <w:tcPr>
            <w:tcW w:w="1398" w:type="dxa"/>
          </w:tcPr>
          <w:p>
            <w:pPr>
              <w:pStyle w:val="IsiTabel"/>
              <w:keepNext/>
              <w:suppressAutoHyphens/>
              <w:jc w:val="left"/>
            </w:pPr>
            <w:r>
              <w:t xml:space="preserve">bukan produsen Data Bencana</w:t>
            </w:r>
          </w:p>
        </w:tc>
        <w:tc>
          <w:tcPr>
            <w:tcW w:w="1949" w:type="dxa"/>
          </w:tcPr>
          <w:p>
            <w:pPr>
              <w:pStyle w:val="IsiTabel"/>
              <w:keepNext/>
              <w:suppressAutoHyphens/>
              <w:jc w:val="left"/>
            </w:pPr>
            <w:r>
              <w:t xml:space="preserve">per skenario</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359" w:type="dxa"/>
          </w:tcPr>
          <w:p>
            <w:pPr>
              <w:pStyle w:val="IsiTabel"/>
              <w:keepNext/>
              <w:suppressAutoHyphens/>
              <w:jc w:val="left"/>
            </w:pPr>
            <w:r>
              <w:t xml:space="preserve">pernyataan produsen, pita, galat</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Analisis kajian ini atas DIBI BNPB, InaRISK BNPB, NOAA CPC, USGS, PuSGeN 2024, Kementerian Kehutanan, BPS, dan Perban BNPB 1/2023</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Hanya unit kerja BNPB yang menjadi produsen Data Bencana (Perban BNPB 1/2023 Pasal 1 angka 6).</w:t>
      </w:r>
    </w:p>
    <w:p>
      <w:pPr>
        <w:pStyle w:val="Isi"/>
      </w:pPr>
      <w:r>
        <w:t xml:space="preserve">Dari lima label keyakinan, kajian memakai empat; label Penilaian pakar tidak muncul. Resmi berarti terbitan lembaga pemerintah berwenang yang dibaca dari dokumen penerbitnya; Terverifikasi berarti sumber primer nonpemerintah atau lembaga luar negeri yang dibaca langsung. Estimasi model membawa tambahan "belum diuji balik" atau "uji balik gagal", sedangkan Asumsi kebijakan menandai pilihan kajian dan hitungan turunan penyusun (</w:t>
      </w:r>
      <w:r>
        <w:fldChar w:fldCharType="begin"/>
      </w:r>
      <w:r>
        <w:instrText xml:space="preserve"> REF _Ref0055 \h \* CHARFORMAT </w:instrText>
      </w:r>
      <w:r>
        <w:fldChar w:fldCharType="separate"/>
      </w:r>
      <w:r>
        <w:t xml:space="preserve">Gambar 3.2</w:t>
      </w:r>
      <w:r>
        <w:fldChar w:fldCharType="end"/>
      </w:r>
      <w:r>
        <w:t xml:space="preserve">).</w:t>
      </w:r>
    </w:p>
    <w:p>
      <w:pPr>
        <w:pStyle w:val="Caption"/>
      </w:pPr>
      <w:bookmarkStart w:id="105" w:name="_Toc00047"/>
      <w:bookmarkStart w:id="104" w:name="_Ref005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04"/>
      <w:r>
        <w:rPr>
          <w:b/>
          <w:bCs/>
          <w:color w:val="051C2C"/>
        </w:rPr>
        <w:t xml:space="preserve"> </w:t>
      </w:r>
      <w:r>
        <w:t xml:space="preserve">Rantai metode dari sumber data ke daftar perhatian dan rekomendasi, kajian mitigasi bencana Indonesia 2026</w:t>
      </w:r>
      <w:bookmarkEnd w:id="105"/>
    </w:p>
    <w:p xmlns:a="http://schemas.openxmlformats.org/drawingml/2006/main" xmlns:pic="http://schemas.openxmlformats.org/drawingml/2006/picture">
      <w:pPr>
        <w:keepNext/>
        <w:spacing w:after="0" w:line="240" w:lineRule="auto"/>
        <w:jc w:val="center"/>
      </w:pPr>
      <w:bookmarkStart w:id="106" w:name="_Obj0009"/>
      <w:r>
        <w:drawing>
          <wp:inline distT="0" distB="0" distL="0" distR="0">
            <wp:extent cx="5940000" cy="3780277"/>
            <wp:effectExtent l="0" t="0" r="0" b="0"/>
            <wp:docPr id="21" name="Gambar 21"/>
            <wp:cNvGraphicFramePr>
              <a:graphicFrameLocks noChangeAspect="1"/>
            </wp:cNvGraphicFramePr>
            <a:graphic>
              <a:graphicData uri="http://schemas.openxmlformats.org/drawingml/2006/picture">
                <pic:pic>
                  <pic:nvPicPr>
                    <pic:cNvPr id="21" name="rantai-metode.png"/>
                    <pic:cNvPicPr/>
                  </pic:nvPicPr>
                  <pic:blipFill>
                    <a:blip r:embed="rId27"/>
                    <a:stretch>
                      <a:fillRect/>
                    </a:stretch>
                  </pic:blipFill>
                  <pic:spPr>
                    <a:xfrm>
                      <a:off x="0" y="0"/>
                      <a:ext cx="5940000" cy="3780277"/>
                    </a:xfrm>
                    <a:prstGeom prst="rect">
                      <a:avLst/>
                    </a:prstGeom>
                  </pic:spPr>
                </pic:pic>
              </a:graphicData>
            </a:graphic>
          </wp:inline>
        </w:drawing>
      </w:r>
      <w:bookmarkEnd w:id="106"/>
    </w:p>
    <w:p>
      <w:pPr>
        <w:pStyle w:val="Sumber"/>
      </w:pPr>
      <w:r>
        <w:rPr>
          <w:b/>
          <w:bCs/>
          <w:color w:val="6B7280"/>
          <w:sz w:val="17"/>
          <w:szCs w:val="17"/>
        </w:rPr>
        <w:t xml:space="preserve">Sumber: </w:t>
      </w:r>
      <w:r>
        <w:rPr>
          <w:color w:val="6B7280"/>
          <w:sz w:val="17"/>
          <w:szCs w:val="17"/>
        </w:rPr>
        <w:t xml:space="preserve">Analisis kajian ini atas DIBI BNPB, InaRISK BNPB, NOAA CPC, PuSGeN 2024, SiPongi, dan BPS</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Alur bergerak dari sumber resmi ke paket data dan registri angka, lalu ke lantai, kemungkinan, dampak per aspek, kelas skenario, daftar perhatian, dan rekomendasi; simpul berwarna Estimasi model memuat pernyataan produsen.</w:t>
      </w:r>
    </w:p>
    <w:p>
      <w:pPr>
        <w:pStyle w:val="Heading2"/>
      </w:pPr>
      <w:bookmarkStart w:id="108" w:name="_Toc00048"/>
      <w:bookmarkStart w:id="107" w:name="_Ref0152"/>
      <w:r>
        <w:t xml:space="preserve">3.2</w:t>
      </w:r>
      <w:bookmarkEnd w:id="107"/>
      <w:r>
        <w:tab/>
      </w:r>
      <w:r>
        <w:t xml:space="preserve">IRBI: Patahan Skala 2025 dan Aturan Pakai</w:t>
      </w:r>
      <w:bookmarkEnd w:id="108"/>
    </w:p>
    <w:p>
      <w:pPr>
        <w:pStyle w:val="IsiTemuan"/>
      </w:pPr>
      <w:r>
        <w:rPr>
          <w:b/>
          <w:bCs/>
          <w:color w:val="051C2C"/>
        </w:rPr>
        <w:t xml:space="preserve">Nilai total IRBI 2025 tidak sama dengan jumlah kolom bahaya di kab/kota mana pun (</w:t>
      </w:r>
      <w:r>
        <w:rPr>
          <w:b/>
          <w:bCs/>
          <w:color w:val="051C2C"/>
        </w:rPr>
        <w:t xml:space="preserve">0%</w:t>
      </w:r>
      <w:r>
        <w:rPr>
          <w:b/>
          <w:bCs/>
          <w:color w:val="051C2C"/>
        </w:rPr>
        <w:t xml:space="preserve">), padahal pada 2015 kesamaan itu berlaku di </w:t>
      </w:r>
      <w:r>
        <w:rPr>
          <w:b/>
          <w:bCs/>
          <w:color w:val="051C2C"/>
        </w:rPr>
        <w:t xml:space="preserve">58,03%</w:t>
      </w:r>
      <w:r>
        <w:rPr>
          <w:b/>
          <w:bCs/>
          <w:color w:val="051C2C"/>
        </w:rPr>
        <w:t xml:space="preserve"> kab/kota.</w:t>
      </w:r>
      <w:r>
        <w:t xml:space="preserve"> Nilai per bahaya 2025 seluruhnya bilangan bulat; indeks banjir tinggal </w:t>
      </w:r>
      <w:r>
        <w:t xml:space="preserve">29</w:t>
      </w:r>
      <w:r>
        <w:t xml:space="preserve"> nilai unik dari </w:t>
      </w:r>
      <w:r>
        <w:t xml:space="preserve">310</w:t>
      </w:r>
      <w:r>
        <w:t xml:space="preserve"> pada 2024 </w:t>
      </w:r>
      <w:r>
        <w:t xml:space="preserve">(BNPB, t.t.-b)</w:t>
      </w:r>
      <w:r>
        <w:t xml:space="preserve">. Setelah turun tiap tahun pada 2016–2024, rerata nasional naik </w:t>
      </w:r>
      <w:r>
        <w:t xml:space="preserve">19,43</w:t>
      </w:r>
      <w:r>
        <w:t xml:space="preserve"> poin menjadi </w:t>
      </w:r>
      <w:r>
        <w:t xml:space="preserve">147,95</w:t>
      </w:r>
      <w:r>
        <w:t xml:space="preserve">. Porsi kab/kota yang naik mencapai </w:t>
      </w:r>
      <w:r>
        <w:t xml:space="preserve">63,04%</w:t>
      </w:r>
      <w:r>
        <w:t xml:space="preserve">, dan korelasi peringkat dengan tahun sebelumnya jatuh ke </w:t>
      </w:r>
      <w:r>
        <w:t xml:space="preserve">0,589</w:t>
      </w:r>
      <w:r>
        <w:t xml:space="preserve"> dari paling rendah </w:t>
      </w:r>
      <w:r>
        <w:t xml:space="preserve">0,88</w:t>
      </w:r>
      <w:r>
        <w:t xml:space="preserve"> pada 2016–2024 (</w:t>
      </w:r>
      <w:r>
        <w:fldChar w:fldCharType="begin"/>
      </w:r>
      <w:r>
        <w:instrText xml:space="preserve"> REF _Ref0279 \h \* CHARFORMAT </w:instrText>
      </w:r>
      <w:r>
        <w:fldChar w:fldCharType="separate"/>
      </w:r>
      <w:r>
        <w:t xml:space="preserve">Tabel 3.2</w:t>
      </w:r>
      <w:r>
        <w:fldChar w:fldCharType="end"/>
      </w:r>
      <w:r>
        <w:t xml:space="preserve">). Kesimpulan bahwa skala berubah adalah tafsiran penyusun dan belum didukung dokumen metode BNPB.</w:t>
      </w:r>
    </w:p>
    <w:p>
      <w:pPr>
        <w:pStyle w:val="Caption"/>
      </w:pPr>
      <w:bookmarkStart w:id="110" w:name="_Toc00049"/>
      <w:bookmarkStart w:id="109" w:name="_Ref027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09"/>
      <w:r>
        <w:rPr>
          <w:b/>
          <w:bCs/>
          <w:color w:val="051C2C"/>
        </w:rPr>
        <w:t xml:space="preserve"> </w:t>
      </w:r>
      <w:r>
        <w:t xml:space="preserve">Rerata, perubahan, dan konsistensi peringkat IRBI kab/kota menurut tahun, Indonesia, 2015–2025</w:t>
      </w:r>
      <w:bookmarkEnd w:id="1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014"/>
        <w:gridCol w:w="1383"/>
        <w:gridCol w:w="1112"/>
        <w:gridCol w:w="1625"/>
        <w:gridCol w:w="1519"/>
        <w:gridCol w:w="1181"/>
        <w:gridCol w:w="1520"/>
      </w:tblGrid>
      <w:tr>
        <w:trPr>
          <w:cantSplit/>
          <w:tblHeader/>
        </w:trPr>
        <w:tc>
          <w:tcPr>
            <w:tcW w:w="1014" w:type="dxa"/>
            <w:shd w:val="clear" w:color="auto" w:fill="051C2C"/>
            <w:vAlign w:val="center"/>
          </w:tcPr>
          <w:p>
            <w:pPr>
              <w:pStyle w:val="KepalaTabel"/>
              <w:suppressAutoHyphens/>
            </w:pPr>
            <w:r>
              <w:t xml:space="preserve">TAHUN</w:t>
            </w:r>
          </w:p>
        </w:tc>
        <w:tc>
          <w:tcPr>
            <w:tcW w:w="1383" w:type="dxa"/>
            <w:shd w:val="clear" w:color="auto" w:fill="051C2C"/>
            <w:vAlign w:val="center"/>
          </w:tcPr>
          <w:p>
            <w:pPr>
              <w:pStyle w:val="KepalaTabel"/>
              <w:suppressAutoHyphens/>
            </w:pPr>
            <w:r>
              <w:t xml:space="preserve">KAB/KOTA BASIS</w:t>
            </w:r>
          </w:p>
        </w:tc>
        <w:tc>
          <w:tcPr>
            <w:tcW w:w="1112" w:type="dxa"/>
            <w:shd w:val="clear" w:color="auto" w:fill="051C2C"/>
            <w:vAlign w:val="center"/>
          </w:tcPr>
          <w:p>
            <w:pPr>
              <w:pStyle w:val="KepalaTabel"/>
              <w:suppressAutoHyphens/>
            </w:pPr>
            <w:r>
              <w:t xml:space="preserve">RERATA IRB</w:t>
            </w:r>
          </w:p>
        </w:tc>
        <w:tc>
          <w:tcPr>
            <w:tcW w:w="1625" w:type="dxa"/>
            <w:shd w:val="clear" w:color="auto" w:fill="051C2C"/>
            <w:vAlign w:val="center"/>
          </w:tcPr>
          <w:p>
            <w:pPr>
              <w:pStyle w:val="KepalaTabel"/>
              <w:suppressAutoHyphens/>
            </w:pPr>
            <w:r>
              <w:t xml:space="preserve">PERUBAHAN (poin)</w:t>
            </w:r>
          </w:p>
        </w:tc>
        <w:tc>
          <w:tcPr>
            <w:tcW w:w="1519" w:type="dxa"/>
            <w:shd w:val="clear" w:color="auto" w:fill="051C2C"/>
            <w:vAlign w:val="center"/>
          </w:tcPr>
          <w:p>
            <w:pPr>
              <w:pStyle w:val="KepalaTabel"/>
              <w:suppressAutoHyphens/>
            </w:pPr>
            <w:r>
              <w:t xml:space="preserve">KORELASI PERINGKAT DENGAN TAHUN LALU</w:t>
            </w:r>
          </w:p>
        </w:tc>
        <w:tc>
          <w:tcPr>
            <w:tcW w:w="1181" w:type="dxa"/>
            <w:shd w:val="clear" w:color="auto" w:fill="051C2C"/>
            <w:vAlign w:val="center"/>
          </w:tcPr>
          <w:p>
            <w:pPr>
              <w:pStyle w:val="KepalaTabel"/>
              <w:suppressAutoHyphens/>
            </w:pPr>
            <w:r>
              <w:t xml:space="preserve">PORSI TOTAL SAMA DENGAN JUMLAH BAHAYA</w:t>
            </w:r>
          </w:p>
        </w:tc>
        <w:tc>
          <w:tcPr>
            <w:tcW w:w="1520" w:type="dxa"/>
            <w:shd w:val="clear" w:color="auto" w:fill="051C2C"/>
            <w:vAlign w:val="center"/>
          </w:tcPr>
          <w:p>
            <w:pPr>
              <w:pStyle w:val="KepalaTabel"/>
              <w:suppressAutoHyphens/>
            </w:pPr>
            <w:r>
              <w:t xml:space="preserve">NILAI MAKSIMUM</w:t>
            </w:r>
          </w:p>
        </w:tc>
      </w:tr>
      <w:tr>
        <w:trPr>
          <w:cantSplit/>
        </w:trPr>
        <w:tc>
          <w:tcPr>
            <w:tcW w:w="1014" w:type="dxa"/>
          </w:tcPr>
          <w:p>
            <w:pPr>
              <w:pStyle w:val="IsiTabel"/>
              <w:suppressAutoHyphens/>
              <w:jc w:val="right"/>
            </w:pPr>
            <w:r>
              <w:t xml:space="preserve">2015</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156,43</w:t>
            </w:r>
          </w:p>
        </w:tc>
        <w:tc>
          <w:tcPr>
            <w:tcW w:w="1625" w:type="dxa"/>
          </w:tcPr>
          <w:p>
            <w:pPr>
              <w:pStyle w:val="IsiTabel"/>
              <w:suppressAutoHyphens/>
              <w:jc w:val="right"/>
            </w:pPr>
            <w:r>
              <w:t xml:space="preserve">–</w:t>
            </w:r>
          </w:p>
        </w:tc>
        <w:tc>
          <w:tcPr>
            <w:tcW w:w="1519" w:type="dxa"/>
          </w:tcPr>
          <w:p>
            <w:pPr>
              <w:pStyle w:val="IsiTabel"/>
              <w:suppressAutoHyphens/>
              <w:jc w:val="right"/>
            </w:pPr>
            <w:r>
              <w:t xml:space="preserve">–</w:t>
            </w:r>
          </w:p>
        </w:tc>
        <w:tc>
          <w:tcPr>
            <w:tcW w:w="1181" w:type="dxa"/>
          </w:tcPr>
          <w:p>
            <w:pPr>
              <w:pStyle w:val="IsiTabel"/>
              <w:suppressAutoHyphens/>
              <w:jc w:val="right"/>
            </w:pPr>
            <w:r>
              <w:t xml:space="preserve">0,58</w:t>
            </w:r>
          </w:p>
        </w:tc>
        <w:tc>
          <w:tcPr>
            <w:tcW w:w="1520" w:type="dxa"/>
          </w:tcPr>
          <w:p>
            <w:pPr>
              <w:pStyle w:val="IsiTabel"/>
              <w:suppressAutoHyphens/>
              <w:jc w:val="right"/>
            </w:pPr>
            <w:r>
              <w:t xml:space="preserve">250,00</w:t>
            </w:r>
          </w:p>
        </w:tc>
      </w:tr>
      <w:tr>
        <w:trPr>
          <w:cantSplit/>
        </w:trPr>
        <w:tc>
          <w:tcPr>
            <w:tcW w:w="1014" w:type="dxa"/>
          </w:tcPr>
          <w:p>
            <w:pPr>
              <w:pStyle w:val="IsiTabel"/>
              <w:suppressAutoHyphens/>
              <w:jc w:val="right"/>
            </w:pPr>
            <w:r>
              <w:t xml:space="preserve">2016</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150,58</w:t>
            </w:r>
          </w:p>
        </w:tc>
        <w:tc>
          <w:tcPr>
            <w:tcW w:w="1625" w:type="dxa"/>
          </w:tcPr>
          <w:p>
            <w:pPr>
              <w:pStyle w:val="IsiTabel"/>
              <w:suppressAutoHyphens/>
              <w:jc w:val="right"/>
            </w:pPr>
            <w:r>
              <w:t xml:space="preserve">-5,85</w:t>
            </w:r>
          </w:p>
        </w:tc>
        <w:tc>
          <w:tcPr>
            <w:tcW w:w="1519" w:type="dxa"/>
          </w:tcPr>
          <w:p>
            <w:pPr>
              <w:pStyle w:val="IsiTabel"/>
              <w:suppressAutoHyphens/>
              <w:jc w:val="right"/>
            </w:pPr>
            <w:r>
              <w:t xml:space="preserve">0,88</w:t>
            </w:r>
          </w:p>
        </w:tc>
        <w:tc>
          <w:tcPr>
            <w:tcW w:w="1181" w:type="dxa"/>
          </w:tcPr>
          <w:p>
            <w:pPr>
              <w:pStyle w:val="IsiTabel"/>
              <w:suppressAutoHyphens/>
              <w:jc w:val="right"/>
            </w:pPr>
            <w:r>
              <w:t xml:space="preserve">0,58</w:t>
            </w:r>
          </w:p>
        </w:tc>
        <w:tc>
          <w:tcPr>
            <w:tcW w:w="1520" w:type="dxa"/>
          </w:tcPr>
          <w:p>
            <w:pPr>
              <w:pStyle w:val="IsiTabel"/>
              <w:suppressAutoHyphens/>
              <w:jc w:val="right"/>
            </w:pPr>
            <w:r>
              <w:t xml:space="preserve">250,00</w:t>
            </w:r>
          </w:p>
        </w:tc>
      </w:tr>
      <w:tr>
        <w:trPr>
          <w:cantSplit/>
        </w:trPr>
        <w:tc>
          <w:tcPr>
            <w:tcW w:w="1014" w:type="dxa"/>
          </w:tcPr>
          <w:p>
            <w:pPr>
              <w:pStyle w:val="IsiTabel"/>
              <w:suppressAutoHyphens/>
              <w:jc w:val="right"/>
            </w:pPr>
            <w:r>
              <w:t xml:space="preserve">2017</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148,82</w:t>
            </w:r>
          </w:p>
        </w:tc>
        <w:tc>
          <w:tcPr>
            <w:tcW w:w="1625" w:type="dxa"/>
          </w:tcPr>
          <w:p>
            <w:pPr>
              <w:pStyle w:val="IsiTabel"/>
              <w:suppressAutoHyphens/>
              <w:jc w:val="right"/>
            </w:pPr>
            <w:r>
              <w:t xml:space="preserve">-1,76</w:t>
            </w:r>
          </w:p>
        </w:tc>
        <w:tc>
          <w:tcPr>
            <w:tcW w:w="1519" w:type="dxa"/>
          </w:tcPr>
          <w:p>
            <w:pPr>
              <w:pStyle w:val="IsiTabel"/>
              <w:suppressAutoHyphens/>
              <w:jc w:val="right"/>
            </w:pPr>
            <w:r>
              <w:t xml:space="preserve">0,99</w:t>
            </w:r>
          </w:p>
        </w:tc>
        <w:tc>
          <w:tcPr>
            <w:tcW w:w="1181" w:type="dxa"/>
          </w:tcPr>
          <w:p>
            <w:pPr>
              <w:pStyle w:val="IsiTabel"/>
              <w:suppressAutoHyphens/>
              <w:jc w:val="right"/>
            </w:pPr>
            <w:r>
              <w:t xml:space="preserve">0,50</w:t>
            </w:r>
          </w:p>
        </w:tc>
        <w:tc>
          <w:tcPr>
            <w:tcW w:w="1520" w:type="dxa"/>
          </w:tcPr>
          <w:p>
            <w:pPr>
              <w:pStyle w:val="IsiTabel"/>
              <w:suppressAutoHyphens/>
              <w:jc w:val="right"/>
            </w:pPr>
            <w:r>
              <w:t xml:space="preserve">226,48</w:t>
            </w:r>
          </w:p>
        </w:tc>
      </w:tr>
      <w:tr>
        <w:trPr>
          <w:cantSplit/>
        </w:trPr>
        <w:tc>
          <w:tcPr>
            <w:tcW w:w="1014" w:type="dxa"/>
          </w:tcPr>
          <w:p>
            <w:pPr>
              <w:pStyle w:val="IsiTabel"/>
              <w:suppressAutoHyphens/>
              <w:jc w:val="right"/>
            </w:pPr>
            <w:r>
              <w:t xml:space="preserve">2018</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145,85</w:t>
            </w:r>
          </w:p>
        </w:tc>
        <w:tc>
          <w:tcPr>
            <w:tcW w:w="1625" w:type="dxa"/>
          </w:tcPr>
          <w:p>
            <w:pPr>
              <w:pStyle w:val="IsiTabel"/>
              <w:suppressAutoHyphens/>
              <w:jc w:val="right"/>
            </w:pPr>
            <w:r>
              <w:t xml:space="preserve">-2,97</w:t>
            </w:r>
          </w:p>
        </w:tc>
        <w:tc>
          <w:tcPr>
            <w:tcW w:w="1519" w:type="dxa"/>
          </w:tcPr>
          <w:p>
            <w:pPr>
              <w:pStyle w:val="IsiTabel"/>
              <w:suppressAutoHyphens/>
              <w:jc w:val="right"/>
            </w:pPr>
            <w:r>
              <w:t xml:space="preserve">0,97</w:t>
            </w:r>
          </w:p>
        </w:tc>
        <w:tc>
          <w:tcPr>
            <w:tcW w:w="1181" w:type="dxa"/>
          </w:tcPr>
          <w:p>
            <w:pPr>
              <w:pStyle w:val="IsiTabel"/>
              <w:suppressAutoHyphens/>
              <w:jc w:val="right"/>
            </w:pPr>
            <w:r>
              <w:t xml:space="preserve">0,48</w:t>
            </w:r>
          </w:p>
        </w:tc>
        <w:tc>
          <w:tcPr>
            <w:tcW w:w="1520" w:type="dxa"/>
          </w:tcPr>
          <w:p>
            <w:pPr>
              <w:pStyle w:val="IsiTabel"/>
              <w:suppressAutoHyphens/>
              <w:jc w:val="right"/>
            </w:pPr>
            <w:r>
              <w:t xml:space="preserve">223,20</w:t>
            </w:r>
          </w:p>
        </w:tc>
      </w:tr>
      <w:tr>
        <w:trPr>
          <w:cantSplit/>
        </w:trPr>
        <w:tc>
          <w:tcPr>
            <w:tcW w:w="1014" w:type="dxa"/>
          </w:tcPr>
          <w:p>
            <w:pPr>
              <w:pStyle w:val="IsiTabel"/>
              <w:suppressAutoHyphens/>
              <w:jc w:val="right"/>
            </w:pPr>
            <w:r>
              <w:t xml:space="preserve">2019</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144,02</w:t>
            </w:r>
          </w:p>
        </w:tc>
        <w:tc>
          <w:tcPr>
            <w:tcW w:w="1625" w:type="dxa"/>
          </w:tcPr>
          <w:p>
            <w:pPr>
              <w:pStyle w:val="IsiTabel"/>
              <w:suppressAutoHyphens/>
              <w:jc w:val="right"/>
            </w:pPr>
            <w:r>
              <w:t xml:space="preserve">-1,83</w:t>
            </w:r>
          </w:p>
        </w:tc>
        <w:tc>
          <w:tcPr>
            <w:tcW w:w="1519" w:type="dxa"/>
          </w:tcPr>
          <w:p>
            <w:pPr>
              <w:pStyle w:val="IsiTabel"/>
              <w:suppressAutoHyphens/>
              <w:jc w:val="right"/>
            </w:pPr>
            <w:r>
              <w:t xml:space="preserve">0,99</w:t>
            </w:r>
          </w:p>
        </w:tc>
        <w:tc>
          <w:tcPr>
            <w:tcW w:w="1181" w:type="dxa"/>
          </w:tcPr>
          <w:p>
            <w:pPr>
              <w:pStyle w:val="IsiTabel"/>
              <w:suppressAutoHyphens/>
              <w:jc w:val="right"/>
            </w:pPr>
            <w:r>
              <w:t xml:space="preserve">0,48</w:t>
            </w:r>
          </w:p>
        </w:tc>
        <w:tc>
          <w:tcPr>
            <w:tcW w:w="1520" w:type="dxa"/>
          </w:tcPr>
          <w:p>
            <w:pPr>
              <w:pStyle w:val="IsiTabel"/>
              <w:suppressAutoHyphens/>
              <w:jc w:val="right"/>
            </w:pPr>
            <w:r>
              <w:t xml:space="preserve">223,20</w:t>
            </w:r>
          </w:p>
        </w:tc>
      </w:tr>
      <w:tr>
        <w:trPr>
          <w:cantSplit/>
        </w:trPr>
        <w:tc>
          <w:tcPr>
            <w:tcW w:w="1014" w:type="dxa"/>
          </w:tcPr>
          <w:p>
            <w:pPr>
              <w:pStyle w:val="IsiTabel"/>
              <w:suppressAutoHyphens/>
              <w:jc w:val="right"/>
            </w:pPr>
            <w:r>
              <w:t xml:space="preserve">2020</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141,65</w:t>
            </w:r>
          </w:p>
        </w:tc>
        <w:tc>
          <w:tcPr>
            <w:tcW w:w="1625" w:type="dxa"/>
          </w:tcPr>
          <w:p>
            <w:pPr>
              <w:pStyle w:val="IsiTabel"/>
              <w:suppressAutoHyphens/>
              <w:jc w:val="right"/>
            </w:pPr>
            <w:r>
              <w:t xml:space="preserve">-2,37</w:t>
            </w:r>
          </w:p>
        </w:tc>
        <w:tc>
          <w:tcPr>
            <w:tcW w:w="1519" w:type="dxa"/>
          </w:tcPr>
          <w:p>
            <w:pPr>
              <w:pStyle w:val="IsiTabel"/>
              <w:suppressAutoHyphens/>
              <w:jc w:val="right"/>
            </w:pPr>
            <w:r>
              <w:t xml:space="preserve">0,98</w:t>
            </w:r>
          </w:p>
        </w:tc>
        <w:tc>
          <w:tcPr>
            <w:tcW w:w="1181" w:type="dxa"/>
          </w:tcPr>
          <w:p>
            <w:pPr>
              <w:pStyle w:val="IsiTabel"/>
              <w:suppressAutoHyphens/>
              <w:jc w:val="right"/>
            </w:pPr>
            <w:r>
              <w:t xml:space="preserve">0,41</w:t>
            </w:r>
          </w:p>
        </w:tc>
        <w:tc>
          <w:tcPr>
            <w:tcW w:w="1520" w:type="dxa"/>
          </w:tcPr>
          <w:p>
            <w:pPr>
              <w:pStyle w:val="IsiTabel"/>
              <w:suppressAutoHyphens/>
              <w:jc w:val="right"/>
            </w:pPr>
            <w:r>
              <w:t xml:space="preserve">223,20</w:t>
            </w:r>
          </w:p>
        </w:tc>
      </w:tr>
      <w:tr>
        <w:trPr>
          <w:cantSplit/>
        </w:trPr>
        <w:tc>
          <w:tcPr>
            <w:tcW w:w="1014" w:type="dxa"/>
          </w:tcPr>
          <w:p>
            <w:pPr>
              <w:pStyle w:val="IsiTabel"/>
              <w:suppressAutoHyphens/>
              <w:jc w:val="right"/>
            </w:pPr>
            <w:r>
              <w:t xml:space="preserve">2021</w:t>
            </w:r>
          </w:p>
        </w:tc>
        <w:tc>
          <w:tcPr>
            <w:tcW w:w="1383" w:type="dxa"/>
          </w:tcPr>
          <w:p>
            <w:pPr>
              <w:pStyle w:val="IsiTabel"/>
              <w:suppressAutoHyphens/>
              <w:jc w:val="right"/>
            </w:pPr>
            <w:r>
              <w:t xml:space="preserve">514</w:t>
            </w:r>
          </w:p>
        </w:tc>
        <w:tc>
          <w:tcPr>
            <w:tcW w:w="1112" w:type="dxa"/>
          </w:tcPr>
          <w:p>
            <w:pPr>
              <w:pStyle w:val="IsiTabel"/>
              <w:suppressAutoHyphens/>
              <w:jc w:val="right"/>
            </w:pPr>
            <w:r>
              <w:t xml:space="preserve">138,81</w:t>
            </w:r>
          </w:p>
        </w:tc>
        <w:tc>
          <w:tcPr>
            <w:tcW w:w="1625" w:type="dxa"/>
          </w:tcPr>
          <w:p>
            <w:pPr>
              <w:pStyle w:val="IsiTabel"/>
              <w:suppressAutoHyphens/>
              <w:jc w:val="right"/>
            </w:pPr>
            <w:r>
              <w:t xml:space="preserve">-2,84</w:t>
            </w:r>
          </w:p>
        </w:tc>
        <w:tc>
          <w:tcPr>
            <w:tcW w:w="1519" w:type="dxa"/>
          </w:tcPr>
          <w:p>
            <w:pPr>
              <w:pStyle w:val="IsiTabel"/>
              <w:suppressAutoHyphens/>
              <w:jc w:val="right"/>
            </w:pPr>
            <w:r>
              <w:t xml:space="preserve">0,97</w:t>
            </w:r>
          </w:p>
        </w:tc>
        <w:tc>
          <w:tcPr>
            <w:tcW w:w="1181" w:type="dxa"/>
          </w:tcPr>
          <w:p>
            <w:pPr>
              <w:pStyle w:val="IsiTabel"/>
              <w:suppressAutoHyphens/>
              <w:jc w:val="right"/>
            </w:pPr>
            <w:r>
              <w:t xml:space="preserve">0,38</w:t>
            </w:r>
          </w:p>
        </w:tc>
        <w:tc>
          <w:tcPr>
            <w:tcW w:w="1520" w:type="dxa"/>
          </w:tcPr>
          <w:p>
            <w:pPr>
              <w:pStyle w:val="IsiTabel"/>
              <w:suppressAutoHyphens/>
              <w:jc w:val="right"/>
            </w:pPr>
            <w:r>
              <w:t xml:space="preserve">223,20</w:t>
            </w:r>
          </w:p>
        </w:tc>
      </w:tr>
      <w:tr>
        <w:trPr>
          <w:cantSplit/>
        </w:trPr>
        <w:tc>
          <w:tcPr>
            <w:tcW w:w="1014" w:type="dxa"/>
          </w:tcPr>
          <w:p>
            <w:pPr>
              <w:pStyle w:val="IsiTabel"/>
              <w:keepNext/>
              <w:suppressAutoHyphens/>
              <w:jc w:val="right"/>
            </w:pPr>
            <w:bookmarkStart w:id="111" w:name="_Ekor010a"/>
            <w:bookmarkEnd w:id="111"/>
            <w:r>
              <w:t xml:space="preserve">2022</w:t>
            </w:r>
          </w:p>
        </w:tc>
        <w:tc>
          <w:tcPr>
            <w:tcW w:w="1383" w:type="dxa"/>
          </w:tcPr>
          <w:p>
            <w:pPr>
              <w:pStyle w:val="IsiTabel"/>
              <w:keepNext/>
              <w:suppressAutoHyphens/>
              <w:jc w:val="right"/>
            </w:pPr>
            <w:r>
              <w:t xml:space="preserve">514</w:t>
            </w:r>
          </w:p>
        </w:tc>
        <w:tc>
          <w:tcPr>
            <w:tcW w:w="1112" w:type="dxa"/>
          </w:tcPr>
          <w:p>
            <w:pPr>
              <w:pStyle w:val="IsiTabel"/>
              <w:keepNext/>
              <w:suppressAutoHyphens/>
              <w:jc w:val="right"/>
            </w:pPr>
            <w:r>
              <w:t xml:space="preserve">135,56</w:t>
            </w:r>
          </w:p>
        </w:tc>
        <w:tc>
          <w:tcPr>
            <w:tcW w:w="1625" w:type="dxa"/>
          </w:tcPr>
          <w:p>
            <w:pPr>
              <w:pStyle w:val="IsiTabel"/>
              <w:keepNext/>
              <w:suppressAutoHyphens/>
              <w:jc w:val="right"/>
            </w:pPr>
            <w:r>
              <w:t xml:space="preserve">-3,25</w:t>
            </w:r>
          </w:p>
        </w:tc>
        <w:tc>
          <w:tcPr>
            <w:tcW w:w="1519" w:type="dxa"/>
          </w:tcPr>
          <w:p>
            <w:pPr>
              <w:pStyle w:val="IsiTabel"/>
              <w:keepNext/>
              <w:suppressAutoHyphens/>
              <w:jc w:val="right"/>
            </w:pPr>
            <w:r>
              <w:t xml:space="preserve">0,97</w:t>
            </w:r>
          </w:p>
        </w:tc>
        <w:tc>
          <w:tcPr>
            <w:tcW w:w="1181" w:type="dxa"/>
          </w:tcPr>
          <w:p>
            <w:pPr>
              <w:pStyle w:val="IsiTabel"/>
              <w:keepNext/>
              <w:suppressAutoHyphens/>
              <w:jc w:val="right"/>
            </w:pPr>
            <w:r>
              <w:t xml:space="preserve">0,26</w:t>
            </w:r>
          </w:p>
        </w:tc>
        <w:tc>
          <w:tcPr>
            <w:tcW w:w="1520" w:type="dxa"/>
          </w:tcPr>
          <w:p>
            <w:pPr>
              <w:pStyle w:val="IsiTabel"/>
              <w:keepNext/>
              <w:suppressAutoHyphens/>
              <w:jc w:val="right"/>
            </w:pPr>
            <w:r>
              <w:t xml:space="preserve">216,99</w:t>
            </w:r>
          </w:p>
        </w:tc>
      </w:tr>
      <w:tr>
        <w:trPr>
          <w:cantSplit/>
        </w:trPr>
        <w:tc>
          <w:tcPr>
            <w:tcW w:w="1014" w:type="dxa"/>
          </w:tcPr>
          <w:p>
            <w:pPr>
              <w:pStyle w:val="IsiTabel"/>
              <w:keepNext/>
              <w:suppressAutoHyphens/>
              <w:jc w:val="right"/>
            </w:pPr>
            <w:r>
              <w:t xml:space="preserve">2023</w:t>
            </w:r>
          </w:p>
        </w:tc>
        <w:tc>
          <w:tcPr>
            <w:tcW w:w="1383" w:type="dxa"/>
          </w:tcPr>
          <w:p>
            <w:pPr>
              <w:pStyle w:val="IsiTabel"/>
              <w:keepNext/>
              <w:suppressAutoHyphens/>
              <w:jc w:val="right"/>
            </w:pPr>
            <w:r>
              <w:t xml:space="preserve">514</w:t>
            </w:r>
          </w:p>
        </w:tc>
        <w:tc>
          <w:tcPr>
            <w:tcW w:w="1112" w:type="dxa"/>
          </w:tcPr>
          <w:p>
            <w:pPr>
              <w:pStyle w:val="IsiTabel"/>
              <w:keepNext/>
              <w:suppressAutoHyphens/>
              <w:jc w:val="right"/>
            </w:pPr>
            <w:r>
              <w:t xml:space="preserve">132,25</w:t>
            </w:r>
          </w:p>
        </w:tc>
        <w:tc>
          <w:tcPr>
            <w:tcW w:w="1625" w:type="dxa"/>
          </w:tcPr>
          <w:p>
            <w:pPr>
              <w:pStyle w:val="IsiTabel"/>
              <w:keepNext/>
              <w:suppressAutoHyphens/>
              <w:jc w:val="right"/>
            </w:pPr>
            <w:r>
              <w:t xml:space="preserve">-3,31</w:t>
            </w:r>
          </w:p>
        </w:tc>
        <w:tc>
          <w:tcPr>
            <w:tcW w:w="1519" w:type="dxa"/>
          </w:tcPr>
          <w:p>
            <w:pPr>
              <w:pStyle w:val="IsiTabel"/>
              <w:keepNext/>
              <w:suppressAutoHyphens/>
              <w:jc w:val="right"/>
            </w:pPr>
            <w:r>
              <w:t xml:space="preserve">0,97</w:t>
            </w:r>
          </w:p>
        </w:tc>
        <w:tc>
          <w:tcPr>
            <w:tcW w:w="1181" w:type="dxa"/>
          </w:tcPr>
          <w:p>
            <w:pPr>
              <w:pStyle w:val="IsiTabel"/>
              <w:keepNext/>
              <w:suppressAutoHyphens/>
              <w:jc w:val="right"/>
            </w:pPr>
            <w:r>
              <w:t xml:space="preserve">0,19</w:t>
            </w:r>
          </w:p>
        </w:tc>
        <w:tc>
          <w:tcPr>
            <w:tcW w:w="1520" w:type="dxa"/>
          </w:tcPr>
          <w:p>
            <w:pPr>
              <w:pStyle w:val="IsiTabel"/>
              <w:keepNext/>
              <w:suppressAutoHyphens/>
              <w:jc w:val="right"/>
            </w:pPr>
            <w:r>
              <w:t xml:space="preserve">214,80</w:t>
            </w:r>
          </w:p>
        </w:tc>
      </w:tr>
      <w:tr>
        <w:trPr>
          <w:cantSplit/>
        </w:trPr>
        <w:tc>
          <w:tcPr>
            <w:tcW w:w="1014" w:type="dxa"/>
          </w:tcPr>
          <w:p>
            <w:pPr>
              <w:pStyle w:val="IsiTabel"/>
              <w:keepNext/>
              <w:suppressAutoHyphens/>
              <w:jc w:val="right"/>
            </w:pPr>
            <w:r>
              <w:t xml:space="preserve">2024</w:t>
            </w:r>
          </w:p>
        </w:tc>
        <w:tc>
          <w:tcPr>
            <w:tcW w:w="1383" w:type="dxa"/>
          </w:tcPr>
          <w:p>
            <w:pPr>
              <w:pStyle w:val="IsiTabel"/>
              <w:keepNext/>
              <w:suppressAutoHyphens/>
              <w:jc w:val="right"/>
            </w:pPr>
            <w:r>
              <w:t xml:space="preserve">514</w:t>
            </w:r>
          </w:p>
        </w:tc>
        <w:tc>
          <w:tcPr>
            <w:tcW w:w="1112" w:type="dxa"/>
          </w:tcPr>
          <w:p>
            <w:pPr>
              <w:pStyle w:val="IsiTabel"/>
              <w:keepNext/>
              <w:suppressAutoHyphens/>
              <w:jc w:val="right"/>
            </w:pPr>
            <w:r>
              <w:t xml:space="preserve">128,52</w:t>
            </w:r>
          </w:p>
        </w:tc>
        <w:tc>
          <w:tcPr>
            <w:tcW w:w="1625" w:type="dxa"/>
          </w:tcPr>
          <w:p>
            <w:pPr>
              <w:pStyle w:val="IsiTabel"/>
              <w:keepNext/>
              <w:suppressAutoHyphens/>
              <w:jc w:val="right"/>
            </w:pPr>
            <w:r>
              <w:t xml:space="preserve">-3,72</w:t>
            </w:r>
          </w:p>
        </w:tc>
        <w:tc>
          <w:tcPr>
            <w:tcW w:w="1519" w:type="dxa"/>
          </w:tcPr>
          <w:p>
            <w:pPr>
              <w:pStyle w:val="IsiTabel"/>
              <w:keepNext/>
              <w:suppressAutoHyphens/>
              <w:jc w:val="right"/>
            </w:pPr>
            <w:r>
              <w:t xml:space="preserve">0,97</w:t>
            </w:r>
          </w:p>
        </w:tc>
        <w:tc>
          <w:tcPr>
            <w:tcW w:w="1181" w:type="dxa"/>
          </w:tcPr>
          <w:p>
            <w:pPr>
              <w:pStyle w:val="IsiTabel"/>
              <w:keepNext/>
              <w:suppressAutoHyphens/>
              <w:jc w:val="right"/>
            </w:pPr>
            <w:r>
              <w:t xml:space="preserve">0,16</w:t>
            </w:r>
          </w:p>
        </w:tc>
        <w:tc>
          <w:tcPr>
            <w:tcW w:w="1520" w:type="dxa"/>
          </w:tcPr>
          <w:p>
            <w:pPr>
              <w:pStyle w:val="IsiTabel"/>
              <w:keepNext/>
              <w:suppressAutoHyphens/>
              <w:jc w:val="right"/>
            </w:pPr>
            <w:r>
              <w:t xml:space="preserve">214,80</w:t>
            </w:r>
          </w:p>
        </w:tc>
      </w:tr>
      <w:tr>
        <w:trPr>
          <w:cantSplit/>
        </w:trPr>
        <w:tc>
          <w:tcPr>
            <w:tcW w:w="1014" w:type="dxa"/>
          </w:tcPr>
          <w:p>
            <w:pPr>
              <w:pStyle w:val="IsiTabel"/>
              <w:suppressAutoHyphens/>
              <w:jc w:val="right"/>
            </w:pPr>
            <w:bookmarkStart w:id="112" w:name="_Ekor010z"/>
            <w:bookmarkEnd w:id="112"/>
            <w:r>
              <w:t xml:space="preserve">2025</w:t>
            </w:r>
          </w:p>
        </w:tc>
        <w:tc>
          <w:tcPr>
            <w:tcW w:w="1383" w:type="dxa"/>
          </w:tcPr>
          <w:p>
            <w:pPr>
              <w:pStyle w:val="IsiTabel"/>
              <w:suppressAutoHyphens/>
              <w:jc w:val="right"/>
            </w:pPr>
            <w:r>
              <w:t xml:space="preserve">514</w:t>
            </w:r>
          </w:p>
        </w:tc>
        <w:tc>
          <w:tcPr>
            <w:tcW w:w="1112" w:type="dxa"/>
          </w:tcPr>
          <w:p>
            <w:pPr>
              <w:pStyle w:val="IsiTabel"/>
              <w:suppressAutoHyphens/>
              <w:jc w:val="right"/>
            </w:pPr>
            <w:r>
              <w:t xml:space="preserve">147,95</w:t>
            </w:r>
          </w:p>
        </w:tc>
        <w:tc>
          <w:tcPr>
            <w:tcW w:w="1625" w:type="dxa"/>
          </w:tcPr>
          <w:p>
            <w:pPr>
              <w:pStyle w:val="IsiTabel"/>
              <w:suppressAutoHyphens/>
              <w:jc w:val="right"/>
            </w:pPr>
            <w:r>
              <w:t xml:space="preserve">19,43</w:t>
            </w:r>
          </w:p>
        </w:tc>
        <w:tc>
          <w:tcPr>
            <w:tcW w:w="1519" w:type="dxa"/>
          </w:tcPr>
          <w:p>
            <w:pPr>
              <w:pStyle w:val="IsiTabel"/>
              <w:suppressAutoHyphens/>
              <w:jc w:val="right"/>
            </w:pPr>
            <w:r>
              <w:t xml:space="preserve">0,59</w:t>
            </w:r>
          </w:p>
        </w:tc>
        <w:tc>
          <w:tcPr>
            <w:tcW w:w="1181" w:type="dxa"/>
          </w:tcPr>
          <w:p>
            <w:pPr>
              <w:pStyle w:val="IsiTabel"/>
              <w:suppressAutoHyphens/>
              <w:jc w:val="right"/>
            </w:pPr>
            <w:r>
              <w:t xml:space="preserve">0,00</w:t>
            </w:r>
          </w:p>
        </w:tc>
        <w:tc>
          <w:tcPr>
            <w:tcW w:w="1520" w:type="dxa"/>
          </w:tcPr>
          <w:p>
            <w:pPr>
              <w:pStyle w:val="IsiTabel"/>
              <w:suppressAutoHyphens/>
              <w:jc w:val="right"/>
            </w:pPr>
            <w:r>
              <w:t xml:space="preserve">278,51</w:t>
            </w:r>
          </w:p>
        </w:tc>
      </w:tr>
    </w:tbl>
    <w:p>
      <w:pPr>
        <w:pStyle w:val="Sumber"/>
        <w:spacing w:after="40"/>
      </w:pPr>
      <w:r>
        <w:rPr>
          <w:b/>
          <w:bCs/>
          <w:color w:val="6B7280"/>
          <w:sz w:val="17"/>
          <w:szCs w:val="17"/>
        </w:rPr>
        <w:t xml:space="preserve">Sumber: </w:t>
      </w:r>
      <w:r>
        <w:rPr>
          <w:color w:val="6B7280"/>
          <w:sz w:val="17"/>
          <w:szCs w:val="17"/>
        </w:rPr>
        <w:t xml:space="preserve">Pengolahan Pantau Bencana dari InaRISK BNPB, IRBI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Porsi berupa pecahan dari kab/kota basis; basis 2015–2020 adalah kab/kota bernilai tetap sesuai seri resmi. Baris 2025 tidak dibandingkan dengan tahun sebelumnya.</w:t>
      </w:r>
    </w:p>
    <w:p>
      <w:pPr>
        <w:pStyle w:val="IsiTemuan"/>
      </w:pPr>
      <w:r>
        <w:rPr>
          <w:b/>
          <w:bCs/>
          <w:color w:val="051C2C"/>
        </w:rPr>
        <w:t xml:space="preserve">Seri resmi IRB nasional turun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w:t>
      </w:r>
      <w:r>
        <w:rPr>
          <w:b/>
          <w:bCs/>
          <w:color w:val="051C2C"/>
        </w:rPr>
        <w:t xml:space="preserve">turun 10,76%</w:t>
      </w:r>
      <w:r>
        <w:rPr>
          <w:b/>
          <w:bCs/>
          <w:color w:val="051C2C"/>
        </w:rPr>
        <w:t xml:space="preserve">), dan seri 2015–2024 menjadi satu-satunya dasar tren</w:t>
      </w:r>
      <w:r>
        <w:t xml:space="preserve"> </w:t>
      </w:r>
      <w:r>
        <w:t xml:space="preserve">(BNPB, 2025e, hlm. 52)</w:t>
      </w:r>
      <w:r>
        <w:t xml:space="preserve">. Perbandingan naif 2025 dengan 2024 memberi kenaikan </w:t>
      </w:r>
      <w:r>
        <w:t xml:space="preserve">15,1%</w:t>
      </w:r>
      <w:r>
        <w:t xml:space="preserve">. Angka itu berlawanan arah dengan sasaran penurunan IRB </w:t>
      </w:r>
      <w:r>
        <w:t xml:space="preserve">1,2%</w:t>
      </w:r>
      <w:r>
        <w:t xml:space="preserve"> per tahun pada Rencana Nasional Penanggulangan Bencana (Renas PB) 2025–2029 sasaran 4.c dan Rencana Pembangunan Jangka Menengah Nasional (RPJMN) 2025–2029 PP 08.04 berbaseline </w:t>
      </w:r>
      <w:r>
        <w:t xml:space="preserve">1,54</w:t>
      </w:r>
      <w:r>
        <w:t xml:space="preserve"> </w:t>
      </w:r>
      <w:r>
        <w:t xml:space="preserve">(BNPB, 2025c, hlm. 32; Republik Indonesia, 2025b)</w:t>
      </w:r>
      <w:r>
        <w:t xml:space="preserve">. Kajian membaca kenaikan itu sebagai efek patahan skala, bukan perubahan risiko. Capaian 2025 ditulis "tidak dapat dinilai" sampai catatan metode dan baseline skala baru terbit (keputusan KD-4, </w:t>
      </w:r>
      <w:r>
        <w:fldChar w:fldCharType="begin"/>
      </w:r>
      <w:r>
        <w:instrText xml:space="preserve"> REF _Ref0086 \h \* CHARFORMAT </w:instrText>
      </w:r>
      <w:r>
        <w:fldChar w:fldCharType="separate"/>
      </w:r>
      <w:r>
        <w:t xml:space="preserve">10</w:t>
      </w:r>
      <w:r>
        <w:fldChar w:fldCharType="end"/>
      </w:r>
      <w:r>
        <w:t xml:space="preserve">), dan sementara itu sasaran utama memakai indikator korban Renas PB 1.a dan 1.b yang terukur dari DIBI.</w:t>
      </w:r>
    </w:p>
    <w:p>
      <w:pPr>
        <w:pStyle w:val="IsiTemuan"/>
      </w:pPr>
      <w:r>
        <w:rPr>
          <w:b/>
          <w:bCs/>
          <w:color w:val="051C2C"/>
        </w:rPr>
        <w:t xml:space="preserve">Status IRBI 2025 memuat </w:t>
      </w:r>
      <w:r>
        <w:rPr>
          <w:b/>
          <w:bCs/>
          <w:color w:val="051C2C"/>
        </w:rPr>
        <w:t xml:space="preserve">169</w:t>
      </w:r>
      <w:r>
        <w:rPr>
          <w:b/>
          <w:bCs/>
          <w:color w:val="051C2C"/>
        </w:rPr>
        <w:t xml:space="preserve"> kab/kota Tinggi dan </w:t>
      </w:r>
      <w:r>
        <w:rPr>
          <w:b/>
          <w:bCs/>
          <w:color w:val="051C2C"/>
        </w:rPr>
        <w:t xml:space="preserve">345</w:t>
      </w:r>
      <w:r>
        <w:rPr>
          <w:b/>
          <w:bCs/>
          <w:color w:val="051C2C"/>
        </w:rPr>
        <w:t xml:space="preserve"> Sedang, tetapi kelas per bahaya tidak ada di sumber mana pun.</w:t>
      </w:r>
      <w:r>
        <w:t xml:space="preserve"> Audit metode platform menilai IRBI layak dipakai, tetapi tidak untuk memeringkat karena nilai kembarnya banyak. Sel kosong berarti tidak dinilai, bukan nol: tanah longsor tidak dinilai di </w:t>
      </w:r>
      <w:r>
        <w:t xml:space="preserve">59</w:t>
      </w:r>
      <w:r>
        <w:t xml:space="preserve"> kab/kota, padahal </w:t>
      </w:r>
      <w:r>
        <w:t xml:space="preserve">27</w:t>
      </w:r>
      <w:r>
        <w:t xml:space="preserve"> di antaranya mencatat longsor di DIBI. Lampiran Peraturan Kepala (Perka) BNPB 2/2012 yang memuat rumus risiko tidak ada di korpus Jaringan Dokumentasi dan Informasi Hukum (JDIH) yang dibuka, sehingga metode IRBI 2025 belum dapat dilacak ke rumusnya </w:t>
      </w:r>
      <w:r>
        <w:t xml:space="preserve">(BNPB, 2012b)</w:t>
      </w:r>
      <w:r>
        <w:t xml:space="preserve">.</w:t>
      </w:r>
    </w:p>
    <w:p>
      <w:pPr>
        <w:pStyle w:val="Heading2"/>
      </w:pPr>
      <w:bookmarkStart w:id="114" w:name="_Toc00050"/>
      <w:bookmarkStart w:id="113" w:name="_Ref0119"/>
      <w:r>
        <w:t xml:space="preserve">3.3</w:t>
      </w:r>
      <w:bookmarkEnd w:id="113"/>
      <w:r>
        <w:tab/>
      </w:r>
      <w:r>
        <w:t xml:space="preserve">DIBI: Cakupan, Patahan Seri, dan Batas Tafsir</w:t>
      </w:r>
      <w:bookmarkEnd w:id="114"/>
    </w:p>
    <w:p>
      <w:pPr>
        <w:pStyle w:val="IsiTemuan"/>
      </w:pPr>
      <w:r>
        <w:rPr>
          <w:b/>
          <w:bCs/>
          <w:color w:val="051C2C"/>
        </w:rPr>
        <w:t xml:space="preserve">DIBI 2025 menyaring </w:t>
      </w:r>
      <w:r>
        <w:rPr>
          <w:b/>
          <w:bCs/>
          <w:color w:val="051C2C"/>
        </w:rPr>
        <w:t xml:space="preserve">9.305</w:t>
      </w:r>
      <w:r>
        <w:rPr>
          <w:b/>
          <w:bCs/>
          <w:color w:val="051C2C"/>
        </w:rPr>
        <w:t xml:space="preserve"> laporan menjadi </w:t>
      </w:r>
      <w:r>
        <w:rPr>
          <w:b/>
          <w:bCs/>
          <w:color w:val="051C2C"/>
        </w:rPr>
        <w:t xml:space="preserve">5.440</w:t>
      </w:r>
      <w:r>
        <w:rPr>
          <w:b/>
          <w:bCs/>
          <w:color w:val="051C2C"/>
        </w:rPr>
        <w:t xml:space="preserve"> kejadian bencana, padahal sebelum 2024 semua laporan ditandai bencana.</w:t>
      </w:r>
      <w:r>
        <w:t xml:space="preserve"> Pada 2024 pemilahan pertama itu memisahkan </w:t>
      </w:r>
      <w:r>
        <w:t xml:space="preserve">3.636</w:t>
      </w:r>
      <w:r>
        <w:t xml:space="preserve"> laporan menjadi </w:t>
      </w:r>
      <w:r>
        <w:t xml:space="preserve">3.548</w:t>
      </w:r>
      <w:r>
        <w:t xml:space="preserve"> kejadian. Penandanya mengikuti ambang Petunjuk Pelaksanaan (Juklak) BNPB 7/2023: paling sedikit </w:t>
      </w:r>
      <w:r>
        <w:t xml:space="preserve">1 orang</w:t>
      </w:r>
      <w:r>
        <w:t xml:space="preserve"> meninggal, </w:t>
      </w:r>
      <w:r>
        <w:t xml:space="preserve">50 orang</w:t>
      </w:r>
      <w:r>
        <w:t xml:space="preserve"> terdampak, luka, atau mengungsi, </w:t>
      </w:r>
      <w:r>
        <w:t xml:space="preserve">5 unit</w:t>
      </w:r>
      <w:r>
        <w:t xml:space="preserve"> rumah atau fasilitas publik rusak, </w:t>
      </w:r>
      <w:r>
        <w:t xml:space="preserve">1 hektare</w:t>
      </w:r>
      <w:r>
        <w:t xml:space="preserve"> lahan, atau ada permintaan bantuan nasional maupun status darurat </w:t>
      </w:r>
      <w:r>
        <w:t xml:space="preserve">(BNPB, 2023j, hlm. 7)</w:t>
      </w:r>
      <w:r>
        <w:t xml:space="preserve">. Penanda itu bukan fungsi ambang murni; meninggal 2025 tercatat </w:t>
      </w:r>
      <w:r>
        <w:t xml:space="preserve">2.030</w:t>
      </w:r>
      <w:r>
        <w:t xml:space="preserve"> jiwa pada cakupan bencana dan </w:t>
      </w:r>
      <w:r>
        <w:t xml:space="preserve">2.037</w:t>
      </w:r>
      <w:r>
        <w:t xml:space="preserve"> pada semua laporan.</w:t>
      </w:r>
    </w:p>
    <w:p>
      <w:pPr>
        <w:pStyle w:val="IsiTemuan"/>
      </w:pPr>
      <w:r>
        <w:rPr>
          <w:b/>
          <w:bCs/>
          <w:color w:val="051C2C"/>
        </w:rPr>
        <w:t xml:space="preserve">Nonalam, sosial, dan kategori lainnya nol kejadian pada 2020–2023 tetapi </w:t>
      </w:r>
      <w:r>
        <w:rPr>
          <w:b/>
          <w:bCs/>
          <w:color w:val="051C2C"/>
        </w:rPr>
        <w:t xml:space="preserve">363</w:t>
      </w:r>
      <w:r>
        <w:rPr>
          <w:b/>
          <w:bCs/>
          <w:color w:val="051C2C"/>
        </w:rPr>
        <w:t xml:space="preserve"> kejadian pada 2025.</w:t>
      </w:r>
      <w:r>
        <w:t xml:space="preserve"> Kategori juga patah pada 2018, ketika Banjir Bandang, Banjir dan Tanah Longsor, Banjir Rob, serta Puting Beliung baru muncul; keempatnya tanpa baris pada 2024. Tanah longsor 2024 hanya </w:t>
      </w:r>
      <w:r>
        <w:t xml:space="preserve">219</w:t>
      </w:r>
      <w:r>
        <w:t xml:space="preserve"> laporan atau </w:t>
      </w:r>
      <w:r>
        <w:t xml:space="preserve">207</w:t>
      </w:r>
      <w:r>
        <w:t xml:space="preserve"> kejadian bencana </w:t>
      </w:r>
      <w:r>
        <w:t xml:space="preserve">(BNPB, t.t.-a)</w:t>
      </w:r>
      <w:r>
        <w:t xml:space="preserve">.</w:t>
      </w:r>
    </w:p>
    <w:p>
      <w:pPr>
        <w:pStyle w:val="IsiTemuan"/>
      </w:pPr>
      <w:r>
        <w:rPr>
          <w:b/>
          <w:bCs/>
          <w:color w:val="051C2C"/>
        </w:rPr>
        <w:t xml:space="preserve">Paket data kajian memakai dua cakupan DIBI: kejadian longsor 2025 berjumlah </w:t>
      </w:r>
      <w:r>
        <w:rPr>
          <w:b/>
          <w:bCs/>
          <w:color w:val="051C2C"/>
        </w:rPr>
        <w:t xml:space="preserve">1.171</w:t>
      </w:r>
      <w:r>
        <w:rPr>
          <w:b/>
          <w:bCs/>
          <w:color w:val="051C2C"/>
        </w:rPr>
        <w:t xml:space="preserve"> pada semua laporan dan </w:t>
      </w:r>
      <w:r>
        <w:rPr>
          <w:b/>
          <w:bCs/>
          <w:color w:val="051C2C"/>
        </w:rPr>
        <w:t xml:space="preserve">332</w:t>
      </w:r>
      <w:r>
        <w:rPr>
          <w:b/>
          <w:bCs/>
          <w:color w:val="051C2C"/>
        </w:rPr>
        <w:t xml:space="preserve"> pada cakupan bencana.</w:t>
      </w:r>
      <w:r>
        <w:t xml:space="preserve"> Angka nasional memakai cakupan bencana, sedangkan data per kab/kota untuk kartu skenario dan daftar perhatian memakai semua laporan. Akibatnya, syarat kejadian menggelembung pada 2024 dan 2025, sehingga tiap tabel menyebut cakupannya. Untuk korban jiwa selisih kedua cakupan kecil. Meninggal dan hilang dicatat sebagai nominal terakhir, sedangkan mengungsi sebagai nominal terbesar selama tanggap darurat </w:t>
      </w:r>
      <w:r>
        <w:t xml:space="preserve">(BNPB, 2023j, hlm. 21–22)</w:t>
      </w:r>
      <w:r>
        <w:t xml:space="preserve">; luka-luka tidak stabil antartahun dan tidak dipakai. Dasbor publik tidak memuat COVID-19 dan kebakaran Depo Plumpang 2023, kebakaran tempat pemrosesan akhir (TPA) tidak berjenis sendiri, dan baris konflik memuat dugaan entri ganda (</w:t>
      </w:r>
      <w:r>
        <w:fldChar w:fldCharType="begin"/>
      </w:r>
      <w:r>
        <w:instrText xml:space="preserve"> REF _Ref0093 \h \* CHARFORMAT </w:instrText>
      </w:r>
      <w:r>
        <w:fldChar w:fldCharType="separate"/>
      </w:r>
      <w:r>
        <w:t xml:space="preserve">20</w:t>
      </w:r>
      <w:r>
        <w:fldChar w:fldCharType="end"/>
      </w:r>
      <w:r>
        <w:t xml:space="preserve">).</w:t>
      </w:r>
    </w:p>
    <w:p>
      <w:pPr>
        <w:pStyle w:val="IsiTemuan"/>
      </w:pPr>
      <w:r>
        <w:rPr>
          <w:b/>
          <w:bCs/>
          <w:color w:val="051C2C"/>
        </w:rPr>
        <w:t xml:space="preserve">Korelasi peringkat IRBI 2025 banjir dengan jumlah laporan banjir DIBI 2015–2025 per kab/kota adalah </w:t>
      </w:r>
      <w:r>
        <w:rPr>
          <w:b/>
          <w:bCs/>
          <w:color w:val="051C2C"/>
        </w:rPr>
        <w:t xml:space="preserve">-0,31</w:t>
      </w:r>
      <w:r>
        <w:rPr>
          <w:b/>
          <w:bCs/>
          <w:color w:val="051C2C"/>
        </w:rPr>
        <w:t xml:space="preserve">; untuk tujuh bahaya lain </w:t>
      </w:r>
      <w:r>
        <w:rPr>
          <w:b/>
          <w:bCs/>
          <w:color w:val="051C2C"/>
        </w:rPr>
        <w:t xml:space="preserve">-0,07</w:t>
      </w:r>
      <w:r>
        <w:rPr>
          <w:b/>
          <w:bCs/>
          <w:color w:val="051C2C"/>
        </w:rPr>
        <w:t xml:space="preserve"> sampai </w:t>
      </w:r>
      <w:r>
        <w:rPr>
          <w:b/>
          <w:bCs/>
          <w:color w:val="051C2C"/>
        </w:rPr>
        <w:t xml:space="preserve">0,25</w:t>
      </w:r>
      <w:r>
        <w:rPr>
          <w:b/>
          <w:bCs/>
          <w:color w:val="051C2C"/>
        </w:rPr>
        <w:t xml:space="preserve">.</w:t>
      </w:r>
      <w:r>
        <w:t xml:space="preserve"> Kuintil teratas IRBI banjir bermedian </w:t>
      </w:r>
      <w:r>
        <w:t xml:space="preserve">10</w:t>
      </w:r>
      <w:r>
        <w:t xml:space="preserve"> laporan dan hampir seluruhnya di luar Jawa, sedangkan kuintil terbawah bermedian </w:t>
      </w:r>
      <w:r>
        <w:t xml:space="preserve">27</w:t>
      </w:r>
      <w:r>
        <w:t xml:space="preserve"> laporan. IRBI menggabungkan bahaya, kerentanan, dan kapasitas, sedangkan DIBI mencatat kejadian yang dilaporkan. Keduanya tidak saling memvalidasi dan disajikan berdampingan; di Pulau Jawa korelasi banjirnya positif lemah (</w:t>
      </w:r>
      <w:r>
        <w:t xml:space="preserve">0,19</w:t>
      </w:r>
      <w:r>
        <w:t xml:space="preserve">). Jumlah kejadian kekeringan DIBI dibaca sebagai intensitas pelaporan, bukan keparahan.</w:t>
      </w:r>
    </w:p>
    <w:p>
      <w:pPr>
        <w:pStyle w:val="Heading2"/>
      </w:pPr>
      <w:bookmarkStart w:id="116" w:name="_Toc00051"/>
      <w:bookmarkStart w:id="115" w:name="_Ref0212"/>
      <w:r>
        <w:t xml:space="preserve">3.4</w:t>
      </w:r>
      <w:bookmarkEnd w:id="115"/>
      <w:r>
        <w:tab/>
      </w:r>
      <w:r>
        <w:t xml:space="preserve">Skenario Terburuk yang Masuk Akal</w:t>
      </w:r>
      <w:bookmarkEnd w:id="116"/>
    </w:p>
    <w:p>
      <w:pPr>
        <w:pStyle w:val="Isi"/>
      </w:pPr>
      <w:r>
        <w:t xml:space="preserve">Skenario terburuk yang masuk akal (</w:t>
      </w:r>
      <w:r>
        <w:rPr>
          <w:i/>
          <w:iCs/>
        </w:rPr>
        <w:t xml:space="preserve">reasonable worst case scenario</w:t>
      </w:r>
      <w:r>
        <w:t xml:space="preserve">, RWCS) adalah perwujudan terburuk suatu risiko yang masih masuk akal setelah variasi yang sangat tidak mungkin disisihkan </w:t>
      </w:r>
      <w:r>
        <w:t xml:space="preserve">(Cabinet Office, 2025, hlm. 11)</w:t>
      </w:r>
      <w:r>
        <w:t xml:space="preserve">. Perban BNPB 2/2023 Pasal 7 meminta rencana kontinjensi memuat skenario kejadian dan asumsi dampak, dan lampirannya membuka pertimbangan sejarah kejadian terburuk </w:t>
      </w:r>
      <w:r>
        <w:t xml:space="preserve">(BNPB, 2023c, hlm. 4 dan 14)</w:t>
      </w:r>
      <w:r>
        <w:t xml:space="preserve">. Kajian menambahkan lantai: skenario tidak boleh lebih ringan daripada kejadian atau musim tercatat terburuk untuk jenis dan wilayah yang sama, dalam periode acuan delapan belas musim hujan 2008/2009–2025/2026 untuk hidrometeorologi dan 1996–2025 untuk geologi, nonalam, dan sosial. Kejadian hanya boleh disisihkan bila peluang lima tahunnya di bawah </w:t>
      </w:r>
      <w:r>
        <w:t xml:space="preserve">0,2%</w:t>
      </w:r>
      <w:r>
        <w:t xml:space="preserve">, dengan alasan tertulis. Batas pita model yang jatuh di bawah lantai dinaikkan ke lantai dengan catatan.</w:t>
      </w:r>
    </w:p>
    <w:p>
      <w:pPr>
        <w:pStyle w:val="IsiTemuan"/>
      </w:pPr>
      <w:r>
        <w:rPr>
          <w:b/>
          <w:bCs/>
          <w:color w:val="051C2C"/>
        </w:rPr>
        <w:t xml:space="preserve">Lantai musim hujan nasional adalah </w:t>
      </w:r>
      <w:r>
        <w:rPr>
          <w:b/>
          <w:bCs/>
          <w:color w:val="051C2C"/>
        </w:rPr>
        <w:t xml:space="preserve">1.692 jiwa</w:t>
      </w:r>
      <w:r>
        <w:rPr>
          <w:b/>
          <w:bCs/>
          <w:color w:val="051C2C"/>
        </w:rPr>
        <w:t xml:space="preserve"> meninggal dan hilang pada 2025/2026, musim yang juga mencatat </w:t>
      </w:r>
      <w:r>
        <w:rPr>
          <w:b/>
          <w:bCs/>
          <w:color w:val="051C2C"/>
        </w:rPr>
        <w:t xml:space="preserve">1.043.740 jiwa</w:t>
      </w:r>
      <w:r>
        <w:rPr>
          <w:b/>
          <w:bCs/>
          <w:color w:val="051C2C"/>
        </w:rPr>
        <w:t xml:space="preserve"> mengungsi dan </w:t>
      </w:r>
      <w:r>
        <w:rPr>
          <w:b/>
          <w:bCs/>
          <w:color w:val="051C2C"/>
        </w:rPr>
        <w:t xml:space="preserve">65.929 unit</w:t>
      </w:r>
      <w:r>
        <w:rPr>
          <w:b/>
          <w:bCs/>
          <w:color w:val="051C2C"/>
        </w:rPr>
        <w:t xml:space="preserve"> rumah rusak berat</w:t>
      </w:r>
      <w:r>
        <w:t xml:space="preserve"> </w:t>
      </w:r>
      <w:r>
        <w:t xml:space="preserve">(BNPB, t.t.-a)</w:t>
      </w:r>
      <w:r>
        <w:t xml:space="preserve">. Pita model musim terberat (Estimasi model, belum diuji balik) memberi </w:t>
      </w:r>
      <w:r>
        <w:t xml:space="preserve">400–950 jiwa</w:t>
      </w:r>
      <w:r>
        <w:t xml:space="preserve">, padahal musim itu mencatat </w:t>
      </w:r>
      <w:r>
        <w:t xml:space="preserve">1.506</w:t>
      </w:r>
      <w:r>
        <w:t xml:space="preserve"> meninggal dan </w:t>
      </w:r>
      <w:r>
        <w:t xml:space="preserve">186</w:t>
      </w:r>
      <w:r>
        <w:t xml:space="preserve"> hilang. Pita musim La Niña 2020/2021, </w:t>
      </w:r>
      <w:r>
        <w:t xml:space="preserve">520–1.200 jiwa</w:t>
      </w:r>
      <w:r>
        <w:t xml:space="preserve"> (Estimasi model, belum diuji balik), justru berbatas tinggi lebih dari dua kali </w:t>
      </w:r>
      <w:r>
        <w:t xml:space="preserve">465</w:t>
      </w:r>
      <w:r>
        <w:t xml:space="preserve"> meninggal dan </w:t>
      </w:r>
      <w:r>
        <w:t xml:space="preserve">72</w:t>
      </w:r>
      <w:r>
        <w:t xml:space="preserve"> hilang tercatat musim itu. Model paket menyisihkan tahun terburuk tercatat, bertentangan dengan aturan lantai, sehingga pitanya hanya pembanding musim berat tipikal dan korban skenario nasional sama dengan lantai.</w:t>
      </w:r>
    </w:p>
    <w:p>
      <w:pPr>
        <w:pStyle w:val="IsiTemuan"/>
      </w:pPr>
      <w:r>
        <w:rPr>
          <w:b/>
          <w:bCs/>
          <w:color w:val="051C2C"/>
        </w:rPr>
        <w:t xml:space="preserve">Lantai per jenis hidrometeorologi belum dapat ditetapkan karena turunan lantai per jenis dalam paket data belum dibangun, padahal batas rendah pita longsor La Niña sudah melampaui </w:t>
      </w:r>
      <w:r>
        <w:rPr>
          <w:b/>
          <w:bCs/>
          <w:color w:val="051C2C"/>
        </w:rPr>
        <w:t xml:space="preserve">153</w:t>
      </w:r>
      <w:r>
        <w:rPr>
          <w:b/>
          <w:bCs/>
          <w:color w:val="051C2C"/>
        </w:rPr>
        <w:t xml:space="preserve"> korban tercatatnya.</w:t>
      </w:r>
      <w:r>
        <w:t xml:space="preserve"> Angka per jenis di kartu skenario kini adalah angka musim analog, bukan lantai, sehingga kartu per jenis belum memuat angka lantai (</w:t>
      </w:r>
      <w:r>
        <w:fldChar w:fldCharType="begin"/>
      </w:r>
      <w:r>
        <w:instrText xml:space="preserve"> REF _Ref0105 \h \* CHARFORMAT </w:instrText>
      </w:r>
      <w:r>
        <w:fldChar w:fldCharType="separate"/>
      </w:r>
      <w:r>
        <w:t xml:space="preserve">30</w:t>
      </w:r>
      <w:r>
        <w:fldChar w:fldCharType="end"/>
      </w:r>
      <w:r>
        <w:t xml:space="preserve">). Pita yang melampaui catatan musimnya atau lebih lebar dari satu orde besaran, seperti pita cuaca ekstrem La Niña serta pita gelombang ekstrem dan abrasi, tidak tampil di kartu tanpa penjelasan tertulis.</w:t>
      </w:r>
    </w:p>
    <w:p>
      <w:pPr>
        <w:pStyle w:val="IsiTemuan"/>
      </w:pPr>
      <w:r>
        <w:rPr>
          <w:b/>
          <w:bCs/>
          <w:color w:val="051C2C"/>
        </w:rPr>
        <w:t xml:space="preserve">Lantai megathrust selatan Jawa adalah Pangandaran 2006 dengan </w:t>
      </w:r>
      <w:r>
        <w:rPr>
          <w:b/>
          <w:bCs/>
          <w:color w:val="051C2C"/>
        </w:rPr>
        <w:t xml:space="preserve">665 jiwa</w:t>
      </w:r>
      <w:r>
        <w:rPr>
          <w:b/>
          <w:bCs/>
          <w:color w:val="051C2C"/>
        </w:rPr>
        <w:t xml:space="preserve"> meninggal menurut rincian per kab/kota United States Geological Survey (USGS); lantai Mentawai dan Enggano adalah Mentawai 2010 dengan </w:t>
      </w:r>
      <w:r>
        <w:rPr>
          <w:b/>
          <w:bCs/>
          <w:color w:val="051C2C"/>
        </w:rPr>
        <w:t xml:space="preserve">447</w:t>
      </w:r>
      <w:r>
        <w:rPr>
          <w:b/>
          <w:bCs/>
          <w:color w:val="051C2C"/>
        </w:rPr>
        <w:t xml:space="preserve"> meninggal dan </w:t>
      </w:r>
      <w:r>
        <w:rPr>
          <w:b/>
          <w:bCs/>
          <w:color w:val="051C2C"/>
        </w:rPr>
        <w:t xml:space="preserve">56</w:t>
      </w:r>
      <w:r>
        <w:rPr>
          <w:b/>
          <w:bCs/>
          <w:color w:val="051C2C"/>
        </w:rPr>
        <w:t xml:space="preserve"> hilang.</w:t>
      </w:r>
      <w:r>
        <w:t xml:space="preserve"> Lantai tsunami memakai kejadian yang sama ditambah Selat Sunda 2018, </w:t>
      </w:r>
      <w:r>
        <w:t xml:space="preserve">437</w:t>
      </w:r>
      <w:r>
        <w:t xml:space="preserve"> meninggal dan </w:t>
      </w:r>
      <w:r>
        <w:t xml:space="preserve">16</w:t>
      </w:r>
      <w:r>
        <w:t xml:space="preserve"> hilang </w:t>
      </w:r>
      <w:r>
        <w:t xml:space="preserve">(BNPB, t.t.-a)</w:t>
      </w:r>
      <w:r>
        <w:t xml:space="preserve">. Yogyakarta 2006 (</w:t>
      </w:r>
      <w:r>
        <w:t xml:space="preserve">5.749</w:t>
      </w:r>
      <w:r>
        <w:t xml:space="preserve"> meninggal, USGS) dan Padang 2009 (</w:t>
      </w:r>
      <w:r>
        <w:t xml:space="preserve">1.195</w:t>
      </w:r>
      <w:r>
        <w:t xml:space="preserve"> meninggal, DIBI) berasal dari gempa kerak dan slab, bukan megathrust; Yogyakarta 2006 menjadi lantai kartu sesar darat bersama Cianjur 2022. Magnitudo maksimum menurut Pusat Studi Gempa Nasional (PuSGeN) adalah Mw </w:t>
      </w:r>
      <w:r>
        <w:t xml:space="preserve">9,1</w:t>
      </w:r>
      <w:r>
        <w:t xml:space="preserve"> untuk segmen gabungan Jawa dan Mw </w:t>
      </w:r>
      <w:r>
        <w:t xml:space="preserve">8,9</w:t>
      </w:r>
      <w:r>
        <w:t xml:space="preserve"> per segmen, tanpa skenario korban </w:t>
      </w:r>
      <w:r>
        <w:t xml:space="preserve">(PuSGeN, 2024, hlm. 342–343)</w:t>
      </w:r>
      <w:r>
        <w:t xml:space="preserve">.</w:t>
      </w:r>
    </w:p>
    <w:p>
      <w:pPr>
        <w:pStyle w:val="Isi"/>
      </w:pPr>
      <w:r>
        <w:t xml:space="preserve">Pita korban dan kerugian megathrust dari platform semuanya lebih lebar dari satu orde besaran, sehingga yang tampil di badan teks hanya magnitudo maksimum, periode ulang, paparan KRB, dan korban analog. Korban tsunami tidak dikuantifikasi sampai genangan tsunami InaRISK dipakai. Kartu nonalam dan sosial memakai analog terbesar tiga puluh tahun terakhir tanpa perkalian. Untuk COVID-19, misalnya, tercatat </w:t>
      </w:r>
      <w:r>
        <w:t xml:space="preserve">161.870 jiwa</w:t>
      </w:r>
      <w:r>
        <w:t xml:space="preserve"> meninggal, yang disandingkan dengan kematian berlebih 2020–2021 sebesar </w:t>
      </w:r>
      <w:r>
        <w:t xml:space="preserve">810.000–1.300.000 jiwa</w:t>
      </w:r>
      <w:r>
        <w:t xml:space="preserve"> (Estimasi model) menurut model World Health Organization (WHO).</w:t>
      </w:r>
    </w:p>
    <w:p>
      <w:pPr>
        <w:pStyle w:val="Heading2"/>
      </w:pPr>
      <w:bookmarkStart w:id="118" w:name="_Toc00052"/>
      <w:bookmarkStart w:id="117" w:name="_Ref0158"/>
      <w:r>
        <w:t xml:space="preserve">3.5</w:t>
      </w:r>
      <w:bookmarkEnd w:id="117"/>
      <w:r>
        <w:tab/>
      </w:r>
      <w:r>
        <w:t xml:space="preserve">Kemungkinan dan Skala Dampak</w:t>
      </w:r>
      <w:bookmarkEnd w:id="118"/>
    </w:p>
    <w:p>
      <w:pPr>
        <w:pStyle w:val="IsiTemuan"/>
      </w:pPr>
      <w:r>
        <w:rPr>
          <w:b/>
          <w:bCs/>
          <w:color w:val="051C2C"/>
        </w:rPr>
        <w:t xml:space="preserve">Perban BNPB 2/2023 tidak memuat kelas atau ambang dampak, sehingga skala dampak lima kelas sepenuhnya Asumsi kebijakan; pada skala itu hanya </w:t>
      </w:r>
      <w:r>
        <w:rPr>
          <w:b/>
          <w:bCs/>
          <w:color w:val="051C2C"/>
        </w:rPr>
        <w:t xml:space="preserve">2</w:t>
      </w:r>
      <w:r>
        <w:rPr>
          <w:b/>
          <w:bCs/>
          <w:color w:val="051C2C"/>
        </w:rPr>
        <w:t xml:space="preserve"> provinsi-tahun DIBI 2008–2025 jatuh di kelas tertinggi.</w:t>
      </w:r>
      <w:r>
        <w:t xml:space="preserve"> Dampak dinilai pada lima aspek Pasal 7 ayat (5), dan kelas kartu mengikuti aspek terberat </w:t>
      </w:r>
      <w:r>
        <w:t xml:space="preserve">(BNPB, 2023c, hlm. 4)</w:t>
      </w:r>
      <w:r>
        <w:t xml:space="preserve">. Kependudukan memakai pita fatalitas NRR, yaitu sampai </w:t>
      </w:r>
      <w:r>
        <w:t xml:space="preserve">8</w:t>
      </w:r>
      <w:r>
        <w:t xml:space="preserve">, </w:t>
      </w:r>
      <w:r>
        <w:t xml:space="preserve">40</w:t>
      </w:r>
      <w:r>
        <w:t xml:space="preserve">, </w:t>
      </w:r>
      <w:r>
        <w:t xml:space="preserve">200</w:t>
      </w:r>
      <w:r>
        <w:t xml:space="preserve">, dan </w:t>
      </w:r>
      <w:r>
        <w:t xml:space="preserve">1.000</w:t>
      </w:r>
      <w:r>
        <w:t xml:space="preserve"> meninggal dan hilang untuk kelas 1–4 </w:t>
      </w:r>
      <w:r>
        <w:t xml:space="preserve">(Cabinet Office, 2025, hlm. 14)</w:t>
      </w:r>
      <w:r>
        <w:t xml:space="preserve">. Pita itu memisahkan sebaran provinsi-tahun dengan baik: </w:t>
      </w:r>
      <w:r>
        <w:t xml:space="preserve">10</w:t>
      </w:r>
      <w:r>
        <w:t xml:space="preserve"> di kelas 4, sedangkan kelas 5 hanya Sulawesi Tengah 2018 dan Sumatera Barat 2009 (</w:t>
      </w:r>
      <w:r>
        <w:fldChar w:fldCharType="begin"/>
      </w:r>
      <w:r>
        <w:instrText xml:space="preserve"> REF _Ref0326 \h \* CHARFORMAT </w:instrText>
      </w:r>
      <w:r>
        <w:fldChar w:fldCharType="separate"/>
      </w:r>
      <w:r>
        <w:t xml:space="preserve">Tabel 3.3</w:t>
      </w:r>
      <w:r>
        <w:fldChar w:fldCharType="end"/>
      </w:r>
      <w:r>
        <w:t xml:space="preserve">). Pita NRR disusun untuk Inggris dan di sini berfungsi sebagai rujukan metode. Tahun nasional selalu jatuh di kelas 4 atau 5, terendah </w:t>
      </w:r>
      <w:r>
        <w:t xml:space="preserve">276 jiwa</w:t>
      </w:r>
      <w:r>
        <w:t xml:space="preserve"> pada 2015. Penyusun mengunci ambang itu, lengkap dengan tanggalnya, sebelum mengisi kelas kartu.</w:t>
      </w:r>
    </w:p>
    <w:p>
      <w:pPr>
        <w:pStyle w:val="Caption"/>
      </w:pPr>
      <w:bookmarkStart w:id="120" w:name="_Toc00053"/>
      <w:bookmarkStart w:id="119" w:name="_Ref032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119"/>
      <w:r>
        <w:rPr>
          <w:b/>
          <w:bCs/>
          <w:color w:val="051C2C"/>
        </w:rPr>
        <w:t xml:space="preserve"> </w:t>
      </w:r>
      <w:r>
        <w:t xml:space="preserve">Sebaran dampak DIBI per provinsi per tahun dan ambang kelas dampak per aspek, Indonesia, 2008–2025</w:t>
      </w:r>
      <w:bookmarkEnd w:id="12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90"/>
        <w:gridCol w:w="1352"/>
        <w:gridCol w:w="935"/>
        <w:gridCol w:w="1225"/>
        <w:gridCol w:w="1225"/>
        <w:gridCol w:w="1263"/>
        <w:gridCol w:w="1764"/>
      </w:tblGrid>
      <w:tr>
        <w:trPr>
          <w:cantSplit/>
          <w:tblHeader/>
        </w:trPr>
        <w:tc>
          <w:tcPr>
            <w:tcW w:w="1590" w:type="dxa"/>
            <w:shd w:val="clear" w:color="auto" w:fill="051C2C"/>
            <w:vAlign w:val="center"/>
          </w:tcPr>
          <w:p>
            <w:pPr>
              <w:pStyle w:val="KepalaTabel"/>
              <w:suppressAutoHyphens/>
            </w:pPr>
            <w:r>
              <w:t xml:space="preserve">ASPEK</w:t>
            </w:r>
          </w:p>
        </w:tc>
        <w:tc>
          <w:tcPr>
            <w:tcW w:w="1352" w:type="dxa"/>
            <w:shd w:val="clear" w:color="auto" w:fill="051C2C"/>
            <w:vAlign w:val="center"/>
          </w:tcPr>
          <w:p>
            <w:pPr>
              <w:pStyle w:val="KepalaTabel"/>
              <w:suppressAutoHyphens/>
            </w:pPr>
            <w:r>
              <w:t xml:space="preserve">BESARAN DIBI</w:t>
            </w:r>
          </w:p>
        </w:tc>
        <w:tc>
          <w:tcPr>
            <w:tcW w:w="935" w:type="dxa"/>
            <w:shd w:val="clear" w:color="auto" w:fill="051C2C"/>
            <w:vAlign w:val="center"/>
          </w:tcPr>
          <w:p>
            <w:pPr>
              <w:pStyle w:val="KepalaTabel"/>
              <w:suppressAutoHyphens/>
            </w:pPr>
            <w:r>
              <w:t xml:space="preserve">MEDIAN</w:t>
            </w:r>
          </w:p>
        </w:tc>
        <w:tc>
          <w:tcPr>
            <w:tcW w:w="1225" w:type="dxa"/>
            <w:shd w:val="clear" w:color="auto" w:fill="051C2C"/>
            <w:vAlign w:val="center"/>
          </w:tcPr>
          <w:p>
            <w:pPr>
              <w:pStyle w:val="KepalaTabel"/>
              <w:suppressAutoHyphens/>
            </w:pPr>
            <w:r>
              <w:t xml:space="preserve">PERSENTIL 90</w:t>
            </w:r>
          </w:p>
        </w:tc>
        <w:tc>
          <w:tcPr>
            <w:tcW w:w="1225" w:type="dxa"/>
            <w:shd w:val="clear" w:color="auto" w:fill="051C2C"/>
            <w:vAlign w:val="center"/>
          </w:tcPr>
          <w:p>
            <w:pPr>
              <w:pStyle w:val="KepalaTabel"/>
              <w:suppressAutoHyphens/>
            </w:pPr>
            <w:r>
              <w:t xml:space="preserve">PERSENTIL 99</w:t>
            </w:r>
          </w:p>
        </w:tc>
        <w:tc>
          <w:tcPr>
            <w:tcW w:w="1263" w:type="dxa"/>
            <w:shd w:val="clear" w:color="auto" w:fill="051C2C"/>
            <w:vAlign w:val="center"/>
          </w:tcPr>
          <w:p>
            <w:pPr>
              <w:pStyle w:val="KepalaTabel"/>
              <w:suppressAutoHyphens/>
            </w:pPr>
            <w:r>
              <w:t xml:space="preserve">MAKSIMUM</w:t>
            </w:r>
          </w:p>
        </w:tc>
        <w:tc>
          <w:tcPr>
            <w:tcW w:w="1764" w:type="dxa"/>
            <w:shd w:val="clear" w:color="auto" w:fill="051C2C"/>
            <w:vAlign w:val="center"/>
          </w:tcPr>
          <w:p>
            <w:pPr>
              <w:pStyle w:val="KepalaTabel"/>
              <w:suppressAutoHyphens/>
            </w:pPr>
            <w:r>
              <w:t xml:space="preserve">AMBANG KELAS</w:t>
            </w:r>
          </w:p>
        </w:tc>
      </w:tr>
      <w:tr>
        <w:trPr>
          <w:cantSplit/>
        </w:trPr>
        <w:tc>
          <w:tcPr>
            <w:tcW w:w="1590" w:type="dxa"/>
          </w:tcPr>
          <w:p>
            <w:pPr>
              <w:pStyle w:val="IsiTabel"/>
              <w:suppressAutoHyphens/>
              <w:jc w:val="left"/>
            </w:pPr>
            <w:r>
              <w:t xml:space="preserve">Kependudukan</w:t>
            </w:r>
          </w:p>
        </w:tc>
        <w:tc>
          <w:tcPr>
            <w:tcW w:w="1352" w:type="dxa"/>
          </w:tcPr>
          <w:p>
            <w:pPr>
              <w:pStyle w:val="IsiTabel"/>
              <w:suppressAutoHyphens/>
              <w:jc w:val="left"/>
            </w:pPr>
            <w:r>
              <w:t xml:space="preserve">meninggal dan hilang (jiwa)</w:t>
            </w:r>
          </w:p>
        </w:tc>
        <w:tc>
          <w:tcPr>
            <w:tcW w:w="935" w:type="dxa"/>
          </w:tcPr>
          <w:p>
            <w:pPr>
              <w:pStyle w:val="IsiTabel"/>
              <w:suppressAutoHyphens/>
              <w:jc w:val="right"/>
            </w:pPr>
            <w:r>
              <w:t xml:space="preserve">4</w:t>
            </w:r>
          </w:p>
        </w:tc>
        <w:tc>
          <w:tcPr>
            <w:tcW w:w="1225" w:type="dxa"/>
          </w:tcPr>
          <w:p>
            <w:pPr>
              <w:pStyle w:val="IsiTabel"/>
              <w:suppressAutoHyphens/>
              <w:jc w:val="right"/>
            </w:pPr>
            <w:r>
              <w:t xml:space="preserve">41</w:t>
            </w:r>
          </w:p>
        </w:tc>
        <w:tc>
          <w:tcPr>
            <w:tcW w:w="1225" w:type="dxa"/>
          </w:tcPr>
          <w:p>
            <w:pPr>
              <w:pStyle w:val="IsiTabel"/>
              <w:suppressAutoHyphens/>
              <w:jc w:val="right"/>
            </w:pPr>
            <w:r>
              <w:t xml:space="preserve">391</w:t>
            </w:r>
          </w:p>
        </w:tc>
        <w:tc>
          <w:tcPr>
            <w:tcW w:w="1263" w:type="dxa"/>
          </w:tcPr>
          <w:p>
            <w:pPr>
              <w:pStyle w:val="IsiTabel"/>
              <w:suppressAutoHyphens/>
              <w:jc w:val="right"/>
            </w:pPr>
            <w:r>
              <w:t xml:space="preserve">4.845</w:t>
            </w:r>
          </w:p>
        </w:tc>
        <w:tc>
          <w:tcPr>
            <w:tcW w:w="1764" w:type="dxa"/>
          </w:tcPr>
          <w:p>
            <w:pPr>
              <w:pStyle w:val="IsiTabel"/>
              <w:suppressAutoHyphens/>
              <w:jc w:val="left"/>
            </w:pPr>
            <w:r>
              <w:t xml:space="preserve">pita fatalitas NRR</w:t>
            </w:r>
          </w:p>
        </w:tc>
      </w:tr>
      <w:tr>
        <w:trPr>
          <w:cantSplit/>
        </w:trPr>
        <w:tc>
          <w:tcPr>
            <w:tcW w:w="1590" w:type="dxa"/>
          </w:tcPr>
          <w:p>
            <w:pPr>
              <w:pStyle w:val="IsiTabel"/>
              <w:suppressAutoHyphens/>
              <w:jc w:val="left"/>
            </w:pPr>
            <w:r>
              <w:t xml:space="preserve">Kependudukan</w:t>
            </w:r>
          </w:p>
        </w:tc>
        <w:tc>
          <w:tcPr>
            <w:tcW w:w="1352" w:type="dxa"/>
          </w:tcPr>
          <w:p>
            <w:pPr>
              <w:pStyle w:val="IsiTabel"/>
              <w:suppressAutoHyphens/>
              <w:jc w:val="left"/>
            </w:pPr>
            <w:r>
              <w:t xml:space="preserve">mengungsi (jiwa)</w:t>
            </w:r>
          </w:p>
        </w:tc>
        <w:tc>
          <w:tcPr>
            <w:tcW w:w="935" w:type="dxa"/>
          </w:tcPr>
          <w:p>
            <w:pPr>
              <w:pStyle w:val="IsiTabel"/>
              <w:suppressAutoHyphens/>
              <w:jc w:val="right"/>
            </w:pPr>
            <w:r>
              <w:t xml:space="preserve">1.402</w:t>
            </w:r>
          </w:p>
        </w:tc>
        <w:tc>
          <w:tcPr>
            <w:tcW w:w="1225" w:type="dxa"/>
          </w:tcPr>
          <w:p>
            <w:pPr>
              <w:pStyle w:val="IsiTabel"/>
              <w:suppressAutoHyphens/>
              <w:jc w:val="right"/>
            </w:pPr>
            <w:r>
              <w:t xml:space="preserve">32.484</w:t>
            </w:r>
          </w:p>
        </w:tc>
        <w:tc>
          <w:tcPr>
            <w:tcW w:w="1225" w:type="dxa"/>
          </w:tcPr>
          <w:p>
            <w:pPr>
              <w:pStyle w:val="IsiTabel"/>
              <w:suppressAutoHyphens/>
              <w:jc w:val="right"/>
            </w:pPr>
            <w:r>
              <w:t xml:space="preserve">239.158</w:t>
            </w:r>
          </w:p>
        </w:tc>
        <w:tc>
          <w:tcPr>
            <w:tcW w:w="1263" w:type="dxa"/>
          </w:tcPr>
          <w:p>
            <w:pPr>
              <w:pStyle w:val="IsiTabel"/>
              <w:suppressAutoHyphens/>
              <w:jc w:val="right"/>
            </w:pPr>
            <w:r>
              <w:t xml:space="preserve">947.399</w:t>
            </w:r>
          </w:p>
        </w:tc>
        <w:tc>
          <w:tcPr>
            <w:tcW w:w="1764" w:type="dxa"/>
          </w:tcPr>
          <w:p>
            <w:pPr>
              <w:pStyle w:val="IsiTabel"/>
              <w:suppressAutoHyphens/>
              <w:jc w:val="left"/>
            </w:pPr>
            <w:r>
              <w:t xml:space="preserve">kelipatan lima mulai median</w:t>
            </w:r>
          </w:p>
        </w:tc>
      </w:tr>
      <w:tr>
        <w:trPr>
          <w:cantSplit/>
        </w:trPr>
        <w:tc>
          <w:tcPr>
            <w:tcW w:w="1590" w:type="dxa"/>
          </w:tcPr>
          <w:p>
            <w:pPr>
              <w:pStyle w:val="IsiTabel"/>
              <w:keepNext/>
              <w:suppressAutoHyphens/>
              <w:jc w:val="left"/>
            </w:pPr>
            <w:bookmarkStart w:id="121" w:name="_Ekor011a"/>
            <w:bookmarkEnd w:id="121"/>
            <w:r>
              <w:t xml:space="preserve">Infrastruktur/fisik</w:t>
            </w:r>
          </w:p>
        </w:tc>
        <w:tc>
          <w:tcPr>
            <w:tcW w:w="1352" w:type="dxa"/>
          </w:tcPr>
          <w:p>
            <w:pPr>
              <w:pStyle w:val="IsiTabel"/>
              <w:keepNext/>
              <w:suppressAutoHyphens/>
              <w:jc w:val="left"/>
            </w:pPr>
            <w:r>
              <w:t xml:space="preserve">rumah rusak (unit)</w:t>
            </w:r>
          </w:p>
        </w:tc>
        <w:tc>
          <w:tcPr>
            <w:tcW w:w="935" w:type="dxa"/>
          </w:tcPr>
          <w:p>
            <w:pPr>
              <w:pStyle w:val="IsiTabel"/>
              <w:keepNext/>
              <w:suppressAutoHyphens/>
              <w:jc w:val="right"/>
            </w:pPr>
            <w:r>
              <w:t xml:space="preserve">414</w:t>
            </w:r>
          </w:p>
        </w:tc>
        <w:tc>
          <w:tcPr>
            <w:tcW w:w="1225" w:type="dxa"/>
          </w:tcPr>
          <w:p>
            <w:pPr>
              <w:pStyle w:val="IsiTabel"/>
              <w:keepNext/>
              <w:suppressAutoHyphens/>
              <w:jc w:val="right"/>
            </w:pPr>
            <w:r>
              <w:t xml:space="preserve">5.521</w:t>
            </w:r>
          </w:p>
        </w:tc>
        <w:tc>
          <w:tcPr>
            <w:tcW w:w="1225" w:type="dxa"/>
          </w:tcPr>
          <w:p>
            <w:pPr>
              <w:pStyle w:val="IsiTabel"/>
              <w:keepNext/>
              <w:suppressAutoHyphens/>
              <w:jc w:val="right"/>
            </w:pPr>
            <w:r>
              <w:t xml:space="preserve">44.445</w:t>
            </w:r>
          </w:p>
        </w:tc>
        <w:tc>
          <w:tcPr>
            <w:tcW w:w="1263" w:type="dxa"/>
          </w:tcPr>
          <w:p>
            <w:pPr>
              <w:pStyle w:val="IsiTabel"/>
              <w:keepNext/>
              <w:suppressAutoHyphens/>
              <w:jc w:val="right"/>
            </w:pPr>
            <w:r>
              <w:t xml:space="preserve">271.693</w:t>
            </w:r>
          </w:p>
        </w:tc>
        <w:tc>
          <w:tcPr>
            <w:tcW w:w="1764" w:type="dxa"/>
          </w:tcPr>
          <w:p>
            <w:pPr>
              <w:pStyle w:val="IsiTabel"/>
              <w:keepNext/>
              <w:suppressAutoHyphens/>
              <w:jc w:val="left"/>
            </w:pPr>
            <w:r>
              <w:t xml:space="preserve">kelipatan lima mulai median</w:t>
            </w:r>
          </w:p>
        </w:tc>
      </w:tr>
      <w:tr>
        <w:trPr>
          <w:cantSplit/>
        </w:trPr>
        <w:tc>
          <w:tcPr>
            <w:tcW w:w="1590" w:type="dxa"/>
          </w:tcPr>
          <w:p>
            <w:pPr>
              <w:pStyle w:val="IsiTabel"/>
              <w:keepNext/>
              <w:suppressAutoHyphens/>
              <w:jc w:val="left"/>
            </w:pPr>
            <w:r>
              <w:t xml:space="preserve">Layanan publik</w:t>
            </w:r>
          </w:p>
        </w:tc>
        <w:tc>
          <w:tcPr>
            <w:tcW w:w="1352" w:type="dxa"/>
          </w:tcPr>
          <w:p>
            <w:pPr>
              <w:pStyle w:val="IsiTabel"/>
              <w:keepNext/>
              <w:suppressAutoHyphens/>
              <w:jc w:val="left"/>
            </w:pPr>
            <w:r>
              <w:t xml:space="preserve">fasilitas rusak (unit)</w:t>
            </w:r>
          </w:p>
        </w:tc>
        <w:tc>
          <w:tcPr>
            <w:tcW w:w="935" w:type="dxa"/>
          </w:tcPr>
          <w:p>
            <w:pPr>
              <w:pStyle w:val="IsiTabel"/>
              <w:keepNext/>
              <w:suppressAutoHyphens/>
              <w:jc w:val="right"/>
            </w:pPr>
            <w:r>
              <w:t xml:space="preserve">10</w:t>
            </w:r>
          </w:p>
        </w:tc>
        <w:tc>
          <w:tcPr>
            <w:tcW w:w="1225" w:type="dxa"/>
          </w:tcPr>
          <w:p>
            <w:pPr>
              <w:pStyle w:val="IsiTabel"/>
              <w:keepNext/>
              <w:suppressAutoHyphens/>
              <w:jc w:val="right"/>
            </w:pPr>
            <w:r>
              <w:t xml:space="preserve">169</w:t>
            </w:r>
          </w:p>
        </w:tc>
        <w:tc>
          <w:tcPr>
            <w:tcW w:w="1225" w:type="dxa"/>
          </w:tcPr>
          <w:p>
            <w:pPr>
              <w:pStyle w:val="IsiTabel"/>
              <w:keepNext/>
              <w:suppressAutoHyphens/>
              <w:jc w:val="right"/>
            </w:pPr>
            <w:r>
              <w:t xml:space="preserve">1.406</w:t>
            </w:r>
          </w:p>
        </w:tc>
        <w:tc>
          <w:tcPr>
            <w:tcW w:w="1263" w:type="dxa"/>
          </w:tcPr>
          <w:p>
            <w:pPr>
              <w:pStyle w:val="IsiTabel"/>
              <w:keepNext/>
              <w:suppressAutoHyphens/>
              <w:jc w:val="right"/>
            </w:pPr>
            <w:r>
              <w:t xml:space="preserve">4.875</w:t>
            </w:r>
          </w:p>
        </w:tc>
        <w:tc>
          <w:tcPr>
            <w:tcW w:w="1764" w:type="dxa"/>
          </w:tcPr>
          <w:p>
            <w:pPr>
              <w:pStyle w:val="IsiTabel"/>
              <w:keepNext/>
              <w:suppressAutoHyphens/>
              <w:jc w:val="left"/>
            </w:pPr>
            <w:r>
              <w:t xml:space="preserve">kelipatan lima mulai median</w:t>
            </w:r>
          </w:p>
        </w:tc>
      </w:tr>
      <w:tr>
        <w:trPr>
          <w:cantSplit/>
        </w:trPr>
        <w:tc>
          <w:tcPr>
            <w:tcW w:w="1590" w:type="dxa"/>
          </w:tcPr>
          <w:p>
            <w:pPr>
              <w:pStyle w:val="IsiTabel"/>
              <w:keepNext/>
              <w:suppressAutoHyphens/>
              <w:jc w:val="left"/>
            </w:pPr>
            <w:r>
              <w:t xml:space="preserve">Ekonomi</w:t>
            </w:r>
          </w:p>
        </w:tc>
        <w:tc>
          <w:tcPr>
            <w:tcW w:w="1352" w:type="dxa"/>
          </w:tcPr>
          <w:p>
            <w:pPr>
              <w:pStyle w:val="IsiTabel"/>
              <w:keepNext/>
              <w:suppressAutoHyphens/>
              <w:jc w:val="left"/>
            </w:pPr>
            <w:r>
              <w:t xml:space="preserve">–</w:t>
            </w:r>
          </w:p>
        </w:tc>
        <w:tc>
          <w:tcPr>
            <w:tcW w:w="935" w:type="dxa"/>
          </w:tcPr>
          <w:p>
            <w:pPr>
              <w:pStyle w:val="IsiTabel"/>
              <w:keepNext/>
              <w:suppressAutoHyphens/>
              <w:jc w:val="right"/>
            </w:pPr>
            <w:r>
              <w:t xml:space="preserve">–</w:t>
            </w:r>
          </w:p>
        </w:tc>
        <w:tc>
          <w:tcPr>
            <w:tcW w:w="1225" w:type="dxa"/>
          </w:tcPr>
          <w:p>
            <w:pPr>
              <w:pStyle w:val="IsiTabel"/>
              <w:keepNext/>
              <w:suppressAutoHyphens/>
              <w:jc w:val="right"/>
            </w:pPr>
            <w:r>
              <w:t xml:space="preserve">–</w:t>
            </w:r>
          </w:p>
        </w:tc>
        <w:tc>
          <w:tcPr>
            <w:tcW w:w="1225" w:type="dxa"/>
          </w:tcPr>
          <w:p>
            <w:pPr>
              <w:pStyle w:val="IsiTabel"/>
              <w:keepNext/>
              <w:suppressAutoHyphens/>
              <w:jc w:val="right"/>
            </w:pPr>
            <w:r>
              <w:t xml:space="preserve">–</w:t>
            </w:r>
          </w:p>
        </w:tc>
        <w:tc>
          <w:tcPr>
            <w:tcW w:w="1263" w:type="dxa"/>
          </w:tcPr>
          <w:p>
            <w:pPr>
              <w:pStyle w:val="IsiTabel"/>
              <w:keepNext/>
              <w:suppressAutoHyphens/>
              <w:jc w:val="right"/>
            </w:pPr>
            <w:r>
              <w:t xml:space="preserve">–</w:t>
            </w:r>
          </w:p>
        </w:tc>
        <w:tc>
          <w:tcPr>
            <w:tcW w:w="1764" w:type="dxa"/>
          </w:tcPr>
          <w:p>
            <w:pPr>
              <w:pStyle w:val="IsiTabel"/>
              <w:keepNext/>
              <w:suppressAutoHyphens/>
              <w:jc w:val="left"/>
            </w:pPr>
            <w:r>
              <w:t xml:space="preserve">tidak dinilai; KRB batas atas</w:t>
            </w:r>
          </w:p>
        </w:tc>
      </w:tr>
      <w:tr>
        <w:trPr>
          <w:cantSplit/>
        </w:trPr>
        <w:tc>
          <w:tcPr>
            <w:tcW w:w="1590" w:type="dxa"/>
          </w:tcPr>
          <w:p>
            <w:pPr>
              <w:pStyle w:val="IsiTabel"/>
              <w:suppressAutoHyphens/>
              <w:jc w:val="left"/>
            </w:pPr>
            <w:bookmarkStart w:id="122" w:name="_Ekor011z"/>
            <w:bookmarkEnd w:id="122"/>
            <w:r>
              <w:t xml:space="preserve">Lingkungan</w:t>
            </w:r>
          </w:p>
        </w:tc>
        <w:tc>
          <w:tcPr>
            <w:tcW w:w="1352" w:type="dxa"/>
          </w:tcPr>
          <w:p>
            <w:pPr>
              <w:pStyle w:val="IsiTabel"/>
              <w:suppressAutoHyphens/>
              <w:jc w:val="left"/>
            </w:pPr>
            <w:r>
              <w:t xml:space="preserve">–</w:t>
            </w:r>
          </w:p>
        </w:tc>
        <w:tc>
          <w:tcPr>
            <w:tcW w:w="935" w:type="dxa"/>
          </w:tcPr>
          <w:p>
            <w:pPr>
              <w:pStyle w:val="IsiTabel"/>
              <w:suppressAutoHyphens/>
              <w:jc w:val="right"/>
            </w:pPr>
            <w:r>
              <w:t xml:space="preserve">–</w:t>
            </w:r>
          </w:p>
        </w:tc>
        <w:tc>
          <w:tcPr>
            <w:tcW w:w="1225" w:type="dxa"/>
          </w:tcPr>
          <w:p>
            <w:pPr>
              <w:pStyle w:val="IsiTabel"/>
              <w:suppressAutoHyphens/>
              <w:jc w:val="right"/>
            </w:pPr>
            <w:r>
              <w:t xml:space="preserve">–</w:t>
            </w:r>
          </w:p>
        </w:tc>
        <w:tc>
          <w:tcPr>
            <w:tcW w:w="1225" w:type="dxa"/>
          </w:tcPr>
          <w:p>
            <w:pPr>
              <w:pStyle w:val="IsiTabel"/>
              <w:suppressAutoHyphens/>
              <w:jc w:val="right"/>
            </w:pPr>
            <w:r>
              <w:t xml:space="preserve">–</w:t>
            </w:r>
          </w:p>
        </w:tc>
        <w:tc>
          <w:tcPr>
            <w:tcW w:w="1263" w:type="dxa"/>
          </w:tcPr>
          <w:p>
            <w:pPr>
              <w:pStyle w:val="IsiTabel"/>
              <w:suppressAutoHyphens/>
              <w:jc w:val="right"/>
            </w:pPr>
            <w:r>
              <w:t xml:space="preserve">–</w:t>
            </w:r>
          </w:p>
        </w:tc>
        <w:tc>
          <w:tcPr>
            <w:tcW w:w="1764" w:type="dxa"/>
          </w:tcPr>
          <w:p>
            <w:pPr>
              <w:pStyle w:val="IsiTabel"/>
              <w:suppressAutoHyphens/>
              <w:jc w:val="left"/>
            </w:pPr>
            <w:r>
              <w:t xml:space="preserve">tidak dinilai</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2008–2025 (bencana alam, cakupan bencana) dan Cabinet Office (2025)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Persentil inklusif. Fasilitas rusak menjumlahkan fasilitas pendidikan, ibadat, kesehatan, umum, kantor, dan jembatan. Ekonomi dan lingkungan tidak tercatat di DIBI.</w:t>
      </w:r>
    </w:p>
    <w:p>
      <w:pPr>
        <w:pStyle w:val="Isi"/>
      </w:pPr>
      <w:r>
        <w:t xml:space="preserve">Kemungkinan adalah peluang skenario terjadi paling sedikit sekali dalam lima tahun, dipetakan ke lima pita NRR: di bawah </w:t>
      </w:r>
      <w:r>
        <w:t xml:space="preserve">0,2%</w:t>
      </w:r>
      <w:r>
        <w:t xml:space="preserve">, </w:t>
      </w:r>
      <w:r>
        <w:t xml:space="preserve">0,2</w:t>
      </w:r>
      <w:r>
        <w:t xml:space="preserve">–</w:t>
      </w:r>
      <w:r>
        <w:t xml:space="preserve">1%</w:t>
      </w:r>
      <w:r>
        <w:t xml:space="preserve">, </w:t>
      </w:r>
      <w:r>
        <w:t xml:space="preserve">1</w:t>
      </w:r>
      <w:r>
        <w:t xml:space="preserve">–</w:t>
      </w:r>
      <w:r>
        <w:t xml:space="preserve">5%</w:t>
      </w:r>
      <w:r>
        <w:t xml:space="preserve">, </w:t>
      </w:r>
      <w:r>
        <w:t xml:space="preserve">5</w:t>
      </w:r>
      <w:r>
        <w:t xml:space="preserve">–</w:t>
      </w:r>
      <w:r>
        <w:t xml:space="preserve">25%</w:t>
      </w:r>
      <w:r>
        <w:t xml:space="preserve">, dan di atas </w:t>
      </w:r>
      <w:r>
        <w:t xml:space="preserve">25%</w:t>
      </w:r>
      <w:r>
        <w:t xml:space="preserve"> </w:t>
      </w:r>
      <w:r>
        <w:t xml:space="preserve">(Cabinet Office, 2025, hlm. 12)</w:t>
      </w:r>
      <w:r>
        <w:t xml:space="preserve">. Dasar per jenis tercantum pada </w:t>
      </w:r>
      <w:r>
        <w:fldChar w:fldCharType="begin"/>
      </w:r>
      <w:r>
        <w:instrText xml:space="preserve"> REF _Ref0298 \h \* CHARFORMAT </w:instrText>
      </w:r>
      <w:r>
        <w:fldChar w:fldCharType="separate"/>
      </w:r>
      <w:r>
        <w:t xml:space="preserve">Tabel 3.4</w:t>
      </w:r>
      <w:r>
        <w:fldChar w:fldCharType="end"/>
      </w:r>
      <w:r>
        <w:t xml:space="preserve">.</w:t>
      </w:r>
    </w:p>
    <w:p>
      <w:pPr>
        <w:pStyle w:val="IsiTemuan"/>
      </w:pPr>
      <w:r>
        <w:rPr>
          <w:b/>
          <w:bCs/>
          <w:color w:val="051C2C"/>
        </w:rPr>
        <w:t xml:space="preserve">Peluang paling sedikit satu musim hujan seburuk lantai dalam lima musim adalah </w:t>
      </w:r>
      <w:r>
        <w:rPr>
          <w:b/>
          <w:bCs/>
          <w:color w:val="051C2C"/>
        </w:rPr>
        <w:t xml:space="preserve">23,7%</w:t>
      </w:r>
      <w:r>
        <w:rPr>
          <w:b/>
          <w:bCs/>
          <w:color w:val="051C2C"/>
        </w:rPr>
        <w:t xml:space="preserve">, di pita keempat.</w:t>
      </w:r>
      <w:r>
        <w:t xml:space="preserve"> Lantai adalah musim terburuk dari delapan belas, sehingga posisi plot Weibull memberinya peluang satu per sembilan belas musim. Musim lantai bukan episode La Niña: Oceanic Niño Index (ONI) hanya tiga musim tumpang berturut di bawah ambang, sedangkan definisi Climate Prediction Center, National Oceanic and Atmospheric Administration (NOAA CPC) meminta lima </w:t>
      </w:r>
      <w:r>
        <w:t xml:space="preserve">(NOAA Climate Prediction Center, 2026b)</w:t>
      </w:r>
      <w:r>
        <w:t xml:space="preserve">. Porsi jendela lima tahun yang memuat La Niña sejak 1950, </w:t>
      </w:r>
      <w:r>
        <w:t xml:space="preserve">84,7%</w:t>
      </w:r>
      <w:r>
        <w:t xml:space="preserve">, karena itu hanya menjadi baris kepekaan fase El Niño-Southern Oscillation (ENSO) dan tidak dipakai sebagai kemungkinan skenario. Badan Meteorologi, Klimatologi, dan Geofisika (BMKG) menyatakan El Niño sangat kuat berlangsung pada September 2026 </w:t>
      </w:r>
      <w:r>
        <w:t xml:space="preserve">(BMKG, 2026c)</w:t>
      </w:r>
      <w:r>
        <w:t xml:space="preserve">.</w:t>
      </w:r>
    </w:p>
    <w:p>
      <w:pPr>
        <w:pStyle w:val="IsiTemuan"/>
      </w:pPr>
      <w:r>
        <w:rPr>
          <w:b/>
          <w:bCs/>
          <w:color w:val="051C2C"/>
        </w:rPr>
        <w:t xml:space="preserve">Peluang megathrust Jawa dalam lima tahun adalah </w:t>
      </w:r>
      <w:r>
        <w:rPr>
          <w:b/>
          <w:bCs/>
          <w:color w:val="051C2C"/>
        </w:rPr>
        <w:t xml:space="preserve">0,83%</w:t>
      </w:r>
      <w:r>
        <w:rPr>
          <w:b/>
          <w:bCs/>
          <w:color w:val="051C2C"/>
        </w:rPr>
        <w:t xml:space="preserve"> untuk segmen gabungan dan </w:t>
      </w:r>
      <w:r>
        <w:rPr>
          <w:b/>
          <w:bCs/>
          <w:color w:val="051C2C"/>
        </w:rPr>
        <w:t xml:space="preserve">1,24%</w:t>
      </w:r>
      <w:r>
        <w:rPr>
          <w:b/>
          <w:bCs/>
          <w:color w:val="051C2C"/>
        </w:rPr>
        <w:t xml:space="preserve"> per segmen, keduanya di atas ambang penyisihan.</w:t>
      </w:r>
      <w:r>
        <w:t xml:space="preserve"> Angka itu turunan Poisson penyusun dari periode ulang PuSGeN </w:t>
      </w:r>
      <w:r>
        <w:t xml:space="preserve">600 tahun</w:t>
      </w:r>
      <w:r>
        <w:t xml:space="preserve"> dan </w:t>
      </w:r>
      <w:r>
        <w:t xml:space="preserve">400 tahun</w:t>
      </w:r>
      <w:r>
        <w:t xml:space="preserve">, bukan angka PuSGeN. Gempa lain memakai laju Poisson gempa magnitudo 6 ke atas per provinsi dari katalog USGS 1990–2025 yang lolos uji balik; peluangnya jatuh di pita 5 untuk dua puluh empat provinsi, tetapi itu peluang kejadian pemicu, bukan peluang skenario korban.</w:t>
      </w:r>
    </w:p>
    <w:p>
      <w:pPr>
        <w:pStyle w:val="Caption"/>
      </w:pPr>
      <w:bookmarkStart w:id="124" w:name="_Toc00054"/>
      <w:bookmarkStart w:id="123" w:name="_Ref029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123"/>
      <w:r>
        <w:rPr>
          <w:b/>
          <w:bCs/>
          <w:color w:val="051C2C"/>
        </w:rPr>
        <w:t xml:space="preserve"> </w:t>
      </w:r>
      <w:r>
        <w:t xml:space="preserve">Dasar kemungkinan lima tahun per jenis bencana dan pita NRR, Indonesia, 1950–2026</w:t>
      </w:r>
      <w:bookmarkEnd w:id="12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74"/>
        <w:gridCol w:w="3462"/>
        <w:gridCol w:w="842"/>
        <w:gridCol w:w="1182"/>
        <w:gridCol w:w="1694"/>
      </w:tblGrid>
      <w:tr>
        <w:trPr>
          <w:cantSplit/>
          <w:tblHeader/>
        </w:trPr>
        <w:tc>
          <w:tcPr>
            <w:tcW w:w="2174" w:type="dxa"/>
            <w:shd w:val="clear" w:color="auto" w:fill="051C2C"/>
            <w:vAlign w:val="center"/>
          </w:tcPr>
          <w:p>
            <w:pPr>
              <w:pStyle w:val="KepalaTabel"/>
              <w:suppressAutoHyphens/>
            </w:pPr>
            <w:r>
              <w:t xml:space="preserve">JENIS</w:t>
            </w:r>
          </w:p>
        </w:tc>
        <w:tc>
          <w:tcPr>
            <w:tcW w:w="3462" w:type="dxa"/>
            <w:shd w:val="clear" w:color="auto" w:fill="051C2C"/>
            <w:vAlign w:val="center"/>
          </w:tcPr>
          <w:p>
            <w:pPr>
              <w:pStyle w:val="KepalaTabel"/>
              <w:suppressAutoHyphens/>
            </w:pPr>
            <w:r>
              <w:t xml:space="preserve">DASAR KEMUNGKINAN</w:t>
            </w:r>
          </w:p>
        </w:tc>
        <w:tc>
          <w:tcPr>
            <w:tcW w:w="842" w:type="dxa"/>
            <w:shd w:val="clear" w:color="auto" w:fill="051C2C"/>
            <w:vAlign w:val="center"/>
          </w:tcPr>
          <w:p>
            <w:pPr>
              <w:pStyle w:val="KepalaTabel"/>
              <w:suppressAutoHyphens/>
            </w:pPr>
            <w:r>
              <w:t xml:space="preserve">NILAI LIMA TAHUN</w:t>
            </w:r>
          </w:p>
        </w:tc>
        <w:tc>
          <w:tcPr>
            <w:tcW w:w="1182" w:type="dxa"/>
            <w:shd w:val="clear" w:color="auto" w:fill="051C2C"/>
            <w:vAlign w:val="center"/>
          </w:tcPr>
          <w:p>
            <w:pPr>
              <w:pStyle w:val="KepalaTabel"/>
              <w:suppressAutoHyphens/>
            </w:pPr>
            <w:r>
              <w:t xml:space="preserve">PITA</w:t>
            </w:r>
          </w:p>
        </w:tc>
        <w:tc>
          <w:tcPr>
            <w:tcW w:w="1694" w:type="dxa"/>
            <w:shd w:val="clear" w:color="auto" w:fill="051C2C"/>
            <w:vAlign w:val="center"/>
          </w:tcPr>
          <w:p>
            <w:pPr>
              <w:pStyle w:val="KepalaTabel"/>
              <w:suppressAutoHyphens/>
            </w:pPr>
            <w:r>
              <w:t xml:space="preserve">KEYAKINAN</w:t>
            </w:r>
          </w:p>
        </w:tc>
      </w:tr>
      <w:tr>
        <w:trPr>
          <w:cantSplit/>
        </w:trPr>
        <w:tc>
          <w:tcPr>
            <w:tcW w:w="2174" w:type="dxa"/>
          </w:tcPr>
          <w:p>
            <w:pPr>
              <w:pStyle w:val="IsiTabel"/>
              <w:suppressAutoHyphens/>
              <w:jc w:val="left"/>
            </w:pPr>
            <w:r>
              <w:t xml:space="preserve">Musim hujan nasional, lantai</w:t>
            </w:r>
          </w:p>
        </w:tc>
        <w:tc>
          <w:tcPr>
            <w:tcW w:w="3462" w:type="dxa"/>
          </w:tcPr>
          <w:p>
            <w:pPr>
              <w:pStyle w:val="IsiTabel"/>
              <w:suppressAutoHyphens/>
              <w:jc w:val="left"/>
            </w:pPr>
            <w:r>
              <w:t xml:space="preserve">delapan belas musim, posisi plot Weibull</w:t>
            </w:r>
          </w:p>
        </w:tc>
        <w:tc>
          <w:tcPr>
            <w:tcW w:w="842" w:type="dxa"/>
          </w:tcPr>
          <w:p>
            <w:pPr>
              <w:pStyle w:val="IsiTabel"/>
              <w:suppressAutoHyphens/>
              <w:jc w:val="right"/>
            </w:pPr>
            <w:r>
              <w:t xml:space="preserve">23,7%</w:t>
            </w:r>
          </w:p>
        </w:tc>
        <w:tc>
          <w:tcPr>
            <w:tcW w:w="1182" w:type="dxa"/>
          </w:tcPr>
          <w:p>
            <w:pPr>
              <w:pStyle w:val="IsiTabel"/>
              <w:suppressAutoHyphens/>
              <w:jc w:val="left"/>
            </w:pPr>
            <w:r>
              <w:t xml:space="preserve">4</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suppressAutoHyphens/>
              <w:jc w:val="left"/>
            </w:pPr>
            <w:r>
              <w:t xml:space="preserve">Musim hujan, kepekaan ENSO</w:t>
            </w:r>
          </w:p>
        </w:tc>
        <w:tc>
          <w:tcPr>
            <w:tcW w:w="3462" w:type="dxa"/>
          </w:tcPr>
          <w:p>
            <w:pPr>
              <w:pStyle w:val="IsiTabel"/>
              <w:suppressAutoHyphens/>
              <w:jc w:val="left"/>
            </w:pPr>
            <w:r>
              <w:t xml:space="preserve">jendela lima tahun memuat La Niña</w:t>
            </w:r>
          </w:p>
        </w:tc>
        <w:tc>
          <w:tcPr>
            <w:tcW w:w="842" w:type="dxa"/>
          </w:tcPr>
          <w:p>
            <w:pPr>
              <w:pStyle w:val="IsiTabel"/>
              <w:suppressAutoHyphens/>
              <w:jc w:val="right"/>
            </w:pPr>
            <w:r>
              <w:t xml:space="preserve">84,7%</w:t>
            </w:r>
          </w:p>
        </w:tc>
        <w:tc>
          <w:tcPr>
            <w:tcW w:w="1182" w:type="dxa"/>
          </w:tcPr>
          <w:p>
            <w:pPr>
              <w:pStyle w:val="IsiTabel"/>
              <w:suppressAutoHyphens/>
              <w:jc w:val="left"/>
            </w:pPr>
            <w:r>
              <w:t xml:space="preserve">5, kepekaan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suppressAutoHyphens/>
              <w:jc w:val="left"/>
            </w:pPr>
            <w:r>
              <w:t xml:space="preserve">Banjir, banjir bandang, longsor, cuaca ekstrem</w:t>
            </w:r>
          </w:p>
        </w:tc>
        <w:tc>
          <w:tcPr>
            <w:tcW w:w="3462" w:type="dxa"/>
          </w:tcPr>
          <w:p>
            <w:pPr>
              <w:pStyle w:val="IsiTabel"/>
              <w:suppressAutoHyphens/>
              <w:jc w:val="left"/>
            </w:pPr>
            <w:r>
              <w:t xml:space="preserve">menunggu lantai per jenis</w:t>
            </w:r>
          </w:p>
        </w:tc>
        <w:tc>
          <w:tcPr>
            <w:tcW w:w="842" w:type="dxa"/>
          </w:tcPr>
          <w:p>
            <w:pPr>
              <w:pStyle w:val="IsiTabel"/>
              <w:suppressAutoHyphens/>
              <w:jc w:val="right"/>
            </w:pPr>
            <w:r>
              <w:t xml:space="preserve">–</w:t>
            </w:r>
          </w:p>
        </w:tc>
        <w:tc>
          <w:tcPr>
            <w:tcW w:w="1182" w:type="dxa"/>
          </w:tcPr>
          <w:p>
            <w:pPr>
              <w:pStyle w:val="IsiTabel"/>
              <w:suppressAutoHyphens/>
              <w:jc w:val="left"/>
            </w:pPr>
            <w:r>
              <w:t xml:space="preserve">tidak dinilai</w:t>
            </w:r>
          </w:p>
        </w:tc>
        <w:tc>
          <w:tcPr>
            <w:tcW w:w="1694" w:type="dxa"/>
          </w:tcPr>
          <w:p>
            <w:pPr>
              <w:pStyle w:val="IsiTabel"/>
              <w:suppressAutoHyphens/>
              <w:jc w:val="left"/>
            </w:pPr>
            <w:r>
              <w:t xml:space="preserve">–</w:t>
            </w:r>
          </w:p>
        </w:tc>
      </w:tr>
      <w:tr>
        <w:trPr>
          <w:cantSplit/>
        </w:trPr>
        <w:tc>
          <w:tcPr>
            <w:tcW w:w="2174" w:type="dxa"/>
          </w:tcPr>
          <w:p>
            <w:pPr>
              <w:pStyle w:val="IsiTabel"/>
              <w:suppressAutoHyphens/>
              <w:jc w:val="left"/>
            </w:pPr>
            <w:r>
              <w:t xml:space="preserve">Kekeringan dan karhutla</w:t>
            </w:r>
          </w:p>
        </w:tc>
        <w:tc>
          <w:tcPr>
            <w:tcW w:w="3462" w:type="dxa"/>
          </w:tcPr>
          <w:p>
            <w:pPr>
              <w:pStyle w:val="IsiTabel"/>
              <w:suppressAutoHyphens/>
              <w:jc w:val="left"/>
            </w:pPr>
            <w:r>
              <w:t xml:space="preserve">jendela lima tahun memuat El Niño kuat musim kemarau</w:t>
            </w:r>
          </w:p>
        </w:tc>
        <w:tc>
          <w:tcPr>
            <w:tcW w:w="842" w:type="dxa"/>
          </w:tcPr>
          <w:p>
            <w:pPr>
              <w:pStyle w:val="IsiTabel"/>
              <w:suppressAutoHyphens/>
              <w:jc w:val="right"/>
            </w:pPr>
            <w:r>
              <w:t xml:space="preserve">38,9%</w:t>
            </w:r>
          </w:p>
        </w:tc>
        <w:tc>
          <w:tcPr>
            <w:tcW w:w="1182" w:type="dxa"/>
          </w:tcPr>
          <w:p>
            <w:pPr>
              <w:pStyle w:val="IsiTabel"/>
              <w:suppressAutoHyphens/>
              <w:jc w:val="left"/>
            </w:pPr>
            <w:r>
              <w:t xml:space="preserve">5</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suppressAutoHyphens/>
              <w:jc w:val="left"/>
            </w:pPr>
            <w:r>
              <w:t xml:space="preserve">Megathrust Jawa, segmen gabungan</w:t>
            </w:r>
          </w:p>
        </w:tc>
        <w:tc>
          <w:tcPr>
            <w:tcW w:w="3462" w:type="dxa"/>
          </w:tcPr>
          <w:p>
            <w:pPr>
              <w:pStyle w:val="IsiTabel"/>
              <w:suppressAutoHyphens/>
              <w:jc w:val="left"/>
            </w:pPr>
            <w:r>
              <w:t xml:space="preserve">periode ulang PuSGeN</w:t>
            </w:r>
          </w:p>
        </w:tc>
        <w:tc>
          <w:tcPr>
            <w:tcW w:w="842" w:type="dxa"/>
          </w:tcPr>
          <w:p>
            <w:pPr>
              <w:pStyle w:val="IsiTabel"/>
              <w:suppressAutoHyphens/>
              <w:jc w:val="right"/>
            </w:pPr>
            <w:r>
              <w:t xml:space="preserve">0,83%</w:t>
            </w:r>
          </w:p>
        </w:tc>
        <w:tc>
          <w:tcPr>
            <w:tcW w:w="1182" w:type="dxa"/>
          </w:tcPr>
          <w:p>
            <w:pPr>
              <w:pStyle w:val="IsiTabel"/>
              <w:suppressAutoHyphens/>
              <w:jc w:val="left"/>
            </w:pPr>
            <w:r>
              <w:t xml:space="preserve">2</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keepNext/>
              <w:suppressAutoHyphens/>
              <w:jc w:val="left"/>
            </w:pPr>
            <w:bookmarkStart w:id="125" w:name="_Ekor012a"/>
            <w:bookmarkEnd w:id="125"/>
            <w:r>
              <w:t xml:space="preserve">Megathrust Jawa, per segmen</w:t>
            </w:r>
          </w:p>
        </w:tc>
        <w:tc>
          <w:tcPr>
            <w:tcW w:w="3462" w:type="dxa"/>
          </w:tcPr>
          <w:p>
            <w:pPr>
              <w:pStyle w:val="IsiTabel"/>
              <w:keepNext/>
              <w:suppressAutoHyphens/>
              <w:jc w:val="left"/>
            </w:pPr>
            <w:r>
              <w:t xml:space="preserve">periode ulang PuSGeN</w:t>
            </w:r>
          </w:p>
        </w:tc>
        <w:tc>
          <w:tcPr>
            <w:tcW w:w="842" w:type="dxa"/>
          </w:tcPr>
          <w:p>
            <w:pPr>
              <w:pStyle w:val="IsiTabel"/>
              <w:keepNext/>
              <w:suppressAutoHyphens/>
              <w:jc w:val="right"/>
            </w:pPr>
            <w:r>
              <w:t xml:space="preserve">1,24%</w:t>
            </w:r>
          </w:p>
        </w:tc>
        <w:tc>
          <w:tcPr>
            <w:tcW w:w="1182" w:type="dxa"/>
          </w:tcPr>
          <w:p>
            <w:pPr>
              <w:pStyle w:val="IsiTabel"/>
              <w:keepNext/>
              <w:suppressAutoHyphens/>
              <w:jc w:val="left"/>
            </w:pPr>
            <w:r>
              <w:t xml:space="preserve">3</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keepNext/>
              <w:suppressAutoHyphens/>
              <w:jc w:val="left"/>
            </w:pPr>
            <w:r>
              <w:t xml:space="preserve">Tsunami</w:t>
            </w:r>
          </w:p>
        </w:tc>
        <w:tc>
          <w:tcPr>
            <w:tcW w:w="3462" w:type="dxa"/>
          </w:tcPr>
          <w:p>
            <w:pPr>
              <w:pStyle w:val="IsiTabel"/>
              <w:keepNext/>
              <w:suppressAutoHyphens/>
              <w:jc w:val="left"/>
            </w:pPr>
            <w:r>
              <w:t xml:space="preserve">mengikuti sumber gempanya</w:t>
            </w:r>
          </w:p>
        </w:tc>
        <w:tc>
          <w:tcPr>
            <w:tcW w:w="842" w:type="dxa"/>
          </w:tcPr>
          <w:p>
            <w:pPr>
              <w:pStyle w:val="IsiTabel"/>
              <w:keepNext/>
              <w:suppressAutoHyphens/>
              <w:jc w:val="right"/>
            </w:pPr>
            <w:r>
              <w:t xml:space="preserve">–</w:t>
            </w:r>
          </w:p>
        </w:tc>
        <w:tc>
          <w:tcPr>
            <w:tcW w:w="1182" w:type="dxa"/>
          </w:tcPr>
          <w:p>
            <w:pPr>
              <w:pStyle w:val="IsiTabel"/>
              <w:keepNext/>
              <w:suppressAutoHyphens/>
              <w:jc w:val="left"/>
            </w:pPr>
            <w:r>
              <w:t xml:space="preserve">2 atau 3</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keepNext/>
              <w:suppressAutoHyphens/>
              <w:jc w:val="left"/>
            </w:pPr>
            <w:r>
              <w:t xml:space="preserve">Gempa lain</w:t>
            </w:r>
          </w:p>
        </w:tc>
        <w:tc>
          <w:tcPr>
            <w:tcW w:w="3462" w:type="dxa"/>
          </w:tcPr>
          <w:p>
            <w:pPr>
              <w:pStyle w:val="IsiTabel"/>
              <w:keepNext/>
              <w:suppressAutoHyphens/>
              <w:jc w:val="left"/>
            </w:pPr>
            <w:r>
              <w:t xml:space="preserve">laju provinsi, peluang pemicu saja</w:t>
            </w:r>
          </w:p>
        </w:tc>
        <w:tc>
          <w:tcPr>
            <w:tcW w:w="842" w:type="dxa"/>
          </w:tcPr>
          <w:p>
            <w:pPr>
              <w:pStyle w:val="IsiTabel"/>
              <w:keepNext/>
              <w:suppressAutoHyphens/>
              <w:jc w:val="right"/>
            </w:pPr>
            <w:r>
              <w:t xml:space="preserve">–</w:t>
            </w:r>
          </w:p>
        </w:tc>
        <w:tc>
          <w:tcPr>
            <w:tcW w:w="1182" w:type="dxa"/>
          </w:tcPr>
          <w:p>
            <w:pPr>
              <w:pStyle w:val="IsiTabel"/>
              <w:keepNext/>
              <w:suppressAutoHyphens/>
              <w:jc w:val="left"/>
            </w:pPr>
            <w:r>
              <w:t xml:space="preserve">4 atau 5 untuk pemicu; skenario tidak dinilai</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2174" w:type="dxa"/>
          </w:tcPr>
          <w:p>
            <w:pPr>
              <w:pStyle w:val="IsiTabel"/>
              <w:keepNext/>
              <w:suppressAutoHyphens/>
              <w:jc w:val="left"/>
            </w:pPr>
            <w:bookmarkStart w:id="126" w:name="_Ekor012z"/>
            <w:bookmarkEnd w:id="126"/>
            <w:r>
              <w:t xml:space="preserve">Gunung api, gelombang ekstrem dan abrasi, rob, nonalam, sosial</w:t>
            </w:r>
          </w:p>
        </w:tc>
        <w:tc>
          <w:tcPr>
            <w:tcW w:w="3462" w:type="dxa"/>
          </w:tcPr>
          <w:p>
            <w:pPr>
              <w:pStyle w:val="IsiTabel"/>
              <w:keepNext/>
              <w:suppressAutoHyphens/>
              <w:jc w:val="left"/>
            </w:pPr>
            <w:r>
              <w:t xml:space="preserve">tanpa dasar peluang</w:t>
            </w:r>
          </w:p>
        </w:tc>
        <w:tc>
          <w:tcPr>
            <w:tcW w:w="842" w:type="dxa"/>
          </w:tcPr>
          <w:p>
            <w:pPr>
              <w:pStyle w:val="IsiTabel"/>
              <w:keepNext/>
              <w:suppressAutoHyphens/>
              <w:jc w:val="right"/>
            </w:pPr>
            <w:r>
              <w:t xml:space="preserve">–</w:t>
            </w:r>
          </w:p>
        </w:tc>
        <w:tc>
          <w:tcPr>
            <w:tcW w:w="1182" w:type="dxa"/>
          </w:tcPr>
          <w:p>
            <w:pPr>
              <w:pStyle w:val="IsiTabel"/>
              <w:keepNext/>
              <w:suppressAutoHyphens/>
              <w:jc w:val="left"/>
            </w:pPr>
            <w:r>
              <w:t xml:space="preserve">tidak dinilai</w:t>
            </w:r>
          </w:p>
        </w:tc>
        <w:tc>
          <w:tcPr>
            <w:tcW w:w="1694" w:type="dxa"/>
          </w:tcPr>
          <w:p>
            <w:pPr>
              <w:pStyle w:val="IsiTabel"/>
              <w:keepNext/>
              <w:suppressAutoHyphens/>
              <w:jc w:val="left"/>
            </w:pPr>
            <w:r>
              <w:t xml:space="preserve">–</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Pengolahan Pantau Bencana dari ONI NOAA CPC 1950–2025, DIBI BNPB 2008–2026, PuSGeN 2024, dan katalog gempa USGS 1990–2025</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Peluang megathrust adalah turunan Poisson penyusun. Megathrust Sumba tidak memiliki periode ulang dan tidak dinilai.</w:t>
      </w:r>
    </w:p>
    <w:p>
      <w:pPr>
        <w:pStyle w:val="Heading2"/>
      </w:pPr>
      <w:bookmarkStart w:id="128" w:name="_Toc00055"/>
      <w:bookmarkStart w:id="127" w:name="_Ref0176"/>
      <w:r>
        <w:t xml:space="preserve">3.6</w:t>
      </w:r>
      <w:bookmarkEnd w:id="127"/>
      <w:r>
        <w:tab/>
      </w:r>
      <w:r>
        <w:t xml:space="preserve">Tabel Kerusakan dan Matriks Ketersediaan Kuantifikasi</w:t>
      </w:r>
      <w:bookmarkEnd w:id="128"/>
    </w:p>
    <w:p>
      <w:pPr>
        <w:pStyle w:val="IsiTemuan"/>
      </w:pPr>
      <w:r>
        <w:rPr>
          <w:b/>
          <w:bCs/>
          <w:color w:val="051C2C"/>
        </w:rPr>
        <w:t xml:space="preserve">Untuk sembilan jenis bencana alam, yang terkuantifikasi resmi hanya korban, pengungsi, dan rumah rusak tercatat DIBI, ditambah paparan KRB </w:t>
      </w:r>
      <w:r>
        <w:rPr>
          <w:b/>
          <w:bCs/>
          <w:color w:val="051C2C"/>
        </w:rPr>
        <w:t xml:space="preserve">14</w:t>
      </w:r>
      <w:r>
        <w:rPr>
          <w:b/>
          <w:bCs/>
          <w:color w:val="051C2C"/>
        </w:rPr>
        <w:t xml:space="preserve"> bahaya sebagai batas atas; kekeringan tidak memiliki korban tercatat</w:t>
      </w:r>
      <w:r>
        <w:t xml:space="preserve"> (</w:t>
      </w:r>
      <w:r>
        <w:fldChar w:fldCharType="begin"/>
      </w:r>
      <w:r>
        <w:instrText xml:space="preserve"> REF _Ref0307 \h \* CHARFORMAT </w:instrText>
      </w:r>
      <w:r>
        <w:fldChar w:fldCharType="separate"/>
      </w:r>
      <w:r>
        <w:t xml:space="preserve">Tabel 3.5</w:t>
      </w:r>
      <w:r>
        <w:fldChar w:fldCharType="end"/>
      </w:r>
      <w:r>
        <w:t xml:space="preserve">). Estimasi model hanya ada untuk hidrometeorologi dan geologi, sedangkan nonalam dan sosial memakai analog tanpa perkalian. Tabel kerusakan kartu memuat lima aspek Perban BNPB 2/2023 ditambah kebutuhan respons menurut Perka BNPB 7/2008 dan Perban BNPB 3/2018 </w:t>
      </w:r>
      <w:r>
        <w:t xml:space="preserve">(BNPB, 2008b, 2018d)</w:t>
      </w:r>
      <w:r>
        <w:t xml:space="preserve">. Luka-luka dan pengungsi hari ketujuh tidak dimuat karena tidak tercatat stabil di DIBI, dan rumah terdampak gempa diperkirakan dari jumlah jiwa karena data bangunan hanya tersedia untuk Kalimantan Tengah.</w:t>
      </w:r>
    </w:p>
    <w:p>
      <w:pPr>
        <w:pStyle w:val="Caption"/>
      </w:pPr>
      <w:bookmarkStart w:id="130" w:name="_Toc00056"/>
      <w:bookmarkStart w:id="129" w:name="_Ref030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129"/>
      <w:r>
        <w:rPr>
          <w:b/>
          <w:bCs/>
          <w:color w:val="051C2C"/>
        </w:rPr>
        <w:t xml:space="preserve"> </w:t>
      </w:r>
      <w:r>
        <w:t xml:space="preserve">Ketersediaan kuantifikasi per jenis bencana dan besaran skenario, Indonesia, 2008–2026</w:t>
      </w:r>
      <w:bookmarkEnd w:id="13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19"/>
        <w:gridCol w:w="1717"/>
        <w:gridCol w:w="1287"/>
        <w:gridCol w:w="884"/>
        <w:gridCol w:w="1254"/>
        <w:gridCol w:w="1205"/>
        <w:gridCol w:w="1588"/>
      </w:tblGrid>
      <w:tr>
        <w:trPr>
          <w:cantSplit/>
          <w:tblHeader/>
        </w:trPr>
        <w:tc>
          <w:tcPr>
            <w:tcW w:w="1419" w:type="dxa"/>
            <w:shd w:val="clear" w:color="auto" w:fill="051C2C"/>
            <w:vAlign w:val="center"/>
          </w:tcPr>
          <w:p>
            <w:pPr>
              <w:pStyle w:val="KepalaTabel"/>
              <w:suppressAutoHyphens/>
            </w:pPr>
            <w:r>
              <w:t xml:space="preserve">JENIS</w:t>
            </w:r>
          </w:p>
        </w:tc>
        <w:tc>
          <w:tcPr>
            <w:tcW w:w="1717" w:type="dxa"/>
            <w:shd w:val="clear" w:color="auto" w:fill="051C2C"/>
            <w:vAlign w:val="center"/>
          </w:tcPr>
          <w:p>
            <w:pPr>
              <w:pStyle w:val="KepalaTabel"/>
              <w:suppressAutoHyphens/>
            </w:pPr>
            <w:r>
              <w:t xml:space="preserve">MENINGGAL DAN HILANG</w:t>
            </w:r>
          </w:p>
        </w:tc>
        <w:tc>
          <w:tcPr>
            <w:tcW w:w="1287" w:type="dxa"/>
            <w:shd w:val="clear" w:color="auto" w:fill="051C2C"/>
            <w:vAlign w:val="center"/>
          </w:tcPr>
          <w:p>
            <w:pPr>
              <w:pStyle w:val="KepalaTabel"/>
              <w:suppressAutoHyphens/>
            </w:pPr>
            <w:r>
              <w:t xml:space="preserve">PENGUNGSI</w:t>
            </w:r>
          </w:p>
        </w:tc>
        <w:tc>
          <w:tcPr>
            <w:tcW w:w="884" w:type="dxa"/>
            <w:shd w:val="clear" w:color="auto" w:fill="051C2C"/>
            <w:vAlign w:val="center"/>
          </w:tcPr>
          <w:p>
            <w:pPr>
              <w:pStyle w:val="KepalaTabel"/>
              <w:suppressAutoHyphens/>
            </w:pPr>
            <w:r>
              <w:t xml:space="preserve">RUMAH RUSAK</w:t>
            </w:r>
          </w:p>
        </w:tc>
        <w:tc>
          <w:tcPr>
            <w:tcW w:w="1254" w:type="dxa"/>
            <w:shd w:val="clear" w:color="auto" w:fill="051C2C"/>
            <w:vAlign w:val="center"/>
          </w:tcPr>
          <w:p>
            <w:pPr>
              <w:pStyle w:val="KepalaTabel"/>
              <w:suppressAutoHyphens/>
            </w:pPr>
            <w:r>
              <w:t xml:space="preserve">LUAS</w:t>
            </w:r>
          </w:p>
        </w:tc>
        <w:tc>
          <w:tcPr>
            <w:tcW w:w="1205" w:type="dxa"/>
            <w:shd w:val="clear" w:color="auto" w:fill="051C2C"/>
            <w:vAlign w:val="center"/>
          </w:tcPr>
          <w:p>
            <w:pPr>
              <w:pStyle w:val="KepalaTabel"/>
              <w:suppressAutoHyphens/>
            </w:pPr>
            <w:r>
              <w:t xml:space="preserve">KERUGIAN MATERIIL</w:t>
            </w:r>
          </w:p>
        </w:tc>
        <w:tc>
          <w:tcPr>
            <w:tcW w:w="1588" w:type="dxa"/>
            <w:shd w:val="clear" w:color="auto" w:fill="051C2C"/>
            <w:vAlign w:val="center"/>
          </w:tcPr>
          <w:p>
            <w:pPr>
              <w:pStyle w:val="KepalaTabel"/>
              <w:suppressAutoHyphens/>
            </w:pPr>
            <w:r>
              <w:t xml:space="preserve">KEMUNGKINAN</w:t>
            </w:r>
          </w:p>
        </w:tc>
      </w:tr>
      <w:tr>
        <w:trPr>
          <w:cantSplit/>
        </w:trPr>
        <w:tc>
          <w:tcPr>
            <w:tcW w:w="1419" w:type="dxa"/>
          </w:tcPr>
          <w:p>
            <w:pPr>
              <w:pStyle w:val="IsiTabel"/>
              <w:suppressAutoHyphens/>
              <w:jc w:val="left"/>
            </w:pPr>
            <w:r>
              <w:t xml:space="preserve">Gempa bumi</w:t>
            </w:r>
          </w:p>
        </w:tc>
        <w:tc>
          <w:tcPr>
            <w:tcW w:w="1717" w:type="dxa"/>
          </w:tcPr>
          <w:p>
            <w:pPr>
              <w:pStyle w:val="IsiTabel"/>
              <w:suppressAutoHyphens/>
              <w:jc w:val="left"/>
            </w:pPr>
            <w:r>
              <w:t xml:space="preserve">R; E pita lebar</w:t>
            </w:r>
          </w:p>
        </w:tc>
        <w:tc>
          <w:tcPr>
            <w:tcW w:w="1287" w:type="dxa"/>
          </w:tcPr>
          <w:p>
            <w:pPr>
              <w:pStyle w:val="IsiTabel"/>
              <w:suppressAutoHyphens/>
              <w:jc w:val="left"/>
            </w:pPr>
            <w:r>
              <w:t xml:space="preserve">R; E</w:t>
            </w:r>
          </w:p>
        </w:tc>
        <w:tc>
          <w:tcPr>
            <w:tcW w:w="884" w:type="dxa"/>
          </w:tcPr>
          <w:p>
            <w:pPr>
              <w:pStyle w:val="IsiTabel"/>
              <w:suppressAutoHyphens/>
              <w:jc w:val="left"/>
            </w:pPr>
            <w:r>
              <w:t xml:space="preserve">R; E dari jiwa</w:t>
            </w:r>
          </w:p>
        </w:tc>
        <w:tc>
          <w:tcPr>
            <w:tcW w:w="1254" w:type="dxa"/>
          </w:tcPr>
          <w:p>
            <w:pPr>
              <w:pStyle w:val="IsiTabel"/>
              <w:suppressAutoHyphens/>
              <w:jc w:val="left"/>
            </w:pPr>
            <w:r>
              <w:t xml:space="preserve">E (intensitas)</w:t>
            </w:r>
          </w:p>
        </w:tc>
        <w:tc>
          <w:tcPr>
            <w:tcW w:w="1205" w:type="dxa"/>
          </w:tcPr>
          <w:p>
            <w:pPr>
              <w:pStyle w:val="IsiTabel"/>
              <w:suppressAutoHyphens/>
              <w:jc w:val="left"/>
            </w:pPr>
            <w:r>
              <w:t xml:space="preserve">R (a, b); T (c)</w:t>
            </w:r>
          </w:p>
        </w:tc>
        <w:tc>
          <w:tcPr>
            <w:tcW w:w="1588" w:type="dxa"/>
          </w:tcPr>
          <w:p>
            <w:pPr>
              <w:pStyle w:val="IsiTabel"/>
              <w:suppressAutoHyphens/>
              <w:jc w:val="left"/>
            </w:pPr>
            <w:r>
              <w:t xml:space="preserve">T megathrust; E pemicu</w:t>
            </w:r>
          </w:p>
        </w:tc>
      </w:tr>
      <w:tr>
        <w:trPr>
          <w:cantSplit/>
        </w:trPr>
        <w:tc>
          <w:tcPr>
            <w:tcW w:w="1419" w:type="dxa"/>
          </w:tcPr>
          <w:p>
            <w:pPr>
              <w:pStyle w:val="IsiTabel"/>
              <w:suppressAutoHyphens/>
              <w:jc w:val="left"/>
            </w:pPr>
            <w:r>
              <w:t xml:space="preserve">Tsunami</w:t>
            </w:r>
          </w:p>
        </w:tc>
        <w:tc>
          <w:tcPr>
            <w:tcW w:w="1717" w:type="dxa"/>
          </w:tcPr>
          <w:p>
            <w:pPr>
              <w:pStyle w:val="IsiTabel"/>
              <w:suppressAutoHyphens/>
              <w:jc w:val="left"/>
            </w:pPr>
            <w:r>
              <w:t xml:space="preserve">R; – skenario</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 E waktu tiba</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T</w:t>
            </w:r>
          </w:p>
        </w:tc>
      </w:tr>
      <w:tr>
        <w:trPr>
          <w:cantSplit/>
        </w:trPr>
        <w:tc>
          <w:tcPr>
            <w:tcW w:w="1419" w:type="dxa"/>
          </w:tcPr>
          <w:p>
            <w:pPr>
              <w:pStyle w:val="IsiTabel"/>
              <w:suppressAutoHyphens/>
              <w:jc w:val="left"/>
            </w:pPr>
            <w:r>
              <w:t xml:space="preserve">Gunung api</w:t>
            </w:r>
          </w:p>
        </w:tc>
        <w:tc>
          <w:tcPr>
            <w:tcW w:w="1717" w:type="dxa"/>
          </w:tcPr>
          <w:p>
            <w:pPr>
              <w:pStyle w:val="IsiTabel"/>
              <w:suppressAutoHyphens/>
              <w:jc w:val="left"/>
            </w:pPr>
            <w:r>
              <w:t xml:space="preserve">R; E pola historis</w:t>
            </w:r>
          </w:p>
        </w:tc>
        <w:tc>
          <w:tcPr>
            <w:tcW w:w="1287" w:type="dxa"/>
          </w:tcPr>
          <w:p>
            <w:pPr>
              <w:pStyle w:val="IsiTabel"/>
              <w:suppressAutoHyphens/>
              <w:jc w:val="left"/>
            </w:pPr>
            <w:r>
              <w:t xml:space="preserve">R; E</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T (c)</w:t>
            </w:r>
          </w:p>
        </w:tc>
        <w:tc>
          <w:tcPr>
            <w:tcW w:w="1588" w:type="dxa"/>
          </w:tcPr>
          <w:p>
            <w:pPr>
              <w:pStyle w:val="IsiTabel"/>
              <w:suppressAutoHyphens/>
              <w:jc w:val="left"/>
            </w:pPr>
            <w:r>
              <w:t xml:space="preserve">–</w:t>
            </w:r>
          </w:p>
        </w:tc>
      </w:tr>
      <w:tr>
        <w:trPr>
          <w:cantSplit/>
        </w:trPr>
        <w:tc>
          <w:tcPr>
            <w:tcW w:w="1419" w:type="dxa"/>
          </w:tcPr>
          <w:p>
            <w:pPr>
              <w:pStyle w:val="IsiTabel"/>
              <w:suppressAutoHyphens/>
              <w:jc w:val="left"/>
            </w:pPr>
            <w:r>
              <w:t xml:space="preserve">Banjir</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b)</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Banjir bandang</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T (c)</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Tanah longsor</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T (c)</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Cuaca ekstrem</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Gelombang ekstrem dan abrasi, rob</w:t>
            </w:r>
          </w:p>
        </w:tc>
        <w:tc>
          <w:tcPr>
            <w:tcW w:w="1717" w:type="dxa"/>
          </w:tcPr>
          <w:p>
            <w:pPr>
              <w:pStyle w:val="IsiTabel"/>
              <w:suppressAutoHyphens/>
              <w:jc w:val="left"/>
            </w:pPr>
            <w:r>
              <w:t xml:space="preserve">R; E pita lebar</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w:t>
            </w:r>
          </w:p>
        </w:tc>
      </w:tr>
      <w:tr>
        <w:trPr>
          <w:cantSplit/>
        </w:trPr>
        <w:tc>
          <w:tcPr>
            <w:tcW w:w="1419" w:type="dxa"/>
          </w:tcPr>
          <w:p>
            <w:pPr>
              <w:pStyle w:val="IsiTabel"/>
              <w:suppressAutoHyphens/>
              <w:jc w:val="left"/>
            </w:pPr>
            <w:r>
              <w:t xml:space="preserve">Kekeringan</w:t>
            </w:r>
          </w:p>
        </w:tc>
        <w:tc>
          <w:tcPr>
            <w:tcW w:w="1717" w:type="dxa"/>
          </w:tcPr>
          <w:p>
            <w:pPr>
              <w:pStyle w:val="IsiTabel"/>
              <w:suppressAutoHyphens/>
              <w:jc w:val="left"/>
            </w:pPr>
            <w:r>
              <w:t xml:space="preserve">–</w:t>
            </w:r>
          </w:p>
        </w:tc>
        <w:tc>
          <w:tcPr>
            <w:tcW w:w="1287" w:type="dxa"/>
          </w:tcPr>
          <w:p>
            <w:pPr>
              <w:pStyle w:val="IsiTabel"/>
              <w:suppressAutoHyphens/>
              <w:jc w:val="left"/>
            </w:pPr>
            <w:r>
              <w:t xml:space="preserve">–</w:t>
            </w:r>
          </w:p>
        </w:tc>
        <w:tc>
          <w:tcPr>
            <w:tcW w:w="884" w:type="dxa"/>
          </w:tcPr>
          <w:p>
            <w:pPr>
              <w:pStyle w:val="IsiTabel"/>
              <w:suppressAutoHyphens/>
              <w:jc w:val="left"/>
            </w:pPr>
            <w:r>
              <w:t xml:space="preserve">–</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Karhutla</w:t>
            </w:r>
          </w:p>
        </w:tc>
        <w:tc>
          <w:tcPr>
            <w:tcW w:w="1717" w:type="dxa"/>
          </w:tcPr>
          <w:p>
            <w:pPr>
              <w:pStyle w:val="IsiTabel"/>
              <w:suppressAutoHyphens/>
              <w:jc w:val="left"/>
            </w:pPr>
            <w:r>
              <w:t xml:space="preserve">R; kematian asap terverifikasi</w:t>
            </w:r>
          </w:p>
        </w:tc>
        <w:tc>
          <w:tcPr>
            <w:tcW w:w="1287" w:type="dxa"/>
          </w:tcPr>
          <w:p>
            <w:pPr>
              <w:pStyle w:val="IsiTabel"/>
              <w:suppressAutoHyphens/>
              <w:jc w:val="left"/>
            </w:pPr>
            <w:r>
              <w:t xml:space="preserve">–</w:t>
            </w:r>
          </w:p>
        </w:tc>
        <w:tc>
          <w:tcPr>
            <w:tcW w:w="884" w:type="dxa"/>
          </w:tcPr>
          <w:p>
            <w:pPr>
              <w:pStyle w:val="IsiTabel"/>
              <w:suppressAutoHyphens/>
              <w:jc w:val="left"/>
            </w:pPr>
            <w:r>
              <w:t xml:space="preserve">–</w:t>
            </w:r>
          </w:p>
        </w:tc>
        <w:tc>
          <w:tcPr>
            <w:tcW w:w="1254" w:type="dxa"/>
          </w:tcPr>
          <w:p>
            <w:pPr>
              <w:pStyle w:val="IsiTabel"/>
              <w:suppressAutoHyphens/>
              <w:jc w:val="left"/>
            </w:pPr>
            <w:r>
              <w:t xml:space="preserve">R (SiPongi)</w:t>
            </w:r>
          </w:p>
        </w:tc>
        <w:tc>
          <w:tcPr>
            <w:tcW w:w="1205" w:type="dxa"/>
          </w:tcPr>
          <w:p>
            <w:pPr>
              <w:pStyle w:val="IsiTabel"/>
              <w:suppressAutoHyphens/>
              <w:jc w:val="left"/>
            </w:pPr>
            <w:r>
              <w:t xml:space="preserve">R (a); terverifikasi (b)</w:t>
            </w:r>
          </w:p>
        </w:tc>
        <w:tc>
          <w:tcPr>
            <w:tcW w:w="1588" w:type="dxa"/>
          </w:tcPr>
          <w:p>
            <w:pPr>
              <w:pStyle w:val="IsiTabel"/>
              <w:suppressAutoHyphens/>
              <w:jc w:val="left"/>
            </w:pPr>
            <w:r>
              <w:t xml:space="preserve">T (ONI)</w:t>
            </w:r>
          </w:p>
        </w:tc>
      </w:tr>
      <w:tr>
        <w:trPr>
          <w:cantSplit/>
        </w:trPr>
        <w:tc>
          <w:tcPr>
            <w:tcW w:w="1419" w:type="dxa"/>
          </w:tcPr>
          <w:p>
            <w:pPr>
              <w:pStyle w:val="IsiTabel"/>
              <w:keepNext/>
              <w:suppressAutoHyphens/>
              <w:jc w:val="left"/>
            </w:pPr>
            <w:bookmarkStart w:id="131" w:name="_Ekor013a"/>
            <w:bookmarkEnd w:id="131"/>
            <w:r>
              <w:t xml:space="preserve">Epidemi dan pandemi</w:t>
            </w:r>
          </w:p>
        </w:tc>
        <w:tc>
          <w:tcPr>
            <w:tcW w:w="1717" w:type="dxa"/>
          </w:tcPr>
          <w:p>
            <w:pPr>
              <w:pStyle w:val="IsiTabel"/>
              <w:keepNext/>
              <w:suppressAutoHyphens/>
              <w:jc w:val="left"/>
            </w:pPr>
            <w:r>
              <w:t xml:space="preserve">R (COVID-19); E kematian berlebih</w:t>
            </w:r>
          </w:p>
        </w:tc>
        <w:tc>
          <w:tcPr>
            <w:tcW w:w="1287" w:type="dxa"/>
          </w:tcPr>
          <w:p>
            <w:pPr>
              <w:pStyle w:val="IsiTabel"/>
              <w:keepNext/>
              <w:suppressAutoHyphens/>
              <w:jc w:val="left"/>
            </w:pPr>
            <w:r>
              <w:t xml:space="preserve">–</w:t>
            </w:r>
          </w:p>
        </w:tc>
        <w:tc>
          <w:tcPr>
            <w:tcW w:w="884" w:type="dxa"/>
          </w:tcPr>
          <w:p>
            <w:pPr>
              <w:pStyle w:val="IsiTabel"/>
              <w:keepNext/>
              <w:suppressAutoHyphens/>
              <w:jc w:val="left"/>
            </w:pPr>
            <w:r>
              <w:t xml:space="preserve">–</w:t>
            </w:r>
          </w:p>
        </w:tc>
        <w:tc>
          <w:tcPr>
            <w:tcW w:w="1254" w:type="dxa"/>
          </w:tcPr>
          <w:p>
            <w:pPr>
              <w:pStyle w:val="IsiTabel"/>
              <w:keepNext/>
              <w:suppressAutoHyphens/>
              <w:jc w:val="left"/>
            </w:pPr>
            <w:r>
              <w:t xml:space="preserve">–</w:t>
            </w:r>
          </w:p>
        </w:tc>
        <w:tc>
          <w:tcPr>
            <w:tcW w:w="1205" w:type="dxa"/>
          </w:tcPr>
          <w:p>
            <w:pPr>
              <w:pStyle w:val="IsiTabel"/>
              <w:keepNext/>
              <w:suppressAutoHyphens/>
              <w:jc w:val="left"/>
            </w:pPr>
            <w:r>
              <w:t xml:space="preserve">–</w:t>
            </w:r>
          </w:p>
        </w:tc>
        <w:tc>
          <w:tcPr>
            <w:tcW w:w="1588" w:type="dxa"/>
          </w:tcPr>
          <w:p>
            <w:pPr>
              <w:pStyle w:val="IsiTabel"/>
              <w:keepNext/>
              <w:suppressAutoHyphens/>
              <w:jc w:val="left"/>
            </w:pPr>
            <w:r>
              <w:t xml:space="preserve">–</w:t>
            </w:r>
          </w:p>
        </w:tc>
      </w:tr>
      <w:tr>
        <w:trPr>
          <w:cantSplit/>
        </w:trPr>
        <w:tc>
          <w:tcPr>
            <w:tcW w:w="1419" w:type="dxa"/>
          </w:tcPr>
          <w:p>
            <w:pPr>
              <w:pStyle w:val="IsiTabel"/>
              <w:keepNext/>
              <w:suppressAutoHyphens/>
              <w:jc w:val="left"/>
            </w:pPr>
            <w:r>
              <w:t xml:space="preserve">Kebakaran industri dan kegagalan teknologi</w:t>
            </w:r>
          </w:p>
        </w:tc>
        <w:tc>
          <w:tcPr>
            <w:tcW w:w="1717" w:type="dxa"/>
          </w:tcPr>
          <w:p>
            <w:pPr>
              <w:pStyle w:val="IsiTabel"/>
              <w:keepNext/>
              <w:suppressAutoHyphens/>
              <w:jc w:val="left"/>
            </w:pPr>
            <w:r>
              <w:t xml:space="preserve">R analog</w:t>
            </w:r>
          </w:p>
        </w:tc>
        <w:tc>
          <w:tcPr>
            <w:tcW w:w="1287" w:type="dxa"/>
          </w:tcPr>
          <w:p>
            <w:pPr>
              <w:pStyle w:val="IsiTabel"/>
              <w:keepNext/>
              <w:suppressAutoHyphens/>
              <w:jc w:val="left"/>
            </w:pPr>
            <w:r>
              <w:t xml:space="preserve">R analog</w:t>
            </w:r>
          </w:p>
        </w:tc>
        <w:tc>
          <w:tcPr>
            <w:tcW w:w="884" w:type="dxa"/>
          </w:tcPr>
          <w:p>
            <w:pPr>
              <w:pStyle w:val="IsiTabel"/>
              <w:keepNext/>
              <w:suppressAutoHyphens/>
              <w:jc w:val="left"/>
            </w:pPr>
            <w:r>
              <w:t xml:space="preserve">–</w:t>
            </w:r>
          </w:p>
        </w:tc>
        <w:tc>
          <w:tcPr>
            <w:tcW w:w="1254" w:type="dxa"/>
          </w:tcPr>
          <w:p>
            <w:pPr>
              <w:pStyle w:val="IsiTabel"/>
              <w:keepNext/>
              <w:suppressAutoHyphens/>
              <w:jc w:val="left"/>
            </w:pPr>
            <w:r>
              <w:t xml:space="preserve">R (KRB)</w:t>
            </w:r>
          </w:p>
        </w:tc>
        <w:tc>
          <w:tcPr>
            <w:tcW w:w="1205" w:type="dxa"/>
          </w:tcPr>
          <w:p>
            <w:pPr>
              <w:pStyle w:val="IsiTabel"/>
              <w:keepNext/>
              <w:suppressAutoHyphens/>
              <w:jc w:val="left"/>
            </w:pPr>
            <w:r>
              <w:t xml:space="preserve">R (a)</w:t>
            </w:r>
          </w:p>
        </w:tc>
        <w:tc>
          <w:tcPr>
            <w:tcW w:w="1588" w:type="dxa"/>
          </w:tcPr>
          <w:p>
            <w:pPr>
              <w:pStyle w:val="IsiTabel"/>
              <w:keepNext/>
              <w:suppressAutoHyphens/>
              <w:jc w:val="left"/>
            </w:pPr>
            <w:r>
              <w:t xml:space="preserve">–</w:t>
            </w:r>
          </w:p>
        </w:tc>
      </w:tr>
      <w:tr>
        <w:trPr>
          <w:cantSplit/>
        </w:trPr>
        <w:tc>
          <w:tcPr>
            <w:tcW w:w="1419" w:type="dxa"/>
          </w:tcPr>
          <w:p>
            <w:pPr>
              <w:pStyle w:val="IsiTabel"/>
              <w:keepNext/>
              <w:suppressAutoHyphens/>
              <w:jc w:val="left"/>
            </w:pPr>
            <w:r>
              <w:t xml:space="preserve">Kebakaran TPA</w:t>
            </w:r>
          </w:p>
        </w:tc>
        <w:tc>
          <w:tcPr>
            <w:tcW w:w="1717" w:type="dxa"/>
          </w:tcPr>
          <w:p>
            <w:pPr>
              <w:pStyle w:val="IsiTabel"/>
              <w:keepNext/>
              <w:suppressAutoHyphens/>
              <w:jc w:val="left"/>
            </w:pPr>
            <w:r>
              <w:t xml:space="preserve">–</w:t>
            </w:r>
          </w:p>
        </w:tc>
        <w:tc>
          <w:tcPr>
            <w:tcW w:w="1287" w:type="dxa"/>
          </w:tcPr>
          <w:p>
            <w:pPr>
              <w:pStyle w:val="IsiTabel"/>
              <w:keepNext/>
              <w:suppressAutoHyphens/>
              <w:jc w:val="left"/>
            </w:pPr>
            <w:r>
              <w:t xml:space="preserve">–</w:t>
            </w:r>
          </w:p>
        </w:tc>
        <w:tc>
          <w:tcPr>
            <w:tcW w:w="884" w:type="dxa"/>
          </w:tcPr>
          <w:p>
            <w:pPr>
              <w:pStyle w:val="IsiTabel"/>
              <w:keepNext/>
              <w:suppressAutoHyphens/>
              <w:jc w:val="left"/>
            </w:pPr>
            <w:r>
              <w:t xml:space="preserve">–</w:t>
            </w:r>
          </w:p>
        </w:tc>
        <w:tc>
          <w:tcPr>
            <w:tcW w:w="1254" w:type="dxa"/>
          </w:tcPr>
          <w:p>
            <w:pPr>
              <w:pStyle w:val="IsiTabel"/>
              <w:keepNext/>
              <w:suppressAutoHyphens/>
              <w:jc w:val="left"/>
            </w:pPr>
            <w:r>
              <w:t xml:space="preserve">R analog</w:t>
            </w:r>
          </w:p>
        </w:tc>
        <w:tc>
          <w:tcPr>
            <w:tcW w:w="1205" w:type="dxa"/>
          </w:tcPr>
          <w:p>
            <w:pPr>
              <w:pStyle w:val="IsiTabel"/>
              <w:keepNext/>
              <w:suppressAutoHyphens/>
              <w:jc w:val="left"/>
            </w:pPr>
            <w:r>
              <w:t xml:space="preserve">–</w:t>
            </w:r>
          </w:p>
        </w:tc>
        <w:tc>
          <w:tcPr>
            <w:tcW w:w="1588" w:type="dxa"/>
          </w:tcPr>
          <w:p>
            <w:pPr>
              <w:pStyle w:val="IsiTabel"/>
              <w:keepNext/>
              <w:suppressAutoHyphens/>
              <w:jc w:val="left"/>
            </w:pPr>
            <w:r>
              <w:t xml:space="preserve">–</w:t>
            </w:r>
          </w:p>
        </w:tc>
      </w:tr>
      <w:tr>
        <w:trPr>
          <w:cantSplit/>
        </w:trPr>
        <w:tc>
          <w:tcPr>
            <w:tcW w:w="1419" w:type="dxa"/>
          </w:tcPr>
          <w:p>
            <w:pPr>
              <w:pStyle w:val="IsiTabel"/>
              <w:suppressAutoHyphens/>
              <w:jc w:val="left"/>
            </w:pPr>
            <w:bookmarkStart w:id="132" w:name="_Ekor013z"/>
            <w:bookmarkEnd w:id="132"/>
            <w:r>
              <w:t xml:space="preserve">Konflik sosial</w:t>
            </w:r>
          </w:p>
        </w:tc>
        <w:tc>
          <w:tcPr>
            <w:tcW w:w="1717" w:type="dxa"/>
          </w:tcPr>
          <w:p>
            <w:pPr>
              <w:pStyle w:val="IsiTabel"/>
              <w:suppressAutoHyphens/>
              <w:jc w:val="left"/>
            </w:pPr>
            <w:r>
              <w:t xml:space="preserve">terverifikasi analog</w:t>
            </w:r>
          </w:p>
        </w:tc>
        <w:tc>
          <w:tcPr>
            <w:tcW w:w="1287" w:type="dxa"/>
          </w:tcPr>
          <w:p>
            <w:pPr>
              <w:pStyle w:val="IsiTabel"/>
              <w:suppressAutoHyphens/>
              <w:jc w:val="left"/>
            </w:pPr>
            <w:r>
              <w:t xml:space="preserve">terverifikasi analog</w:t>
            </w:r>
          </w:p>
        </w:tc>
        <w:tc>
          <w:tcPr>
            <w:tcW w:w="884" w:type="dxa"/>
          </w:tcPr>
          <w:p>
            <w:pPr>
              <w:pStyle w:val="IsiTabel"/>
              <w:suppressAutoHyphens/>
              <w:jc w:val="left"/>
            </w:pPr>
            <w:r>
              <w:t xml:space="preserve">–</w:t>
            </w:r>
          </w:p>
        </w:tc>
        <w:tc>
          <w:tcPr>
            <w:tcW w:w="1254" w:type="dxa"/>
          </w:tcPr>
          <w:p>
            <w:pPr>
              <w:pStyle w:val="IsiTabel"/>
              <w:suppressAutoHyphens/>
              <w:jc w:val="left"/>
            </w:pPr>
            <w:r>
              <w:t xml:space="preserve">–</w:t>
            </w:r>
          </w:p>
        </w:tc>
        <w:tc>
          <w:tcPr>
            <w:tcW w:w="1205" w:type="dxa"/>
          </w:tcPr>
          <w:p>
            <w:pPr>
              <w:pStyle w:val="IsiTabel"/>
              <w:suppressAutoHyphens/>
              <w:jc w:val="left"/>
            </w:pPr>
            <w:r>
              <w:t xml:space="preserve">–</w:t>
            </w:r>
          </w:p>
        </w:tc>
        <w:tc>
          <w:tcPr>
            <w:tcW w:w="1588"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InaRISK BNPB (KRB 2022–2026), SiPongi, PuSGeN 2024, ONI NOAA CPC, dan kompendium analog nonalam dan sosial</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R = resmi; T = turunan dari data resmi; E = estimasi model; – = tidak dikuantifikasi. Huruf a, b, dan c merujuk tiga besaran kerugian pada subbab berikut. Kolom luas tidak dibandingkan antarjenis. Kepekaan berkalkulasi hanya porsi evakuasi segera (tsunami), kepatuhan bangunan (gempa), dan cakupan peringatan dini (hidrometeorologi selain tanah longsor); jenis lain memakai kepekaan pilihan analog tanpa perkalian, dan tanah longsor hanya kualitatif karena faktor peringatan dini tidak dihitung untuknya.</w:t>
      </w:r>
    </w:p>
    <w:p>
      <w:pPr>
        <w:pStyle w:val="Heading2"/>
      </w:pPr>
      <w:bookmarkStart w:id="134" w:name="_Toc00057"/>
      <w:bookmarkStart w:id="133" w:name="_Ref0160"/>
      <w:r>
        <w:t xml:space="preserve">3.7</w:t>
      </w:r>
      <w:bookmarkEnd w:id="133"/>
      <w:r>
        <w:tab/>
      </w:r>
      <w:r>
        <w:t xml:space="preserve">Kerugian Materiil dan Imateriil</w:t>
      </w:r>
      <w:bookmarkEnd w:id="134"/>
    </w:p>
    <w:p>
      <w:pPr>
        <w:pStyle w:val="IsiTemuan"/>
      </w:pPr>
      <w:r>
        <w:rPr>
          <w:b/>
          <w:bCs/>
          <w:color w:val="051C2C"/>
        </w:rPr>
        <w:t xml:space="preserve">Potensi kerugian multibahaya KRB 2022–2026 adalah </w:t>
      </w:r>
      <w:r>
        <w:rPr>
          <w:b/>
          <w:bCs/>
          <w:color w:val="051C2C"/>
        </w:rPr>
        <w:t xml:space="preserve">Rp4.082,6 triliun</w:t>
      </w:r>
      <w:r>
        <w:rPr>
          <w:b/>
          <w:bCs/>
          <w:color w:val="051C2C"/>
        </w:rPr>
        <w:t xml:space="preserve">, yaitu baris nasional tabel provinsi dan bukan jumlah kolom bahaya.</w:t>
      </w:r>
      <w:r>
        <w:t xml:space="preserve"> Jumlah dua belas nilai per bahaya hampir dua kali angka itu karena zona bahaya bertumpuk, sehingga tidak dipakai </w:t>
      </w:r>
      <w:r>
        <w:t xml:space="preserve">(BNPB, 2025c, hlm. 23–25)</w:t>
      </w:r>
      <w:r>
        <w:t xml:space="preserve">. Karena itu kerugian materiil ditulis dalam tiga besaran yang tidak dijumlah (</w:t>
      </w:r>
      <w:r>
        <w:fldChar w:fldCharType="begin"/>
      </w:r>
      <w:r>
        <w:instrText xml:space="preserve"> REF _Ref0300 \h \* CHARFORMAT </w:instrText>
      </w:r>
      <w:r>
        <w:fldChar w:fldCharType="separate"/>
      </w:r>
      <w:r>
        <w:t xml:space="preserve">Tabel 3.6</w:t>
      </w:r>
      <w:r>
        <w:fldChar w:fldCharType="end"/>
      </w:r>
      <w:r>
        <w:t xml:space="preserve">); nilai aset terpapar gempa, misalnya, </w:t>
      </w:r>
      <w:r>
        <w:t xml:space="preserve">Rp1.111,3 triliun</w:t>
      </w:r>
      <w:r>
        <w:t xml:space="preserve"> sebagai batas atas.</w:t>
      </w:r>
    </w:p>
    <w:p>
      <w:pPr>
        <w:pStyle w:val="IsiTemuan"/>
      </w:pPr>
      <w:r>
        <w:rPr>
          <w:b/>
          <w:bCs/>
          <w:color w:val="051C2C"/>
        </w:rPr>
        <w:t xml:space="preserve">Kerugian nyata Cianjur 2022 adalah </w:t>
      </w:r>
      <w:r>
        <w:rPr>
          <w:b/>
          <w:bCs/>
          <w:color w:val="051C2C"/>
        </w:rPr>
        <w:t xml:space="preserve">2,68</w:t>
      </w:r>
      <w:r>
        <w:rPr>
          <w:b/>
          <w:bCs/>
          <w:color w:val="051C2C"/>
        </w:rPr>
        <w:t xml:space="preserve"> kali kebutuhan stimulan rumahnya, dan kebutuhan pemulihan Lombok 2018 </w:t>
      </w:r>
      <w:r>
        <w:rPr>
          <w:b/>
          <w:bCs/>
          <w:color w:val="051C2C"/>
        </w:rPr>
        <w:t xml:space="preserve">1,60</w:t>
      </w:r>
      <w:r>
        <w:rPr>
          <w:b/>
          <w:bCs/>
          <w:color w:val="051C2C"/>
        </w:rPr>
        <w:t xml:space="preserve"> kali, sehingga stimulan rumah hanya batas bawah.</w:t>
      </w:r>
      <w:r>
        <w:t xml:space="preserve"> Angka kejadian analog diambil dari Pengkajian Kebutuhan Pascabencana (Jitupasna; Perka BNPB 15/2011 dan Perban BNPB 5/2017), yang menurut Perka BNPB 15/2011 menggabungkan </w:t>
      </w:r>
      <w:r>
        <w:rPr>
          <w:i/>
          <w:iCs/>
        </w:rPr>
        <w:t xml:space="preserve">Damage and Loss Assessment</w:t>
      </w:r>
      <w:r>
        <w:t xml:space="preserve"> (DaLA) dan </w:t>
      </w:r>
      <w:r>
        <w:rPr>
          <w:i/>
          <w:iCs/>
        </w:rPr>
        <w:t xml:space="preserve">Human Recovery Needs Assessment</w:t>
      </w:r>
      <w:r>
        <w:t xml:space="preserve"> </w:t>
      </w:r>
      <w:r>
        <w:t xml:space="preserve">(BNPB, 2011a, 2017a)</w:t>
      </w:r>
      <w:r>
        <w:t xml:space="preserve">. Rencana Rehabilitasi dan Rekonstruksi Pascabencana (R3P) Cianjur mencatat kerusakan dan kerugian </w:t>
      </w:r>
      <w:r>
        <w:t xml:space="preserve">4,55 triliun rupiah</w:t>
      </w:r>
      <w:r>
        <w:t xml:space="preserve">, dengan status contoh dokumen tanpa nomor penetapan </w:t>
      </w:r>
      <w:r>
        <w:t xml:space="preserve">(Pemerintah Kabupaten Cianjur, 2022)</w:t>
      </w:r>
      <w:r>
        <w:t xml:space="preserve">. Angka Lombok adalah total kebutuhan R3P dari Kementerian Koordinator Bidang Pembangunan Manusia dan Kebudayaan </w:t>
      </w:r>
      <w:r>
        <w:t xml:space="preserve">(Kemenko PMK, 2024)</w:t>
      </w:r>
      <w:r>
        <w:t xml:space="preserve">. Kedua pengali tidak dikalikan ke skenario.</w:t>
      </w:r>
    </w:p>
    <w:p>
      <w:pPr>
        <w:pStyle w:val="IsiTemuan"/>
      </w:pPr>
      <w:r>
        <w:rPr>
          <w:b/>
          <w:bCs/>
          <w:color w:val="051C2C"/>
        </w:rPr>
        <w:t xml:space="preserve">Profil batas bawah biaya rehabilitasi rumah nasional mencapai </w:t>
      </w:r>
      <w:r>
        <w:rPr>
          <w:b/>
          <w:bCs/>
          <w:color w:val="051C2C"/>
        </w:rPr>
        <w:t xml:space="preserve">Rp9,5–11,9 triliun</w:t>
      </w:r>
      <w:r>
        <w:rPr>
          <w:b/>
          <w:bCs/>
          <w:color w:val="051C2C"/>
        </w:rPr>
        <w:t xml:space="preserve"> pada 2018, sedangkan lapisan berat persentil 90 hanya </w:t>
      </w:r>
      <w:r>
        <w:rPr>
          <w:b/>
          <w:bCs/>
          <w:color w:val="051C2C"/>
        </w:rPr>
        <w:t xml:space="preserve">Rp6,8–8,6 triliun</w:t>
      </w:r>
      <w:r>
        <w:rPr>
          <w:b/>
          <w:bCs/>
          <w:color w:val="051C2C"/>
        </w:rPr>
        <w:t xml:space="preserve"> karena menyisihkan tahun itu.</w:t>
      </w:r>
      <w:r>
        <w:t xml:space="preserve"> Kajian selalu menyandingkan keduanya. Profil dihitung dari rumah rusak DIBI dikali stimulan dua skema; besaran stimulan tidak terdapat dalam korpus JDIH BNPB, sehingga berlabel Asumsi kebijakan. Sebagai besaran kerugian, kebutuhan stimulan hanya dihitung untuk gempa, longsor, dan banjir bandang. Kartu musim hujan paket data masih mengalikan rumah rusak banjir genangan, sehingga barisnya diberi catatan sampai dipecah per jenis.</w:t>
      </w:r>
    </w:p>
    <w:p>
      <w:pPr>
        <w:pStyle w:val="Isi"/>
      </w:pPr>
      <w:r>
        <w:t xml:space="preserve">Kerugian imateriil ditulis dalam satuan fisik. Pengungsi-hari adalah pengungsi dikali lama mengungsi asumsi tujuh hari (rentang tiga sampai tiga puluh hari untuk hidrometeorologi), karena DIBI tidak mencatat lama pengungsian. Tahun hidup yang hilang (</w:t>
      </w:r>
      <w:r>
        <w:rPr>
          <w:i/>
          <w:iCs/>
        </w:rPr>
        <w:t xml:space="preserve">years of life lost</w:t>
      </w:r>
      <w:r>
        <w:t xml:space="preserve">, YLL) hanya dimuat di lampiran, sedangkan luka dan </w:t>
      </w:r>
      <w:r>
        <w:rPr>
          <w:i/>
          <w:iCs/>
        </w:rPr>
        <w:t xml:space="preserve">disability-adjusted life years</w:t>
      </w:r>
      <w:r>
        <w:t xml:space="preserve"> tidak dihitung. Kebutuhan respons mengikuti Perka BNPB 7/2008: air bersih </w:t>
      </w:r>
      <w:r>
        <w:t xml:space="preserve">7 liter per orang per hari</w:t>
      </w:r>
      <w:r>
        <w:t xml:space="preserve"> pada tiga hari pertama, lalu </w:t>
      </w:r>
      <w:r>
        <w:t xml:space="preserve">15 liter per orang per hari</w:t>
      </w:r>
      <w:r>
        <w:t xml:space="preserve"> </w:t>
      </w:r>
      <w:r>
        <w:t xml:space="preserve">(BNPB, 2008b, hlm. 10)</w:t>
      </w:r>
      <w:r>
        <w:t xml:space="preserve">.</w:t>
      </w:r>
    </w:p>
    <w:p>
      <w:pPr>
        <w:pStyle w:val="Caption"/>
      </w:pPr>
      <w:bookmarkStart w:id="136" w:name="_Toc00058"/>
      <w:bookmarkStart w:id="135" w:name="_Ref030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135"/>
      <w:r>
        <w:rPr>
          <w:b/>
          <w:bCs/>
          <w:color w:val="051C2C"/>
        </w:rPr>
        <w:t xml:space="preserve"> </w:t>
      </w:r>
      <w:r>
        <w:t xml:space="preserve">Tiga besaran kerugian materiil dan profil biaya rehabilitasi rumah untuk kartu skenario, Indonesia, 2011–2026</w:t>
      </w:r>
      <w:bookmarkEnd w:id="1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623"/>
        <w:gridCol w:w="1236"/>
        <w:gridCol w:w="1695"/>
        <w:gridCol w:w="3800"/>
      </w:tblGrid>
      <w:tr>
        <w:trPr>
          <w:cantSplit/>
          <w:tblHeader/>
        </w:trPr>
        <w:tc>
          <w:tcPr>
            <w:tcW w:w="2623" w:type="dxa"/>
            <w:shd w:val="clear" w:color="auto" w:fill="051C2C"/>
            <w:vAlign w:val="center"/>
          </w:tcPr>
          <w:p>
            <w:pPr>
              <w:pStyle w:val="KepalaTabel"/>
              <w:keepNext/>
              <w:suppressAutoHyphens/>
            </w:pPr>
            <w:r>
              <w:t xml:space="preserve">BESARAN</w:t>
            </w:r>
          </w:p>
        </w:tc>
        <w:tc>
          <w:tcPr>
            <w:tcW w:w="1236" w:type="dxa"/>
            <w:shd w:val="clear" w:color="auto" w:fill="051C2C"/>
            <w:vAlign w:val="center"/>
          </w:tcPr>
          <w:p>
            <w:pPr>
              <w:pStyle w:val="KepalaTabel"/>
              <w:keepNext/>
              <w:suppressAutoHyphens/>
            </w:pPr>
            <w:r>
              <w:t xml:space="preserve">ISI DAN CONTOH</w:t>
            </w:r>
          </w:p>
        </w:tc>
        <w:tc>
          <w:tcPr>
            <w:tcW w:w="1695" w:type="dxa"/>
            <w:shd w:val="clear" w:color="auto" w:fill="051C2C"/>
            <w:vAlign w:val="center"/>
          </w:tcPr>
          <w:p>
            <w:pPr>
              <w:pStyle w:val="KepalaTabel"/>
              <w:keepNext/>
              <w:suppressAutoHyphens/>
            </w:pPr>
            <w:r>
              <w:t xml:space="preserve">KEYAKINAN</w:t>
            </w:r>
          </w:p>
        </w:tc>
        <w:tc>
          <w:tcPr>
            <w:tcW w:w="3800" w:type="dxa"/>
            <w:shd w:val="clear" w:color="auto" w:fill="051C2C"/>
            <w:vAlign w:val="center"/>
          </w:tcPr>
          <w:p>
            <w:pPr>
              <w:pStyle w:val="KepalaTabel"/>
              <w:keepNext/>
              <w:suppressAutoHyphens/>
            </w:pPr>
            <w:r>
              <w:t xml:space="preserve">BATAS PAKAI</w:t>
            </w:r>
          </w:p>
        </w:tc>
      </w:tr>
      <w:tr>
        <w:trPr>
          <w:cantSplit/>
        </w:trPr>
        <w:tc>
          <w:tcPr>
            <w:tcW w:w="2623" w:type="dxa"/>
          </w:tcPr>
          <w:p>
            <w:pPr>
              <w:pStyle w:val="IsiTabel"/>
              <w:keepNext/>
              <w:suppressAutoHyphens/>
              <w:jc w:val="left"/>
            </w:pPr>
            <w:bookmarkStart w:id="137" w:name="_Ekor014a"/>
            <w:bookmarkEnd w:id="137"/>
            <w:r>
              <w:t xml:space="preserve">(a) Nilai aset terpapar KRB</w:t>
            </w:r>
          </w:p>
        </w:tc>
        <w:tc>
          <w:tcPr>
            <w:tcW w:w="1236" w:type="dxa"/>
          </w:tcPr>
          <w:p>
            <w:pPr>
              <w:pStyle w:val="IsiTabel"/>
              <w:keepNext/>
              <w:suppressAutoHyphens/>
              <w:jc w:val="left"/>
            </w:pPr>
            <w:r>
              <w:t xml:space="preserve">per bahaya; cuaca ekstrem </w:t>
            </w:r>
            <w:r>
              <w:t xml:space="preserve">Rp2.744,3 triliun</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800" w:type="dxa"/>
          </w:tcPr>
          <w:p>
            <w:pPr>
              <w:pStyle w:val="IsiTabel"/>
              <w:keepNext/>
              <w:suppressAutoHyphens/>
              <w:jc w:val="left"/>
            </w:pPr>
            <w:r>
              <w:t xml:space="preserve">batas atas; tidak dijumlah antarbahaya</w:t>
            </w:r>
          </w:p>
        </w:tc>
      </w:tr>
      <w:tr>
        <w:trPr>
          <w:cantSplit/>
        </w:trPr>
        <w:tc>
          <w:tcPr>
            <w:tcW w:w="2623" w:type="dxa"/>
          </w:tcPr>
          <w:p>
            <w:pPr>
              <w:pStyle w:val="IsiTabel"/>
              <w:keepNext/>
              <w:suppressAutoHyphens/>
              <w:jc w:val="left"/>
            </w:pPr>
            <w:r>
              <w:t xml:space="preserve">(b) Kerugian kejadian analog</w:t>
            </w:r>
          </w:p>
        </w:tc>
        <w:tc>
          <w:tcPr>
            <w:tcW w:w="1236" w:type="dxa"/>
          </w:tcPr>
          <w:p>
            <w:pPr>
              <w:pStyle w:val="IsiTabel"/>
              <w:keepNext/>
              <w:suppressAutoHyphens/>
              <w:jc w:val="left"/>
            </w:pPr>
            <w:r>
              <w:t xml:space="preserve">Jitupasna, R3P, DaLA, Bank Dunia</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800" w:type="dxa"/>
          </w:tcPr>
          <w:p>
            <w:pPr>
              <w:pStyle w:val="IsiTabel"/>
              <w:keepNext/>
              <w:suppressAutoHyphens/>
              <w:jc w:val="left"/>
            </w:pPr>
            <w:r>
              <w:t xml:space="preserve">per kejadian; angka sementara ditandai</w:t>
            </w:r>
          </w:p>
        </w:tc>
      </w:tr>
      <w:tr>
        <w:trPr>
          <w:cantSplit/>
        </w:trPr>
        <w:tc>
          <w:tcPr>
            <w:tcW w:w="2623" w:type="dxa"/>
          </w:tcPr>
          <w:p>
            <w:pPr>
              <w:pStyle w:val="IsiTabel"/>
              <w:keepNext/>
              <w:suppressAutoHyphens/>
              <w:jc w:val="left"/>
            </w:pPr>
            <w:r>
              <w:t xml:space="preserve">(c) Kebutuhan stimulan rumah</w:t>
            </w:r>
          </w:p>
        </w:tc>
        <w:tc>
          <w:tcPr>
            <w:tcW w:w="1236" w:type="dxa"/>
          </w:tcPr>
          <w:p>
            <w:pPr>
              <w:pStyle w:val="IsiTabel"/>
              <w:keepNext/>
              <w:suppressAutoHyphens/>
              <w:jc w:val="left"/>
            </w:pPr>
            <w:r>
              <w:t xml:space="preserve">rumah rusak berat, sedang, ringan dikali stimulan</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800" w:type="dxa"/>
          </w:tcPr>
          <w:p>
            <w:pPr>
              <w:pStyle w:val="IsiTabel"/>
              <w:keepNext/>
              <w:suppressAutoHyphens/>
              <w:jc w:val="left"/>
            </w:pPr>
            <w:r>
              <w:t xml:space="preserve">gempa, longsor, banjir bandang; batas bawah</w:t>
            </w:r>
          </w:p>
        </w:tc>
      </w:tr>
      <w:tr>
        <w:trPr>
          <w:cantSplit/>
        </w:trPr>
        <w:tc>
          <w:tcPr>
            <w:tcW w:w="2623" w:type="dxa"/>
          </w:tcPr>
          <w:p>
            <w:pPr>
              <w:pStyle w:val="IsiTabel"/>
              <w:keepNext/>
              <w:suppressAutoHyphens/>
              <w:jc w:val="left"/>
            </w:pPr>
            <w:bookmarkStart w:id="138" w:name="_Ekor014z"/>
            <w:bookmarkEnd w:id="138"/>
            <w:r>
              <w:t xml:space="preserve">Profil biaya rehabilitasi rumah</w:t>
            </w:r>
          </w:p>
        </w:tc>
        <w:tc>
          <w:tcPr>
            <w:tcW w:w="1236" w:type="dxa"/>
          </w:tcPr>
          <w:p>
            <w:pPr>
              <w:pStyle w:val="IsiTabel"/>
              <w:keepNext/>
              <w:suppressAutoHyphens/>
              <w:jc w:val="left"/>
            </w:pPr>
            <w:r>
              <w:t xml:space="preserve">lapisan berat dan maksimum 2018</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800" w:type="dxa"/>
          </w:tcPr>
          <w:p>
            <w:pPr>
              <w:pStyle w:val="IsiTabel"/>
              <w:keepNext/>
              <w:suppressAutoHyphens/>
              <w:jc w:val="left"/>
            </w:pPr>
            <w:r>
              <w:t xml:space="preserve">keduanya berdampingan</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(KRB 2022–2026); R3P Cianjur 2022; Kemenko PMK (2024); pengolahan Pantau Bencana dari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Profil biaya rehabilitasi rumah adalah dasar lapisan pembiayaan, bukan kerugian materiil.</w:t>
      </w:r>
    </w:p>
    <w:p>
      <w:pPr>
        <w:pStyle w:val="Heading2"/>
      </w:pPr>
      <w:bookmarkStart w:id="140" w:name="_Toc00059"/>
      <w:bookmarkStart w:id="139" w:name="_Ref0116"/>
      <w:r>
        <w:t xml:space="preserve">3.8</w:t>
      </w:r>
      <w:bookmarkEnd w:id="139"/>
      <w:r>
        <w:tab/>
      </w:r>
      <w:r>
        <w:t xml:space="preserve">Aturan Daftar Perhatian dan Provinsi Utama</w:t>
      </w:r>
      <w:bookmarkEnd w:id="140"/>
    </w:p>
    <w:p>
      <w:pPr>
        <w:pStyle w:val="Isi"/>
      </w:pPr>
      <w:r>
        <w:t xml:space="preserve">Kab/kota masuk daftar perhatian suatu bahaya bila memenuhi paling sedikit dua syarat kelompok bahayanya </w:t>
      </w:r>
      <w:r>
        <w:t xml:space="preserve">(BNPB, t.t.-b, t.t.-a)</w:t>
      </w:r>
      <w:r>
        <w:t xml:space="preserve">. Syarat tidak dijumlah menjadi skor, daftar tampil menurut kode wilayah, dan aturannya berlabel Asumsi kebijakan.</w:t>
      </w:r>
    </w:p>
    <w:p>
      <w:pPr>
        <w:pStyle w:val="Daftar"/>
        <w:numPr>
          <w:ilvl w:val="0"/>
          <w:numId w:val="1"/>
        </w:numPr>
      </w:pPr>
      <w:r>
        <w:t xml:space="preserve">Hidrometeorologi: (a) IRBI 2025 bahaya itu di kelas nilai teratas nasional; (b) kejadian tercatat paling sedikit tiga dari sebelas tahun 2015–2025; (c) meninggal dan hilang atau mengungsi DIBI di kuartil atas.</w:t>
      </w:r>
    </w:p>
    <w:p>
      <w:pPr>
        <w:pStyle w:val="Daftar"/>
        <w:numPr>
          <w:ilvl w:val="0"/>
          <w:numId w:val="1"/>
        </w:numPr>
      </w:pPr>
      <w:r>
        <w:t xml:space="preserve">Geologi: (a) sama dengan hidrometeorologi; (b) paparan KRB atau jiwa pesisir rendah dengan waktu tiba tsunami paling lama tiga puluh menit (Estimasi model) di kuartil atas; (c) kejadian berkorban sejak 2008.</w:t>
      </w:r>
    </w:p>
    <w:p>
      <w:pPr>
        <w:pStyle w:val="Daftar"/>
        <w:numPr>
          <w:ilvl w:val="0"/>
          <w:numId w:val="1"/>
        </w:numPr>
      </w:pPr>
      <w:r>
        <w:t xml:space="preserve">Provinsi utama: kab/kota daftar perhatian terbanyak, atau meninggal dan hilang DIBI 2015–2025 tertinggi; kedua kriteria ditulis.</w:t>
      </w:r>
    </w:p>
    <w:p>
      <w:pPr>
        <w:pStyle w:val="Isi"/>
      </w:pPr>
      <w:r>
        <w:t xml:space="preserve">Batas kelas teratas adalah kuintil, dengan nilai kembar di batas ikut masuk. Peta IRBI per bahaya wajib memakai batas yang sama dengan legenda "≥ batas"; tanpa itu sampai </w:t>
      </w:r>
      <w:r>
        <w:t xml:space="preserve">60</w:t>
      </w:r>
      <w:r>
        <w:t xml:space="preserve"> kab/kota karhutla masuk daftar tetapi tampil di kelas kedua peta.</w:t>
      </w:r>
    </w:p>
    <w:p>
      <w:pPr>
        <w:pStyle w:val="IsiTemuan"/>
      </w:pPr>
      <w:r>
        <w:rPr>
          <w:b/>
          <w:bCs/>
          <w:color w:val="051C2C"/>
        </w:rPr>
        <w:t xml:space="preserve">Aturan dasar menghasilkan </w:t>
      </w:r>
      <w:r>
        <w:rPr>
          <w:b/>
          <w:bCs/>
          <w:color w:val="051C2C"/>
        </w:rPr>
        <w:t xml:space="preserve">253</w:t>
      </w:r>
      <w:r>
        <w:rPr>
          <w:b/>
          <w:bCs/>
          <w:color w:val="051C2C"/>
        </w:rPr>
        <w:t xml:space="preserve"> kab/kota daftar perhatian banjir dan </w:t>
      </w:r>
      <w:r>
        <w:rPr>
          <w:b/>
          <w:bCs/>
          <w:color w:val="051C2C"/>
        </w:rPr>
        <w:t xml:space="preserve">272</w:t>
      </w:r>
      <w:r>
        <w:rPr>
          <w:b/>
          <w:bCs/>
          <w:color w:val="051C2C"/>
        </w:rPr>
        <w:t xml:space="preserve"> cuaca ekstrem, tetapi hanya </w:t>
      </w:r>
      <w:r>
        <w:rPr>
          <w:b/>
          <w:bCs/>
          <w:color w:val="051C2C"/>
        </w:rPr>
        <w:t xml:space="preserve">9</w:t>
      </w:r>
      <w:r>
        <w:rPr>
          <w:b/>
          <w:bCs/>
          <w:color w:val="051C2C"/>
        </w:rPr>
        <w:t xml:space="preserve"> kekeringan; ukuran daftar ditentukan sifat data, bukan besar risiko.</w:t>
      </w:r>
      <w:r>
        <w:t xml:space="preserve"> Syarat (b) dipenuhi </w:t>
      </w:r>
      <w:r>
        <w:t xml:space="preserve">462</w:t>
      </w:r>
      <w:r>
        <w:t xml:space="preserve"> kab/kota untuk banjir, sedangkan syarat (c) kekeringan hanya </w:t>
      </w:r>
      <w:r>
        <w:t xml:space="preserve">2</w:t>
      </w:r>
      <w:r>
        <w:t xml:space="preserve"> kab/kota karena korban kekeringan hampir nol. Syarat (b) gempa tidak dinilai sebab KRB gempa per kab/kota belum ditarik, dan proksi pesisir rendah melewatkan pantai selatan Jawa Barat. Pergeseran terbesar pada </w:t>
      </w:r>
      <w:r>
        <w:fldChar w:fldCharType="begin"/>
      </w:r>
      <w:r>
        <w:instrText xml:space="preserve"> REF _Ref0245 \h \* CHARFORMAT </w:instrText>
      </w:r>
      <w:r>
        <w:fldChar w:fldCharType="separate"/>
      </w:r>
      <w:r>
        <w:t xml:space="preserve">Tabel 3.7</w:t>
      </w:r>
      <w:r>
        <w:fldChar w:fldCharType="end"/>
      </w:r>
      <w:r>
        <w:t xml:space="preserve"> muncul bila syarat (a) dilonggarkan ke dua kelas: banjir naik ke </w:t>
      </w:r>
      <w:r>
        <w:t xml:space="preserve">304</w:t>
      </w:r>
      <w:r>
        <w:t xml:space="preserve"> dan karhutla dari </w:t>
      </w:r>
      <w:r>
        <w:t xml:space="preserve">62</w:t>
      </w:r>
      <w:r>
        <w:t xml:space="preserve"> ke </w:t>
      </w:r>
      <w:r>
        <w:t xml:space="preserve">108</w:t>
      </w:r>
      <w:r>
        <w:t xml:space="preserve"> kab/kota. Ambang (b) berbasis kuartil dan syarat (c) kekeringan berbasis terdampak masuk pemutakhiran daftar (</w:t>
      </w:r>
      <w:r>
        <w:fldChar w:fldCharType="begin"/>
      </w:r>
      <w:r>
        <w:instrText xml:space="preserve"> REF _Ref0105 \h \* CHARFORMAT </w:instrText>
      </w:r>
      <w:r>
        <w:fldChar w:fldCharType="separate"/>
      </w:r>
      <w:r>
        <w:t xml:space="preserve">30</w:t>
      </w:r>
      <w:r>
        <w:fldChar w:fldCharType="end"/>
      </w:r>
      <w:r>
        <w:t xml:space="preserve">).</w:t>
      </w:r>
    </w:p>
    <w:p>
      <w:pPr>
        <w:pStyle w:val="Caption"/>
      </w:pPr>
      <w:bookmarkStart w:id="142" w:name="_Toc00060"/>
      <w:bookmarkStart w:id="141" w:name="_Ref024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141"/>
      <w:r>
        <w:rPr>
          <w:b/>
          <w:bCs/>
          <w:color w:val="051C2C"/>
        </w:rPr>
        <w:t xml:space="preserve"> </w:t>
      </w:r>
      <w:r>
        <w:t xml:space="preserve">Jumlah kab/kota daftar perhatian menurut bahaya dan varian aturan, Indonesia, 2015–2025 (kab/kota)</w:t>
      </w:r>
      <w:bookmarkEnd w:id="1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937"/>
        <w:gridCol w:w="1363"/>
        <w:gridCol w:w="1351"/>
        <w:gridCol w:w="1351"/>
        <w:gridCol w:w="1352"/>
      </w:tblGrid>
      <w:tr>
        <w:trPr>
          <w:cantSplit/>
          <w:tblHeader/>
        </w:trPr>
        <w:tc>
          <w:tcPr>
            <w:tcW w:w="3937" w:type="dxa"/>
            <w:shd w:val="clear" w:color="auto" w:fill="051C2C"/>
            <w:vAlign w:val="center"/>
          </w:tcPr>
          <w:p>
            <w:pPr>
              <w:pStyle w:val="KepalaTabel"/>
              <w:suppressAutoHyphens/>
            </w:pPr>
            <w:r>
              <w:t xml:space="preserve">BAHAYA</w:t>
            </w:r>
          </w:p>
        </w:tc>
        <w:tc>
          <w:tcPr>
            <w:tcW w:w="1363" w:type="dxa"/>
            <w:shd w:val="clear" w:color="auto" w:fill="051C2C"/>
            <w:vAlign w:val="center"/>
          </w:tcPr>
          <w:p>
            <w:pPr>
              <w:pStyle w:val="KepalaTabel"/>
              <w:suppressAutoHyphens/>
            </w:pPr>
            <w:r>
              <w:t xml:space="preserve">DAFTAR DASAR</w:t>
            </w:r>
          </w:p>
        </w:tc>
        <w:tc>
          <w:tcPr>
            <w:tcW w:w="1351" w:type="dxa"/>
            <w:shd w:val="clear" w:color="auto" w:fill="051C2C"/>
            <w:vAlign w:val="center"/>
          </w:tcPr>
          <w:p>
            <w:pPr>
              <w:pStyle w:val="KepalaTabel"/>
              <w:suppressAutoHyphens/>
            </w:pPr>
            <w:r>
              <w:t xml:space="preserve">SYARAT (B) DUA TAHUN</w:t>
            </w:r>
          </w:p>
        </w:tc>
        <w:tc>
          <w:tcPr>
            <w:tcW w:w="1351" w:type="dxa"/>
            <w:shd w:val="clear" w:color="auto" w:fill="051C2C"/>
            <w:vAlign w:val="center"/>
          </w:tcPr>
          <w:p>
            <w:pPr>
              <w:pStyle w:val="KepalaTabel"/>
              <w:suppressAutoHyphens/>
            </w:pPr>
            <w:r>
              <w:t xml:space="preserve">SYARAT (B) EMPAT TAHUN</w:t>
            </w:r>
          </w:p>
        </w:tc>
        <w:tc>
          <w:tcPr>
            <w:tcW w:w="1352" w:type="dxa"/>
            <w:shd w:val="clear" w:color="auto" w:fill="051C2C"/>
            <w:vAlign w:val="center"/>
          </w:tcPr>
          <w:p>
            <w:pPr>
              <w:pStyle w:val="KepalaTabel"/>
              <w:suppressAutoHyphens/>
            </w:pPr>
            <w:r>
              <w:t xml:space="preserve">SYARAT (A) DUA KELAS</w:t>
            </w:r>
          </w:p>
        </w:tc>
      </w:tr>
      <w:tr>
        <w:trPr>
          <w:cantSplit/>
        </w:trPr>
        <w:tc>
          <w:tcPr>
            <w:tcW w:w="3937" w:type="dxa"/>
          </w:tcPr>
          <w:p>
            <w:pPr>
              <w:pStyle w:val="IsiTabel"/>
              <w:suppressAutoHyphens/>
              <w:jc w:val="left"/>
            </w:pPr>
            <w:r>
              <w:t xml:space="preserve">Banjir</w:t>
            </w:r>
          </w:p>
        </w:tc>
        <w:tc>
          <w:tcPr>
            <w:tcW w:w="1363" w:type="dxa"/>
          </w:tcPr>
          <w:p>
            <w:pPr>
              <w:pStyle w:val="IsiTabel"/>
              <w:suppressAutoHyphens/>
              <w:jc w:val="right"/>
            </w:pPr>
            <w:r>
              <w:t xml:space="preserve">253</w:t>
            </w:r>
          </w:p>
        </w:tc>
        <w:tc>
          <w:tcPr>
            <w:tcW w:w="1351" w:type="dxa"/>
          </w:tcPr>
          <w:p>
            <w:pPr>
              <w:pStyle w:val="IsiTabel"/>
              <w:suppressAutoHyphens/>
              <w:jc w:val="right"/>
            </w:pPr>
            <w:r>
              <w:t xml:space="preserve">261</w:t>
            </w:r>
          </w:p>
        </w:tc>
        <w:tc>
          <w:tcPr>
            <w:tcW w:w="1351" w:type="dxa"/>
          </w:tcPr>
          <w:p>
            <w:pPr>
              <w:pStyle w:val="IsiTabel"/>
              <w:suppressAutoHyphens/>
              <w:jc w:val="right"/>
            </w:pPr>
            <w:r>
              <w:t xml:space="preserve">243</w:t>
            </w:r>
          </w:p>
        </w:tc>
        <w:tc>
          <w:tcPr>
            <w:tcW w:w="1352" w:type="dxa"/>
          </w:tcPr>
          <w:p>
            <w:pPr>
              <w:pStyle w:val="IsiTabel"/>
              <w:suppressAutoHyphens/>
              <w:jc w:val="right"/>
            </w:pPr>
            <w:r>
              <w:t xml:space="preserve">304</w:t>
            </w:r>
          </w:p>
        </w:tc>
      </w:tr>
      <w:tr>
        <w:trPr>
          <w:cantSplit/>
        </w:trPr>
        <w:tc>
          <w:tcPr>
            <w:tcW w:w="3937" w:type="dxa"/>
          </w:tcPr>
          <w:p>
            <w:pPr>
              <w:pStyle w:val="IsiTabel"/>
              <w:suppressAutoHyphens/>
              <w:jc w:val="left"/>
            </w:pPr>
            <w:r>
              <w:t xml:space="preserve">Cuaca ekstrem</w:t>
            </w:r>
          </w:p>
        </w:tc>
        <w:tc>
          <w:tcPr>
            <w:tcW w:w="1363" w:type="dxa"/>
          </w:tcPr>
          <w:p>
            <w:pPr>
              <w:pStyle w:val="IsiTabel"/>
              <w:suppressAutoHyphens/>
              <w:jc w:val="right"/>
            </w:pPr>
            <w:r>
              <w:t xml:space="preserve">272</w:t>
            </w:r>
          </w:p>
        </w:tc>
        <w:tc>
          <w:tcPr>
            <w:tcW w:w="1351" w:type="dxa"/>
          </w:tcPr>
          <w:p>
            <w:pPr>
              <w:pStyle w:val="IsiTabel"/>
              <w:suppressAutoHyphens/>
              <w:jc w:val="right"/>
            </w:pPr>
            <w:r>
              <w:t xml:space="preserve">288</w:t>
            </w:r>
          </w:p>
        </w:tc>
        <w:tc>
          <w:tcPr>
            <w:tcW w:w="1351" w:type="dxa"/>
          </w:tcPr>
          <w:p>
            <w:pPr>
              <w:pStyle w:val="IsiTabel"/>
              <w:suppressAutoHyphens/>
              <w:jc w:val="right"/>
            </w:pPr>
            <w:r>
              <w:t xml:space="preserve">252</w:t>
            </w:r>
          </w:p>
        </w:tc>
        <w:tc>
          <w:tcPr>
            <w:tcW w:w="1352" w:type="dxa"/>
          </w:tcPr>
          <w:p>
            <w:pPr>
              <w:pStyle w:val="IsiTabel"/>
              <w:suppressAutoHyphens/>
              <w:jc w:val="right"/>
            </w:pPr>
            <w:r>
              <w:t xml:space="preserve">295</w:t>
            </w:r>
          </w:p>
        </w:tc>
      </w:tr>
      <w:tr>
        <w:trPr>
          <w:cantSplit/>
        </w:trPr>
        <w:tc>
          <w:tcPr>
            <w:tcW w:w="3937" w:type="dxa"/>
          </w:tcPr>
          <w:p>
            <w:pPr>
              <w:pStyle w:val="IsiTabel"/>
              <w:suppressAutoHyphens/>
              <w:jc w:val="left"/>
            </w:pPr>
            <w:r>
              <w:t xml:space="preserve">Tanah longsor</w:t>
            </w:r>
          </w:p>
        </w:tc>
        <w:tc>
          <w:tcPr>
            <w:tcW w:w="1363" w:type="dxa"/>
          </w:tcPr>
          <w:p>
            <w:pPr>
              <w:pStyle w:val="IsiTabel"/>
              <w:suppressAutoHyphens/>
              <w:jc w:val="right"/>
            </w:pPr>
            <w:r>
              <w:t xml:space="preserve">202</w:t>
            </w:r>
          </w:p>
        </w:tc>
        <w:tc>
          <w:tcPr>
            <w:tcW w:w="1351" w:type="dxa"/>
          </w:tcPr>
          <w:p>
            <w:pPr>
              <w:pStyle w:val="IsiTabel"/>
              <w:suppressAutoHyphens/>
              <w:jc w:val="right"/>
            </w:pPr>
            <w:r>
              <w:t xml:space="preserve">224</w:t>
            </w:r>
          </w:p>
        </w:tc>
        <w:tc>
          <w:tcPr>
            <w:tcW w:w="1351" w:type="dxa"/>
          </w:tcPr>
          <w:p>
            <w:pPr>
              <w:pStyle w:val="IsiTabel"/>
              <w:suppressAutoHyphens/>
              <w:jc w:val="right"/>
            </w:pPr>
            <w:r>
              <w:t xml:space="preserve">177</w:t>
            </w:r>
          </w:p>
        </w:tc>
        <w:tc>
          <w:tcPr>
            <w:tcW w:w="1352" w:type="dxa"/>
          </w:tcPr>
          <w:p>
            <w:pPr>
              <w:pStyle w:val="IsiTabel"/>
              <w:suppressAutoHyphens/>
              <w:jc w:val="right"/>
            </w:pPr>
            <w:r>
              <w:t xml:space="preserve">225</w:t>
            </w:r>
          </w:p>
        </w:tc>
      </w:tr>
      <w:tr>
        <w:trPr>
          <w:cantSplit/>
        </w:trPr>
        <w:tc>
          <w:tcPr>
            <w:tcW w:w="3937" w:type="dxa"/>
          </w:tcPr>
          <w:p>
            <w:pPr>
              <w:pStyle w:val="IsiTabel"/>
              <w:suppressAutoHyphens/>
              <w:jc w:val="left"/>
            </w:pPr>
            <w:r>
              <w:t xml:space="preserve">Karhutla</w:t>
            </w:r>
          </w:p>
        </w:tc>
        <w:tc>
          <w:tcPr>
            <w:tcW w:w="1363" w:type="dxa"/>
          </w:tcPr>
          <w:p>
            <w:pPr>
              <w:pStyle w:val="IsiTabel"/>
              <w:suppressAutoHyphens/>
              <w:jc w:val="right"/>
            </w:pPr>
            <w:r>
              <w:t xml:space="preserve">62</w:t>
            </w:r>
          </w:p>
        </w:tc>
        <w:tc>
          <w:tcPr>
            <w:tcW w:w="1351" w:type="dxa"/>
          </w:tcPr>
          <w:p>
            <w:pPr>
              <w:pStyle w:val="IsiTabel"/>
              <w:suppressAutoHyphens/>
              <w:jc w:val="right"/>
            </w:pPr>
            <w:r>
              <w:t xml:space="preserve">73</w:t>
            </w:r>
          </w:p>
        </w:tc>
        <w:tc>
          <w:tcPr>
            <w:tcW w:w="1351" w:type="dxa"/>
          </w:tcPr>
          <w:p>
            <w:pPr>
              <w:pStyle w:val="IsiTabel"/>
              <w:suppressAutoHyphens/>
              <w:jc w:val="right"/>
            </w:pPr>
            <w:r>
              <w:t xml:space="preserve">53</w:t>
            </w:r>
          </w:p>
        </w:tc>
        <w:tc>
          <w:tcPr>
            <w:tcW w:w="1352" w:type="dxa"/>
          </w:tcPr>
          <w:p>
            <w:pPr>
              <w:pStyle w:val="IsiTabel"/>
              <w:suppressAutoHyphens/>
              <w:jc w:val="right"/>
            </w:pPr>
            <w:r>
              <w:t xml:space="preserve">108</w:t>
            </w:r>
          </w:p>
        </w:tc>
      </w:tr>
      <w:tr>
        <w:trPr>
          <w:cantSplit/>
        </w:trPr>
        <w:tc>
          <w:tcPr>
            <w:tcW w:w="3937" w:type="dxa"/>
          </w:tcPr>
          <w:p>
            <w:pPr>
              <w:pStyle w:val="IsiTabel"/>
              <w:suppressAutoHyphens/>
              <w:jc w:val="left"/>
            </w:pPr>
            <w:r>
              <w:t xml:space="preserve">Gelombang ekstrem dan abrasi</w:t>
            </w:r>
          </w:p>
        </w:tc>
        <w:tc>
          <w:tcPr>
            <w:tcW w:w="1363" w:type="dxa"/>
          </w:tcPr>
          <w:p>
            <w:pPr>
              <w:pStyle w:val="IsiTabel"/>
              <w:suppressAutoHyphens/>
              <w:jc w:val="right"/>
            </w:pPr>
            <w:r>
              <w:t xml:space="preserve">47</w:t>
            </w:r>
          </w:p>
        </w:tc>
        <w:tc>
          <w:tcPr>
            <w:tcW w:w="1351" w:type="dxa"/>
          </w:tcPr>
          <w:p>
            <w:pPr>
              <w:pStyle w:val="IsiTabel"/>
              <w:suppressAutoHyphens/>
              <w:jc w:val="right"/>
            </w:pPr>
            <w:r>
              <w:t xml:space="preserve">70</w:t>
            </w:r>
          </w:p>
        </w:tc>
        <w:tc>
          <w:tcPr>
            <w:tcW w:w="1351" w:type="dxa"/>
          </w:tcPr>
          <w:p>
            <w:pPr>
              <w:pStyle w:val="IsiTabel"/>
              <w:suppressAutoHyphens/>
              <w:jc w:val="right"/>
            </w:pPr>
            <w:r>
              <w:t xml:space="preserve">34</w:t>
            </w:r>
          </w:p>
        </w:tc>
        <w:tc>
          <w:tcPr>
            <w:tcW w:w="1352" w:type="dxa"/>
          </w:tcPr>
          <w:p>
            <w:pPr>
              <w:pStyle w:val="IsiTabel"/>
              <w:suppressAutoHyphens/>
              <w:jc w:val="right"/>
            </w:pPr>
            <w:r>
              <w:t xml:space="preserve">53</w:t>
            </w:r>
          </w:p>
        </w:tc>
      </w:tr>
      <w:tr>
        <w:trPr>
          <w:cantSplit/>
        </w:trPr>
        <w:tc>
          <w:tcPr>
            <w:tcW w:w="3937" w:type="dxa"/>
          </w:tcPr>
          <w:p>
            <w:pPr>
              <w:pStyle w:val="IsiTabel"/>
              <w:keepNext/>
              <w:suppressAutoHyphens/>
              <w:jc w:val="left"/>
            </w:pPr>
            <w:bookmarkStart w:id="143" w:name="_Ekor015a"/>
            <w:bookmarkEnd w:id="143"/>
            <w:r>
              <w:t xml:space="preserve">Kekeringan</w:t>
            </w:r>
          </w:p>
        </w:tc>
        <w:tc>
          <w:tcPr>
            <w:tcW w:w="1363" w:type="dxa"/>
          </w:tcPr>
          <w:p>
            <w:pPr>
              <w:pStyle w:val="IsiTabel"/>
              <w:keepNext/>
              <w:suppressAutoHyphens/>
              <w:jc w:val="right"/>
            </w:pPr>
            <w:r>
              <w:t xml:space="preserve">9</w:t>
            </w:r>
          </w:p>
        </w:tc>
        <w:tc>
          <w:tcPr>
            <w:tcW w:w="1351" w:type="dxa"/>
          </w:tcPr>
          <w:p>
            <w:pPr>
              <w:pStyle w:val="IsiTabel"/>
              <w:keepNext/>
              <w:suppressAutoHyphens/>
              <w:jc w:val="right"/>
            </w:pPr>
            <w:r>
              <w:t xml:space="preserve">17</w:t>
            </w:r>
          </w:p>
        </w:tc>
        <w:tc>
          <w:tcPr>
            <w:tcW w:w="1351" w:type="dxa"/>
          </w:tcPr>
          <w:p>
            <w:pPr>
              <w:pStyle w:val="IsiTabel"/>
              <w:keepNext/>
              <w:suppressAutoHyphens/>
              <w:jc w:val="right"/>
            </w:pPr>
            <w:r>
              <w:t xml:space="preserve">6</w:t>
            </w:r>
          </w:p>
        </w:tc>
        <w:tc>
          <w:tcPr>
            <w:tcW w:w="1352" w:type="dxa"/>
          </w:tcPr>
          <w:p>
            <w:pPr>
              <w:pStyle w:val="IsiTabel"/>
              <w:keepNext/>
              <w:suppressAutoHyphens/>
              <w:jc w:val="right"/>
            </w:pPr>
            <w:r>
              <w:t xml:space="preserve">27</w:t>
            </w:r>
          </w:p>
        </w:tc>
      </w:tr>
      <w:tr>
        <w:trPr>
          <w:cantSplit/>
        </w:trPr>
        <w:tc>
          <w:tcPr>
            <w:tcW w:w="3937" w:type="dxa"/>
          </w:tcPr>
          <w:p>
            <w:pPr>
              <w:pStyle w:val="IsiTabel"/>
              <w:keepNext/>
              <w:suppressAutoHyphens/>
              <w:jc w:val="left"/>
            </w:pPr>
            <w:r>
              <w:t xml:space="preserve">Gempa bumi</w:t>
            </w:r>
          </w:p>
        </w:tc>
        <w:tc>
          <w:tcPr>
            <w:tcW w:w="1363" w:type="dxa"/>
          </w:tcPr>
          <w:p>
            <w:pPr>
              <w:pStyle w:val="IsiTabel"/>
              <w:keepNext/>
              <w:suppressAutoHyphens/>
              <w:jc w:val="right"/>
            </w:pPr>
            <w:r>
              <w:t xml:space="preserve">30</w:t>
            </w:r>
          </w:p>
        </w:tc>
        <w:tc>
          <w:tcPr>
            <w:tcW w:w="1351" w:type="dxa"/>
          </w:tcPr>
          <w:p>
            <w:pPr>
              <w:pStyle w:val="IsiTabel"/>
              <w:keepNext/>
              <w:suppressAutoHyphens/>
              <w:jc w:val="right"/>
            </w:pPr>
            <w:r>
              <w:t xml:space="preserve">–</w:t>
            </w:r>
          </w:p>
        </w:tc>
        <w:tc>
          <w:tcPr>
            <w:tcW w:w="1351" w:type="dxa"/>
          </w:tcPr>
          <w:p>
            <w:pPr>
              <w:pStyle w:val="IsiTabel"/>
              <w:keepNext/>
              <w:suppressAutoHyphens/>
              <w:jc w:val="right"/>
            </w:pPr>
            <w:r>
              <w:t xml:space="preserve">–</w:t>
            </w:r>
          </w:p>
        </w:tc>
        <w:tc>
          <w:tcPr>
            <w:tcW w:w="1352" w:type="dxa"/>
          </w:tcPr>
          <w:p>
            <w:pPr>
              <w:pStyle w:val="IsiTabel"/>
              <w:keepNext/>
              <w:suppressAutoHyphens/>
              <w:jc w:val="right"/>
            </w:pPr>
            <w:r>
              <w:t xml:space="preserve">54</w:t>
            </w:r>
          </w:p>
        </w:tc>
      </w:tr>
      <w:tr>
        <w:trPr>
          <w:cantSplit/>
        </w:trPr>
        <w:tc>
          <w:tcPr>
            <w:tcW w:w="3937" w:type="dxa"/>
          </w:tcPr>
          <w:p>
            <w:pPr>
              <w:pStyle w:val="IsiTabel"/>
              <w:keepNext/>
              <w:suppressAutoHyphens/>
              <w:jc w:val="left"/>
            </w:pPr>
            <w:r>
              <w:t xml:space="preserve">Tsunami</w:t>
            </w:r>
          </w:p>
        </w:tc>
        <w:tc>
          <w:tcPr>
            <w:tcW w:w="1363" w:type="dxa"/>
          </w:tcPr>
          <w:p>
            <w:pPr>
              <w:pStyle w:val="IsiTabel"/>
              <w:keepNext/>
              <w:suppressAutoHyphens/>
              <w:jc w:val="right"/>
            </w:pPr>
            <w:r>
              <w:t xml:space="preserve">16</w:t>
            </w:r>
          </w:p>
        </w:tc>
        <w:tc>
          <w:tcPr>
            <w:tcW w:w="1351" w:type="dxa"/>
          </w:tcPr>
          <w:p>
            <w:pPr>
              <w:pStyle w:val="IsiTabel"/>
              <w:keepNext/>
              <w:suppressAutoHyphens/>
              <w:jc w:val="right"/>
            </w:pPr>
            <w:r>
              <w:t xml:space="preserve">–</w:t>
            </w:r>
          </w:p>
        </w:tc>
        <w:tc>
          <w:tcPr>
            <w:tcW w:w="1351" w:type="dxa"/>
          </w:tcPr>
          <w:p>
            <w:pPr>
              <w:pStyle w:val="IsiTabel"/>
              <w:keepNext/>
              <w:suppressAutoHyphens/>
              <w:jc w:val="right"/>
            </w:pPr>
            <w:r>
              <w:t xml:space="preserve">–</w:t>
            </w:r>
          </w:p>
        </w:tc>
        <w:tc>
          <w:tcPr>
            <w:tcW w:w="1352" w:type="dxa"/>
          </w:tcPr>
          <w:p>
            <w:pPr>
              <w:pStyle w:val="IsiTabel"/>
              <w:keepNext/>
              <w:suppressAutoHyphens/>
              <w:jc w:val="right"/>
            </w:pPr>
            <w:r>
              <w:t xml:space="preserve">23</w:t>
            </w:r>
          </w:p>
        </w:tc>
      </w:tr>
      <w:tr>
        <w:trPr>
          <w:cantSplit/>
        </w:trPr>
        <w:tc>
          <w:tcPr>
            <w:tcW w:w="3937" w:type="dxa"/>
          </w:tcPr>
          <w:p>
            <w:pPr>
              <w:pStyle w:val="IsiTabel"/>
              <w:suppressAutoHyphens/>
              <w:jc w:val="left"/>
            </w:pPr>
            <w:bookmarkStart w:id="144" w:name="_Ekor015z"/>
            <w:bookmarkEnd w:id="144"/>
            <w:r>
              <w:t xml:space="preserve">Gunung api</w:t>
            </w:r>
          </w:p>
        </w:tc>
        <w:tc>
          <w:tcPr>
            <w:tcW w:w="1363" w:type="dxa"/>
          </w:tcPr>
          <w:p>
            <w:pPr>
              <w:pStyle w:val="IsiTabel"/>
              <w:suppressAutoHyphens/>
              <w:jc w:val="right"/>
            </w:pPr>
            <w:r>
              <w:t xml:space="preserve">12</w:t>
            </w:r>
          </w:p>
        </w:tc>
        <w:tc>
          <w:tcPr>
            <w:tcW w:w="1351" w:type="dxa"/>
          </w:tcPr>
          <w:p>
            <w:pPr>
              <w:pStyle w:val="IsiTabel"/>
              <w:suppressAutoHyphens/>
              <w:jc w:val="right"/>
            </w:pPr>
            <w:r>
              <w:t xml:space="preserve">–</w:t>
            </w:r>
          </w:p>
        </w:tc>
        <w:tc>
          <w:tcPr>
            <w:tcW w:w="1351" w:type="dxa"/>
          </w:tcPr>
          <w:p>
            <w:pPr>
              <w:pStyle w:val="IsiTabel"/>
              <w:suppressAutoHyphens/>
              <w:jc w:val="right"/>
            </w:pPr>
            <w:r>
              <w:t xml:space="preserve">–</w:t>
            </w:r>
          </w:p>
        </w:tc>
        <w:tc>
          <w:tcPr>
            <w:tcW w:w="1352" w:type="dxa"/>
          </w:tcPr>
          <w:p>
            <w:pPr>
              <w:pStyle w:val="IsiTabel"/>
              <w:suppressAutoHyphens/>
              <w:jc w:val="right"/>
            </w:pPr>
            <w:r>
              <w:t xml:space="preserve">16</w:t>
            </w:r>
          </w:p>
        </w:tc>
      </w:tr>
    </w:tbl>
    <w:p>
      <w:pPr>
        <w:pStyle w:val="Sumber"/>
        <w:spacing w:after="40"/>
      </w:pPr>
      <w:r>
        <w:rPr>
          <w:b/>
          <w:bCs/>
          <w:color w:val="6B7280"/>
          <w:sz w:val="17"/>
          <w:szCs w:val="17"/>
        </w:rPr>
        <w:t xml:space="preserve">Sumber: </w:t>
      </w:r>
      <w:r>
        <w:rPr>
          <w:color w:val="6B7280"/>
          <w:sz w:val="17"/>
          <w:szCs w:val="17"/>
        </w:rPr>
        <w:t xml:space="preserve">Pengolahan Pantau Bencana dari InaRISK BNPB (IRBI 2025, KRB 2022–2026), DIBI BNPB 2008–2025, dan Pusat Vulkanologi dan Mitigasi Bencana Geologi (PVMBG)</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Syarat (b) geologi bukan jumlah tahun berkejadian sehingga tidak digeser; syarat (b) gempa tidak dinilai. Kejadian per kab/kota memakai cakupan semua laporan.</w:t>
      </w:r>
    </w:p>
    <w:p>
      <w:pPr>
        <w:pStyle w:val="IsiTemuan"/>
      </w:pPr>
      <w:r>
        <w:rPr>
          <w:b/>
          <w:bCs/>
          <w:color w:val="051C2C"/>
        </w:rPr>
        <w:t xml:space="preserve">Jawa Tengah dan Jawa Timur masing-masing memiliki </w:t>
      </w:r>
      <w:r>
        <w:rPr>
          <w:b/>
          <w:bCs/>
          <w:color w:val="051C2C"/>
        </w:rPr>
        <w:t xml:space="preserve">33</w:t>
      </w:r>
      <w:r>
        <w:rPr>
          <w:b/>
          <w:bCs/>
          <w:color w:val="051C2C"/>
        </w:rPr>
        <w:t xml:space="preserve"> kab/kota daftar perhatian, sedangkan Sulawesi Tengah mencatat </w:t>
      </w:r>
      <w:r>
        <w:rPr>
          <w:b/>
          <w:bCs/>
          <w:color w:val="051C2C"/>
        </w:rPr>
        <w:t xml:space="preserve">4.925 jiwa</w:t>
      </w:r>
      <w:r>
        <w:rPr>
          <w:b/>
          <w:bCs/>
          <w:color w:val="051C2C"/>
        </w:rPr>
        <w:t xml:space="preserve"> meninggal dan hilang DIBI 2015–2025, sehingga dua kriteria provinsi utama menunjuk provinsi berbeda.</w:t>
      </w:r>
      <w:r>
        <w:t xml:space="preserve"> Kriteria daftar menonjolkan provinsi dengan banyak kab/kota dan banyak laporan, sedangkan kriteria korban menonjolkan satu kejadian sangat besar, Sulawesi Tengah 2018. Jawa Barat berada di peringkat kedua menurut korban (</w:t>
      </w:r>
      <w:r>
        <w:t xml:space="preserve">1.260 jiwa</w:t>
      </w:r>
      <w:r>
        <w:t xml:space="preserve">), sementara Sulawesi Tengah hanya peringkat keempat belas menurut daftar.</w:t>
      </w:r>
    </w:p>
    <w:p>
      <w:pPr>
        <w:pStyle w:val="Heading2"/>
      </w:pPr>
      <w:bookmarkStart w:id="146" w:name="_Toc00061"/>
      <w:bookmarkStart w:id="145" w:name="_Ref0205"/>
      <w:r>
        <w:t xml:space="preserve">3.9</w:t>
      </w:r>
      <w:bookmarkEnd w:id="145"/>
      <w:r>
        <w:tab/>
      </w:r>
      <w:r>
        <w:t xml:space="preserve">Rekonsiliasi Angka</w:t>
      </w:r>
      <w:bookmarkEnd w:id="146"/>
    </w:p>
    <w:p>
      <w:pPr>
        <w:pStyle w:val="IsiTemuan"/>
      </w:pPr>
      <w:r>
        <w:rPr>
          <w:b/>
          <w:bCs/>
          <w:color w:val="051C2C"/>
        </w:rPr>
        <w:t xml:space="preserve">Sedikitnya tujuh belas butir kajian mitigasi memiliki lebih dari satu versi angka; kejadian bencana nasional 2024 saja memiliki delapan versi, dan versi resmi primernya berkisar </w:t>
      </w:r>
      <w:r>
        <w:rPr>
          <w:b/>
          <w:bCs/>
          <w:color w:val="051C2C"/>
        </w:rPr>
        <w:t xml:space="preserve">3.472</w:t>
      </w:r>
      <w:r>
        <w:rPr>
          <w:b/>
          <w:bCs/>
          <w:color w:val="051C2C"/>
        </w:rPr>
        <w:t xml:space="preserve"> sampai </w:t>
      </w:r>
      <w:r>
        <w:rPr>
          <w:b/>
          <w:bCs/>
          <w:color w:val="051C2C"/>
        </w:rPr>
        <w:t xml:space="preserve">3.636</w:t>
      </w:r>
      <w:r>
        <w:rPr>
          <w:b/>
          <w:bCs/>
          <w:color w:val="051C2C"/>
        </w:rPr>
        <w:t xml:space="preserve"> kejadian menurut cakupan.</w:t>
      </w:r>
      <w:r>
        <w:t xml:space="preserve"> Versi resmi yang dibaca di dokumen penerbitnya dipakai, versi sekunder hanya pembanding, dan dua versi resmi yang bertentangan ditulis berdampingan tanpa dirata-rata. Versi yang berbeda karena definisi diberi nama besarannya dan tidak disebut bertentangan. Butir yang mengubah angka atau arah tercantum pada </w:t>
      </w:r>
      <w:r>
        <w:fldChar w:fldCharType="begin"/>
      </w:r>
      <w:r>
        <w:instrText xml:space="preserve"> REF _Ref0323 \h \* CHARFORMAT </w:instrText>
      </w:r>
      <w:r>
        <w:fldChar w:fldCharType="separate"/>
      </w:r>
      <w:r>
        <w:t xml:space="preserve">Tabel 4.2</w:t>
      </w:r>
      <w:r>
        <w:fldChar w:fldCharType="end"/>
      </w:r>
      <w:r>
        <w:t xml:space="preserve">, sisanya di Lampiran G.</w:t>
      </w:r>
    </w:p>
    <w:p>
      <w:pPr>
        <w:pStyle w:val="IsiTemuan"/>
      </w:pPr>
      <w:r>
        <w:rPr>
          <w:b/>
          <w:bCs/>
          <w:color w:val="051C2C"/>
        </w:rPr>
        <w:t xml:space="preserve">Tiga butir mengubah rujukan kajian, dimulai dari baseline resmi kapasitas daerah sebesar </w:t>
      </w:r>
      <w:r>
        <w:rPr>
          <w:b/>
          <w:bCs/>
          <w:color w:val="051C2C"/>
        </w:rPr>
        <w:t xml:space="preserve">62%</w:t>
      </w:r>
      <w:r>
        <w:rPr>
          <w:b/>
          <w:bCs/>
          <w:color w:val="051C2C"/>
        </w:rPr>
        <w:t xml:space="preserve"> pada 2023.</w:t>
      </w:r>
      <w:r>
        <w:t xml:space="preserve"> Rencana Strategis (Renstra) BNPB 2025–2029 menulis kenaikan dari </w:t>
      </w:r>
      <w:r>
        <w:t xml:space="preserve">67%</w:t>
      </w:r>
      <w:r>
        <w:t xml:space="preserve"> ke </w:t>
      </w:r>
      <w:r>
        <w:t xml:space="preserve">90%</w:t>
      </w:r>
      <w:r>
        <w:t xml:space="preserve"> </w:t>
      </w:r>
      <w:r>
        <w:t xml:space="preserve">(BNPB, 2025e, hlm. 85)</w:t>
      </w:r>
      <w:r>
        <w:t xml:space="preserve">, padahal </w:t>
      </w:r>
      <w:r>
        <w:t xml:space="preserve">67%</w:t>
      </w:r>
      <w:r>
        <w:t xml:space="preserve"> adalah target 2025 RPJMN KP 08.04.01 </w:t>
      </w:r>
      <w:r>
        <w:t xml:space="preserve">(Republik Indonesia, 2025b)</w:t>
      </w:r>
      <w:r>
        <w:t xml:space="preserve">. Kelas kapasitas KRB (</w:t>
      </w:r>
      <w:r>
        <w:t xml:space="preserve">37,99%</w:t>
      </w:r>
      <w:r>
        <w:t xml:space="preserve"> kab/kota minimal sedang) belum dinyatakan setara dengan Indeks Ketahanan Daerah, sehingga kelas itu hanya menjadi pembanding dan pilihannya diserahkan ke keputusan KD-3. Butir kedua, faktor evakuasi tsunami paket </w:t>
      </w:r>
      <w:r>
        <w:t xml:space="preserve">0,662</w:t>
      </w:r>
      <w:r>
        <w:t xml:space="preserve">, tidak ada di dokumen Cabinet Office Jepang yang memberi </w:t>
      </w:r>
      <w:r>
        <w:t xml:space="preserve">0,437</w:t>
      </w:r>
      <w:r>
        <w:t xml:space="preserve"> dan </w:t>
      </w:r>
      <w:r>
        <w:t xml:space="preserve">0,600</w:t>
      </w:r>
      <w:r>
        <w:t xml:space="preserve"> </w:t>
      </w:r>
      <w:r>
        <w:t xml:space="preserve">(中央防災会議 防災対策実行会議 南海トラフ巨大地震対策検討ワーキンググループ (Central Disaster Management Council, Japan), 2025, hlm. 4–5)</w:t>
      </w:r>
      <w:r>
        <w:t xml:space="preserve">. Butir ketiga, klaim enam belas segmen megathrust pada peta 2017, dibantah PuSGeN 2024 yang mencatat </w:t>
      </w:r>
      <w:r>
        <w:t xml:space="preserve">13</w:t>
      </w:r>
      <w:r>
        <w:t xml:space="preserve"> segmen untuk peta 2017 dan </w:t>
      </w:r>
      <w:r>
        <w:t xml:space="preserve">14</w:t>
      </w:r>
      <w:r>
        <w:t xml:space="preserve"> segmen untuk peta 2024 </w:t>
      </w:r>
      <w:r>
        <w:t xml:space="preserve">(PuSGeN, 2024)</w:t>
      </w:r>
      <w:r>
        <w:t xml:space="preserve">.</w:t>
      </w:r>
    </w:p>
    <w:p>
      <w:pPr>
        <w:pStyle w:val="Caption"/>
      </w:pPr>
      <w:bookmarkStart w:id="148" w:name="_Toc00062"/>
      <w:bookmarkStart w:id="147" w:name="_Ref032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147"/>
      <w:r>
        <w:rPr>
          <w:b/>
          <w:bCs/>
          <w:color w:val="051C2C"/>
        </w:rPr>
        <w:t xml:space="preserve"> </w:t>
      </w:r>
      <w:r>
        <w:t xml:space="preserve">Rekonsiliasi angka yang berbeda versi dalam kajian mitigasi bencana Indonesia, 2010–2026</w:t>
      </w:r>
      <w:bookmarkEnd w:id="14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56"/>
        <w:gridCol w:w="1654"/>
        <w:gridCol w:w="1326"/>
        <w:gridCol w:w="2107"/>
        <w:gridCol w:w="2111"/>
      </w:tblGrid>
      <w:tr>
        <w:trPr>
          <w:cantSplit/>
          <w:tblHeader/>
        </w:trPr>
        <w:tc>
          <w:tcPr>
            <w:tcW w:w="2156" w:type="dxa"/>
            <w:shd w:val="clear" w:color="auto" w:fill="051C2C"/>
            <w:vAlign w:val="center"/>
          </w:tcPr>
          <w:p>
            <w:pPr>
              <w:pStyle w:val="KepalaTabel"/>
              <w:suppressAutoHyphens/>
            </w:pPr>
            <w:r>
              <w:t xml:space="preserve">BESARAN</w:t>
            </w:r>
          </w:p>
        </w:tc>
        <w:tc>
          <w:tcPr>
            <w:tcW w:w="1654" w:type="dxa"/>
            <w:shd w:val="clear" w:color="auto" w:fill="051C2C"/>
            <w:vAlign w:val="center"/>
          </w:tcPr>
          <w:p>
            <w:pPr>
              <w:pStyle w:val="KepalaTabel"/>
              <w:suppressAutoHyphens/>
            </w:pPr>
            <w:r>
              <w:t xml:space="preserve">VERSI DAN NILAI</w:t>
            </w:r>
          </w:p>
        </w:tc>
        <w:tc>
          <w:tcPr>
            <w:tcW w:w="1326" w:type="dxa"/>
            <w:shd w:val="clear" w:color="auto" w:fill="051C2C"/>
            <w:vAlign w:val="center"/>
          </w:tcPr>
          <w:p>
            <w:pPr>
              <w:pStyle w:val="KepalaTabel"/>
              <w:suppressAutoHyphens/>
            </w:pPr>
            <w:r>
              <w:t xml:space="preserve">KEYAKINAN</w:t>
            </w:r>
          </w:p>
        </w:tc>
        <w:tc>
          <w:tcPr>
            <w:tcW w:w="2107" w:type="dxa"/>
            <w:shd w:val="clear" w:color="auto" w:fill="051C2C"/>
            <w:vAlign w:val="center"/>
          </w:tcPr>
          <w:p>
            <w:pPr>
              <w:pStyle w:val="KepalaTabel"/>
              <w:suppressAutoHyphens/>
            </w:pPr>
            <w:r>
              <w:t xml:space="preserve">SEBAB BEDA</w:t>
            </w:r>
          </w:p>
        </w:tc>
        <w:tc>
          <w:tcPr>
            <w:tcW w:w="2111" w:type="dxa"/>
            <w:shd w:val="clear" w:color="auto" w:fill="051C2C"/>
            <w:vAlign w:val="center"/>
          </w:tcPr>
          <w:p>
            <w:pPr>
              <w:pStyle w:val="KepalaTabel"/>
              <w:suppressAutoHyphens/>
            </w:pPr>
            <w:r>
              <w:t xml:space="preserve">YANG DIPAKAI</w:t>
            </w:r>
          </w:p>
        </w:tc>
      </w:tr>
      <w:tr>
        <w:trPr>
          <w:cantSplit/>
        </w:trPr>
        <w:tc>
          <w:tcPr>
            <w:tcW w:w="2156" w:type="dxa"/>
          </w:tcPr>
          <w:p>
            <w:pPr>
              <w:pStyle w:val="IsiTabel"/>
              <w:suppressAutoHyphens/>
              <w:jc w:val="left"/>
            </w:pPr>
            <w:r>
              <w:t xml:space="preserve">Kejadian bencana 2024</w:t>
            </w:r>
          </w:p>
        </w:tc>
        <w:tc>
          <w:tcPr>
            <w:tcW w:w="1654" w:type="dxa"/>
          </w:tcPr>
          <w:p>
            <w:pPr>
              <w:pStyle w:val="IsiTabel"/>
              <w:suppressAutoHyphens/>
              <w:jc w:val="left"/>
            </w:pPr>
            <w:r>
              <w:t xml:space="preserve">DIBI semua laporan </w:t>
            </w:r>
            <w:r>
              <w:t xml:space="preserve">3.636</w:t>
            </w:r>
            <w:r>
              <w:t xml:space="preserve">; kejadian bencana </w:t>
            </w:r>
            <w:r>
              <w:t xml:space="preserve">3.548</w:t>
            </w:r>
            <w:r>
              <w:t xml:space="preserve">; bencana alam </w:t>
            </w:r>
            <w:r>
              <w:t xml:space="preserve">3.471,5</w:t>
            </w:r>
            <w:r>
              <w:t xml:space="preserve">; portal data terbuka </w:t>
            </w:r>
            <w:r>
              <w:t xml:space="preserve">3.472</w:t>
            </w:r>
            <w:r>
              <w:t xml:space="preserve">; konferensi pers </w:t>
            </w:r>
            <w:r>
              <w:t xml:space="preserve">2.107</w:t>
            </w:r>
            <w:r>
              <w:t xml:space="preserve"> (sekunder) dan </w:t>
            </w:r>
            <w:r>
              <w:t xml:space="preserve">5.593</w:t>
            </w:r>
            <w:r>
              <w:t xml:space="preserve"> (sekunder, belum terverifikasi)</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cakupan dan saat rekap</w:t>
            </w:r>
          </w:p>
        </w:tc>
        <w:tc>
          <w:tcPr>
            <w:tcW w:w="2111" w:type="dxa"/>
          </w:tcPr>
          <w:p>
            <w:pPr>
              <w:pStyle w:val="IsiTabel"/>
              <w:suppressAutoHyphens/>
              <w:jc w:val="left"/>
            </w:pPr>
            <w:r>
              <w:t xml:space="preserve">DIBI bercakupan tertulis</w:t>
            </w:r>
          </w:p>
        </w:tc>
      </w:tr>
      <w:tr>
        <w:trPr>
          <w:cantSplit/>
        </w:trPr>
        <w:tc>
          <w:tcPr>
            <w:tcW w:w="2156" w:type="dxa"/>
          </w:tcPr>
          <w:p>
            <w:pPr>
              <w:pStyle w:val="IsiTabel"/>
              <w:suppressAutoHyphens/>
              <w:jc w:val="left"/>
            </w:pPr>
            <w:r>
              <w:t xml:space="preserve">Jiwa terpapar multibahaya</w:t>
            </w:r>
          </w:p>
        </w:tc>
        <w:tc>
          <w:tcPr>
            <w:tcW w:w="1654" w:type="dxa"/>
          </w:tcPr>
          <w:p>
            <w:pPr>
              <w:pStyle w:val="IsiTabel"/>
              <w:suppressAutoHyphens/>
              <w:jc w:val="left"/>
            </w:pPr>
            <w:r>
              <w:t xml:space="preserve">KRB 2022–2026 </w:t>
            </w:r>
            <w:r>
              <w:t xml:space="preserve">271.130.365</w:t>
            </w:r>
            <w:r>
              <w:t xml:space="preserve">; Buku Risiko Bencana Indonesia 2023 </w:t>
            </w:r>
            <w:r>
              <w:t xml:space="preserve">258.071.714</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dua edisi kajian</w:t>
            </w:r>
          </w:p>
        </w:tc>
        <w:tc>
          <w:tcPr>
            <w:tcW w:w="2111" w:type="dxa"/>
          </w:tcPr>
          <w:p>
            <w:pPr>
              <w:pStyle w:val="IsiTabel"/>
              <w:suppressAutoHyphens/>
              <w:jc w:val="left"/>
            </w:pPr>
            <w:r>
              <w:t xml:space="preserve">berdampingan</w:t>
            </w:r>
          </w:p>
        </w:tc>
      </w:tr>
      <w:tr>
        <w:trPr>
          <w:cantSplit/>
        </w:trPr>
        <w:tc>
          <w:tcPr>
            <w:tcW w:w="2156" w:type="dxa"/>
          </w:tcPr>
          <w:p>
            <w:pPr>
              <w:pStyle w:val="IsiTabel"/>
              <w:suppressAutoHyphens/>
              <w:jc w:val="left"/>
            </w:pPr>
            <w:r>
              <w:t xml:space="preserve">Kapasitas daerah</w:t>
            </w:r>
          </w:p>
        </w:tc>
        <w:tc>
          <w:tcPr>
            <w:tcW w:w="1654" w:type="dxa"/>
          </w:tcPr>
          <w:p>
            <w:pPr>
              <w:pStyle w:val="IsiTabel"/>
              <w:suppressAutoHyphens/>
              <w:jc w:val="left"/>
            </w:pPr>
            <w:r>
              <w:t xml:space="preserve">RPJMN baseline 2023 </w:t>
            </w:r>
            <w:r>
              <w:t xml:space="preserve">62%</w:t>
            </w:r>
            <w:r>
              <w:t xml:space="preserve">; target 2025 </w:t>
            </w:r>
            <w:r>
              <w:t xml:space="preserve">67%</w:t>
            </w:r>
            <w:r>
              <w:t xml:space="preserve">; KRB </w:t>
            </w:r>
            <w:r>
              <w:t xml:space="preserve">37,99%</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alat ukur dan tahun</w:t>
            </w:r>
          </w:p>
        </w:tc>
        <w:tc>
          <w:tcPr>
            <w:tcW w:w="2111" w:type="dxa"/>
          </w:tcPr>
          <w:p>
            <w:pPr>
              <w:pStyle w:val="IsiTabel"/>
              <w:suppressAutoHyphens/>
              <w:jc w:val="left"/>
            </w:pPr>
            <w:r>
              <w:t xml:space="preserve">baseline RPJMN; KD-3</w:t>
            </w:r>
          </w:p>
        </w:tc>
      </w:tr>
      <w:tr>
        <w:trPr>
          <w:cantSplit/>
        </w:trPr>
        <w:tc>
          <w:tcPr>
            <w:tcW w:w="2156" w:type="dxa"/>
          </w:tcPr>
          <w:p>
            <w:pPr>
              <w:pStyle w:val="IsiTabel"/>
              <w:suppressAutoHyphens/>
              <w:jc w:val="left"/>
            </w:pPr>
            <w:r>
              <w:t xml:space="preserve">Segmen megathrust dan sesar aktif</w:t>
            </w:r>
          </w:p>
        </w:tc>
        <w:tc>
          <w:tcPr>
            <w:tcW w:w="1654" w:type="dxa"/>
          </w:tcPr>
          <w:p>
            <w:pPr>
              <w:pStyle w:val="IsiTabel"/>
              <w:suppressAutoHyphens/>
              <w:jc w:val="left"/>
            </w:pPr>
            <w:r>
              <w:t xml:space="preserve">PuSGeN 2024 </w:t>
            </w:r>
            <w:r>
              <w:t xml:space="preserve">14</w:t>
            </w:r>
            <w:r>
              <w:t xml:space="preserve"> dan </w:t>
            </w:r>
            <w:r>
              <w:t xml:space="preserve">401</w:t>
            </w:r>
            <w:r>
              <w:t xml:space="preserve">; PuSGeN 2017 </w:t>
            </w:r>
            <w:r>
              <w:t xml:space="preserve">13</w:t>
            </w:r>
            <w:r>
              <w:t xml:space="preserve"> dan </w:t>
            </w:r>
            <w:r>
              <w:t xml:space="preserve">273</w:t>
            </w:r>
            <w:r>
              <w:t xml:space="preserve">; Renstra </w:t>
            </w:r>
            <w:r>
              <w:t xml:space="preserve">13</w:t>
            </w:r>
            <w:r>
              <w:t xml:space="preserve"> dan </w:t>
            </w:r>
            <w:r>
              <w:t xml:space="preserve">295</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edisi peta</w:t>
            </w:r>
          </w:p>
        </w:tc>
        <w:tc>
          <w:tcPr>
            <w:tcW w:w="2111" w:type="dxa"/>
          </w:tcPr>
          <w:p>
            <w:pPr>
              <w:pStyle w:val="IsiTabel"/>
              <w:suppressAutoHyphens/>
              <w:jc w:val="left"/>
            </w:pPr>
            <w:r>
              <w:t xml:space="preserve">PuSGeN 2024</w:t>
            </w:r>
          </w:p>
        </w:tc>
      </w:tr>
      <w:tr>
        <w:trPr>
          <w:cantSplit/>
        </w:trPr>
        <w:tc>
          <w:tcPr>
            <w:tcW w:w="2156" w:type="dxa"/>
          </w:tcPr>
          <w:p>
            <w:pPr>
              <w:pStyle w:val="IsiTabel"/>
              <w:suppressAutoHyphens/>
              <w:jc w:val="left"/>
            </w:pPr>
            <w:r>
              <w:t xml:space="preserve">Cakupan peringatan dini</w:t>
            </w:r>
          </w:p>
        </w:tc>
        <w:tc>
          <w:tcPr>
            <w:tcW w:w="1654" w:type="dxa"/>
          </w:tcPr>
          <w:p>
            <w:pPr>
              <w:pStyle w:val="IsiTabel"/>
              <w:suppressAutoHyphens/>
              <w:jc w:val="left"/>
            </w:pPr>
            <w:r>
              <w:t xml:space="preserve">keterpenuhan sistem </w:t>
            </w:r>
            <w:r>
              <w:t xml:space="preserve">6%</w:t>
            </w:r>
            <w:r>
              <w:t xml:space="preserve">; RPJMN </w:t>
            </w:r>
            <w:r>
              <w:t xml:space="preserve">6,00%</w:t>
            </w:r>
            <w:r>
              <w:t xml:space="preserve">; Renstra </w:t>
            </w:r>
            <w:r>
              <w:t xml:space="preserve">6,10%</w:t>
            </w:r>
            <w:r>
              <w:t xml:space="preserve"> ke </w:t>
            </w:r>
            <w:r>
              <w:t xml:space="preserve">6,32%</w:t>
            </w:r>
            <w:r>
              <w:t xml:space="preserve">; Renas PB 1.c </w:t>
            </w:r>
            <w:r>
              <w:t xml:space="preserve">11.060</w:t>
            </w:r>
            <w:r>
              <w:t xml:space="preserve"> ke </w:t>
            </w:r>
            <w:r>
              <w:t xml:space="preserve">52.000 per 100.000 penduduk</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tiga penyebut</w:t>
            </w:r>
          </w:p>
        </w:tc>
        <w:tc>
          <w:tcPr>
            <w:tcW w:w="2111" w:type="dxa"/>
          </w:tcPr>
          <w:p>
            <w:pPr>
              <w:pStyle w:val="IsiTabel"/>
              <w:suppressAutoHyphens/>
              <w:jc w:val="left"/>
            </w:pPr>
            <w:r>
              <w:t xml:space="preserve">berdampingan; KD-2</w:t>
            </w:r>
          </w:p>
        </w:tc>
      </w:tr>
      <w:tr>
        <w:trPr>
          <w:cantSplit/>
        </w:trPr>
        <w:tc>
          <w:tcPr>
            <w:tcW w:w="2156" w:type="dxa"/>
          </w:tcPr>
          <w:p>
            <w:pPr>
              <w:pStyle w:val="IsiTabel"/>
              <w:suppressAutoHyphens/>
              <w:jc w:val="left"/>
            </w:pPr>
            <w:r>
              <w:t xml:space="preserve">Sulawesi Tengah 2018</w:t>
            </w:r>
          </w:p>
        </w:tc>
        <w:tc>
          <w:tcPr>
            <w:tcW w:w="1654" w:type="dxa"/>
          </w:tcPr>
          <w:p>
            <w:pPr>
              <w:pStyle w:val="IsiTabel"/>
              <w:suppressAutoHyphens/>
              <w:jc w:val="left"/>
            </w:pPr>
            <w:r>
              <w:t xml:space="preserve">DIBI </w:t>
            </w:r>
            <w:r>
              <w:t xml:space="preserve">4.140</w:t>
            </w:r>
            <w:r>
              <w:t xml:space="preserve"> meninggal, </w:t>
            </w:r>
            <w:r>
              <w:t xml:space="preserve">705</w:t>
            </w:r>
            <w:r>
              <w:t xml:space="preserve"> hilang; BNPB 21 Oktober 2018 </w:t>
            </w:r>
            <w:r>
              <w:t xml:space="preserve">2.256</w:t>
            </w:r>
            <w:r>
              <w:t xml:space="preserve"> (sekunder)</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tanggal rekap</w:t>
            </w:r>
          </w:p>
        </w:tc>
        <w:tc>
          <w:tcPr>
            <w:tcW w:w="2111" w:type="dxa"/>
          </w:tcPr>
          <w:p>
            <w:pPr>
              <w:pStyle w:val="IsiTabel"/>
              <w:suppressAutoHyphens/>
              <w:jc w:val="left"/>
            </w:pPr>
            <w:r>
              <w:t xml:space="preserve">DIBI</w:t>
            </w:r>
          </w:p>
        </w:tc>
      </w:tr>
      <w:tr>
        <w:trPr>
          <w:cantSplit/>
        </w:trPr>
        <w:tc>
          <w:tcPr>
            <w:tcW w:w="2156" w:type="dxa"/>
          </w:tcPr>
          <w:p>
            <w:pPr>
              <w:pStyle w:val="IsiTabel"/>
              <w:suppressAutoHyphens/>
              <w:jc w:val="left"/>
            </w:pPr>
            <w:r>
              <w:t xml:space="preserve">Merapi 2010, meninggal</w:t>
            </w:r>
          </w:p>
        </w:tc>
        <w:tc>
          <w:tcPr>
            <w:tcW w:w="1654" w:type="dxa"/>
          </w:tcPr>
          <w:p>
            <w:pPr>
              <w:pStyle w:val="IsiTabel"/>
              <w:suppressAutoHyphens/>
              <w:jc w:val="left"/>
            </w:pPr>
            <w:r>
              <w:t xml:space="preserve">DIBI </w:t>
            </w:r>
            <w:r>
              <w:t xml:space="preserve">386</w:t>
            </w:r>
            <w:r>
              <w:t xml:space="preserve">; rekap 1 Desember 2010 </w:t>
            </w:r>
            <w:r>
              <w:t xml:space="preserve">347</w:t>
            </w:r>
            <w:r>
              <w:t xml:space="preserve"> (sekunder)</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tanggal rekap</w:t>
            </w:r>
          </w:p>
        </w:tc>
        <w:tc>
          <w:tcPr>
            <w:tcW w:w="2111" w:type="dxa"/>
          </w:tcPr>
          <w:p>
            <w:pPr>
              <w:pStyle w:val="IsiTabel"/>
              <w:suppressAutoHyphens/>
              <w:jc w:val="left"/>
            </w:pPr>
            <w:r>
              <w:t xml:space="preserve">DIBI</w:t>
            </w:r>
          </w:p>
        </w:tc>
      </w:tr>
      <w:tr>
        <w:trPr>
          <w:cantSplit/>
        </w:trPr>
        <w:tc>
          <w:tcPr>
            <w:tcW w:w="2156" w:type="dxa"/>
          </w:tcPr>
          <w:p>
            <w:pPr>
              <w:pStyle w:val="IsiTabel"/>
              <w:suppressAutoHyphens/>
              <w:jc w:val="left"/>
            </w:pPr>
            <w:r>
              <w:t xml:space="preserve">Banjir Jabodetabek 2020, meninggal</w:t>
            </w:r>
          </w:p>
        </w:tc>
        <w:tc>
          <w:tcPr>
            <w:tcW w:w="1654" w:type="dxa"/>
          </w:tcPr>
          <w:p>
            <w:pPr>
              <w:pStyle w:val="IsiTabel"/>
              <w:suppressAutoHyphens/>
              <w:jc w:val="left"/>
            </w:pPr>
            <w:r>
              <w:t xml:space="preserve">DIBI empat belas kab/kota </w:t>
            </w:r>
            <w:r>
              <w:t xml:space="preserve">51</w:t>
            </w:r>
            <w:r>
              <w:t xml:space="preserve">; Renstra </w:t>
            </w:r>
            <w:r>
              <w:t xml:space="preserve">61</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cakupan wilayah</w:t>
            </w:r>
          </w:p>
        </w:tc>
        <w:tc>
          <w:tcPr>
            <w:tcW w:w="2111" w:type="dxa"/>
          </w:tcPr>
          <w:p>
            <w:pPr>
              <w:pStyle w:val="IsiTabel"/>
              <w:suppressAutoHyphens/>
              <w:jc w:val="left"/>
            </w:pPr>
            <w:r>
              <w:t xml:space="preserve">berdampingan</w:t>
            </w:r>
          </w:p>
        </w:tc>
      </w:tr>
      <w:tr>
        <w:trPr>
          <w:cantSplit/>
        </w:trPr>
        <w:tc>
          <w:tcPr>
            <w:tcW w:w="2156" w:type="dxa"/>
          </w:tcPr>
          <w:p>
            <w:pPr>
              <w:pStyle w:val="IsiTabel"/>
              <w:suppressAutoHyphens/>
              <w:jc w:val="left"/>
            </w:pPr>
            <w:r>
              <w:t xml:space="preserve">Depo Plumpang 2023, meninggal</w:t>
            </w:r>
          </w:p>
        </w:tc>
        <w:tc>
          <w:tcPr>
            <w:tcW w:w="1654" w:type="dxa"/>
          </w:tcPr>
          <w:p>
            <w:pPr>
              <w:pStyle w:val="IsiTabel"/>
              <w:suppressAutoHyphens/>
              <w:jc w:val="left"/>
            </w:pPr>
            <w:r>
              <w:t xml:space="preserve">Kepala BNPB hari kedua </w:t>
            </w:r>
            <w:r>
              <w:t xml:space="preserve">17</w:t>
            </w:r>
            <w:r>
              <w:t xml:space="preserve">; Badan Penanggulangan Bencana Daerah (BPBD) DKI </w:t>
            </w:r>
            <w:r>
              <w:t xml:space="preserve">29</w:t>
            </w:r>
            <w:r>
              <w:t xml:space="preserve"> (sekunder); tanpa baris DIBI</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tanggal data</w:t>
            </w:r>
          </w:p>
        </w:tc>
        <w:tc>
          <w:tcPr>
            <w:tcW w:w="2111" w:type="dxa"/>
          </w:tcPr>
          <w:p>
            <w:pPr>
              <w:pStyle w:val="IsiTabel"/>
              <w:suppressAutoHyphens/>
              <w:jc w:val="left"/>
            </w:pPr>
            <w:r>
              <w:t xml:space="preserve">Kepala BNPB</w:t>
            </w:r>
          </w:p>
        </w:tc>
      </w:tr>
      <w:tr>
        <w:trPr>
          <w:cantSplit/>
        </w:trPr>
        <w:tc>
          <w:tcPr>
            <w:tcW w:w="2156" w:type="dxa"/>
          </w:tcPr>
          <w:p>
            <w:pPr>
              <w:pStyle w:val="IsiTabel"/>
              <w:keepNext/>
              <w:suppressAutoHyphens/>
              <w:jc w:val="left"/>
            </w:pPr>
            <w:bookmarkStart w:id="149" w:name="_Ekor016a"/>
            <w:bookmarkEnd w:id="149"/>
            <w:r>
              <w:t xml:space="preserve">Faktor evakuasi tsunami</w:t>
            </w:r>
          </w:p>
        </w:tc>
        <w:tc>
          <w:tcPr>
            <w:tcW w:w="1654" w:type="dxa"/>
          </w:tcPr>
          <w:p>
            <w:pPr>
              <w:pStyle w:val="IsiTabel"/>
              <w:keepNext/>
              <w:suppressAutoHyphens/>
              <w:jc w:val="left"/>
            </w:pPr>
            <w:r>
              <w:t xml:space="preserve">paket </w:t>
            </w:r>
            <w:r>
              <w:t xml:space="preserve">0,662</w:t>
            </w:r>
            <w:r>
              <w:t xml:space="preserve">; Cabinet Office Jepang </w:t>
            </w:r>
            <w:r>
              <w:t xml:space="preserve">0,437</w:t>
            </w:r>
            <w:r>
              <w:t xml:space="preserve"> dan </w:t>
            </w:r>
            <w:r>
              <w:t xml:space="preserve">0,600</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2107" w:type="dxa"/>
          </w:tcPr>
          <w:p>
            <w:pPr>
              <w:pStyle w:val="IsiTabel"/>
              <w:keepNext/>
              <w:suppressAutoHyphens/>
              <w:jc w:val="left"/>
            </w:pPr>
            <w:r>
              <w:t xml:space="preserve">interpolasi paket</w:t>
            </w:r>
          </w:p>
        </w:tc>
        <w:tc>
          <w:tcPr>
            <w:tcW w:w="2111" w:type="dxa"/>
          </w:tcPr>
          <w:p>
            <w:pPr>
              <w:pStyle w:val="IsiTabel"/>
              <w:keepNext/>
              <w:suppressAutoHyphens/>
              <w:jc w:val="left"/>
            </w:pPr>
            <w:r>
              <w:t xml:space="preserve">dokumen primer</w:t>
            </w:r>
          </w:p>
        </w:tc>
      </w:tr>
      <w:tr>
        <w:trPr>
          <w:cantSplit/>
        </w:trPr>
        <w:tc>
          <w:tcPr>
            <w:tcW w:w="2156" w:type="dxa"/>
          </w:tcPr>
          <w:p>
            <w:pPr>
              <w:pStyle w:val="IsiTabel"/>
              <w:keepNext/>
              <w:suppressAutoHyphens/>
              <w:jc w:val="left"/>
            </w:pPr>
            <w:r>
              <w:t xml:space="preserve">Potensi kerugian KRB</w:t>
            </w:r>
          </w:p>
        </w:tc>
        <w:tc>
          <w:tcPr>
            <w:tcW w:w="1654" w:type="dxa"/>
          </w:tcPr>
          <w:p>
            <w:pPr>
              <w:pStyle w:val="IsiTabel"/>
              <w:keepNext/>
              <w:suppressAutoHyphens/>
              <w:jc w:val="left"/>
            </w:pPr>
            <w:r>
              <w:t xml:space="preserve">multibahaya </w:t>
            </w:r>
            <w:r>
              <w:t xml:space="preserve">Rp4.082,6 triliun</w:t>
            </w:r>
            <w:r>
              <w:t xml:space="preserve">; jumlah per bahaya </w:t>
            </w:r>
            <w:r>
              <w:t xml:space="preserve">Rp7.812 triliun</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2107" w:type="dxa"/>
          </w:tcPr>
          <w:p>
            <w:pPr>
              <w:pStyle w:val="IsiTabel"/>
              <w:keepNext/>
              <w:suppressAutoHyphens/>
              <w:jc w:val="left"/>
            </w:pPr>
            <w:r>
              <w:t xml:space="preserve">zona bertumpuk</w:t>
            </w:r>
          </w:p>
        </w:tc>
        <w:tc>
          <w:tcPr>
            <w:tcW w:w="2111" w:type="dxa"/>
          </w:tcPr>
          <w:p>
            <w:pPr>
              <w:pStyle w:val="IsiTabel"/>
              <w:keepNext/>
              <w:suppressAutoHyphens/>
              <w:jc w:val="left"/>
            </w:pPr>
            <w:r>
              <w:t xml:space="preserve">multibahaya</w:t>
            </w:r>
          </w:p>
        </w:tc>
      </w:tr>
      <w:tr>
        <w:trPr>
          <w:cantSplit/>
        </w:trPr>
        <w:tc>
          <w:tcPr>
            <w:tcW w:w="2156" w:type="dxa"/>
          </w:tcPr>
          <w:p>
            <w:pPr>
              <w:pStyle w:val="IsiTabel"/>
              <w:keepNext/>
              <w:suppressAutoHyphens/>
              <w:jc w:val="left"/>
            </w:pPr>
            <w:r>
              <w:t xml:space="preserve">Cianjur 2022, meninggal</w:t>
            </w:r>
          </w:p>
        </w:tc>
        <w:tc>
          <w:tcPr>
            <w:tcW w:w="1654" w:type="dxa"/>
          </w:tcPr>
          <w:p>
            <w:pPr>
              <w:pStyle w:val="IsiTabel"/>
              <w:keepNext/>
              <w:suppressAutoHyphens/>
              <w:jc w:val="left"/>
            </w:pPr>
            <w:r>
              <w:t xml:space="preserve">DIBI </w:t>
            </w:r>
            <w:r>
              <w:t xml:space="preserve">602</w:t>
            </w:r>
            <w:r>
              <w:t xml:space="preserve"> (lima kab/kota); R3P </w:t>
            </w:r>
            <w:r>
              <w:t xml:space="preserve">334</w:t>
            </w:r>
            <w:r>
              <w:t xml:space="preserve"> (data 7 Desember 2022)</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2107" w:type="dxa"/>
          </w:tcPr>
          <w:p>
            <w:pPr>
              <w:pStyle w:val="IsiTabel"/>
              <w:keepNext/>
              <w:suppressAutoHyphens/>
              <w:jc w:val="left"/>
            </w:pPr>
            <w:r>
              <w:t xml:space="preserve">tanggal dan wilayah</w:t>
            </w:r>
          </w:p>
        </w:tc>
        <w:tc>
          <w:tcPr>
            <w:tcW w:w="2111" w:type="dxa"/>
          </w:tcPr>
          <w:p>
            <w:pPr>
              <w:pStyle w:val="IsiTabel"/>
              <w:keepNext/>
              <w:suppressAutoHyphens/>
              <w:jc w:val="left"/>
            </w:pPr>
            <w:r>
              <w:t xml:space="preserve">berdampingan</w:t>
            </w:r>
          </w:p>
        </w:tc>
      </w:tr>
      <w:tr>
        <w:trPr>
          <w:cantSplit/>
        </w:trPr>
        <w:tc>
          <w:tcPr>
            <w:tcW w:w="2156" w:type="dxa"/>
          </w:tcPr>
          <w:p>
            <w:pPr>
              <w:pStyle w:val="IsiTabel"/>
              <w:keepNext/>
              <w:suppressAutoHyphens/>
              <w:jc w:val="left"/>
            </w:pPr>
            <w:bookmarkStart w:id="150" w:name="_Ekor016z"/>
            <w:bookmarkEnd w:id="150"/>
            <w:r>
              <w:t xml:space="preserve">Cianjur 2022, rumah rusak</w:t>
            </w:r>
          </w:p>
        </w:tc>
        <w:tc>
          <w:tcPr>
            <w:tcW w:w="1654" w:type="dxa"/>
          </w:tcPr>
          <w:p>
            <w:pPr>
              <w:pStyle w:val="IsiTabel"/>
              <w:keepNext/>
              <w:suppressAutoHyphens/>
              <w:jc w:val="left"/>
            </w:pPr>
            <w:r>
              <w:t xml:space="preserve">DIBI </w:t>
            </w:r>
            <w:r>
              <w:t xml:space="preserve">57.337</w:t>
            </w:r>
            <w:r>
              <w:t xml:space="preserve"> (lima kab/kota); R3P </w:t>
            </w:r>
            <w:r>
              <w:t xml:space="preserve">114.315</w:t>
            </w:r>
            <w:r>
              <w:t xml:space="preserve"> (hasil verifikasi)</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2107" w:type="dxa"/>
          </w:tcPr>
          <w:p>
            <w:pPr>
              <w:pStyle w:val="IsiTabel"/>
              <w:keepNext/>
              <w:suppressAutoHyphens/>
              <w:jc w:val="left"/>
            </w:pPr>
            <w:r>
              <w:t xml:space="preserve">dasar pendataan</w:t>
            </w:r>
          </w:p>
        </w:tc>
        <w:tc>
          <w:tcPr>
            <w:tcW w:w="2111" w:type="dxa"/>
          </w:tcPr>
          <w:p>
            <w:pPr>
              <w:pStyle w:val="IsiTabel"/>
              <w:keepNext/>
              <w:suppressAutoHyphens/>
              <w:jc w:val="left"/>
            </w:pPr>
            <w:r>
              <w:t xml:space="preserve">berdampingan</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portal data terbuka BNPB, Renas PB 2025–2029, Renstra BNPB 2025–2029, RPJMN 2025–2029, KRB 2022–2026, PuSGeN 2024, Cabinet Office Jepang (2025), dan R3P Cianjur 2022</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Kolom keyakinan memuat label versi yang dipakai; versi bertanda sekunder hanya pembanding.</w:t>
      </w:r>
    </w:p>
    <w:p>
      <w:pPr>
        <w:pStyle w:val="Heading2"/>
      </w:pPr>
      <w:bookmarkStart w:id="152" w:name="_Toc00063"/>
      <w:bookmarkStart w:id="151" w:name="_Ref0165"/>
      <w:r>
        <w:t xml:space="preserve">3.10</w:t>
      </w:r>
      <w:bookmarkEnd w:id="151"/>
      <w:r>
        <w:tab/>
      </w:r>
      <w:r>
        <w:t xml:space="preserve">Keterbatasan</w:t>
      </w:r>
      <w:bookmarkEnd w:id="152"/>
    </w:p>
    <w:p>
      <w:pPr>
        <w:pStyle w:val="Isi"/>
      </w:pPr>
      <w:r>
        <w:t xml:space="preserve">DIBI adalah data hidup yang dibekukan per tarik 23 Oktober 2026, dan angka 2026 masih sementara </w:t>
      </w:r>
      <w:r>
        <w:t xml:space="preserve">(BNPB, t.t.-a)</w:t>
      </w:r>
      <w:r>
        <w:t xml:space="preserve">. Tanggal ekspor IRBI tidak tertulis, teks Juklak BNPB 7/2023 dibaca dari salinan di luar JDIH BNPB, dan hitungan turunan penyusun (korelasi IRBI dengan DIBI, syarat daftar perhatian, peluang lantai, sebaran skala dampak, dan pengali kerugian) belum masuk skrip bangun paket data.</w:t>
      </w:r>
    </w:p>
    <w:p>
      <w:pPr>
        <w:pStyle w:val="Isi"/>
      </w:pPr>
      <w:r>
        <w:t xml:space="preserve">Audit metode platform 21 Oktober 2026 menilai model korban gempa tidak layak untuk gempa nyata; rasio analognya berasal dari gempa kerak dan slab, dan persamaan prediksi guncangannya belum diuji. Skenario ilustratif megathrust Jawa di bawah magnitudo maksimum tidak menghasilkan intensitas VII pada skala </w:t>
      </w:r>
      <w:r>
        <w:rPr>
          <w:i/>
          <w:iCs/>
        </w:rPr>
        <w:t xml:space="preserve">Modified Mercalli Intensity</w:t>
      </w:r>
      <w:r>
        <w:t xml:space="preserve"> di pusat kecamatan mana pun, sehingga tidak dibawa ke kartu. Proksi pesisir rendah melewatkan delapan belas kab/kota pada skenario itu, termasuk Lebak, Pandeglang, dan Banyuwangi. Aturan peringatan kekeringan berbasis indeks presipitasi gagal uji balik.</w:t>
      </w:r>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Data sekolah dan fasilitas kesehatan terpapar hanya mencakup sembilan provinsi, sedangkan data penduduk per kab/kota dari Badan Pusat Statistik (BPS), luas genangan rob, dan debit sungai belum tersedia. Skenario sesar darat Lembang, Cimandiri, dan Opak belum dijalankan, sehingga kartunya memakai analog Yogyakarta 2006 dan Cianjur 2022. Kerugian ekonomi langsung untuk indikator Renas PB 2.a ditulis sebagai permintaan data. Rekomendasi </w:t>
      </w:r>
      <w:r>
        <w:fldChar w:fldCharType="begin"/>
      </w:r>
      <w:r>
        <w:instrText xml:space="preserve"> REF _Ref0086 \h \* CHARFORMAT </w:instrText>
      </w:r>
      <w:r>
        <w:fldChar w:fldCharType="separate"/>
      </w:r>
      <w:r>
        <w:t xml:space="preserve">10</w:t>
      </w:r>
      <w:r>
        <w:fldChar w:fldCharType="end"/>
      </w:r>
      <w:r>
        <w:t xml:space="preserve">, </w:t>
      </w:r>
      <w:r>
        <w:fldChar w:fldCharType="begin"/>
      </w:r>
      <w:r>
        <w:instrText xml:space="preserve"> REF _Ref0093 \h \* CHARFORMAT </w:instrText>
      </w:r>
      <w:r>
        <w:fldChar w:fldCharType="separate"/>
      </w:r>
      <w:r>
        <w:t xml:space="preserve">20</w:t>
      </w:r>
      <w:r>
        <w:fldChar w:fldCharType="end"/>
      </w:r>
      <w:r>
        <w:t xml:space="preserve">, dan </w:t>
      </w:r>
      <w:r>
        <w:fldChar w:fldCharType="begin"/>
      </w:r>
      <w:r>
        <w:instrText xml:space="preserve"> REF _Ref0105 \h \* CHARFORMAT </w:instrText>
      </w:r>
      <w:r>
        <w:fldChar w:fldCharType="separate"/>
      </w:r>
      <w:r>
        <w:t xml:space="preserve">30</w:t>
      </w:r>
      <w:r>
        <w:fldChar w:fldCharType="end"/>
      </w:r>
      <w:r>
        <w:t xml:space="preserve"> pada bab kesimpulan menutup celah yang paling menentukan.</w:t>
      </w:r>
    </w:p>
    <w:p>
      <w:pPr>
        <w:pBdr>
          <w:top w:val="single" w:sz="16" w:space="0" w:color="D9600B"/>
        </w:pBdr>
        <w:spacing w:before="0" w:after="80" w:line="60" w:lineRule="exact"/>
        <w:ind w:right="8674"/>
      </w:pPr>
    </w:p>
    <w:p>
      <w:pPr>
        <w:pStyle w:val="Heading1"/>
        <w:numPr>
          <w:ilvl w:val="0"/>
          <w:numId w:val="904"/>
        </w:numPr>
      </w:pPr>
      <w:bookmarkStart w:id="154" w:name="_Toc00064"/>
      <w:r>
        <w:rPr>
          <w:sz w:val="18"/>
          <w:szCs w:val="18"/>
        </w:rPr>
        <w:br/>
      </w:r>
      <w:bookmarkStart w:id="153" w:name="_Ref0003"/>
      <w:r>
        <w:t xml:space="preserve">HISTORI BENCANA INDONESIA</w:t>
      </w:r>
      <w:bookmarkEnd w:id="153"/>
      <w:bookmarkEnd w:id="154"/>
    </w:p>
    <w:p>
      <w:pPr>
        <w:pStyle w:val="Pertanyaan"/>
      </w:pPr>
      <w:r>
        <w:t xml:space="preserve">Bagaimana kejadian dan korban berubah pada 2015–2025 bila patahan seri diperhitungkan? Kejadian besar apa yang menjadi analog skenario terburuk per jenis bencana? Pelajaran apa yang konsisten muncul dari kejadian besar?</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2" name="Gambar 22"/>
                  <wp:cNvGraphicFramePr>
                    <a:graphicFrameLocks noChangeAspect="1"/>
                  </wp:cNvGraphicFramePr>
                  <a:graphic>
                    <a:graphicData uri="http://schemas.openxmlformats.org/drawingml/2006/picture">
                      <pic:pic>
                        <pic:nvPicPr>
                          <pic:cNvPr id="22"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mencatat </w:t>
            </w:r>
            <w:r>
              <w:t xml:space="preserve">1.735</w:t>
            </w:r>
            <w:r>
              <w:t xml:space="preserve"> meninggal dan </w:t>
            </w:r>
            <w:r>
              <w:t xml:space="preserve">221</w:t>
            </w:r>
            <w:r>
              <w:t xml:space="preserve"> hilang akibat bencana alam pada 2025, tertinggi sejak 2018, dan banjir serta longsor Sumatra November 2025 menyumbang </w:t>
            </w:r>
            <w:r>
              <w:t xml:space="preserve">69,3%</w:t>
            </w:r>
            <w:r>
              <w:t xml:space="preserve"> korban meninggal itu, sehingga indikator korban tahunan ditentukan oleh satu sampai tiga kejadian.</w:t>
            </w:r>
          </w:p>
          <w:p>
            <w:pPr>
              <w:pStyle w:val="DaftarKotak"/>
              <w:numPr>
                <w:ilvl w:val="0"/>
                <w:numId w:val="1"/>
              </w:numPr>
            </w:pPr>
            <w:r>
              <w:t xml:space="preserve">Korelasi peringkat jumlah kejadian dan korban meninggal bencana alam per tahun hanya </w:t>
            </w:r>
            <w:r>
              <w:t xml:space="preserve">0,17</w:t>
            </w:r>
            <w:r>
              <w:t xml:space="preserve"> pada 2015–2023, dan bencana geologi menyumbang </w:t>
            </w:r>
            <w:r>
              <w:t xml:space="preserve">0,91%</w:t>
            </w:r>
            <w:r>
              <w:t xml:space="preserve"> kejadian tetapi </w:t>
            </w:r>
            <w:r>
              <w:t xml:space="preserve">54,3%</w:t>
            </w:r>
            <w:r>
              <w:t xml:space="preserve"> korban meninggal 2015–2025, sehingga jumlah kejadian tidak mengukur keparahan.</w:t>
            </w:r>
          </w:p>
          <w:p>
            <w:pPr>
              <w:pStyle w:val="DaftarKotak"/>
              <w:numPr>
                <w:ilvl w:val="0"/>
                <w:numId w:val="1"/>
              </w:numPr>
            </w:pPr>
            <w:r>
              <w:t xml:space="preserve">Musim hujan 2025/2026 mencatat </w:t>
            </w:r>
            <w:r>
              <w:t xml:space="preserve">1.692</w:t>
            </w:r>
            <w:r>
              <w:t xml:space="preserve"> meninggal dan hilang, di atas batas atas model La Niña yang belum diuji balik (</w:t>
            </w:r>
            <w:r>
              <w:t xml:space="preserve">1.200</w:t>
            </w:r>
            <w:r>
              <w:t xml:space="preserve">), sehingga lantai skenario hidrometeorologi memakai angka tercatat itu; lantai tsunami ditetapkan per wilayah dari Aceh 2004, Pangandaran 2006, Mentawai 2010, dan Selat Sunda 2018.</w:t>
            </w:r>
          </w:p>
          <w:p>
            <w:pPr>
              <w:pStyle w:val="IsiKotak"/>
            </w:pPr>
            <w:r>
              <w:rPr>
                <w:b/>
                <w:bCs/>
                <w:color w:val="1A1A1A"/>
              </w:rPr>
              <w:t xml:space="preserve">Angka kunci: </w:t>
            </w:r>
          </w:p>
          <w:p>
            <w:pPr>
              <w:pStyle w:val="DaftarKotak"/>
              <w:numPr>
                <w:ilvl w:val="0"/>
                <w:numId w:val="1"/>
              </w:numPr>
            </w:pPr>
            <w:r>
              <w:t xml:space="preserve">11.477</w:t>
            </w:r>
            <w:r>
              <w:t xml:space="preserve"> meninggal dan </w:t>
            </w:r>
            <w:r>
              <w:t xml:space="preserve">1.579</w:t>
            </w:r>
            <w:r>
              <w:t xml:space="preserve"> hilang akibat bencana alam, 2015–2025 </w:t>
            </w:r>
            <w:r>
              <w:t xml:space="preserve">(BNPB, t.t.-a)</w:t>
            </w:r>
            <w:r>
              <w:t xml:space="preserve">.</w:t>
            </w:r>
          </w:p>
          <w:p>
            <w:pPr>
              <w:pStyle w:val="DaftarKotak"/>
              <w:numPr>
                <w:ilvl w:val="0"/>
                <w:numId w:val="1"/>
              </w:numPr>
            </w:pPr>
            <w:r>
              <w:t xml:space="preserve">161.870</w:t>
            </w:r>
            <w:r>
              <w:t xml:space="preserve"> meninggal akibat COVID-19 menurut Kementerian Kesehatan, tanpa baris di DIBI </w:t>
            </w:r>
            <w:r>
              <w:t xml:space="preserve">(BNPB, 2025e, hlm. 14)</w:t>
            </w:r>
            <w:r>
              <w:t xml:space="preserve">.</w:t>
            </w:r>
          </w:p>
          <w:p>
            <w:pPr>
              <w:pStyle w:val="DaftarKotak"/>
              <w:numPr>
                <w:ilvl w:val="0"/>
                <w:numId w:val="1"/>
              </w:numPr>
            </w:pPr>
            <w:r>
              <w:t xml:space="preserve">60,6%</w:t>
            </w:r>
            <w:r>
              <w:t xml:space="preserve"> korban meninggal bencana alam 2015–2025 berasal dari lima kejadian </w:t>
            </w:r>
            <w:r>
              <w:t xml:space="preserve">(BNPB, t.t.-a)</w:t>
            </w:r>
            <w:r>
              <w:t xml:space="preserve">.</w:t>
            </w:r>
          </w:p>
          <w:p>
            <w:pPr>
              <w:pStyle w:val="IsiKotak"/>
            </w:pPr>
            <w:r>
              <w:rPr>
                <w:b/>
                <w:bCs/>
                <w:color w:val="1A1A1A"/>
              </w:rPr>
              <w:t xml:space="preserve">Rekomendasi: </w:t>
            </w:r>
            <w:r>
              <w:fldChar w:fldCharType="begin"/>
            </w:r>
            <w:r>
              <w:instrText xml:space="preserve"> REF _Ref0093 \h \* CHARFORMAT </w:instrText>
            </w:r>
            <w:r>
              <w:fldChar w:fldCharType="separate"/>
            </w:r>
            <w:r>
              <w:t xml:space="preserve">20</w:t>
            </w:r>
            <w:r>
              <w:fldChar w:fldCharType="end"/>
            </w:r>
            <w:r>
              <w:t xml:space="preserve">, </w:t>
            </w:r>
            <w:r>
              <w:fldChar w:fldCharType="begin"/>
            </w:r>
            <w:r>
              <w:instrText xml:space="preserve"> REF _Ref0102 \h \* CHARFORMAT </w:instrText>
            </w:r>
            <w:r>
              <w:fldChar w:fldCharType="separate"/>
            </w:r>
            <w:r>
              <w:t xml:space="preserve">27</w:t>
            </w:r>
            <w:r>
              <w:fldChar w:fldCharType="end"/>
            </w:r>
            <w:r>
              <w:t xml:space="preserve">, </w:t>
            </w:r>
            <w:r>
              <w:fldChar w:fldCharType="begin"/>
            </w:r>
            <w:r>
              <w:instrText xml:space="preserve"> REF _Ref0105 \h \* CHARFORMAT </w:instrText>
            </w:r>
            <w:r>
              <w:fldChar w:fldCharType="separate"/>
            </w:r>
            <w:r>
              <w:t xml:space="preserve">30</w:t>
            </w:r>
            <w:r>
              <w:fldChar w:fldCharType="end"/>
            </w:r>
          </w:p>
        </w:tc>
      </w:tr>
    </w:tbl>
    <w:p>
      <w:pPr>
        <w:pStyle w:val="Jarak"/>
      </w:pPr>
    </w:p>
    <w:p>
      <w:pPr>
        <w:pStyle w:val="Caption"/>
      </w:pPr>
      <w:bookmarkStart w:id="156" w:name="_Toc00065"/>
      <w:bookmarkStart w:id="155" w:name="_Ref001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55"/>
      <w:r>
        <w:rPr>
          <w:b/>
          <w:bCs/>
          <w:color w:val="051C2C"/>
        </w:rPr>
        <w:t xml:space="preserve"> </w:t>
      </w:r>
      <w:r>
        <w:t xml:space="preserve">Banjir di permukiman Tanjung Duren, Jakarta Barat, 1 Januari 2020</w:t>
      </w:r>
      <w:bookmarkEnd w:id="156"/>
    </w:p>
    <w:p xmlns:a="http://schemas.openxmlformats.org/drawingml/2006/main" xmlns:pic="http://schemas.openxmlformats.org/drawingml/2006/picture">
      <w:pPr>
        <w:keepNext/>
        <w:spacing w:after="0" w:line="240" w:lineRule="auto"/>
        <w:jc w:val="center"/>
      </w:pPr>
      <w:bookmarkStart w:id="157" w:name="_Obj0010"/>
      <w:r>
        <w:drawing>
          <wp:inline distT="0" distB="0" distL="0" distR="0">
            <wp:extent cx="5940000" cy="2970000"/>
            <wp:effectExtent l="0" t="0" r="0" b="0"/>
            <wp:docPr id="23" name="Gambar 23"/>
            <wp:cNvGraphicFramePr>
              <a:graphicFrameLocks noChangeAspect="1"/>
            </wp:cNvGraphicFramePr>
            <a:graphic>
              <a:graphicData uri="http://schemas.openxmlformats.org/drawingml/2006/picture">
                <pic:pic>
                  <pic:nvPicPr>
                    <pic:cNvPr id="23" name="air-b06-banjir-jakarta.jpg"/>
                    <pic:cNvPicPr/>
                  </pic:nvPicPr>
                  <pic:blipFill>
                    <a:blip r:embed="rId28"/>
                    <a:stretch>
                      <a:fillRect/>
                    </a:stretch>
                  </pic:blipFill>
                  <pic:spPr>
                    <a:xfrm>
                      <a:off x="0" y="0"/>
                      <a:ext cx="5940000" cy="2970000"/>
                    </a:xfrm>
                    <a:prstGeom prst="rect">
                      <a:avLst/>
                    </a:prstGeom>
                  </pic:spPr>
                </pic:pic>
              </a:graphicData>
            </a:graphic>
          </wp:inline>
        </w:drawing>
      </w:r>
      <w:bookmarkEnd w:id="157"/>
    </w:p>
    <w:p>
      <w:pPr>
        <w:pStyle w:val="Sumber"/>
      </w:pPr>
      <w:r>
        <w:rPr>
          <w:b/>
          <w:bCs/>
          <w:color w:val="6B7280"/>
          <w:sz w:val="17"/>
          <w:szCs w:val="17"/>
        </w:rPr>
        <w:t xml:space="preserve">Sumber: </w:t>
      </w:r>
      <w:r>
        <w:rPr>
          <w:color w:val="6B7280"/>
          <w:sz w:val="17"/>
          <w:szCs w:val="17"/>
        </w:rPr>
        <w:t xml:space="preserve">Wikimedia Commons, Cun Cun, CC BY-SA 4.0</w:t>
      </w:r>
    </w:p>
    <w:p>
      <w:pPr>
        <w:pStyle w:val="Heading2"/>
      </w:pPr>
      <w:bookmarkStart w:id="159" w:name="_Toc00066"/>
      <w:bookmarkStart w:id="158" w:name="_Ref0156"/>
      <w:r>
        <w:t xml:space="preserve">4.1</w:t>
      </w:r>
      <w:bookmarkEnd w:id="158"/>
      <w:r>
        <w:tab/>
      </w:r>
      <w:r>
        <w:t xml:space="preserve">Kejadian dan Dampak 2015–2026</w:t>
      </w:r>
      <w:bookmarkEnd w:id="159"/>
    </w:p>
    <w:p>
      <w:pPr>
        <w:pStyle w:val="IsiTemuan"/>
      </w:pPr>
      <w:r>
        <w:rPr>
          <w:b/>
          <w:bCs/>
          <w:color w:val="051C2C"/>
        </w:rPr>
        <w:t xml:space="preserve">Badan Nasional Penanggulangan Bencana (BNPB) mencatat kejadian bencana alam naik dari </w:t>
      </w:r>
      <w:r>
        <w:rPr>
          <w:b/>
          <w:bCs/>
          <w:color w:val="051C2C"/>
        </w:rPr>
        <w:t xml:space="preserve">1.694</w:t>
      </w:r>
      <w:r>
        <w:rPr>
          <w:b/>
          <w:bCs/>
          <w:color w:val="051C2C"/>
        </w:rPr>
        <w:t xml:space="preserve"> pada 2015 menjadi </w:t>
      </w:r>
      <w:r>
        <w:rPr>
          <w:b/>
          <w:bCs/>
          <w:color w:val="051C2C"/>
        </w:rPr>
        <w:t xml:space="preserve">5.402</w:t>
      </w:r>
      <w:r>
        <w:rPr>
          <w:b/>
          <w:bCs/>
          <w:color w:val="051C2C"/>
        </w:rPr>
        <w:t xml:space="preserve"> pada 2021 dan </w:t>
      </w:r>
      <w:r>
        <w:rPr>
          <w:b/>
          <w:bCs/>
          <w:color w:val="051C2C"/>
        </w:rPr>
        <w:t xml:space="preserve">5.400</w:t>
      </w:r>
      <w:r>
        <w:rPr>
          <w:b/>
          <w:bCs/>
          <w:color w:val="051C2C"/>
        </w:rPr>
        <w:t xml:space="preserve"> pada 2023.</w:t>
      </w:r>
      <w:r>
        <w:t xml:space="preserve"> Kajian ini membaca seri tersebut dari dasbor publik DIBI yang ditarik 23 Oktober 2026 dan mencakup sembilan jenis bencana alam </w:t>
      </w:r>
      <w:r>
        <w:t xml:space="preserve">(BNPB, t.t.-a)</w:t>
      </w:r>
      <w:r>
        <w:t xml:space="preserve">. Pada 2024 dan 2025 angkanya tercatat </w:t>
      </w:r>
      <w:r>
        <w:t xml:space="preserve">3.472</w:t>
      </w:r>
      <w:r>
        <w:t xml:space="preserve"> dan </w:t>
      </w:r>
      <w:r>
        <w:t xml:space="preserve">5.077</w:t>
      </w:r>
      <w:r>
        <w:t xml:space="preserve">; DIBI membagi kejadian lintas kabupaten/kota menjadi pecahan per wilayah, sehingga angka nasional 2024 dan 2025 di bab ini dibulatkan ke satuan. Turunnya angka dari 2023 ke 2024 bersamaan dengan berlakunya saringan ambang kejadian, sehingga tidak dapat dibaca sebagai penurunan risiko. Perbandingan antartahun memakai seri bencana alam, karena seri semua klasifikasi memuat kategori yang baru dicatat sejak 2024.</w:t>
      </w:r>
    </w:p>
    <w:p>
      <w:pPr>
        <w:pStyle w:val="IsiTemuan"/>
      </w:pPr>
      <w:r>
        <w:rPr>
          <w:b/>
          <w:bCs/>
          <w:color w:val="051C2C"/>
        </w:rPr>
        <w:t xml:space="preserve">Seri DIBI patah di dua tempat pada 2024; dengan saringan yang disamakan, kejadian alam 2025 menjadi </w:t>
      </w:r>
      <w:r>
        <w:rPr>
          <w:b/>
          <w:bCs/>
          <w:color w:val="051C2C"/>
        </w:rPr>
        <w:t xml:space="preserve">8.359</w:t>
      </w:r>
      <w:r>
        <w:rPr>
          <w:b/>
          <w:bCs/>
          <w:color w:val="051C2C"/>
        </w:rPr>
        <w:t xml:space="preserve">, tertinggi dalam seri itu.</w:t>
      </w:r>
      <w:r>
        <w:t xml:space="preserve"> Patahan pertama adalah penanda laporan kejadian bencana yang baru dipakai untuk data 2024. Penanda ini mengikuti ambang Petunjuk Pelaksanaan (Juklak) BNPB 7/2023, yaitu sedikitnya satu dari enam kriteria, misalnya satu orang meninggal atau penetapan status keadaan darurat </w:t>
      </w:r>
      <w:r>
        <w:t xml:space="preserve">(BNPB, 2023j, hlm. 7, 10)</w:t>
      </w:r>
      <w:r>
        <w:t xml:space="preserve">. Laporan 2015–2023 tidak tersaring, sehingga hanya seri semua laporan yang memakai saringan seragam; seri itu mencatat </w:t>
      </w:r>
      <w:r>
        <w:t xml:space="preserve">3.551</w:t>
      </w:r>
      <w:r>
        <w:t xml:space="preserve"> kejadian alam pada 2024. Patahan kedua menyangkut kategori di luar bencana alam, yang pada 2018–2023 paling banyak </w:t>
      </w:r>
      <w:r>
        <w:t xml:space="preserve">15</w:t>
      </w:r>
      <w:r>
        <w:t xml:space="preserve"> kejadian per tahun dan pada 2025 mencapai </w:t>
      </w:r>
      <w:r>
        <w:t xml:space="preserve">363</w:t>
      </w:r>
      <w:r>
        <w:t xml:space="preserve"> kejadian. Di dalam bencana alam sendiri, empat subkategori hidrometeorologi, termasuk banjir bandang dan banjir rob, baru muncul pada 2018 dan kosong pada 2024.</w:t>
      </w:r>
    </w:p>
    <w:p>
      <w:pPr>
        <w:pStyle w:val="IsiTemuan"/>
      </w:pPr>
      <w:r>
        <w:rPr>
          <w:b/>
          <w:bCs/>
          <w:color w:val="051C2C"/>
        </w:rPr>
        <w:t xml:space="preserve">Kejadian bencana 2024 memiliki empat versi resmi primer, dari </w:t>
      </w:r>
      <w:r>
        <w:rPr>
          <w:b/>
          <w:bCs/>
          <w:color w:val="051C2C"/>
        </w:rPr>
        <w:t xml:space="preserve">3.472</w:t>
      </w:r>
      <w:r>
        <w:rPr>
          <w:b/>
          <w:bCs/>
          <w:color w:val="051C2C"/>
        </w:rPr>
        <w:t xml:space="preserve"> bencana alam sampai </w:t>
      </w:r>
      <w:r>
        <w:rPr>
          <w:b/>
          <w:bCs/>
          <w:color w:val="051C2C"/>
        </w:rPr>
        <w:t xml:space="preserve">3.636</w:t>
      </w:r>
      <w:r>
        <w:rPr>
          <w:b/>
          <w:bCs/>
          <w:color w:val="051C2C"/>
        </w:rPr>
        <w:t xml:space="preserve"> semua laporan.</w:t>
      </w:r>
      <w:r>
        <w:t xml:space="preserve"> Dua versi lainnya adalah </w:t>
      </w:r>
      <w:r>
        <w:t xml:space="preserve">3.548</w:t>
      </w:r>
      <w:r>
        <w:t xml:space="preserve"> kejadian bencana di DIBI dan </w:t>
      </w:r>
      <w:r>
        <w:t xml:space="preserve">3.472</w:t>
      </w:r>
      <w:r>
        <w:t xml:space="preserve"> di portal data BNPB, yang sama dengan seri bencana alam DIBI setelah dibulatkan </w:t>
      </w:r>
      <w:r>
        <w:t xml:space="preserve">(BNPB, 2025a)</w:t>
      </w:r>
      <w:r>
        <w:t xml:space="preserve">. Kejadian 2025 juga memiliki lebih dari satu versi. Angka </w:t>
      </w:r>
      <w:r>
        <w:t xml:space="preserve">9.305</w:t>
      </w:r>
      <w:r>
        <w:t xml:space="preserve"> adalah versi semua laporan yang tidak boleh disebut kejadian bencana 2025; versi kejadian bencana adalah </w:t>
      </w:r>
      <w:r>
        <w:t xml:space="preserve">5.440</w:t>
      </w:r>
      <w:r>
        <w:t xml:space="preserve"> </w:t>
      </w:r>
      <w:r>
        <w:t xml:space="preserve">(BNPB, t.t.-a)</w:t>
      </w:r>
      <w:r>
        <w:t xml:space="preserve">. Kajian ini menilai kenaikan 2015–2021 lebih tepat dibaca sebagai gabungan bahaya dan intensitas pelaporan, karena patahan subkategori 2018 terjadi di tengah kenaikan itu. Komposisi kejadian per kelompok tampil pada </w:t>
      </w:r>
      <w:r>
        <w:fldChar w:fldCharType="begin"/>
      </w:r>
      <w:r>
        <w:instrText xml:space="preserve"> REF _Ref0041 \h \* CHARFORMAT </w:instrText>
      </w:r>
      <w:r>
        <w:fldChar w:fldCharType="separate"/>
      </w:r>
      <w:r>
        <w:t xml:space="preserve">Gambar 4.2</w:t>
      </w:r>
      <w:r>
        <w:fldChar w:fldCharType="end"/>
      </w:r>
      <w:r>
        <w:t xml:space="preserve">.</w:t>
      </w:r>
    </w:p>
    <w:p>
      <w:pPr>
        <w:pStyle w:val="Caption"/>
      </w:pPr>
      <w:bookmarkStart w:id="161" w:name="_Toc00067"/>
      <w:bookmarkStart w:id="160" w:name="_Ref004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60"/>
      <w:r>
        <w:rPr>
          <w:b/>
          <w:bCs/>
          <w:color w:val="051C2C"/>
        </w:rPr>
        <w:t xml:space="preserve"> </w:t>
      </w:r>
      <w:r>
        <w:t xml:space="preserve">Kejadian bencana per tahun menurut kelompok hidrometeorologi, geologi, serta nonalam dan sosial di Indonesia, 2015–2026 (kejadian)</w:t>
      </w:r>
      <w:bookmarkEnd w:id="161"/>
    </w:p>
    <w:p xmlns:a="http://schemas.openxmlformats.org/drawingml/2006/main" xmlns:pic="http://schemas.openxmlformats.org/drawingml/2006/picture">
      <w:pPr>
        <w:keepNext/>
        <w:spacing w:after="0" w:line="240" w:lineRule="auto"/>
        <w:jc w:val="center"/>
      </w:pPr>
      <w:bookmarkStart w:id="162" w:name="_Obj0011"/>
      <w:r>
        <w:drawing>
          <wp:inline distT="0" distB="0" distL="0" distR="0">
            <wp:extent cx="5940000" cy="2857292"/>
            <wp:effectExtent l="0" t="0" r="0" b="0"/>
            <wp:docPr id="24" name="Gambar 24"/>
            <wp:cNvGraphicFramePr>
              <a:graphicFrameLocks noChangeAspect="1"/>
            </wp:cNvGraphicFramePr>
            <a:graphic>
              <a:graphicData uri="http://schemas.openxmlformats.org/drawingml/2006/picture">
                <pic:pic>
                  <pic:nvPicPr>
                    <pic:cNvPr id="24" name="bab04-kejadian-tahunan.png"/>
                    <pic:cNvPicPr/>
                  </pic:nvPicPr>
                  <pic:blipFill>
                    <a:blip r:embed="rId29"/>
                    <a:stretch>
                      <a:fillRect/>
                    </a:stretch>
                  </pic:blipFill>
                  <pic:spPr>
                    <a:xfrm>
                      <a:off x="0" y="0"/>
                      <a:ext cx="5940000" cy="2857292"/>
                    </a:xfrm>
                    <a:prstGeom prst="rect">
                      <a:avLst/>
                    </a:prstGeom>
                  </pic:spPr>
                </pic:pic>
              </a:graphicData>
            </a:graphic>
          </wp:inline>
        </w:drawing>
      </w:r>
      <w:bookmarkEnd w:id="162"/>
    </w:p>
    <w:p>
      <w:pPr>
        <w:pStyle w:val="Sumber"/>
        <w:spacing w:after="40"/>
      </w:pPr>
      <w:r>
        <w:rPr>
          <w:b/>
          <w:bCs/>
          <w:color w:val="6B7280"/>
          <w:sz w:val="17"/>
          <w:szCs w:val="17"/>
        </w:rPr>
        <w:t xml:space="preserve">Sumber: </w:t>
      </w:r>
      <w:r>
        <w:rPr>
          <w:color w:val="6B7280"/>
          <w:sz w:val="17"/>
          <w:szCs w:val="17"/>
        </w:rPr>
        <w:t xml:space="preserve">BNPB, DIBI dasbor publik, cakupan kejadian bencana; 2026 sementara sampai 23 Oktober</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Sebelum 2024 laporan tidak tersaring ambang Juklak 7/2023 dan hampir tanpa nonalam dan sosial; garis tegak menandai patahan 2024.</w:t>
      </w:r>
    </w:p>
    <w:p>
      <w:pPr>
        <w:pStyle w:val="IsiTemuan"/>
      </w:pPr>
      <w:r>
        <w:rPr>
          <w:b/>
          <w:bCs/>
          <w:color w:val="051C2C"/>
        </w:rPr>
        <w:t xml:space="preserve">Sampai 23 Oktober 2026 DIBI mencatat </w:t>
      </w:r>
      <w:r>
        <w:rPr>
          <w:b/>
          <w:bCs/>
          <w:color w:val="051C2C"/>
        </w:rPr>
        <w:t xml:space="preserve">2.299</w:t>
      </w:r>
      <w:r>
        <w:rPr>
          <w:b/>
          <w:bCs/>
          <w:color w:val="051C2C"/>
        </w:rPr>
        <w:t xml:space="preserve"> kejadian bencana dan </w:t>
      </w:r>
      <w:r>
        <w:rPr>
          <w:b/>
          <w:bCs/>
          <w:color w:val="051C2C"/>
        </w:rPr>
        <w:t xml:space="preserve">548</w:t>
      </w:r>
      <w:r>
        <w:rPr>
          <w:b/>
          <w:bCs/>
          <w:color w:val="051C2C"/>
        </w:rPr>
        <w:t xml:space="preserve"> meninggal, termasuk </w:t>
      </w:r>
      <w:r>
        <w:rPr>
          <w:b/>
          <w:bCs/>
          <w:color w:val="051C2C"/>
        </w:rPr>
        <w:t xml:space="preserve">151</w:t>
      </w:r>
      <w:r>
        <w:rPr>
          <w:b/>
          <w:bCs/>
          <w:color w:val="051C2C"/>
        </w:rPr>
        <w:t xml:space="preserve"> meninggal akibat gempa bumi Agustus 2026 di Nusa Tenggara Timur.</w:t>
      </w:r>
      <w:r>
        <w:t xml:space="preserve"> Gempa itu juga tercatat dengan </w:t>
      </w:r>
      <w:r>
        <w:t xml:space="preserve">170.055</w:t>
      </w:r>
      <w:r>
        <w:t xml:space="preserve"> pengungsi dan </w:t>
      </w:r>
      <w:r>
        <w:t xml:space="preserve">29.315</w:t>
      </w:r>
      <w:r>
        <w:t xml:space="preserve"> rumah rusak berat di provinsi tersebut </w:t>
      </w:r>
      <w:r>
        <w:t xml:space="preserve">(BNPB, t.t.-a)</w:t>
      </w:r>
      <w:r>
        <w:t xml:space="preserve">. Angka 2026 bersifat sementara dan menurut dasbor DIBI difinalkan sekitar Februari 2027, sehingga </w:t>
      </w:r>
      <w:r>
        <w:fldChar w:fldCharType="begin"/>
      </w:r>
      <w:r>
        <w:instrText xml:space="preserve"> REF _Ref0041 \h \* CHARFORMAT </w:instrText>
      </w:r>
      <w:r>
        <w:fldChar w:fldCharType="separate"/>
      </w:r>
      <w:r>
        <w:t xml:space="preserve">Gambar 4.2</w:t>
      </w:r>
      <w:r>
        <w:fldChar w:fldCharType="end"/>
      </w:r>
      <w:r>
        <w:t xml:space="preserve"> dan </w:t>
      </w:r>
      <w:r>
        <w:fldChar w:fldCharType="begin"/>
      </w:r>
      <w:r>
        <w:instrText xml:space="preserve"> REF _Ref0044 \h \* CHARFORMAT </w:instrText>
      </w:r>
      <w:r>
        <w:fldChar w:fldCharType="separate"/>
      </w:r>
      <w:r>
        <w:t xml:space="preserve">Gambar 4.3</w:t>
      </w:r>
      <w:r>
        <w:fldChar w:fldCharType="end"/>
      </w:r>
      <w:r>
        <w:t xml:space="preserve"> menandainya sebagai angka sementara.</w:t>
      </w:r>
    </w:p>
    <w:p>
      <w:pPr>
        <w:pStyle w:val="IsiTemuan"/>
      </w:pPr>
      <w:r>
        <w:rPr>
          <w:b/>
          <w:bCs/>
          <w:color w:val="051C2C"/>
        </w:rPr>
        <w:t xml:space="preserve">Korban bencana alam 2015–2025 berjumlah </w:t>
      </w:r>
      <w:r>
        <w:rPr>
          <w:b/>
          <w:bCs/>
          <w:color w:val="051C2C"/>
        </w:rPr>
        <w:t xml:space="preserve">11.477</w:t>
      </w:r>
      <w:r>
        <w:rPr>
          <w:b/>
          <w:bCs/>
          <w:color w:val="051C2C"/>
        </w:rPr>
        <w:t xml:space="preserve"> meninggal dan </w:t>
      </w:r>
      <w:r>
        <w:rPr>
          <w:b/>
          <w:bCs/>
          <w:color w:val="051C2C"/>
        </w:rPr>
        <w:t xml:space="preserve">1.579</w:t>
      </w:r>
      <w:r>
        <w:rPr>
          <w:b/>
          <w:bCs/>
          <w:color w:val="051C2C"/>
        </w:rPr>
        <w:t xml:space="preserve"> hilang, dengan dua puncak pada 2018 dan 2025.</w:t>
      </w:r>
      <w:r>
        <w:t xml:space="preserve"> Tahun 2018 mencatat </w:t>
      </w:r>
      <w:r>
        <w:t xml:space="preserve">5.477</w:t>
      </w:r>
      <w:r>
        <w:t xml:space="preserve"> meninggal dan </w:t>
      </w:r>
      <w:r>
        <w:t xml:space="preserve">763</w:t>
      </w:r>
      <w:r>
        <w:t xml:space="preserve"> hilang, sedangkan 2025 mencatat </w:t>
      </w:r>
      <w:r>
        <w:t xml:space="preserve">1.735</w:t>
      </w:r>
      <w:r>
        <w:t xml:space="preserve"> meninggal dan </w:t>
      </w:r>
      <w:r>
        <w:t xml:space="preserve">221</w:t>
      </w:r>
      <w:r>
        <w:t xml:space="preserve"> hilang (</w:t>
      </w:r>
      <w:r>
        <w:fldChar w:fldCharType="begin"/>
      </w:r>
      <w:r>
        <w:instrText xml:space="preserve"> REF _Ref0044 \h \* CHARFORMAT </w:instrText>
      </w:r>
      <w:r>
        <w:fldChar w:fldCharType="separate"/>
      </w:r>
      <w:r>
        <w:t xml:space="preserve">Gambar 4.3</w:t>
      </w:r>
      <w:r>
        <w:fldChar w:fldCharType="end"/>
      </w:r>
      <w:r>
        <w:t xml:space="preserve">). Seri semua klasifikasi memberi </w:t>
      </w:r>
      <w:r>
        <w:t xml:space="preserve">11.873</w:t>
      </w:r>
      <w:r>
        <w:t xml:space="preserve"> meninggal dan </w:t>
      </w:r>
      <w:r>
        <w:t xml:space="preserve">1.606</w:t>
      </w:r>
      <w:r>
        <w:t xml:space="preserve"> hilang untuk periode yang sama, dan </w:t>
      </w:r>
      <w:r>
        <w:t xml:space="preserve">2.030</w:t>
      </w:r>
      <w:r>
        <w:t xml:space="preserve"> meninggal serta </w:t>
      </w:r>
      <w:r>
        <w:t xml:space="preserve">246</w:t>
      </w:r>
      <w:r>
        <w:t xml:space="preserve"> hilang untuk 2025; selisihnya memuat </w:t>
      </w:r>
      <w:r>
        <w:t xml:space="preserve">295</w:t>
      </w:r>
      <w:r>
        <w:t xml:space="preserve"> meninggal di luar bencana alam yang sebelum 2024 tidak dicatat </w:t>
      </w:r>
      <w:r>
        <w:t xml:space="preserve">(BNPB, t.t.-a)</w:t>
      </w:r>
      <w:r>
        <w:t xml:space="preserve">. Klaim "tertinggi sejak 2018" berlaku di kedua seri, karena angka alam 2025 juga melampaui tiap tahun 2019–2024, yang berkisar antara </w:t>
      </w:r>
      <w:r>
        <w:t xml:space="preserve">275</w:t>
      </w:r>
      <w:r>
        <w:t xml:space="preserve"> pada 2023 dan </w:t>
      </w:r>
      <w:r>
        <w:t xml:space="preserve">858</w:t>
      </w:r>
      <w:r>
        <w:t xml:space="preserve"> pada 2022. Data luka dan sakit tidak dipakai karena isiannya tidak stabil antartahun dan banyak baris kosong.</w:t>
      </w:r>
    </w:p>
    <w:p>
      <w:pPr>
        <w:pStyle w:val="Caption"/>
      </w:pPr>
      <w:bookmarkStart w:id="164" w:name="_Toc00068"/>
      <w:bookmarkStart w:id="163" w:name="_Ref004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63"/>
      <w:r>
        <w:rPr>
          <w:b/>
          <w:bCs/>
          <w:color w:val="051C2C"/>
        </w:rPr>
        <w:t xml:space="preserve"> </w:t>
      </w:r>
      <w:r>
        <w:t xml:space="preserve">Korban meninggal dan hilang akibat bencana alam per tahun menurut kelompok hidrometeorologi dan geologi di Indonesia, 2015–2026 (jiwa)</w:t>
      </w:r>
      <w:bookmarkEnd w:id="164"/>
    </w:p>
    <w:p xmlns:a="http://schemas.openxmlformats.org/drawingml/2006/main" xmlns:pic="http://schemas.openxmlformats.org/drawingml/2006/picture">
      <w:pPr>
        <w:keepNext/>
        <w:spacing w:after="0" w:line="240" w:lineRule="auto"/>
        <w:jc w:val="center"/>
      </w:pPr>
      <w:bookmarkStart w:id="165" w:name="_Obj0012"/>
      <w:r>
        <w:drawing>
          <wp:inline distT="0" distB="0" distL="0" distR="0">
            <wp:extent cx="5940000" cy="2857292"/>
            <wp:effectExtent l="0" t="0" r="0" b="0"/>
            <wp:docPr id="25" name="Gambar 25"/>
            <wp:cNvGraphicFramePr>
              <a:graphicFrameLocks noChangeAspect="1"/>
            </wp:cNvGraphicFramePr>
            <a:graphic>
              <a:graphicData uri="http://schemas.openxmlformats.org/drawingml/2006/picture">
                <pic:pic>
                  <pic:nvPicPr>
                    <pic:cNvPr id="25" name="bab04-korban-tahunan.png"/>
                    <pic:cNvPicPr/>
                  </pic:nvPicPr>
                  <pic:blipFill>
                    <a:blip r:embed="rId30"/>
                    <a:stretch>
                      <a:fillRect/>
                    </a:stretch>
                  </pic:blipFill>
                  <pic:spPr>
                    <a:xfrm>
                      <a:off x="0" y="0"/>
                      <a:ext cx="5940000" cy="2857292"/>
                    </a:xfrm>
                    <a:prstGeom prst="rect">
                      <a:avLst/>
                    </a:prstGeom>
                  </pic:spPr>
                </pic:pic>
              </a:graphicData>
            </a:graphic>
          </wp:inline>
        </w:drawing>
      </w:r>
      <w:bookmarkEnd w:id="165"/>
    </w:p>
    <w:p>
      <w:pPr>
        <w:pStyle w:val="Sumber"/>
        <w:spacing w:after="40"/>
      </w:pPr>
      <w:r>
        <w:rPr>
          <w:b/>
          <w:bCs/>
          <w:color w:val="6B7280"/>
          <w:sz w:val="17"/>
          <w:szCs w:val="17"/>
        </w:rPr>
        <w:t xml:space="preserve">Sumber: </w:t>
      </w:r>
      <w:r>
        <w:rPr>
          <w:color w:val="6B7280"/>
          <w:sz w:val="17"/>
          <w:szCs w:val="17"/>
        </w:rPr>
        <w:t xml:space="preserve">BNPB, DIBI dasbor publik, sembilan jenis bencana alam, cakupan kejadian bencana; 2026 sementara sampai 23 Oktober</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COVID-19 tidak tercatat di DIBI dan tidak digambar; angka 2026 sementara sampai 23 Oktober.</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Rencana Strategis (Renstra) BNPB 2025–2029 mengutip </w:t>
            </w:r>
            <w:r>
              <w:rPr>
                <w:i/>
                <w:iCs/>
              </w:rPr>
              <w:t xml:space="preserve">National Assessment Report</w:t>
            </w:r>
            <w:r>
              <w:t xml:space="preserve"> 2023 bahwa jumlah kejadian bencana menurun dalam tiga tahun terakhir sementara korban tewas meningkat </w:t>
            </w:r>
            <w:r>
              <w:t xml:space="preserve">(BNPB, 2025e, hlm. 24)</w:t>
            </w:r>
            <w:r>
              <w:t xml:space="preserve">. Seri DIBI yang ditarik Oktober 2026 hanya sebagian sejalan. Kejadian alam naik dari </w:t>
            </w:r>
            <w:r>
              <w:t xml:space="preserve">3.814</w:t>
            </w:r>
            <w:r>
              <w:t xml:space="preserve"> pada 2019 menjadi </w:t>
            </w:r>
            <w:r>
              <w:t xml:space="preserve">4.649</w:t>
            </w:r>
            <w:r>
              <w:t xml:space="preserve"> pada 2020 dan </w:t>
            </w:r>
            <w:r>
              <w:t xml:space="preserve">5.402</w:t>
            </w:r>
            <w:r>
              <w:t xml:space="preserve"> pada 2021, lalu turun menjadi </w:t>
            </w:r>
            <w:r>
              <w:t xml:space="preserve">3.544</w:t>
            </w:r>
            <w:r>
              <w:t xml:space="preserve"> pada 2022. Yang cocok dengan pernyataan itu hanya pasangan 2021 dan 2022, ketika kejadian turun dan korban meninggal naik dari </w:t>
            </w:r>
            <w:r>
              <w:t xml:space="preserve">728</w:t>
            </w:r>
            <w:r>
              <w:t xml:space="preserve"> menjadi </w:t>
            </w:r>
            <w:r>
              <w:t xml:space="preserve">858</w:t>
            </w:r>
            <w:r>
              <w:t xml:space="preserve">. Tahun dasar laporan itu tidak disebut Renstra dan DIBI adalah data hidup, sehingga bab ini memakai pola yang terukur dari DIBI.</w:t>
            </w:r>
          </w:p>
        </w:tc>
      </w:tr>
    </w:tbl>
    <w:p>
      <w:pPr>
        <w:pStyle w:val="Jarak"/>
      </w:pPr>
    </w:p>
    <w:p>
      <w:pPr>
        <w:pStyle w:val="Heading2"/>
      </w:pPr>
      <w:bookmarkStart w:id="167" w:name="_Toc00069"/>
      <w:bookmarkStart w:id="166" w:name="_Ref0155"/>
      <w:r>
        <w:t xml:space="preserve">4.2</w:t>
      </w:r>
      <w:bookmarkEnd w:id="166"/>
      <w:r>
        <w:tab/>
      </w:r>
      <w:r>
        <w:t xml:space="preserve">Kejadian Besar 1996–2025</w:t>
      </w:r>
      <w:bookmarkEnd w:id="167"/>
    </w:p>
    <w:p>
      <w:pPr>
        <w:pStyle w:val="IsiTemuan"/>
      </w:pPr>
      <w:r>
        <w:rPr>
          <w:b/>
          <w:bCs/>
          <w:color w:val="051C2C"/>
        </w:rPr>
        <w:t xml:space="preserve">Tsunami Aceh 2004 menjadi lantai tsunami nasional dengan </w:t>
      </w:r>
      <w:r>
        <w:rPr>
          <w:b/>
          <w:bCs/>
          <w:color w:val="051C2C"/>
        </w:rPr>
        <w:t xml:space="preserve">127.720</w:t>
      </w:r>
      <w:r>
        <w:rPr>
          <w:b/>
          <w:bCs/>
          <w:color w:val="051C2C"/>
        </w:rPr>
        <w:t xml:space="preserve"> meninggal dan </w:t>
      </w:r>
      <w:r>
        <w:rPr>
          <w:b/>
          <w:bCs/>
          <w:color w:val="051C2C"/>
        </w:rPr>
        <w:t xml:space="preserve">93.285</w:t>
      </w:r>
      <w:r>
        <w:rPr>
          <w:b/>
          <w:bCs/>
          <w:color w:val="051C2C"/>
        </w:rPr>
        <w:t xml:space="preserve"> hilang menurut buku resmi Badan Rehabilitasi dan Rekonstruksi (BRR) NAD–Nias.</w:t>
      </w:r>
      <w:r>
        <w:t xml:space="preserve"> Angka itu tertulis di halaman capaian empat tahun, sedangkan teks naratif seri buku BRR yang sama menulis </w:t>
      </w:r>
      <w:r>
        <w:t xml:space="preserve">126.741</w:t>
      </w:r>
      <w:r>
        <w:t xml:space="preserve"> meninggal dengan jumlah hilang yang sama dan </w:t>
      </w:r>
      <w:r>
        <w:t xml:space="preserve">139.195</w:t>
      </w:r>
      <w:r>
        <w:t xml:space="preserve"> rumah hancur atau rusak berat </w:t>
      </w:r>
      <w:r>
        <w:t xml:space="preserve">(Badan Rehabilitasi dan Rekonstruksi NAD–Nias [BRR NAD–Nias], 2009b, hlm. xiii, 2009a, hlm. x)</w:t>
      </w:r>
      <w:r>
        <w:t xml:space="preserve">. BRR tidak menjelaskan selisih kedua angka meninggal itu, sehingga kajian ini menuliskan keduanya berdampingan. Buku BRR diberi label resmi karena BRR adalah badan pemerintah pelaksana Rencana Induk rehabilitasi dan rekonstruksi Aceh dan Nias dalam Perpres 30/2005, sedangkan Buku Utama Rencana Induk itu tidak berhasil diperoleh penyusun </w:t>
      </w:r>
      <w:r>
        <w:t xml:space="preserve">(Republik Indonesia, 2005)</w:t>
      </w:r>
      <w:r>
        <w:t xml:space="preserve">. Gempa Nias 2005 tercatat </w:t>
      </w:r>
      <w:r>
        <w:t xml:space="preserve">966</w:t>
      </w:r>
      <w:r>
        <w:t xml:space="preserve"> meninggal dalam buku yang sama. Dasbor publik DIBI dimulai 2008 dan tidak memuat kedua kejadian itu.</w:t>
      </w:r>
    </w:p>
    <w:p>
      <w:pPr>
        <w:pStyle w:val="IsiTemuan"/>
      </w:pPr>
      <w:r>
        <w:rPr>
          <w:b/>
          <w:bCs/>
          <w:color w:val="051C2C"/>
        </w:rPr>
        <w:t xml:space="preserve">Lantai tsunami per wilayah adalah Pangandaran 2006 (</w:t>
      </w:r>
      <w:r>
        <w:rPr>
          <w:b/>
          <w:bCs/>
          <w:color w:val="051C2C"/>
        </w:rPr>
        <w:t xml:space="preserve">665</w:t>
      </w:r>
      <w:r>
        <w:rPr>
          <w:b/>
          <w:bCs/>
          <w:color w:val="051C2C"/>
        </w:rPr>
        <w:t xml:space="preserve"> meninggal), Mentawai 2010 (</w:t>
      </w:r>
      <w:r>
        <w:rPr>
          <w:b/>
          <w:bCs/>
          <w:color w:val="051C2C"/>
        </w:rPr>
        <w:t xml:space="preserve">447</w:t>
      </w:r>
      <w:r>
        <w:rPr>
          <w:b/>
          <w:bCs/>
          <w:color w:val="051C2C"/>
        </w:rPr>
        <w:t xml:space="preserve">), dan Selat Sunda 2018 (</w:t>
      </w:r>
      <w:r>
        <w:rPr>
          <w:b/>
          <w:bCs/>
          <w:color w:val="051C2C"/>
        </w:rPr>
        <w:t xml:space="preserve">437</w:t>
      </w:r>
      <w:r>
        <w:rPr>
          <w:b/>
          <w:bCs/>
          <w:color w:val="051C2C"/>
        </w:rPr>
        <w:t xml:space="preserve">).</w:t>
      </w:r>
      <w:r>
        <w:t xml:space="preserve"> Ketiganya berlaku berturut-turut untuk megathrust selatan Jawa, segmen Mentawai dan Enggano, dan Selat Sunda. Seluruh korban Pangandaran disebabkan tsunami, dengan </w:t>
      </w:r>
      <w:r>
        <w:t xml:space="preserve">65</w:t>
      </w:r>
      <w:r>
        <w:t xml:space="preserve"> orang hilang dan </w:t>
      </w:r>
      <w:r>
        <w:rPr>
          <w:i/>
          <w:iCs/>
        </w:rPr>
        <w:t xml:space="preserve">run-up</w:t>
      </w:r>
      <w:r>
        <w:t xml:space="preserve"> tertinggi </w:t>
      </w:r>
      <w:r>
        <w:t xml:space="preserve">4,6 m</w:t>
      </w:r>
      <w:r>
        <w:t xml:space="preserve"> di Widarapayung, Cilacap </w:t>
      </w:r>
      <w:r>
        <w:t xml:space="preserve">(U.S. Geological Survey [USGS], 2006b)</w:t>
      </w:r>
      <w:r>
        <w:t xml:space="preserve">. Mentawai mencatat </w:t>
      </w:r>
      <w:r>
        <w:t xml:space="preserve">56</w:t>
      </w:r>
      <w:r>
        <w:t xml:space="preserve"> hilang dan Selat Sunda </w:t>
      </w:r>
      <w:r>
        <w:t xml:space="preserve">16</w:t>
      </w:r>
      <w:r>
        <w:t xml:space="preserve"> hilang </w:t>
      </w:r>
      <w:r>
        <w:t xml:space="preserve">(BNPB, t.t.-a)</w:t>
      </w:r>
      <w:r>
        <w:t xml:space="preserve">; tsunami Selat Sunda dipicu longsor lereng Anak Krakatau </w:t>
      </w:r>
      <w:r>
        <w:t xml:space="preserve">(BNPB, 2025e, hlm. 16)</w:t>
      </w:r>
      <w:r>
        <w:t xml:space="preserve">. Skenario tsunami di salah satu wilayah itu yang lebih ringan daripada kejadian tercatatnya melanggar aturan lantai skenario kajian ini (</w:t>
      </w:r>
      <w:hyperlink w:anchor="_Ref0000" w:history="1">
        <w:r>
          <w:t xml:space="preserve">Bab 6</w:t>
        </w:r>
      </w:hyperlink>
      <w:r>
        <w:t xml:space="preserve">). Sulawesi Tengah 2018 tidak dipakai sebagai lantai tsunami karena korbannya gabungan gempa dan bahaya ikutannya yang tidak dapat dipisah.</w:t>
      </w:r>
    </w:p>
    <w:p>
      <w:pPr>
        <w:pStyle w:val="IsiTemuan"/>
      </w:pPr>
      <w:r>
        <w:rPr>
          <w:b/>
          <w:bCs/>
          <w:color w:val="051C2C"/>
        </w:rPr>
        <w:t xml:space="preserve">Gempa darat Yogyakarta 2006 dengan </w:t>
      </w:r>
      <w:r>
        <w:rPr>
          <w:b/>
          <w:bCs/>
          <w:color w:val="051C2C"/>
        </w:rPr>
        <w:t xml:space="preserve">5.749</w:t>
      </w:r>
      <w:r>
        <w:rPr>
          <w:b/>
          <w:bCs/>
          <w:color w:val="051C2C"/>
        </w:rPr>
        <w:t xml:space="preserve"> meninggal menurut </w:t>
      </w:r>
      <w:r>
        <w:rPr>
          <w:b/>
          <w:bCs/>
          <w:i/>
          <w:iCs/>
          <w:color w:val="051C2C"/>
        </w:rPr>
        <w:t xml:space="preserve">United States Geological Survey</w:t>
      </w:r>
      <w:r>
        <w:rPr>
          <w:b/>
          <w:bCs/>
          <w:color w:val="051C2C"/>
        </w:rPr>
        <w:t xml:space="preserve"> (USGS) menjadi analog guncangan sesar darat di Jawa.</w:t>
      </w:r>
      <w:r>
        <w:t xml:space="preserve"> Skenario sesar darat Jawa yang lebih ringan daripada angka itu melanggar aturan lantai </w:t>
      </w:r>
      <w:r>
        <w:t xml:space="preserve">(USGS, 2006a)</w:t>
      </w:r>
      <w:r>
        <w:t xml:space="preserve">. Gempa Padang 2009 tercatat </w:t>
      </w:r>
      <w:r>
        <w:t xml:space="preserve">1.195</w:t>
      </w:r>
      <w:r>
        <w:t xml:space="preserve"> meninggal di DIBI dan </w:t>
      </w:r>
      <w:r>
        <w:t xml:space="preserve">1.117</w:t>
      </w:r>
      <w:r>
        <w:t xml:space="preserve"> di USGS </w:t>
      </w:r>
      <w:r>
        <w:t xml:space="preserve">(USGS, 2009)</w:t>
      </w:r>
      <w:r>
        <w:t xml:space="preserve">, sedangkan gempa berantai Sulawesi Tengah 2018 tercatat </w:t>
      </w:r>
      <w:r>
        <w:t xml:space="preserve">4.140</w:t>
      </w:r>
      <w:r>
        <w:t xml:space="preserve"> meninggal dan </w:t>
      </w:r>
      <w:r>
        <w:t xml:space="preserve">705</w:t>
      </w:r>
      <w:r>
        <w:t xml:space="preserve"> hilang di DIBI dan </w:t>
      </w:r>
      <w:r>
        <w:t xml:space="preserve">2.077</w:t>
      </w:r>
      <w:r>
        <w:t xml:space="preserve"> meninggal dan </w:t>
      </w:r>
      <w:r>
        <w:t xml:space="preserve">1.075</w:t>
      </w:r>
      <w:r>
        <w:t xml:space="preserve"> hilang di USGS </w:t>
      </w:r>
      <w:r>
        <w:t xml:space="preserve">(USGS, 2018b)</w:t>
      </w:r>
      <w:r>
        <w:t xml:space="preserve">. Data publik tidak menjelaskan mengapa angka meninggal DIBI untuk Sulawesi Tengah hampir dua kali angka USGS. Gempa Cianjur 2022 tercatat </w:t>
      </w:r>
      <w:r>
        <w:t xml:space="preserve">602</w:t>
      </w:r>
      <w:r>
        <w:t xml:space="preserve"> meninggal. Nilai kerusakan dan kerugiannya </w:t>
      </w:r>
      <w:r>
        <w:t xml:space="preserve">Rp4,6 triliun</w:t>
      </w:r>
      <w:r>
        <w:t xml:space="preserve"> menurut Rencana Rehabilitasi dan Rekonstruksi Pascabencana (R3P) kabupaten </w:t>
      </w:r>
      <w:r>
        <w:t xml:space="preserve">(Pemerintah Kabupaten Cianjur, 2022)</w:t>
      </w:r>
      <w:r>
        <w:t xml:space="preserve">. Gempa Nusa Tenggara Timur 2026 mencatat rumah rusak berat dua kali jumlah Cianjur (</w:t>
      </w:r>
      <w:r>
        <w:t xml:space="preserve">29.315</w:t>
      </w:r>
      <w:r>
        <w:t xml:space="preserve"> lawan </w:t>
      </w:r>
      <w:r>
        <w:t xml:space="preserve">13.730</w:t>
      </w:r>
      <w:r>
        <w:t xml:space="preserve">) walaupun korban meninggalnya lebih kecil </w:t>
      </w:r>
      <w:r>
        <w:t xml:space="preserve">(BNPB, t.t.-a)</w:t>
      </w:r>
      <w:r>
        <w:t xml:space="preserve">.</w:t>
      </w:r>
    </w:p>
    <w:p>
      <w:pPr>
        <w:pStyle w:val="IsiTemuan"/>
      </w:pPr>
      <w:r>
        <w:rPr>
          <w:b/>
          <w:bCs/>
          <w:color w:val="051C2C"/>
        </w:rPr>
        <w:t xml:space="preserve">Erupsi Merapi 2010 tercatat </w:t>
      </w:r>
      <w:r>
        <w:rPr>
          <w:b/>
          <w:bCs/>
          <w:color w:val="051C2C"/>
        </w:rPr>
        <w:t xml:space="preserve">386</w:t>
      </w:r>
      <w:r>
        <w:rPr>
          <w:b/>
          <w:bCs/>
          <w:color w:val="051C2C"/>
        </w:rPr>
        <w:t xml:space="preserve"> meninggal dan </w:t>
      </w:r>
      <w:r>
        <w:rPr>
          <w:b/>
          <w:bCs/>
          <w:color w:val="051C2C"/>
        </w:rPr>
        <w:t xml:space="preserve">447.982</w:t>
      </w:r>
      <w:r>
        <w:rPr>
          <w:b/>
          <w:bCs/>
          <w:color w:val="051C2C"/>
        </w:rPr>
        <w:t xml:space="preserve"> pengungsi, korban erupsi terbesar di DIBI 2008–2026.</w:t>
      </w:r>
      <w:r>
        <w:t xml:space="preserve"> Erupsi dengan korban terbesar berikutnya adalah Semeru 2021 dengan </w:t>
      </w:r>
      <w:r>
        <w:t xml:space="preserve">64</w:t>
      </w:r>
      <w:r>
        <w:t xml:space="preserve"> meninggal dan </w:t>
      </w:r>
      <w:r>
        <w:t xml:space="preserve">9</w:t>
      </w:r>
      <w:r>
        <w:t xml:space="preserve"> hilang </w:t>
      </w:r>
      <w:r>
        <w:t xml:space="preserve">(BNPB, t.t.-a)</w:t>
      </w:r>
      <w:r>
        <w:t xml:space="preserve">.</w:t>
      </w:r>
    </w:p>
    <w:p>
      <w:pPr>
        <w:pStyle w:val="IsiTemuan"/>
      </w:pPr>
      <w:r>
        <w:rPr>
          <w:b/>
          <w:bCs/>
          <w:color w:val="051C2C"/>
        </w:rPr>
        <w:t xml:space="preserve">Banjir dan longsor Sumatra November 2025 menewaskan </w:t>
      </w:r>
      <w:r>
        <w:rPr>
          <w:b/>
          <w:bCs/>
          <w:color w:val="051C2C"/>
        </w:rPr>
        <w:t xml:space="preserve">1.202</w:t>
      </w:r>
      <w:r>
        <w:rPr>
          <w:b/>
          <w:bCs/>
          <w:color w:val="051C2C"/>
        </w:rPr>
        <w:t xml:space="preserve"> orang dan membuat </w:t>
      </w:r>
      <w:r>
        <w:rPr>
          <w:b/>
          <w:bCs/>
          <w:color w:val="051C2C"/>
        </w:rPr>
        <w:t xml:space="preserve">140</w:t>
      </w:r>
      <w:r>
        <w:rPr>
          <w:b/>
          <w:bCs/>
          <w:color w:val="051C2C"/>
        </w:rPr>
        <w:t xml:space="preserve"> hilang di </w:t>
      </w:r>
      <w:r>
        <w:rPr>
          <w:b/>
          <w:bCs/>
          <w:color w:val="051C2C"/>
        </w:rPr>
        <w:t xml:space="preserve">55</w:t>
      </w:r>
      <w:r>
        <w:rPr>
          <w:b/>
          <w:bCs/>
          <w:color w:val="051C2C"/>
        </w:rPr>
        <w:t xml:space="preserve"> kabupaten/kota di Aceh, Sumatera Utara, dan Sumatera Barat.</w:t>
      </w:r>
      <w:r>
        <w:t xml:space="preserve"> Kejadian itu juga mencatat </w:t>
      </w:r>
      <w:r>
        <w:t xml:space="preserve">970.876</w:t>
      </w:r>
      <w:r>
        <w:t xml:space="preserve"> pengungsi, dan jendela kejadian 15 November sampai 31 Desember 2025 adalah pilihan penyusun </w:t>
      </w:r>
      <w:r>
        <w:t xml:space="preserve">(BNPB, t.t.-a)</w:t>
      </w:r>
      <w:r>
        <w:t xml:space="preserve">. Musim hujan 1 Oktober 2025 sampai 30 April 2026 secara nasional mencatat </w:t>
      </w:r>
      <w:r>
        <w:t xml:space="preserve">1.506</w:t>
      </w:r>
      <w:r>
        <w:t xml:space="preserve"> meninggal dan </w:t>
      </w:r>
      <w:r>
        <w:t xml:space="preserve">186</w:t>
      </w:r>
      <w:r>
        <w:t xml:space="preserve"> hilang, musim terberat dalam seri DIBI sejak 2008/2009. Gabungan </w:t>
      </w:r>
      <w:r>
        <w:t xml:space="preserve">1.692</w:t>
      </w:r>
      <w:r>
        <w:t xml:space="preserve"> meninggal dan hilang itu menjadi lantai skenario hidrometeorologi. Model La Niña nasional, estimasi model yang belum diuji balik, memberi </w:t>
      </w:r>
      <w:r>
        <w:t xml:space="preserve">520–1.200</w:t>
      </w:r>
      <w:r>
        <w:t xml:space="preserve"> korban jiwa. Batas atasnya di bawah musim tercatat itu, sehingga model tidak dipakai sebagai skenario terburuk. Korban meninggal hidrometeorologi 2025 sebanyak </w:t>
      </w:r>
      <w:r>
        <w:t xml:space="preserve">1.731</w:t>
      </w:r>
      <w:r>
        <w:t xml:space="preserve"> adalah </w:t>
      </w:r>
      <w:r>
        <w:t xml:space="preserve">3,2 kali</w:t>
      </w:r>
      <w:r>
        <w:t xml:space="preserve"> maksimum 2015–2024 (</w:t>
      </w:r>
      <w:r>
        <w:t xml:space="preserve">545</w:t>
      </w:r>
      <w:r>
        <w:t xml:space="preserve">) dan </w:t>
      </w:r>
      <w:r>
        <w:t xml:space="preserve">2,2 kali</w:t>
      </w:r>
      <w:r>
        <w:t xml:space="preserve"> maksimum 2008–2024 (</w:t>
      </w:r>
      <w:r>
        <w:t xml:space="preserve">774</w:t>
      </w:r>
      <w:r>
        <w:t xml:space="preserve">, tahun banjir bandang Wasior). Kajian menyandingkan kedua jendela karena pemilihan jendela merupakan asumsi kebijakan.</w:t>
      </w:r>
    </w:p>
    <w:p>
      <w:pPr>
        <w:pStyle w:val="IsiTemuan"/>
      </w:pPr>
      <w:r>
        <w:rPr>
          <w:b/>
          <w:bCs/>
          <w:color w:val="051C2C"/>
        </w:rPr>
        <w:t xml:space="preserve">Analog hidrometeorologi lain bersumber DIBI, termasuk banjir bandang Wasior 2010 dengan </w:t>
      </w:r>
      <w:r>
        <w:rPr>
          <w:b/>
          <w:bCs/>
          <w:color w:val="051C2C"/>
        </w:rPr>
        <w:t xml:space="preserve">170</w:t>
      </w:r>
      <w:r>
        <w:rPr>
          <w:b/>
          <w:bCs/>
          <w:color w:val="051C2C"/>
        </w:rPr>
        <w:t xml:space="preserve"> meninggal dan </w:t>
      </w:r>
      <w:r>
        <w:rPr>
          <w:b/>
          <w:bCs/>
          <w:color w:val="051C2C"/>
        </w:rPr>
        <w:t xml:space="preserve">118</w:t>
      </w:r>
      <w:r>
        <w:rPr>
          <w:b/>
          <w:bCs/>
          <w:color w:val="051C2C"/>
        </w:rPr>
        <w:t xml:space="preserve"> hilang.</w:t>
      </w:r>
      <w:r>
        <w:t xml:space="preserve"> Siklon Seroja 2021 tercatat </w:t>
      </w:r>
      <w:r>
        <w:t xml:space="preserve">154</w:t>
      </w:r>
      <w:r>
        <w:t xml:space="preserve"> meninggal dan </w:t>
      </w:r>
      <w:r>
        <w:t xml:space="preserve">34</w:t>
      </w:r>
      <w:r>
        <w:t xml:space="preserve"> hilang di DIBI, sedangkan Renstra menulis </w:t>
      </w:r>
      <w:r>
        <w:t xml:space="preserve">184</w:t>
      </w:r>
      <w:r>
        <w:t xml:space="preserve"> meninggal dan </w:t>
      </w:r>
      <w:r>
        <w:t xml:space="preserve">47</w:t>
      </w:r>
      <w:r>
        <w:t xml:space="preserve"> hilang </w:t>
      </w:r>
      <w:r>
        <w:t xml:space="preserve">(BNPB, 2025e, hlm. 11)</w:t>
      </w:r>
      <w:r>
        <w:t xml:space="preserve">; selisih keduanya belum terjelaskan. Karhutla 2015 tercatat </w:t>
      </w:r>
      <w:r>
        <w:t xml:space="preserve">24</w:t>
      </w:r>
      <w:r>
        <w:t xml:space="preserve"> meninggal di DIBI, sementara model transpor kimia atmosfer memperkirakan </w:t>
      </w:r>
      <w:r>
        <w:t xml:space="preserve">sekitar 92.000</w:t>
      </w:r>
      <w:r>
        <w:t xml:space="preserve"> kematian dewasa berlebih akibat paparan partikel halus dari asap Juli–Oktober 2015, dengan selang </w:t>
      </w:r>
      <w:r>
        <w:t xml:space="preserve">24.000–160.000</w:t>
      </w:r>
      <w:r>
        <w:t xml:space="preserve"> </w:t>
      </w:r>
      <w:r>
        <w:t xml:space="preserve">(Koplitz dkk., 2016)</w:t>
      </w:r>
      <w:r>
        <w:t xml:space="preserve">. Angka model itu bukan korban tercatat maupun beban kematian total, dan kartu skenario karhutla di </w:t>
      </w:r>
      <w:hyperlink w:anchor="_Ref0002" w:history="1">
        <w:r>
          <w:t xml:space="preserve">Bab 7</w:t>
        </w:r>
      </w:hyperlink>
      <w:r>
        <w:t xml:space="preserve"> menuliskannya bersama angka DIBI.</w:t>
      </w:r>
    </w:p>
    <w:p>
      <w:pPr>
        <w:pStyle w:val="IsiTemuan"/>
      </w:pPr>
      <w:r>
        <w:rPr>
          <w:b/>
          <w:bCs/>
          <w:color w:val="051C2C"/>
        </w:rPr>
        <w:t xml:space="preserve">Analog nonalam dan sosial terbesar dalam tiga puluh tahun terakhir adalah pandemi COVID-19 dengan </w:t>
      </w:r>
      <w:r>
        <w:rPr>
          <w:b/>
          <w:bCs/>
          <w:color w:val="051C2C"/>
        </w:rPr>
        <w:t xml:space="preserve">161.870</w:t>
      </w:r>
      <w:r>
        <w:rPr>
          <w:b/>
          <w:bCs/>
          <w:color w:val="051C2C"/>
        </w:rPr>
        <w:t xml:space="preserve"> meninggal dan konflik Maluku 1999–2002 dengan sedikitnya </w:t>
      </w:r>
      <w:r>
        <w:rPr>
          <w:b/>
          <w:bCs/>
          <w:color w:val="051C2C"/>
        </w:rPr>
        <w:t xml:space="preserve">5.000</w:t>
      </w:r>
      <w:r>
        <w:rPr>
          <w:b/>
          <w:bCs/>
          <w:color w:val="051C2C"/>
        </w:rPr>
        <w:t xml:space="preserve"> meninggal.</w:t>
      </w:r>
      <w:r>
        <w:t xml:space="preserve"> Kematian berlebih COVID-19 2020–2021 menurut </w:t>
      </w:r>
      <w:r>
        <w:rPr>
          <w:i/>
          <w:iCs/>
        </w:rPr>
        <w:t xml:space="preserve">World Health Organization</w:t>
      </w:r>
      <w:r>
        <w:t xml:space="preserve"> (WHO) adalah </w:t>
      </w:r>
      <w:r>
        <w:t xml:space="preserve">810.000–1.300.000</w:t>
      </w:r>
      <w:r>
        <w:t xml:space="preserve">, estimasi model yang selalu ditulis sebagai rentang </w:t>
      </w:r>
      <w:r>
        <w:t xml:space="preserve">(World Health Organization [WHO], 2023)</w:t>
      </w:r>
      <w:r>
        <w:t xml:space="preserve">. Konflik Maluku membuat sekitar </w:t>
      </w:r>
      <w:r>
        <w:t xml:space="preserve">700.000</w:t>
      </w:r>
      <w:r>
        <w:t xml:space="preserve"> orang mengungsi </w:t>
      </w:r>
      <w:r>
        <w:t xml:space="preserve">(International Crisis Group [ICG], 2002)</w:t>
      </w:r>
      <w:r>
        <w:t xml:space="preserve">. Kebakaran terminal bahan bakar Plumpang 2023 tercatat </w:t>
      </w:r>
      <w:r>
        <w:t xml:space="preserve">17</w:t>
      </w:r>
      <w:r>
        <w:t xml:space="preserve"> meninggal dan </w:t>
      </w:r>
      <w:r>
        <w:t xml:space="preserve">18</w:t>
      </w:r>
      <w:r>
        <w:t xml:space="preserve"> hilang pada hari kedua menurut Kepala BNPB </w:t>
      </w:r>
      <w:r>
        <w:t xml:space="preserve">(Sekretariat Kabinet Republik Indonesia [Setkab], 2023b)</w:t>
      </w:r>
      <w:r>
        <w:t xml:space="preserve">, dan </w:t>
      </w:r>
      <w:r>
        <w:t xml:space="preserve">16</w:t>
      </w:r>
      <w:r>
        <w:t xml:space="preserve"> tempat pemrosesan akhir (TPA) terbakar hebat bersamaan pada kemarau El Niño 2023 </w:t>
      </w:r>
      <w:r>
        <w:t xml:space="preserve">(BNPB, 2024h)</w:t>
      </w:r>
      <w:r>
        <w:t xml:space="preserve">. Enam jenis bencana alam belum memiliki lantai kejadian tunggal karena turunan lantai per jenis dari DIBI belum dibangun; keenamnya tercantum pada </w:t>
      </w:r>
      <w:r>
        <w:fldChar w:fldCharType="begin"/>
      </w:r>
      <w:r>
        <w:instrText xml:space="preserve"> REF _Ref0240 \h \* CHARFORMAT </w:instrText>
      </w:r>
      <w:r>
        <w:fldChar w:fldCharType="separate"/>
      </w:r>
      <w:r>
        <w:t xml:space="preserve">Tabel 4.3</w:t>
      </w:r>
      <w:r>
        <w:fldChar w:fldCharType="end"/>
      </w:r>
      <w:r>
        <w:t xml:space="preserve">. Daftar kejadian besar tampil pada </w:t>
      </w:r>
      <w:r>
        <w:fldChar w:fldCharType="begin"/>
      </w:r>
      <w:r>
        <w:instrText xml:space="preserve"> REF _Ref0296 \h \* CHARFORMAT </w:instrText>
      </w:r>
      <w:r>
        <w:fldChar w:fldCharType="separate"/>
      </w:r>
      <w:r>
        <w:t xml:space="preserve">Tabel 4.1</w:t>
      </w:r>
      <w:r>
        <w:fldChar w:fldCharType="end"/>
      </w:r>
      <w:r>
        <w:t xml:space="preserve">, dan versi angka yang berbeda pada </w:t>
      </w:r>
      <w:r>
        <w:fldChar w:fldCharType="begin"/>
      </w:r>
      <w:r>
        <w:instrText xml:space="preserve"> REF _Ref0323 \h \* CHARFORMAT </w:instrText>
      </w:r>
      <w:r>
        <w:fldChar w:fldCharType="separate"/>
      </w:r>
      <w:r>
        <w:t xml:space="preserve">Tabel 4.2</w:t>
      </w:r>
      <w:r>
        <w:fldChar w:fldCharType="end"/>
      </w:r>
      <w:r>
        <w:t xml:space="preserve">.</w:t>
      </w:r>
    </w:p>
    <w:p>
      <w:pPr>
        <w:pStyle w:val="Caption"/>
      </w:pPr>
      <w:bookmarkStart w:id="169" w:name="_Toc00070"/>
      <w:bookmarkStart w:id="168" w:name="_Ref029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68"/>
      <w:r>
        <w:rPr>
          <w:b/>
          <w:bCs/>
          <w:color w:val="051C2C"/>
        </w:rPr>
        <w:t xml:space="preserve"> </w:t>
      </w:r>
      <w:r>
        <w:t xml:space="preserve">Kejadian besar di Indonesia, analog skenario, dan pelajarannya, 1996–2026</w:t>
      </w:r>
      <w:bookmarkEnd w:id="16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28"/>
        <w:gridCol w:w="1586"/>
        <w:gridCol w:w="1316"/>
        <w:gridCol w:w="910"/>
        <w:gridCol w:w="1262"/>
        <w:gridCol w:w="1326"/>
        <w:gridCol w:w="1626"/>
      </w:tblGrid>
      <w:tr>
        <w:trPr>
          <w:cantSplit/>
          <w:tblHeader/>
        </w:trPr>
        <w:tc>
          <w:tcPr>
            <w:tcW w:w="1328" w:type="dxa"/>
            <w:shd w:val="clear" w:color="auto" w:fill="051C2C"/>
            <w:vAlign w:val="center"/>
          </w:tcPr>
          <w:p>
            <w:pPr>
              <w:pStyle w:val="KepalaTabel"/>
              <w:suppressAutoHyphens/>
            </w:pPr>
            <w:r>
              <w:t xml:space="preserve">KEJADIAN</w:t>
            </w:r>
          </w:p>
        </w:tc>
        <w:tc>
          <w:tcPr>
            <w:tcW w:w="1586" w:type="dxa"/>
            <w:shd w:val="clear" w:color="auto" w:fill="051C2C"/>
            <w:vAlign w:val="center"/>
          </w:tcPr>
          <w:p>
            <w:pPr>
              <w:pStyle w:val="KepalaTabel"/>
              <w:suppressAutoHyphens/>
            </w:pPr>
            <w:r>
              <w:t xml:space="preserve">ANALOG UNTUK</w:t>
            </w:r>
          </w:p>
        </w:tc>
        <w:tc>
          <w:tcPr>
            <w:tcW w:w="1316" w:type="dxa"/>
            <w:shd w:val="clear" w:color="auto" w:fill="051C2C"/>
            <w:vAlign w:val="center"/>
          </w:tcPr>
          <w:p>
            <w:pPr>
              <w:pStyle w:val="KepalaTabel"/>
              <w:suppressAutoHyphens/>
            </w:pPr>
            <w:r>
              <w:t xml:space="preserve">MENINGGAL (jiwa)</w:t>
            </w:r>
          </w:p>
        </w:tc>
        <w:tc>
          <w:tcPr>
            <w:tcW w:w="910" w:type="dxa"/>
            <w:shd w:val="clear" w:color="auto" w:fill="051C2C"/>
            <w:vAlign w:val="center"/>
          </w:tcPr>
          <w:p>
            <w:pPr>
              <w:pStyle w:val="KepalaTabel"/>
              <w:suppressAutoHyphens/>
            </w:pPr>
            <w:r>
              <w:t xml:space="preserve">HILANG (jiwa)</w:t>
            </w:r>
          </w:p>
        </w:tc>
        <w:tc>
          <w:tcPr>
            <w:tcW w:w="1262" w:type="dxa"/>
            <w:shd w:val="clear" w:color="auto" w:fill="051C2C"/>
            <w:vAlign w:val="center"/>
          </w:tcPr>
          <w:p>
            <w:pPr>
              <w:pStyle w:val="KepalaTabel"/>
              <w:suppressAutoHyphens/>
            </w:pPr>
            <w:r>
              <w:t xml:space="preserve">SUMBER</w:t>
            </w:r>
          </w:p>
        </w:tc>
        <w:tc>
          <w:tcPr>
            <w:tcW w:w="1326" w:type="dxa"/>
            <w:shd w:val="clear" w:color="auto" w:fill="051C2C"/>
            <w:vAlign w:val="center"/>
          </w:tcPr>
          <w:p>
            <w:pPr>
              <w:pStyle w:val="KepalaTabel"/>
              <w:suppressAutoHyphens/>
            </w:pPr>
            <w:r>
              <w:t xml:space="preserve">KEYAKINAN</w:t>
            </w:r>
          </w:p>
        </w:tc>
        <w:tc>
          <w:tcPr>
            <w:tcW w:w="1626" w:type="dxa"/>
            <w:shd w:val="clear" w:color="auto" w:fill="051C2C"/>
            <w:vAlign w:val="center"/>
          </w:tcPr>
          <w:p>
            <w:pPr>
              <w:pStyle w:val="KepalaTabel"/>
              <w:suppressAutoHyphens/>
            </w:pPr>
            <w:r>
              <w:t xml:space="preserve">PELAJARAN</w:t>
            </w:r>
          </w:p>
        </w:tc>
      </w:tr>
      <w:tr>
        <w:trPr>
          <w:cantSplit/>
        </w:trPr>
        <w:tc>
          <w:tcPr>
            <w:tcW w:w="1328" w:type="dxa"/>
          </w:tcPr>
          <w:p>
            <w:pPr>
              <w:pStyle w:val="IsiTabel"/>
              <w:suppressAutoHyphens/>
              <w:jc w:val="left"/>
            </w:pPr>
            <w:r>
              <w:t xml:space="preserve">Tsunami Aceh 2004</w:t>
            </w:r>
          </w:p>
        </w:tc>
        <w:tc>
          <w:tcPr>
            <w:tcW w:w="1586" w:type="dxa"/>
          </w:tcPr>
          <w:p>
            <w:pPr>
              <w:pStyle w:val="IsiTabel"/>
              <w:suppressAutoHyphens/>
              <w:jc w:val="left"/>
            </w:pPr>
            <w:r>
              <w:t xml:space="preserve">tsunami, nasional</w:t>
            </w:r>
          </w:p>
        </w:tc>
        <w:tc>
          <w:tcPr>
            <w:tcW w:w="1316" w:type="dxa"/>
          </w:tcPr>
          <w:p>
            <w:pPr>
              <w:pStyle w:val="IsiTabel"/>
              <w:suppressAutoHyphens/>
              <w:jc w:val="right"/>
            </w:pPr>
            <w:r>
              <w:t xml:space="preserve">127.720</w:t>
            </w:r>
          </w:p>
        </w:tc>
        <w:tc>
          <w:tcPr>
            <w:tcW w:w="910" w:type="dxa"/>
          </w:tcPr>
          <w:p>
            <w:pPr>
              <w:pStyle w:val="IsiTabel"/>
              <w:suppressAutoHyphens/>
              <w:jc w:val="right"/>
            </w:pPr>
            <w:r>
              <w:t xml:space="preserve">93.285</w:t>
            </w:r>
          </w:p>
        </w:tc>
        <w:tc>
          <w:tcPr>
            <w:tcW w:w="1262" w:type="dxa"/>
          </w:tcPr>
          <w:p>
            <w:pPr>
              <w:pStyle w:val="IsiTabel"/>
              <w:suppressAutoHyphens/>
              <w:jc w:val="left"/>
            </w:pPr>
            <w:r>
              <w:t xml:space="preserve">BRR, capaian empat tahun</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pemulihan ad hoc</w:t>
            </w:r>
          </w:p>
        </w:tc>
      </w:tr>
      <w:tr>
        <w:trPr>
          <w:cantSplit/>
        </w:trPr>
        <w:tc>
          <w:tcPr>
            <w:tcW w:w="1328" w:type="dxa"/>
          </w:tcPr>
          <w:p>
            <w:pPr>
              <w:pStyle w:val="IsiTabel"/>
              <w:suppressAutoHyphens/>
              <w:jc w:val="left"/>
            </w:pPr>
            <w:r>
              <w:t xml:space="preserve">Gempa Nias 2005</w:t>
            </w:r>
          </w:p>
        </w:tc>
        <w:tc>
          <w:tcPr>
            <w:tcW w:w="1586" w:type="dxa"/>
          </w:tcPr>
          <w:p>
            <w:pPr>
              <w:pStyle w:val="IsiTabel"/>
              <w:suppressAutoHyphens/>
              <w:jc w:val="left"/>
            </w:pPr>
            <w:r>
              <w:t xml:space="preserve">gempa megathrust</w:t>
            </w:r>
          </w:p>
        </w:tc>
        <w:tc>
          <w:tcPr>
            <w:tcW w:w="1316" w:type="dxa"/>
          </w:tcPr>
          <w:p>
            <w:pPr>
              <w:pStyle w:val="IsiTabel"/>
              <w:suppressAutoHyphens/>
              <w:jc w:val="right"/>
            </w:pPr>
            <w:r>
              <w:t xml:space="preserve">966</w:t>
            </w:r>
          </w:p>
        </w:tc>
        <w:tc>
          <w:tcPr>
            <w:tcW w:w="910" w:type="dxa"/>
          </w:tcPr>
          <w:p>
            <w:pPr>
              <w:pStyle w:val="IsiTabel"/>
              <w:suppressAutoHyphens/>
              <w:jc w:val="right"/>
            </w:pPr>
            <w:r>
              <w:t xml:space="preserve">–</w:t>
            </w:r>
          </w:p>
        </w:tc>
        <w:tc>
          <w:tcPr>
            <w:tcW w:w="1262" w:type="dxa"/>
          </w:tcPr>
          <w:p>
            <w:pPr>
              <w:pStyle w:val="IsiTabel"/>
              <w:suppressAutoHyphens/>
              <w:jc w:val="left"/>
            </w:pPr>
            <w:r>
              <w:t xml:space="preserve">BRR</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pemulihan ad hoc</w:t>
            </w:r>
          </w:p>
        </w:tc>
      </w:tr>
      <w:tr>
        <w:trPr>
          <w:cantSplit/>
        </w:trPr>
        <w:tc>
          <w:tcPr>
            <w:tcW w:w="1328" w:type="dxa"/>
          </w:tcPr>
          <w:p>
            <w:pPr>
              <w:pStyle w:val="IsiTabel"/>
              <w:suppressAutoHyphens/>
              <w:jc w:val="left"/>
            </w:pPr>
            <w:r>
              <w:t xml:space="preserve">Gempa Yogyakarta 2006</w:t>
            </w:r>
          </w:p>
        </w:tc>
        <w:tc>
          <w:tcPr>
            <w:tcW w:w="1586" w:type="dxa"/>
          </w:tcPr>
          <w:p>
            <w:pPr>
              <w:pStyle w:val="IsiTabel"/>
              <w:suppressAutoHyphens/>
              <w:jc w:val="left"/>
            </w:pPr>
            <w:r>
              <w:t xml:space="preserve">gempa sesar darat</w:t>
            </w:r>
          </w:p>
        </w:tc>
        <w:tc>
          <w:tcPr>
            <w:tcW w:w="1316" w:type="dxa"/>
          </w:tcPr>
          <w:p>
            <w:pPr>
              <w:pStyle w:val="IsiTabel"/>
              <w:suppressAutoHyphens/>
              <w:jc w:val="right"/>
            </w:pPr>
            <w:r>
              <w:t xml:space="preserve">5.749</w:t>
            </w:r>
          </w:p>
        </w:tc>
        <w:tc>
          <w:tcPr>
            <w:tcW w:w="910" w:type="dxa"/>
          </w:tcPr>
          <w:p>
            <w:pPr>
              <w:pStyle w:val="IsiTabel"/>
              <w:suppressAutoHyphens/>
              <w:jc w:val="right"/>
            </w:pPr>
            <w:r>
              <w:t xml:space="preserve">–</w:t>
            </w:r>
          </w:p>
        </w:tc>
        <w:tc>
          <w:tcPr>
            <w:tcW w:w="1262" w:type="dxa"/>
          </w:tcPr>
          <w:p>
            <w:pPr>
              <w:pStyle w:val="IsiTabel"/>
              <w:suppressAutoHyphens/>
              <w:jc w:val="left"/>
            </w:pPr>
            <w:r>
              <w:t xml:space="preserve">USGS</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26" w:type="dxa"/>
          </w:tcPr>
          <w:p>
            <w:pPr>
              <w:pStyle w:val="IsiTabel"/>
              <w:suppressAutoHyphens/>
              <w:jc w:val="left"/>
            </w:pPr>
            <w:r>
              <w:t xml:space="preserve">pemulihan ad hoc</w:t>
            </w:r>
          </w:p>
        </w:tc>
      </w:tr>
      <w:tr>
        <w:trPr>
          <w:cantSplit/>
        </w:trPr>
        <w:tc>
          <w:tcPr>
            <w:tcW w:w="1328" w:type="dxa"/>
          </w:tcPr>
          <w:p>
            <w:pPr>
              <w:pStyle w:val="IsiTabel"/>
              <w:suppressAutoHyphens/>
              <w:jc w:val="left"/>
            </w:pPr>
            <w:r>
              <w:t xml:space="preserve">Tsunami Pangandaran 2006</w:t>
            </w:r>
          </w:p>
        </w:tc>
        <w:tc>
          <w:tcPr>
            <w:tcW w:w="1586" w:type="dxa"/>
          </w:tcPr>
          <w:p>
            <w:pPr>
              <w:pStyle w:val="IsiTabel"/>
              <w:suppressAutoHyphens/>
              <w:jc w:val="left"/>
            </w:pPr>
            <w:r>
              <w:t xml:space="preserve">tsunami, selatan Jawa</w:t>
            </w:r>
          </w:p>
        </w:tc>
        <w:tc>
          <w:tcPr>
            <w:tcW w:w="1316" w:type="dxa"/>
          </w:tcPr>
          <w:p>
            <w:pPr>
              <w:pStyle w:val="IsiTabel"/>
              <w:suppressAutoHyphens/>
              <w:jc w:val="right"/>
            </w:pPr>
            <w:r>
              <w:t xml:space="preserve">665</w:t>
            </w:r>
          </w:p>
        </w:tc>
        <w:tc>
          <w:tcPr>
            <w:tcW w:w="910" w:type="dxa"/>
          </w:tcPr>
          <w:p>
            <w:pPr>
              <w:pStyle w:val="IsiTabel"/>
              <w:suppressAutoHyphens/>
              <w:jc w:val="right"/>
            </w:pPr>
            <w:r>
              <w:t xml:space="preserve">65</w:t>
            </w:r>
          </w:p>
        </w:tc>
        <w:tc>
          <w:tcPr>
            <w:tcW w:w="1262" w:type="dxa"/>
          </w:tcPr>
          <w:p>
            <w:pPr>
              <w:pStyle w:val="IsiTabel"/>
              <w:suppressAutoHyphens/>
              <w:jc w:val="left"/>
            </w:pPr>
            <w:r>
              <w:t xml:space="preserve">USGS</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Gempa Padang 2009</w:t>
            </w:r>
          </w:p>
        </w:tc>
        <w:tc>
          <w:tcPr>
            <w:tcW w:w="1586" w:type="dxa"/>
          </w:tcPr>
          <w:p>
            <w:pPr>
              <w:pStyle w:val="IsiTabel"/>
              <w:suppressAutoHyphens/>
              <w:jc w:val="left"/>
            </w:pPr>
            <w:r>
              <w:t xml:space="preserve">gempa slab</w:t>
            </w:r>
          </w:p>
        </w:tc>
        <w:tc>
          <w:tcPr>
            <w:tcW w:w="1316" w:type="dxa"/>
          </w:tcPr>
          <w:p>
            <w:pPr>
              <w:pStyle w:val="IsiTabel"/>
              <w:suppressAutoHyphens/>
              <w:jc w:val="right"/>
            </w:pPr>
            <w:r>
              <w:t xml:space="preserve">1.195</w:t>
            </w:r>
          </w:p>
        </w:tc>
        <w:tc>
          <w:tcPr>
            <w:tcW w:w="910" w:type="dxa"/>
          </w:tcPr>
          <w:p>
            <w:pPr>
              <w:pStyle w:val="IsiTabel"/>
              <w:suppressAutoHyphens/>
              <w:jc w:val="right"/>
            </w:pPr>
            <w:r>
              <w:t xml:space="preserve">2</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Banjir bandang Wasior 2010</w:t>
            </w:r>
          </w:p>
        </w:tc>
        <w:tc>
          <w:tcPr>
            <w:tcW w:w="1586" w:type="dxa"/>
          </w:tcPr>
          <w:p>
            <w:pPr>
              <w:pStyle w:val="IsiTabel"/>
              <w:suppressAutoHyphens/>
              <w:jc w:val="left"/>
            </w:pPr>
            <w:r>
              <w:t xml:space="preserve">banjir bandang</w:t>
            </w:r>
          </w:p>
        </w:tc>
        <w:tc>
          <w:tcPr>
            <w:tcW w:w="1316" w:type="dxa"/>
          </w:tcPr>
          <w:p>
            <w:pPr>
              <w:pStyle w:val="IsiTabel"/>
              <w:suppressAutoHyphens/>
              <w:jc w:val="right"/>
            </w:pPr>
            <w:r>
              <w:t xml:space="preserve">170</w:t>
            </w:r>
          </w:p>
        </w:tc>
        <w:tc>
          <w:tcPr>
            <w:tcW w:w="910" w:type="dxa"/>
          </w:tcPr>
          <w:p>
            <w:pPr>
              <w:pStyle w:val="IsiTabel"/>
              <w:suppressAutoHyphens/>
              <w:jc w:val="right"/>
            </w:pPr>
            <w:r>
              <w:t xml:space="preserve">118</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Tsunami Mentawai 2010</w:t>
            </w:r>
          </w:p>
        </w:tc>
        <w:tc>
          <w:tcPr>
            <w:tcW w:w="1586" w:type="dxa"/>
          </w:tcPr>
          <w:p>
            <w:pPr>
              <w:pStyle w:val="IsiTabel"/>
              <w:suppressAutoHyphens/>
              <w:jc w:val="left"/>
            </w:pPr>
            <w:r>
              <w:t xml:space="preserve">tsunami, Mentawai dan Enggano</w:t>
            </w:r>
          </w:p>
        </w:tc>
        <w:tc>
          <w:tcPr>
            <w:tcW w:w="1316" w:type="dxa"/>
          </w:tcPr>
          <w:p>
            <w:pPr>
              <w:pStyle w:val="IsiTabel"/>
              <w:suppressAutoHyphens/>
              <w:jc w:val="right"/>
            </w:pPr>
            <w:r>
              <w:t xml:space="preserve">447</w:t>
            </w:r>
          </w:p>
        </w:tc>
        <w:tc>
          <w:tcPr>
            <w:tcW w:w="910" w:type="dxa"/>
          </w:tcPr>
          <w:p>
            <w:pPr>
              <w:pStyle w:val="IsiTabel"/>
              <w:suppressAutoHyphens/>
              <w:jc w:val="right"/>
            </w:pPr>
            <w:r>
              <w:t xml:space="preserve">56</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Erupsi Merapi 2010</w:t>
            </w:r>
          </w:p>
        </w:tc>
        <w:tc>
          <w:tcPr>
            <w:tcW w:w="1586" w:type="dxa"/>
          </w:tcPr>
          <w:p>
            <w:pPr>
              <w:pStyle w:val="IsiTabel"/>
              <w:suppressAutoHyphens/>
              <w:jc w:val="left"/>
            </w:pPr>
            <w:r>
              <w:t xml:space="preserve">gunung api</w:t>
            </w:r>
          </w:p>
        </w:tc>
        <w:tc>
          <w:tcPr>
            <w:tcW w:w="1316" w:type="dxa"/>
          </w:tcPr>
          <w:p>
            <w:pPr>
              <w:pStyle w:val="IsiTabel"/>
              <w:suppressAutoHyphens/>
              <w:jc w:val="right"/>
            </w:pPr>
            <w:r>
              <w:t xml:space="preserve">386</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rantai peringatan; angka bergeser</w:t>
            </w:r>
          </w:p>
        </w:tc>
      </w:tr>
      <w:tr>
        <w:trPr>
          <w:cantSplit/>
        </w:trPr>
        <w:tc>
          <w:tcPr>
            <w:tcW w:w="1328" w:type="dxa"/>
          </w:tcPr>
          <w:p>
            <w:pPr>
              <w:pStyle w:val="IsiTabel"/>
              <w:suppressAutoHyphens/>
              <w:jc w:val="left"/>
            </w:pPr>
            <w:r>
              <w:t xml:space="preserve">Karhutla 2015</w:t>
            </w:r>
          </w:p>
        </w:tc>
        <w:tc>
          <w:tcPr>
            <w:tcW w:w="1586" w:type="dxa"/>
          </w:tcPr>
          <w:p>
            <w:pPr>
              <w:pStyle w:val="IsiTabel"/>
              <w:suppressAutoHyphens/>
              <w:jc w:val="left"/>
            </w:pPr>
            <w:r>
              <w:t xml:space="preserve">karhutla</w:t>
            </w:r>
          </w:p>
        </w:tc>
        <w:tc>
          <w:tcPr>
            <w:tcW w:w="1316" w:type="dxa"/>
          </w:tcPr>
          <w:p>
            <w:pPr>
              <w:pStyle w:val="IsiTabel"/>
              <w:suppressAutoHyphens/>
              <w:jc w:val="right"/>
            </w:pPr>
            <w:r>
              <w:t xml:space="preserve">24</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Gempa Lombok 2018</w:t>
            </w:r>
          </w:p>
        </w:tc>
        <w:tc>
          <w:tcPr>
            <w:tcW w:w="1586" w:type="dxa"/>
          </w:tcPr>
          <w:p>
            <w:pPr>
              <w:pStyle w:val="IsiTabel"/>
              <w:suppressAutoHyphens/>
              <w:jc w:val="left"/>
            </w:pPr>
            <w:r>
              <w:t xml:space="preserve">rangkaian gempa</w:t>
            </w:r>
          </w:p>
        </w:tc>
        <w:tc>
          <w:tcPr>
            <w:tcW w:w="1316" w:type="dxa"/>
          </w:tcPr>
          <w:p>
            <w:pPr>
              <w:pStyle w:val="IsiTabel"/>
              <w:suppressAutoHyphens/>
              <w:jc w:val="right"/>
            </w:pPr>
            <w:r>
              <w:t xml:space="preserve">569</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konsentrasi korban; pemulihan ad hoc</w:t>
            </w:r>
          </w:p>
        </w:tc>
      </w:tr>
      <w:tr>
        <w:trPr>
          <w:cantSplit/>
        </w:trPr>
        <w:tc>
          <w:tcPr>
            <w:tcW w:w="1328" w:type="dxa"/>
          </w:tcPr>
          <w:p>
            <w:pPr>
              <w:pStyle w:val="IsiTabel"/>
              <w:suppressAutoHyphens/>
              <w:jc w:val="left"/>
            </w:pPr>
            <w:r>
              <w:t xml:space="preserve">Gempa, tsunami, dan likuefaksi Sulawesi Tengah 2018</w:t>
            </w:r>
          </w:p>
        </w:tc>
        <w:tc>
          <w:tcPr>
            <w:tcW w:w="1586" w:type="dxa"/>
          </w:tcPr>
          <w:p>
            <w:pPr>
              <w:pStyle w:val="IsiTabel"/>
              <w:suppressAutoHyphens/>
              <w:jc w:val="left"/>
            </w:pPr>
            <w:r>
              <w:t xml:space="preserve">gempa berantai</w:t>
            </w:r>
          </w:p>
        </w:tc>
        <w:tc>
          <w:tcPr>
            <w:tcW w:w="1316" w:type="dxa"/>
          </w:tcPr>
          <w:p>
            <w:pPr>
              <w:pStyle w:val="IsiTabel"/>
              <w:suppressAutoHyphens/>
              <w:jc w:val="right"/>
            </w:pPr>
            <w:r>
              <w:t xml:space="preserve">4.140</w:t>
            </w:r>
          </w:p>
        </w:tc>
        <w:tc>
          <w:tcPr>
            <w:tcW w:w="910" w:type="dxa"/>
          </w:tcPr>
          <w:p>
            <w:pPr>
              <w:pStyle w:val="IsiTabel"/>
              <w:suppressAutoHyphens/>
              <w:jc w:val="right"/>
            </w:pPr>
            <w:r>
              <w:t xml:space="preserve">705</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bahaya berantai; rantai peringatan</w:t>
            </w:r>
          </w:p>
        </w:tc>
      </w:tr>
      <w:tr>
        <w:trPr>
          <w:cantSplit/>
        </w:trPr>
        <w:tc>
          <w:tcPr>
            <w:tcW w:w="1328" w:type="dxa"/>
          </w:tcPr>
          <w:p>
            <w:pPr>
              <w:pStyle w:val="IsiTabel"/>
              <w:suppressAutoHyphens/>
              <w:jc w:val="left"/>
            </w:pPr>
            <w:r>
              <w:t xml:space="preserve">Tsunami Selat Sunda 2018</w:t>
            </w:r>
          </w:p>
        </w:tc>
        <w:tc>
          <w:tcPr>
            <w:tcW w:w="1586" w:type="dxa"/>
          </w:tcPr>
          <w:p>
            <w:pPr>
              <w:pStyle w:val="IsiTabel"/>
              <w:suppressAutoHyphens/>
              <w:jc w:val="left"/>
            </w:pPr>
            <w:r>
              <w:t xml:space="preserve">tsunami vulkanik</w:t>
            </w:r>
          </w:p>
        </w:tc>
        <w:tc>
          <w:tcPr>
            <w:tcW w:w="1316" w:type="dxa"/>
          </w:tcPr>
          <w:p>
            <w:pPr>
              <w:pStyle w:val="IsiTabel"/>
              <w:suppressAutoHyphens/>
              <w:jc w:val="right"/>
            </w:pPr>
            <w:r>
              <w:t xml:space="preserve">437</w:t>
            </w:r>
          </w:p>
        </w:tc>
        <w:tc>
          <w:tcPr>
            <w:tcW w:w="910" w:type="dxa"/>
          </w:tcPr>
          <w:p>
            <w:pPr>
              <w:pStyle w:val="IsiTabel"/>
              <w:suppressAutoHyphens/>
              <w:jc w:val="right"/>
            </w:pPr>
            <w:r>
              <w:t xml:space="preserve">16</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bahaya berantai; konsentrasi korban</w:t>
            </w:r>
          </w:p>
        </w:tc>
      </w:tr>
      <w:tr>
        <w:trPr>
          <w:cantSplit/>
        </w:trPr>
        <w:tc>
          <w:tcPr>
            <w:tcW w:w="1328" w:type="dxa"/>
          </w:tcPr>
          <w:p>
            <w:pPr>
              <w:pStyle w:val="IsiTabel"/>
              <w:suppressAutoHyphens/>
              <w:jc w:val="left"/>
            </w:pPr>
            <w:r>
              <w:t xml:space="preserve">Konflik Wamena 2019</w:t>
            </w:r>
          </w:p>
        </w:tc>
        <w:tc>
          <w:tcPr>
            <w:tcW w:w="1586" w:type="dxa"/>
          </w:tcPr>
          <w:p>
            <w:pPr>
              <w:pStyle w:val="IsiTabel"/>
              <w:suppressAutoHyphens/>
              <w:jc w:val="left"/>
            </w:pPr>
            <w:r>
              <w:t xml:space="preserve">konflik sosial</w:t>
            </w:r>
          </w:p>
        </w:tc>
        <w:tc>
          <w:tcPr>
            <w:tcW w:w="1316" w:type="dxa"/>
          </w:tcPr>
          <w:p>
            <w:pPr>
              <w:pStyle w:val="IsiTabel"/>
              <w:suppressAutoHyphens/>
              <w:jc w:val="right"/>
            </w:pPr>
            <w:r>
              <w:t xml:space="preserve">36</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Pandemi COVID-19 2020–2023</w:t>
            </w:r>
          </w:p>
        </w:tc>
        <w:tc>
          <w:tcPr>
            <w:tcW w:w="1586" w:type="dxa"/>
          </w:tcPr>
          <w:p>
            <w:pPr>
              <w:pStyle w:val="IsiTabel"/>
              <w:suppressAutoHyphens/>
              <w:jc w:val="left"/>
            </w:pPr>
            <w:r>
              <w:t xml:space="preserve">pandemi</w:t>
            </w:r>
          </w:p>
        </w:tc>
        <w:tc>
          <w:tcPr>
            <w:tcW w:w="1316" w:type="dxa"/>
          </w:tcPr>
          <w:p>
            <w:pPr>
              <w:pStyle w:val="IsiTabel"/>
              <w:suppressAutoHyphens/>
              <w:jc w:val="right"/>
            </w:pPr>
            <w:r>
              <w:t xml:space="preserve">161.870</w:t>
            </w:r>
          </w:p>
        </w:tc>
        <w:tc>
          <w:tcPr>
            <w:tcW w:w="910" w:type="dxa"/>
          </w:tcPr>
          <w:p>
            <w:pPr>
              <w:pStyle w:val="IsiTabel"/>
              <w:suppressAutoHyphens/>
              <w:jc w:val="right"/>
            </w:pPr>
            <w:r>
              <w:t xml:space="preserve">–</w:t>
            </w:r>
          </w:p>
        </w:tc>
        <w:tc>
          <w:tcPr>
            <w:tcW w:w="1262" w:type="dxa"/>
          </w:tcPr>
          <w:p>
            <w:pPr>
              <w:pStyle w:val="IsiTabel"/>
              <w:suppressAutoHyphens/>
              <w:jc w:val="left"/>
            </w:pPr>
            <w:r>
              <w:t xml:space="preserve">Kementerian Kesehatan</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di luar DIBI</w:t>
            </w:r>
          </w:p>
        </w:tc>
      </w:tr>
      <w:tr>
        <w:trPr>
          <w:cantSplit/>
        </w:trPr>
        <w:tc>
          <w:tcPr>
            <w:tcW w:w="1328" w:type="dxa"/>
          </w:tcPr>
          <w:p>
            <w:pPr>
              <w:pStyle w:val="IsiTabel"/>
              <w:suppressAutoHyphens/>
              <w:jc w:val="left"/>
            </w:pPr>
            <w:r>
              <w:t xml:space="preserve">Banjir Jabodetabek 2020</w:t>
            </w:r>
          </w:p>
        </w:tc>
        <w:tc>
          <w:tcPr>
            <w:tcW w:w="1586" w:type="dxa"/>
          </w:tcPr>
          <w:p>
            <w:pPr>
              <w:pStyle w:val="IsiTabel"/>
              <w:suppressAutoHyphens/>
              <w:jc w:val="left"/>
            </w:pPr>
            <w:r>
              <w:t xml:space="preserve">banjir kota</w:t>
            </w:r>
          </w:p>
        </w:tc>
        <w:tc>
          <w:tcPr>
            <w:tcW w:w="1316" w:type="dxa"/>
          </w:tcPr>
          <w:p>
            <w:pPr>
              <w:pStyle w:val="IsiTabel"/>
              <w:suppressAutoHyphens/>
              <w:jc w:val="right"/>
            </w:pPr>
            <w:r>
              <w:t xml:space="preserve">51</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Siklon Seroja 2021</w:t>
            </w:r>
          </w:p>
        </w:tc>
        <w:tc>
          <w:tcPr>
            <w:tcW w:w="1586" w:type="dxa"/>
          </w:tcPr>
          <w:p>
            <w:pPr>
              <w:pStyle w:val="IsiTabel"/>
              <w:suppressAutoHyphens/>
              <w:jc w:val="left"/>
            </w:pPr>
            <w:r>
              <w:t xml:space="preserve">siklon</w:t>
            </w:r>
          </w:p>
        </w:tc>
        <w:tc>
          <w:tcPr>
            <w:tcW w:w="1316" w:type="dxa"/>
          </w:tcPr>
          <w:p>
            <w:pPr>
              <w:pStyle w:val="IsiTabel"/>
              <w:suppressAutoHyphens/>
              <w:jc w:val="right"/>
            </w:pPr>
            <w:r>
              <w:t xml:space="preserve">154</w:t>
            </w:r>
          </w:p>
        </w:tc>
        <w:tc>
          <w:tcPr>
            <w:tcW w:w="910" w:type="dxa"/>
          </w:tcPr>
          <w:p>
            <w:pPr>
              <w:pStyle w:val="IsiTabel"/>
              <w:suppressAutoHyphens/>
              <w:jc w:val="right"/>
            </w:pPr>
            <w:r>
              <w:t xml:space="preserve">34</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Erupsi Semeru 2021</w:t>
            </w:r>
          </w:p>
        </w:tc>
        <w:tc>
          <w:tcPr>
            <w:tcW w:w="1586" w:type="dxa"/>
          </w:tcPr>
          <w:p>
            <w:pPr>
              <w:pStyle w:val="IsiTabel"/>
              <w:suppressAutoHyphens/>
              <w:jc w:val="left"/>
            </w:pPr>
            <w:r>
              <w:t xml:space="preserve">gunung api</w:t>
            </w:r>
          </w:p>
        </w:tc>
        <w:tc>
          <w:tcPr>
            <w:tcW w:w="1316" w:type="dxa"/>
          </w:tcPr>
          <w:p>
            <w:pPr>
              <w:pStyle w:val="IsiTabel"/>
              <w:suppressAutoHyphens/>
              <w:jc w:val="right"/>
            </w:pPr>
            <w:r>
              <w:t xml:space="preserve">64</w:t>
            </w:r>
          </w:p>
        </w:tc>
        <w:tc>
          <w:tcPr>
            <w:tcW w:w="910" w:type="dxa"/>
          </w:tcPr>
          <w:p>
            <w:pPr>
              <w:pStyle w:val="IsiTabel"/>
              <w:suppressAutoHyphens/>
              <w:jc w:val="right"/>
            </w:pPr>
            <w:r>
              <w:t xml:space="preserve">9</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Gempa Cianjur 2022</w:t>
            </w:r>
          </w:p>
        </w:tc>
        <w:tc>
          <w:tcPr>
            <w:tcW w:w="1586" w:type="dxa"/>
          </w:tcPr>
          <w:p>
            <w:pPr>
              <w:pStyle w:val="IsiTabel"/>
              <w:suppressAutoHyphens/>
              <w:jc w:val="left"/>
            </w:pPr>
            <w:r>
              <w:t xml:space="preserve">gempa sesar darat</w:t>
            </w:r>
          </w:p>
        </w:tc>
        <w:tc>
          <w:tcPr>
            <w:tcW w:w="1316" w:type="dxa"/>
          </w:tcPr>
          <w:p>
            <w:pPr>
              <w:pStyle w:val="IsiTabel"/>
              <w:suppressAutoHyphens/>
              <w:jc w:val="right"/>
            </w:pPr>
            <w:r>
              <w:t xml:space="preserve">602</w:t>
            </w:r>
          </w:p>
        </w:tc>
        <w:tc>
          <w:tcPr>
            <w:tcW w:w="910" w:type="dxa"/>
          </w:tcPr>
          <w:p>
            <w:pPr>
              <w:pStyle w:val="IsiTabel"/>
              <w:suppressAutoHyphens/>
              <w:jc w:val="right"/>
            </w:pPr>
            <w:r>
              <w:t xml:space="preserve">8</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angka bergeser; konsentrasi korban</w:t>
            </w:r>
          </w:p>
        </w:tc>
      </w:tr>
      <w:tr>
        <w:trPr>
          <w:cantSplit/>
        </w:trPr>
        <w:tc>
          <w:tcPr>
            <w:tcW w:w="1328" w:type="dxa"/>
          </w:tcPr>
          <w:p>
            <w:pPr>
              <w:pStyle w:val="IsiTabel"/>
              <w:suppressAutoHyphens/>
              <w:jc w:val="left"/>
            </w:pPr>
            <w:r>
              <w:t xml:space="preserve">Kebakaran terminal bahan bakar Plumpang 2023</w:t>
            </w:r>
          </w:p>
        </w:tc>
        <w:tc>
          <w:tcPr>
            <w:tcW w:w="1586" w:type="dxa"/>
          </w:tcPr>
          <w:p>
            <w:pPr>
              <w:pStyle w:val="IsiTabel"/>
              <w:suppressAutoHyphens/>
              <w:jc w:val="left"/>
            </w:pPr>
            <w:r>
              <w:t xml:space="preserve">kebakaran industri</w:t>
            </w:r>
          </w:p>
        </w:tc>
        <w:tc>
          <w:tcPr>
            <w:tcW w:w="1316" w:type="dxa"/>
          </w:tcPr>
          <w:p>
            <w:pPr>
              <w:pStyle w:val="IsiTabel"/>
              <w:suppressAutoHyphens/>
              <w:jc w:val="right"/>
            </w:pPr>
            <w:r>
              <w:t xml:space="preserve">17</w:t>
            </w:r>
          </w:p>
        </w:tc>
        <w:tc>
          <w:tcPr>
            <w:tcW w:w="910" w:type="dxa"/>
          </w:tcPr>
          <w:p>
            <w:pPr>
              <w:pStyle w:val="IsiTabel"/>
              <w:suppressAutoHyphens/>
              <w:jc w:val="right"/>
            </w:pPr>
            <w:r>
              <w:t xml:space="preserve">18</w:t>
            </w:r>
          </w:p>
        </w:tc>
        <w:tc>
          <w:tcPr>
            <w:tcW w:w="1262" w:type="dxa"/>
          </w:tcPr>
          <w:p>
            <w:pPr>
              <w:pStyle w:val="IsiTabel"/>
              <w:suppressAutoHyphens/>
              <w:jc w:val="left"/>
            </w:pPr>
            <w:r>
              <w:t xml:space="preserve">Kepala BNPB, hari kedua</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di luar DIBI</w:t>
            </w:r>
          </w:p>
        </w:tc>
      </w:tr>
      <w:tr>
        <w:trPr>
          <w:cantSplit/>
        </w:trPr>
        <w:tc>
          <w:tcPr>
            <w:tcW w:w="1328" w:type="dxa"/>
          </w:tcPr>
          <w:p>
            <w:pPr>
              <w:pStyle w:val="IsiTabel"/>
              <w:keepNext/>
              <w:suppressAutoHyphens/>
              <w:jc w:val="left"/>
            </w:pPr>
            <w:bookmarkStart w:id="170" w:name="_Ekor017a"/>
            <w:bookmarkEnd w:id="170"/>
            <w:r>
              <w:t xml:space="preserve">Kebakaran serentak TPA 2023</w:t>
            </w:r>
          </w:p>
        </w:tc>
        <w:tc>
          <w:tcPr>
            <w:tcW w:w="1586" w:type="dxa"/>
          </w:tcPr>
          <w:p>
            <w:pPr>
              <w:pStyle w:val="IsiTabel"/>
              <w:keepNext/>
              <w:suppressAutoHyphens/>
              <w:jc w:val="left"/>
            </w:pPr>
            <w:r>
              <w:t xml:space="preserve">kebakaran TPA</w:t>
            </w:r>
          </w:p>
        </w:tc>
        <w:tc>
          <w:tcPr>
            <w:tcW w:w="1316" w:type="dxa"/>
          </w:tcPr>
          <w:p>
            <w:pPr>
              <w:pStyle w:val="IsiTabel"/>
              <w:keepNext/>
              <w:suppressAutoHyphens/>
              <w:jc w:val="right"/>
            </w:pPr>
            <w:r>
              <w:t xml:space="preserve">–</w:t>
            </w:r>
          </w:p>
        </w:tc>
        <w:tc>
          <w:tcPr>
            <w:tcW w:w="910" w:type="dxa"/>
          </w:tcPr>
          <w:p>
            <w:pPr>
              <w:pStyle w:val="IsiTabel"/>
              <w:keepNext/>
              <w:suppressAutoHyphens/>
              <w:jc w:val="right"/>
            </w:pPr>
            <w:r>
              <w:t xml:space="preserve">–</w:t>
            </w:r>
          </w:p>
        </w:tc>
        <w:tc>
          <w:tcPr>
            <w:tcW w:w="1262" w:type="dxa"/>
          </w:tcPr>
          <w:p>
            <w:pPr>
              <w:pStyle w:val="IsiTabel"/>
              <w:keepNext/>
              <w:suppressAutoHyphens/>
              <w:jc w:val="left"/>
            </w:pPr>
            <w:r>
              <w:t xml:space="preserve">Kepala BNPB</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626" w:type="dxa"/>
          </w:tcPr>
          <w:p>
            <w:pPr>
              <w:pStyle w:val="IsiTabel"/>
              <w:keepNext/>
              <w:suppressAutoHyphens/>
              <w:jc w:val="left"/>
            </w:pPr>
            <w:r>
              <w:t xml:space="preserve">di luar DIBI</w:t>
            </w:r>
          </w:p>
        </w:tc>
      </w:tr>
      <w:tr>
        <w:trPr>
          <w:cantSplit/>
        </w:trPr>
        <w:tc>
          <w:tcPr>
            <w:tcW w:w="1328" w:type="dxa"/>
          </w:tcPr>
          <w:p>
            <w:pPr>
              <w:pStyle w:val="IsiTabel"/>
              <w:keepNext/>
              <w:suppressAutoHyphens/>
              <w:jc w:val="left"/>
            </w:pPr>
            <w:r>
              <w:t xml:space="preserve">Banjir dan longsor Sumatra 2025</w:t>
            </w:r>
          </w:p>
        </w:tc>
        <w:tc>
          <w:tcPr>
            <w:tcW w:w="1586" w:type="dxa"/>
          </w:tcPr>
          <w:p>
            <w:pPr>
              <w:pStyle w:val="IsiTabel"/>
              <w:keepNext/>
              <w:suppressAutoHyphens/>
              <w:jc w:val="left"/>
            </w:pPr>
            <w:r>
              <w:t xml:space="preserve">banjir, kejadian</w:t>
            </w:r>
          </w:p>
        </w:tc>
        <w:tc>
          <w:tcPr>
            <w:tcW w:w="1316" w:type="dxa"/>
          </w:tcPr>
          <w:p>
            <w:pPr>
              <w:pStyle w:val="IsiTabel"/>
              <w:keepNext/>
              <w:suppressAutoHyphens/>
              <w:jc w:val="right"/>
            </w:pPr>
            <w:r>
              <w:t xml:space="preserve">1.202</w:t>
            </w:r>
          </w:p>
        </w:tc>
        <w:tc>
          <w:tcPr>
            <w:tcW w:w="910" w:type="dxa"/>
          </w:tcPr>
          <w:p>
            <w:pPr>
              <w:pStyle w:val="IsiTabel"/>
              <w:keepNext/>
              <w:suppressAutoHyphens/>
              <w:jc w:val="right"/>
            </w:pPr>
            <w:r>
              <w:t xml:space="preserve">140</w:t>
            </w:r>
          </w:p>
        </w:tc>
        <w:tc>
          <w:tcPr>
            <w:tcW w:w="1262" w:type="dxa"/>
          </w:tcPr>
          <w:p>
            <w:pPr>
              <w:pStyle w:val="IsiTabel"/>
              <w:keepNext/>
              <w:suppressAutoHyphens/>
              <w:jc w:val="left"/>
            </w:pPr>
            <w:r>
              <w:t xml:space="preserve">DIBI</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626" w:type="dxa"/>
          </w:tcPr>
          <w:p>
            <w:pPr>
              <w:pStyle w:val="IsiTabel"/>
              <w:keepNext/>
              <w:suppressAutoHyphens/>
              <w:jc w:val="left"/>
            </w:pPr>
            <w:r>
              <w:t xml:space="preserve">konsentrasi korban; bahaya berantai</w:t>
            </w:r>
          </w:p>
        </w:tc>
      </w:tr>
      <w:tr>
        <w:trPr>
          <w:cantSplit/>
        </w:trPr>
        <w:tc>
          <w:tcPr>
            <w:tcW w:w="1328" w:type="dxa"/>
          </w:tcPr>
          <w:p>
            <w:pPr>
              <w:pStyle w:val="IsiTabel"/>
              <w:keepNext/>
              <w:suppressAutoHyphens/>
              <w:jc w:val="left"/>
            </w:pPr>
            <w:r>
              <w:t xml:space="preserve">Gempa Nusa Tenggara Timur 2026</w:t>
            </w:r>
          </w:p>
        </w:tc>
        <w:tc>
          <w:tcPr>
            <w:tcW w:w="1586" w:type="dxa"/>
          </w:tcPr>
          <w:p>
            <w:pPr>
              <w:pStyle w:val="IsiTabel"/>
              <w:keepNext/>
              <w:suppressAutoHyphens/>
              <w:jc w:val="left"/>
            </w:pPr>
            <w:r>
              <w:t xml:space="preserve">gempa</w:t>
            </w:r>
          </w:p>
        </w:tc>
        <w:tc>
          <w:tcPr>
            <w:tcW w:w="1316" w:type="dxa"/>
          </w:tcPr>
          <w:p>
            <w:pPr>
              <w:pStyle w:val="IsiTabel"/>
              <w:keepNext/>
              <w:suppressAutoHyphens/>
              <w:jc w:val="right"/>
            </w:pPr>
            <w:r>
              <w:t xml:space="preserve">151</w:t>
            </w:r>
          </w:p>
        </w:tc>
        <w:tc>
          <w:tcPr>
            <w:tcW w:w="910" w:type="dxa"/>
          </w:tcPr>
          <w:p>
            <w:pPr>
              <w:pStyle w:val="IsiTabel"/>
              <w:keepNext/>
              <w:suppressAutoHyphens/>
              <w:jc w:val="right"/>
            </w:pPr>
            <w:r>
              <w:t xml:space="preserve">0</w:t>
            </w:r>
          </w:p>
        </w:tc>
        <w:tc>
          <w:tcPr>
            <w:tcW w:w="1262" w:type="dxa"/>
          </w:tcPr>
          <w:p>
            <w:pPr>
              <w:pStyle w:val="IsiTabel"/>
              <w:keepNext/>
              <w:suppressAutoHyphens/>
              <w:jc w:val="left"/>
            </w:pPr>
            <w:r>
              <w:t xml:space="preserve">DIBI, sementara</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626" w:type="dxa"/>
          </w:tcPr>
          <w:p>
            <w:pPr>
              <w:pStyle w:val="IsiTabel"/>
              <w:keepNext/>
              <w:suppressAutoHyphens/>
              <w:jc w:val="left"/>
            </w:pPr>
            <w:r>
              <w:t xml:space="preserve">–</w:t>
            </w:r>
          </w:p>
        </w:tc>
      </w:tr>
      <w:tr>
        <w:trPr>
          <w:cantSplit/>
        </w:trPr>
        <w:tc>
          <w:tcPr>
            <w:tcW w:w="1328" w:type="dxa"/>
          </w:tcPr>
          <w:p>
            <w:pPr>
              <w:pStyle w:val="IsiTabel"/>
              <w:keepNext/>
              <w:suppressAutoHyphens/>
              <w:jc w:val="left"/>
            </w:pPr>
            <w:bookmarkStart w:id="171" w:name="_Ekor017z"/>
            <w:bookmarkEnd w:id="171"/>
            <w:r>
              <w:t xml:space="preserve">Konflik Maluku 1999–2002</w:t>
            </w:r>
          </w:p>
        </w:tc>
        <w:tc>
          <w:tcPr>
            <w:tcW w:w="1586" w:type="dxa"/>
          </w:tcPr>
          <w:p>
            <w:pPr>
              <w:pStyle w:val="IsiTabel"/>
              <w:keepNext/>
              <w:suppressAutoHyphens/>
              <w:jc w:val="left"/>
            </w:pPr>
            <w:r>
              <w:t xml:space="preserve">konflik sosial</w:t>
            </w:r>
          </w:p>
        </w:tc>
        <w:tc>
          <w:tcPr>
            <w:tcW w:w="1316" w:type="dxa"/>
          </w:tcPr>
          <w:p>
            <w:pPr>
              <w:pStyle w:val="IsiTabel"/>
              <w:keepNext/>
              <w:suppressAutoHyphens/>
              <w:jc w:val="right"/>
            </w:pPr>
            <w:r>
              <w:t xml:space="preserve">5.000</w:t>
            </w:r>
          </w:p>
        </w:tc>
        <w:tc>
          <w:tcPr>
            <w:tcW w:w="910" w:type="dxa"/>
          </w:tcPr>
          <w:p>
            <w:pPr>
              <w:pStyle w:val="IsiTabel"/>
              <w:keepNext/>
              <w:suppressAutoHyphens/>
              <w:jc w:val="right"/>
            </w:pPr>
            <w:r>
              <w:t xml:space="preserve">–</w:t>
            </w:r>
          </w:p>
        </w:tc>
        <w:tc>
          <w:tcPr>
            <w:tcW w:w="1262" w:type="dxa"/>
          </w:tcPr>
          <w:p>
            <w:pPr>
              <w:pStyle w:val="IsiTabel"/>
              <w:keepNext/>
              <w:suppressAutoHyphens/>
              <w:jc w:val="left"/>
            </w:pPr>
            <w:r>
              <w:t xml:space="preserve">International Crisis Group</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26" w:type="dxa"/>
          </w:tcPr>
          <w:p>
            <w:pPr>
              <w:pStyle w:val="IsiTabel"/>
              <w:keepNext/>
              <w:suppressAutoHyphens/>
              <w:jc w:val="left"/>
            </w:pPr>
            <w:r>
              <w:t xml:space="preserve">–</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BNPB, DIBI dasbor publik; BRR NAD–Nias (2009); USGS; Renstra BNPB 2025–2029; Kementerian Kesehatan dikutip Renstra; Sekretariat Kabinet; International Crisis Group;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Satu sumber utama per baris. Sel kosong bertanda pisah berarti sumber tidak melaporkan besaran itu atau kejadian tidak dibahas di subbab pelajaran. Gempa 2026 sementara; Maluku batas bawah.</w:t>
      </w:r>
    </w:p>
    <w:p>
      <w:pPr>
        <w:pStyle w:val="Caption"/>
      </w:pPr>
      <w:bookmarkStart w:id="173" w:name="_Toc00071"/>
      <w:bookmarkStart w:id="172" w:name="_Ref032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72"/>
      <w:r>
        <w:rPr>
          <w:b/>
          <w:bCs/>
          <w:color w:val="051C2C"/>
        </w:rPr>
        <w:t xml:space="preserve"> </w:t>
      </w:r>
      <w:r>
        <w:t xml:space="preserve">Rekonsiliasi versi korban dan kerusakan kejadian besar di Indonesia, 2004–2025</w:t>
      </w:r>
      <w:bookmarkEnd w:id="17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05"/>
        <w:gridCol w:w="1295"/>
        <w:gridCol w:w="1169"/>
        <w:gridCol w:w="1774"/>
        <w:gridCol w:w="1525"/>
        <w:gridCol w:w="1586"/>
      </w:tblGrid>
      <w:tr>
        <w:trPr>
          <w:cantSplit/>
          <w:tblHeader/>
        </w:trPr>
        <w:tc>
          <w:tcPr>
            <w:tcW w:w="2005" w:type="dxa"/>
            <w:shd w:val="clear" w:color="auto" w:fill="051C2C"/>
            <w:vAlign w:val="center"/>
          </w:tcPr>
          <w:p>
            <w:pPr>
              <w:pStyle w:val="KepalaTabel"/>
              <w:suppressAutoHyphens/>
            </w:pPr>
            <w:r>
              <w:t xml:space="preserve">KEJADIAN</w:t>
            </w:r>
          </w:p>
        </w:tc>
        <w:tc>
          <w:tcPr>
            <w:tcW w:w="1295" w:type="dxa"/>
            <w:shd w:val="clear" w:color="auto" w:fill="051C2C"/>
            <w:vAlign w:val="center"/>
          </w:tcPr>
          <w:p>
            <w:pPr>
              <w:pStyle w:val="KepalaTabel"/>
              <w:suppressAutoHyphens/>
            </w:pPr>
            <w:r>
              <w:t xml:space="preserve">METRIK</w:t>
            </w:r>
          </w:p>
        </w:tc>
        <w:tc>
          <w:tcPr>
            <w:tcW w:w="1169" w:type="dxa"/>
            <w:shd w:val="clear" w:color="auto" w:fill="051C2C"/>
            <w:vAlign w:val="center"/>
          </w:tcPr>
          <w:p>
            <w:pPr>
              <w:pStyle w:val="KepalaTabel"/>
              <w:suppressAutoHyphens/>
            </w:pPr>
            <w:r>
              <w:t xml:space="preserve">VERSI</w:t>
            </w:r>
          </w:p>
        </w:tc>
        <w:tc>
          <w:tcPr>
            <w:tcW w:w="1774" w:type="dxa"/>
            <w:shd w:val="clear" w:color="auto" w:fill="051C2C"/>
            <w:vAlign w:val="center"/>
          </w:tcPr>
          <w:p>
            <w:pPr>
              <w:pStyle w:val="KepalaTabel"/>
              <w:suppressAutoHyphens/>
            </w:pPr>
            <w:r>
              <w:t xml:space="preserve">NILAI</w:t>
            </w:r>
          </w:p>
        </w:tc>
        <w:tc>
          <w:tcPr>
            <w:tcW w:w="1525" w:type="dxa"/>
            <w:shd w:val="clear" w:color="auto" w:fill="051C2C"/>
            <w:vAlign w:val="center"/>
          </w:tcPr>
          <w:p>
            <w:pPr>
              <w:pStyle w:val="KepalaTabel"/>
              <w:suppressAutoHyphens/>
            </w:pPr>
            <w:r>
              <w:t xml:space="preserve">KEYAKINAN</w:t>
            </w:r>
          </w:p>
        </w:tc>
        <w:tc>
          <w:tcPr>
            <w:tcW w:w="1586" w:type="dxa"/>
            <w:shd w:val="clear" w:color="auto" w:fill="051C2C"/>
            <w:vAlign w:val="center"/>
          </w:tcPr>
          <w:p>
            <w:pPr>
              <w:pStyle w:val="KepalaTabel"/>
              <w:suppressAutoHyphens/>
            </w:pPr>
            <w:r>
              <w:t xml:space="preserve">PENJELASAN</w:t>
            </w:r>
          </w:p>
        </w:tc>
      </w:tr>
      <w:tr>
        <w:trPr>
          <w:cantSplit/>
        </w:trPr>
        <w:tc>
          <w:tcPr>
            <w:tcW w:w="2005" w:type="dxa"/>
          </w:tcPr>
          <w:p>
            <w:pPr>
              <w:pStyle w:val="IsiTabel"/>
              <w:suppressAutoHyphens/>
              <w:jc w:val="left"/>
            </w:pPr>
            <w:r>
              <w:t xml:space="preserve">Aceh 2004</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BRR, halaman capaian empat tahun</w:t>
            </w:r>
          </w:p>
        </w:tc>
        <w:tc>
          <w:tcPr>
            <w:tcW w:w="1774" w:type="dxa"/>
          </w:tcPr>
          <w:p>
            <w:pPr>
              <w:pStyle w:val="IsiTabel"/>
              <w:suppressAutoHyphens/>
              <w:jc w:val="right"/>
            </w:pPr>
            <w:r>
              <w:t xml:space="preserve">127.720</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angka utama</w:t>
            </w:r>
          </w:p>
        </w:tc>
      </w:tr>
      <w:tr>
        <w:trPr>
          <w:cantSplit/>
        </w:trPr>
        <w:tc>
          <w:tcPr>
            <w:tcW w:w="2005" w:type="dxa"/>
          </w:tcPr>
          <w:p>
            <w:pPr>
              <w:pStyle w:val="IsiTabel"/>
              <w:suppressAutoHyphens/>
              <w:jc w:val="left"/>
            </w:pPr>
            <w:r>
              <w:t xml:space="preserve">Aceh 2004</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BRR, teks naratif</w:t>
            </w:r>
          </w:p>
        </w:tc>
        <w:tc>
          <w:tcPr>
            <w:tcW w:w="1774" w:type="dxa"/>
          </w:tcPr>
          <w:p>
            <w:pPr>
              <w:pStyle w:val="IsiTabel"/>
              <w:suppressAutoHyphens/>
              <w:jc w:val="right"/>
            </w:pPr>
            <w:r>
              <w:t xml:space="preserve">126.741</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selisih tidak dijelaskan BRR</w:t>
            </w:r>
          </w:p>
        </w:tc>
      </w:tr>
      <w:tr>
        <w:trPr>
          <w:cantSplit/>
        </w:trPr>
        <w:tc>
          <w:tcPr>
            <w:tcW w:w="2005" w:type="dxa"/>
          </w:tcPr>
          <w:p>
            <w:pPr>
              <w:pStyle w:val="IsiTabel"/>
              <w:suppressAutoHyphens/>
              <w:jc w:val="left"/>
            </w:pPr>
            <w:r>
              <w:t xml:space="preserve">Sulawesi Tengah 2018</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w:t>
            </w:r>
          </w:p>
        </w:tc>
        <w:tc>
          <w:tcPr>
            <w:tcW w:w="1774" w:type="dxa"/>
          </w:tcPr>
          <w:p>
            <w:pPr>
              <w:pStyle w:val="IsiTabel"/>
              <w:suppressAutoHyphens/>
              <w:jc w:val="right"/>
            </w:pPr>
            <w:r>
              <w:t xml:space="preserve">4.140</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angka utama, data statis</w:t>
            </w:r>
          </w:p>
        </w:tc>
      </w:tr>
      <w:tr>
        <w:trPr>
          <w:cantSplit/>
        </w:trPr>
        <w:tc>
          <w:tcPr>
            <w:tcW w:w="2005" w:type="dxa"/>
          </w:tcPr>
          <w:p>
            <w:pPr>
              <w:pStyle w:val="IsiTabel"/>
              <w:suppressAutoHyphens/>
              <w:jc w:val="left"/>
            </w:pPr>
            <w:r>
              <w:t xml:space="preserve">Sulawesi Tengah 2018</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USGS</w:t>
            </w:r>
          </w:p>
        </w:tc>
        <w:tc>
          <w:tcPr>
            <w:tcW w:w="1774" w:type="dxa"/>
          </w:tcPr>
          <w:p>
            <w:pPr>
              <w:pStyle w:val="IsiTabel"/>
              <w:suppressAutoHyphens/>
              <w:jc w:val="right"/>
            </w:pPr>
            <w:r>
              <w:t xml:space="preserve">2.077</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86" w:type="dxa"/>
          </w:tcPr>
          <w:p>
            <w:pPr>
              <w:pStyle w:val="IsiTabel"/>
              <w:suppressAutoHyphens/>
              <w:jc w:val="left"/>
            </w:pPr>
            <w:r>
              <w:t xml:space="preserve">sebab beda tidak terbukti</w:t>
            </w:r>
          </w:p>
        </w:tc>
      </w:tr>
      <w:tr>
        <w:trPr>
          <w:cantSplit/>
        </w:trPr>
        <w:tc>
          <w:tcPr>
            <w:tcW w:w="2005" w:type="dxa"/>
          </w:tcPr>
          <w:p>
            <w:pPr>
              <w:pStyle w:val="IsiTabel"/>
              <w:suppressAutoHyphens/>
              <w:jc w:val="left"/>
            </w:pPr>
            <w:r>
              <w:t xml:space="preserve">Sulawesi Tengah 2018</w:t>
            </w:r>
          </w:p>
        </w:tc>
        <w:tc>
          <w:tcPr>
            <w:tcW w:w="1295" w:type="dxa"/>
          </w:tcPr>
          <w:p>
            <w:pPr>
              <w:pStyle w:val="IsiTabel"/>
              <w:suppressAutoHyphens/>
              <w:jc w:val="left"/>
            </w:pPr>
            <w:r>
              <w:t xml:space="preserve">hilang</w:t>
            </w:r>
          </w:p>
        </w:tc>
        <w:tc>
          <w:tcPr>
            <w:tcW w:w="1169" w:type="dxa"/>
          </w:tcPr>
          <w:p>
            <w:pPr>
              <w:pStyle w:val="IsiTabel"/>
              <w:suppressAutoHyphens/>
              <w:jc w:val="left"/>
            </w:pPr>
            <w:r>
              <w:t xml:space="preserve">USGS lawan DIBI</w:t>
            </w:r>
          </w:p>
        </w:tc>
        <w:tc>
          <w:tcPr>
            <w:tcW w:w="1774" w:type="dxa"/>
          </w:tcPr>
          <w:p>
            <w:pPr>
              <w:pStyle w:val="IsiTabel"/>
              <w:suppressAutoHyphens/>
              <w:jc w:val="right"/>
            </w:pPr>
            <w:r>
              <w:t xml:space="preserve">1.075</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86" w:type="dxa"/>
          </w:tcPr>
          <w:p>
            <w:pPr>
              <w:pStyle w:val="IsiTabel"/>
              <w:suppressAutoHyphens/>
              <w:jc w:val="left"/>
            </w:pPr>
            <w:r>
              <w:t xml:space="preserve">DIBI </w:t>
            </w:r>
            <w:r>
              <w:t xml:space="preserve">705</w:t>
            </w:r>
          </w:p>
        </w:tc>
      </w:tr>
      <w:tr>
        <w:trPr>
          <w:cantSplit/>
        </w:trPr>
        <w:tc>
          <w:tcPr>
            <w:tcW w:w="2005" w:type="dxa"/>
          </w:tcPr>
          <w:p>
            <w:pPr>
              <w:pStyle w:val="IsiTabel"/>
              <w:suppressAutoHyphens/>
              <w:jc w:val="left"/>
            </w:pPr>
            <w:r>
              <w:t xml:space="preserve">Lombok 2018</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 lawan USGS</w:t>
            </w:r>
          </w:p>
        </w:tc>
        <w:tc>
          <w:tcPr>
            <w:tcW w:w="1774" w:type="dxa"/>
          </w:tcPr>
          <w:p>
            <w:pPr>
              <w:pStyle w:val="IsiTabel"/>
              <w:suppressAutoHyphens/>
              <w:jc w:val="right"/>
            </w:pPr>
            <w:r>
              <w:t xml:space="preserve">569</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USGS </w:t>
            </w:r>
            <w:r>
              <w:t xml:space="preserve">563</w:t>
            </w:r>
          </w:p>
        </w:tc>
      </w:tr>
      <w:tr>
        <w:trPr>
          <w:cantSplit/>
        </w:trPr>
        <w:tc>
          <w:tcPr>
            <w:tcW w:w="2005" w:type="dxa"/>
          </w:tcPr>
          <w:p>
            <w:pPr>
              <w:pStyle w:val="IsiTabel"/>
              <w:suppressAutoHyphens/>
              <w:jc w:val="left"/>
            </w:pPr>
            <w:r>
              <w:t xml:space="preserve">Padang 2009</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 lawan USGS</w:t>
            </w:r>
          </w:p>
        </w:tc>
        <w:tc>
          <w:tcPr>
            <w:tcW w:w="1774" w:type="dxa"/>
          </w:tcPr>
          <w:p>
            <w:pPr>
              <w:pStyle w:val="IsiTabel"/>
              <w:suppressAutoHyphens/>
              <w:jc w:val="right"/>
            </w:pPr>
            <w:r>
              <w:t xml:space="preserve">1.195</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USGS </w:t>
            </w:r>
            <w:r>
              <w:t xml:space="preserve">1.117</w:t>
            </w:r>
          </w:p>
        </w:tc>
      </w:tr>
      <w:tr>
        <w:trPr>
          <w:cantSplit/>
        </w:trPr>
        <w:tc>
          <w:tcPr>
            <w:tcW w:w="2005" w:type="dxa"/>
          </w:tcPr>
          <w:p>
            <w:pPr>
              <w:pStyle w:val="IsiTabel"/>
              <w:suppressAutoHyphens/>
              <w:jc w:val="left"/>
            </w:pPr>
            <w:r>
              <w:t xml:space="preserve">Mentawai 2010</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 lawan USGS</w:t>
            </w:r>
          </w:p>
        </w:tc>
        <w:tc>
          <w:tcPr>
            <w:tcW w:w="1774" w:type="dxa"/>
          </w:tcPr>
          <w:p>
            <w:pPr>
              <w:pStyle w:val="IsiTabel"/>
              <w:suppressAutoHyphens/>
              <w:jc w:val="right"/>
            </w:pPr>
            <w:r>
              <w:t xml:space="preserve">447</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USGS </w:t>
            </w:r>
            <w:r>
              <w:t xml:space="preserve">445</w:t>
            </w:r>
          </w:p>
        </w:tc>
      </w:tr>
      <w:tr>
        <w:trPr>
          <w:cantSplit/>
        </w:trPr>
        <w:tc>
          <w:tcPr>
            <w:tcW w:w="2005" w:type="dxa"/>
          </w:tcPr>
          <w:p>
            <w:pPr>
              <w:pStyle w:val="IsiTabel"/>
              <w:suppressAutoHyphens/>
              <w:jc w:val="left"/>
            </w:pPr>
            <w:r>
              <w:t xml:space="preserve">Merapi 2010</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data BNPB dikutip Surono dkk.</w:t>
            </w:r>
          </w:p>
        </w:tc>
        <w:tc>
          <w:tcPr>
            <w:tcW w:w="1774" w:type="dxa"/>
          </w:tcPr>
          <w:p>
            <w:pPr>
              <w:pStyle w:val="IsiTabel"/>
              <w:suppressAutoHyphens/>
              <w:jc w:val="right"/>
            </w:pPr>
            <w:r>
              <w:t xml:space="preserve">367</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86" w:type="dxa"/>
          </w:tcPr>
          <w:p>
            <w:pPr>
              <w:pStyle w:val="IsiTabel"/>
              <w:suppressAutoHyphens/>
              <w:jc w:val="left"/>
            </w:pPr>
            <w:r>
              <w:t xml:space="preserve">tanggal rekap tidak disebut; DIBI </w:t>
            </w:r>
            <w:r>
              <w:t xml:space="preserve">386</w:t>
            </w:r>
          </w:p>
        </w:tc>
      </w:tr>
      <w:tr>
        <w:trPr>
          <w:cantSplit/>
        </w:trPr>
        <w:tc>
          <w:tcPr>
            <w:tcW w:w="2005" w:type="dxa"/>
          </w:tcPr>
          <w:p>
            <w:pPr>
              <w:pStyle w:val="IsiTabel"/>
              <w:suppressAutoHyphens/>
              <w:jc w:val="left"/>
            </w:pPr>
            <w:r>
              <w:t xml:space="preserve">Seroja 2021</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Renstra lawan DIBI</w:t>
            </w:r>
          </w:p>
        </w:tc>
        <w:tc>
          <w:tcPr>
            <w:tcW w:w="1774" w:type="dxa"/>
          </w:tcPr>
          <w:p>
            <w:pPr>
              <w:pStyle w:val="IsiTabel"/>
              <w:suppressAutoHyphens/>
              <w:jc w:val="right"/>
            </w:pPr>
            <w:r>
              <w:t xml:space="preserve">184</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DIBI </w:t>
            </w:r>
            <w:r>
              <w:t xml:space="preserve">154</w:t>
            </w:r>
            <w:r>
              <w:t xml:space="preserve">; beda tidak terjelaskan</w:t>
            </w:r>
          </w:p>
        </w:tc>
      </w:tr>
      <w:tr>
        <w:trPr>
          <w:cantSplit/>
        </w:trPr>
        <w:tc>
          <w:tcPr>
            <w:tcW w:w="2005" w:type="dxa"/>
          </w:tcPr>
          <w:p>
            <w:pPr>
              <w:pStyle w:val="IsiTabel"/>
              <w:suppressAutoHyphens/>
              <w:jc w:val="left"/>
            </w:pPr>
            <w:r>
              <w:t xml:space="preserve">Cianjur 2022</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R3P, data BPBD 7 Desember 2022</w:t>
            </w:r>
          </w:p>
        </w:tc>
        <w:tc>
          <w:tcPr>
            <w:tcW w:w="1774" w:type="dxa"/>
          </w:tcPr>
          <w:p>
            <w:pPr>
              <w:pStyle w:val="IsiTabel"/>
              <w:suppressAutoHyphens/>
              <w:jc w:val="right"/>
            </w:pPr>
            <w:r>
              <w:t xml:space="preserve">334</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data dinamis; DIBI dan Renstra </w:t>
            </w:r>
            <w:r>
              <w:t xml:space="preserve">602</w:t>
            </w:r>
          </w:p>
        </w:tc>
      </w:tr>
      <w:tr>
        <w:trPr>
          <w:cantSplit/>
        </w:trPr>
        <w:tc>
          <w:tcPr>
            <w:tcW w:w="2005" w:type="dxa"/>
          </w:tcPr>
          <w:p>
            <w:pPr>
              <w:pStyle w:val="IsiTabel"/>
              <w:keepNext/>
              <w:suppressAutoHyphens/>
              <w:jc w:val="left"/>
            </w:pPr>
            <w:bookmarkStart w:id="174" w:name="_Ekor018a"/>
            <w:bookmarkEnd w:id="174"/>
            <w:r>
              <w:t xml:space="preserve">Cianjur 2022</w:t>
            </w:r>
          </w:p>
        </w:tc>
        <w:tc>
          <w:tcPr>
            <w:tcW w:w="1295" w:type="dxa"/>
          </w:tcPr>
          <w:p>
            <w:pPr>
              <w:pStyle w:val="IsiTabel"/>
              <w:keepNext/>
              <w:suppressAutoHyphens/>
              <w:jc w:val="left"/>
            </w:pPr>
            <w:r>
              <w:t xml:space="preserve">rumah rusak</w:t>
            </w:r>
          </w:p>
        </w:tc>
        <w:tc>
          <w:tcPr>
            <w:tcW w:w="1169" w:type="dxa"/>
          </w:tcPr>
          <w:p>
            <w:pPr>
              <w:pStyle w:val="IsiTabel"/>
              <w:keepNext/>
              <w:suppressAutoHyphens/>
              <w:jc w:val="left"/>
            </w:pPr>
            <w:r>
              <w:t xml:space="preserve">R3P, surat keputusan bupati tahap II</w:t>
            </w:r>
          </w:p>
        </w:tc>
        <w:tc>
          <w:tcPr>
            <w:tcW w:w="1774" w:type="dxa"/>
          </w:tcPr>
          <w:p>
            <w:pPr>
              <w:pStyle w:val="IsiTabel"/>
              <w:keepNext/>
              <w:suppressAutoHyphens/>
              <w:jc w:val="right"/>
            </w:pPr>
            <w:r>
              <w:t xml:space="preserve">114.315</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86" w:type="dxa"/>
          </w:tcPr>
          <w:p>
            <w:pPr>
              <w:pStyle w:val="IsiTabel"/>
              <w:keepNext/>
              <w:suppressAutoHyphens/>
              <w:jc w:val="left"/>
            </w:pPr>
            <w:r>
              <w:t xml:space="preserve">DIBI </w:t>
            </w:r>
            <w:r>
              <w:t xml:space="preserve">57.337</w:t>
            </w:r>
            <w:r>
              <w:t xml:space="preserve">; BPBD 7 Desember </w:t>
            </w:r>
            <w:r>
              <w:t xml:space="preserve">53.408</w:t>
            </w:r>
          </w:p>
        </w:tc>
      </w:tr>
      <w:tr>
        <w:trPr>
          <w:cantSplit/>
        </w:trPr>
        <w:tc>
          <w:tcPr>
            <w:tcW w:w="2005" w:type="dxa"/>
          </w:tcPr>
          <w:p>
            <w:pPr>
              <w:pStyle w:val="IsiTabel"/>
              <w:keepNext/>
              <w:suppressAutoHyphens/>
              <w:jc w:val="left"/>
            </w:pPr>
            <w:r>
              <w:t xml:space="preserve">Jabodetabek 2020</w:t>
            </w:r>
          </w:p>
        </w:tc>
        <w:tc>
          <w:tcPr>
            <w:tcW w:w="1295" w:type="dxa"/>
          </w:tcPr>
          <w:p>
            <w:pPr>
              <w:pStyle w:val="IsiTabel"/>
              <w:keepNext/>
              <w:suppressAutoHyphens/>
              <w:jc w:val="left"/>
            </w:pPr>
            <w:r>
              <w:t xml:space="preserve">meninggal</w:t>
            </w:r>
          </w:p>
        </w:tc>
        <w:tc>
          <w:tcPr>
            <w:tcW w:w="1169" w:type="dxa"/>
          </w:tcPr>
          <w:p>
            <w:pPr>
              <w:pStyle w:val="IsiTabel"/>
              <w:keepNext/>
              <w:suppressAutoHyphens/>
              <w:jc w:val="left"/>
            </w:pPr>
            <w:r>
              <w:t xml:space="preserve">Renstra, DKI Jakarta saja</w:t>
            </w:r>
          </w:p>
        </w:tc>
        <w:tc>
          <w:tcPr>
            <w:tcW w:w="1774" w:type="dxa"/>
          </w:tcPr>
          <w:p>
            <w:pPr>
              <w:pStyle w:val="IsiTabel"/>
              <w:keepNext/>
              <w:suppressAutoHyphens/>
              <w:jc w:val="right"/>
            </w:pPr>
            <w:r>
              <w:t xml:space="preserve">61</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86" w:type="dxa"/>
          </w:tcPr>
          <w:p>
            <w:pPr>
              <w:pStyle w:val="IsiTabel"/>
              <w:keepNext/>
              <w:suppressAutoHyphens/>
              <w:jc w:val="left"/>
            </w:pPr>
            <w:r>
              <w:t xml:space="preserve">DIBI Jabodetabek </w:t>
            </w:r>
            <w:r>
              <w:t xml:space="preserve">51</w:t>
            </w:r>
            <w:r>
              <w:t xml:space="preserve">; cakupan wilayah beda</w:t>
            </w:r>
          </w:p>
        </w:tc>
      </w:tr>
      <w:tr>
        <w:trPr>
          <w:cantSplit/>
        </w:trPr>
        <w:tc>
          <w:tcPr>
            <w:tcW w:w="2005" w:type="dxa"/>
          </w:tcPr>
          <w:p>
            <w:pPr>
              <w:pStyle w:val="IsiTabel"/>
              <w:keepNext/>
              <w:suppressAutoHyphens/>
              <w:jc w:val="left"/>
            </w:pPr>
            <w:r>
              <w:t xml:space="preserve">Sumatra 2025</w:t>
            </w:r>
          </w:p>
        </w:tc>
        <w:tc>
          <w:tcPr>
            <w:tcW w:w="1295" w:type="dxa"/>
          </w:tcPr>
          <w:p>
            <w:pPr>
              <w:pStyle w:val="IsiTabel"/>
              <w:keepNext/>
              <w:suppressAutoHyphens/>
              <w:jc w:val="left"/>
            </w:pPr>
            <w:r>
              <w:t xml:space="preserve">meninggal</w:t>
            </w:r>
          </w:p>
        </w:tc>
        <w:tc>
          <w:tcPr>
            <w:tcW w:w="1169" w:type="dxa"/>
          </w:tcPr>
          <w:p>
            <w:pPr>
              <w:pStyle w:val="IsiTabel"/>
              <w:keepNext/>
              <w:suppressAutoHyphens/>
              <w:jc w:val="left"/>
            </w:pPr>
            <w:r>
              <w:t xml:space="preserve">Buletin BNPB, Aceh saja</w:t>
            </w:r>
          </w:p>
        </w:tc>
        <w:tc>
          <w:tcPr>
            <w:tcW w:w="1774" w:type="dxa"/>
          </w:tcPr>
          <w:p>
            <w:pPr>
              <w:pStyle w:val="IsiTabel"/>
              <w:keepNext/>
              <w:suppressAutoHyphens/>
              <w:jc w:val="right"/>
            </w:pPr>
            <w:r>
              <w:t xml:space="preserve">527</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86" w:type="dxa"/>
          </w:tcPr>
          <w:p>
            <w:pPr>
              <w:pStyle w:val="IsiTabel"/>
              <w:keepNext/>
              <w:suppressAutoHyphens/>
              <w:jc w:val="left"/>
            </w:pPr>
            <w:r>
              <w:t xml:space="preserve">cakupan satu provinsi; DIBI tiga provinsi </w:t>
            </w:r>
            <w:r>
              <w:t xml:space="preserve">1.202</w:t>
            </w:r>
          </w:p>
        </w:tc>
      </w:tr>
      <w:tr>
        <w:trPr>
          <w:cantSplit/>
        </w:trPr>
        <w:tc>
          <w:tcPr>
            <w:tcW w:w="2005" w:type="dxa"/>
          </w:tcPr>
          <w:p>
            <w:pPr>
              <w:pStyle w:val="IsiTabel"/>
              <w:keepNext/>
              <w:suppressAutoHyphens/>
              <w:jc w:val="left"/>
            </w:pPr>
            <w:bookmarkStart w:id="175" w:name="_Ekor018z"/>
            <w:bookmarkEnd w:id="175"/>
            <w:r>
              <w:t xml:space="preserve">COVID-19</w:t>
            </w:r>
          </w:p>
        </w:tc>
        <w:tc>
          <w:tcPr>
            <w:tcW w:w="1295" w:type="dxa"/>
          </w:tcPr>
          <w:p>
            <w:pPr>
              <w:pStyle w:val="IsiTabel"/>
              <w:keepNext/>
              <w:suppressAutoHyphens/>
              <w:jc w:val="left"/>
            </w:pPr>
            <w:r>
              <w:t xml:space="preserve">kematian berlebih 2020–2021</w:t>
            </w:r>
          </w:p>
        </w:tc>
        <w:tc>
          <w:tcPr>
            <w:tcW w:w="1169" w:type="dxa"/>
          </w:tcPr>
          <w:p>
            <w:pPr>
              <w:pStyle w:val="IsiTabel"/>
              <w:keepNext/>
              <w:suppressAutoHyphens/>
              <w:jc w:val="left"/>
            </w:pPr>
            <w:r>
              <w:t xml:space="preserve">WHO</w:t>
            </w:r>
          </w:p>
        </w:tc>
        <w:tc>
          <w:tcPr>
            <w:tcW w:w="1774" w:type="dxa"/>
          </w:tcPr>
          <w:p>
            <w:pPr>
              <w:pStyle w:val="IsiTabel"/>
              <w:keepNext/>
              <w:suppressAutoHyphens/>
              <w:jc w:val="right"/>
            </w:pPr>
            <w:r>
              <w:t xml:space="preserve">810.000–1.300.000</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586" w:type="dxa"/>
          </w:tcPr>
          <w:p>
            <w:pPr>
              <w:pStyle w:val="IsiTabel"/>
              <w:keepNext/>
              <w:suppressAutoHyphens/>
              <w:jc w:val="left"/>
            </w:pPr>
            <w:r>
              <w:t xml:space="preserve">kematian terkonfirmasi </w:t>
            </w:r>
            <w:r>
              <w:t xml:space="preserve">161.870</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BNPB, DIBI dasbor publik; BRR NAD–Nias (2009); USGS; Renstra BNPB 2025–2029; R3P Gempa Bumi Kabupaten Cianjur 2022; Buletin Info Bencana BNPB Desember 2025; Surono dkk. (2012); WHO (2023);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Versi yang hanya dikutip media tidak dimuat. Jendela tanggal per kejadian DIBI adalah pilihan penyusun.</w:t>
      </w:r>
    </w:p>
    <w:p>
      <w:r>
        <w:br w:type="page"/>
      </w:r>
    </w:p>
    <w:p>
      <w:pPr>
        <w:pStyle w:val="Heading4"/>
      </w:pPr>
      <w:r>
        <w:t xml:space="preserve">Studi Kasus Peringatan Dini dan Evakuasi Merapi 2010</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tabs>
                <w:tab w:val="right" w:pos="9014"/>
              </w:tabs>
              <w:suppressAutoHyphens/>
              <w:spacing w:after="0"/>
            </w:pPr>
            <w:r>
              <w:rPr>
                <w:position w:val="-10"/>
              </w:rPr>
              <w:drawing>
                <wp:inline distT="0" distB="0" distL="0" distR="0">
                  <wp:extent cx="216000" cy="216000"/>
                  <wp:effectExtent l="0" t="0" r="0" b="0"/>
                  <wp:docPr id="26" name="Gambar 26"/>
                  <wp:cNvGraphicFramePr>
                    <a:graphicFrameLocks noChangeAspect="1"/>
                  </wp:cNvGraphicFramePr>
                  <a:graphic>
                    <a:graphicData uri="http://schemas.openxmlformats.org/drawingml/2006/picture">
                      <pic:pic>
                        <pic:nvPicPr>
                          <pic:cNvPr id="26" name="lembaga-lucide-landmark-FFFFFF-051C2C.png"/>
                          <pic:cNvPicPr/>
                        </pic:nvPicPr>
                        <pic:blipFill>
                          <a:blip r:embed="rId31"/>
                          <a:stretch>
                            <a:fillRect/>
                          </a:stretch>
                        </pic:blipFill>
                        <pic:spPr>
                          <a:xfrm>
                            <a:off x="0" y="0"/>
                            <a:ext cx="216000" cy="216000"/>
                          </a:xfrm>
                          <a:prstGeom prst="rect">
                            <a:avLst/>
                          </a:prstGeom>
                        </pic:spPr>
                      </pic:pic>
                    </a:graphicData>
                  </a:graphic>
                </wp:inline>
              </w:drawing>
            </w:r>
            <w:r>
              <w:t xml:space="preserve"> </w:t>
            </w:r>
            <w:r>
              <w:rPr>
                <w:b/>
                <w:bCs/>
                <w:color w:val="1A1A1A"/>
              </w:rPr>
              <w:t xml:space="preserve">Merapi 2010, zona evakuasi diperluas bertahap sampai </w:t>
            </w:r>
            <w:r>
              <w:rPr>
                <w:b/>
                <w:bCs/>
                <w:color w:val="1A1A1A"/>
              </w:rPr>
              <w:t xml:space="preserve">20 km</w:t>
            </w:r>
            <w:r>
              <w:rPr>
                <w:b/>
                <w:bCs/>
                <w:color w:val="1A1A1A"/>
              </w:rPr>
              <w:t xml:space="preserve"> dan DIBI mencatat </w:t>
            </w:r>
            <w:r>
              <w:rPr>
                <w:b/>
                <w:bCs/>
                <w:color w:val="1A1A1A"/>
              </w:rPr>
              <w:t xml:space="preserve">386</w:t>
            </w:r>
            <w:r>
              <w:rPr>
                <w:b/>
                <w:bCs/>
                <w:color w:val="1A1A1A"/>
              </w:rPr>
              <w:t xml:space="preserve"> meninggal dari </w:t>
            </w:r>
            <w:r>
              <w:rPr>
                <w:b/>
                <w:bCs/>
                <w:color w:val="1A1A1A"/>
              </w:rPr>
              <w:t xml:space="preserve">447.982</w:t>
            </w:r>
            <w:r>
              <w:rPr>
                <w:b/>
                <w:bCs/>
                <w:color w:val="1A1A1A"/>
              </w:rPr>
              <w:t xml:space="preserve"> pengungsi</w:t>
            </w:r>
            <w:r>
              <w:tab/>
            </w:r>
            <w:r>
              <w:t xml:space="preserve"> </w:t>
            </w:r>
            <w:r>
              <w:rPr>
                <w:b/>
                <w:bCs/>
                <w:color w:val="1A1A1A"/>
                <w:sz w:val="16"/>
                <w:szCs w:val="16"/>
                <w:bdr w:val="single" w:sz="6" w:space="0" w:color="6B7280"/>
              </w:rPr>
              <w:t xml:space="preserve">  Uji coba  </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Gunung Merapi, Daerah Istimewa Yogyakarta dan Jawa Tengah</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Pusat Vulkanologi dan Mitigasi Bencana Geologi; BNPB; pemerintah daerah</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2010</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DIBI mencatat </w:t>
            </w:r>
            <w:r>
              <w:t xml:space="preserve">386</w:t>
            </w:r>
            <w:r>
              <w:t xml:space="preserve"> meninggal dan </w:t>
            </w:r>
            <w:r>
              <w:t xml:space="preserve">447.982</w:t>
            </w:r>
            <w:r>
              <w:t xml:space="preserve"> pengungsi; penulis memperkirakan </w:t>
            </w:r>
            <w:r>
              <w:t xml:space="preserve">10.000–20.000</w:t>
            </w:r>
            <w:r>
              <w:t xml:space="preserve"> jiwa terselamatkan, estimasi model yang belum diuji</w:t>
            </w:r>
          </w:p>
        </w:tc>
      </w:tr>
      <w:tr>
        <w:tc>
          <w:tcPr>
            <w:tcW w:w="9354" w:type="dxa"/>
            <w:gridSpan w:val="2"/>
          </w:tcPr>
          <w:p>
            <w:pPr>
              <w:pStyle w:val="IsiKotak"/>
              <w:suppressAutoHyphens/>
            </w:pPr>
            <w:r>
              <w:rPr>
                <w:b/>
                <w:bCs/>
                <w:color w:val="1A1A1A"/>
              </w:rPr>
              <w:t xml:space="preserve">Masalah: </w:t>
            </w:r>
            <w:r>
              <w:t xml:space="preserve">Erupsi Merapi 2010 adalah letusan terbesar gunung itu dalam lebih dari seabad, dengan sekitar sepertiga juta orang mengungsi menurut </w:t>
            </w:r>
            <w:r>
              <w:t xml:space="preserve">Surono dkk. (2012)</w:t>
            </w:r>
            <w:r>
              <w:t xml:space="preserve">, sedangkan DIBI mencatat </w:t>
            </w:r>
            <w:r>
              <w:t xml:space="preserve">447.982</w:t>
            </w:r>
            <w:r>
              <w:t xml:space="preserve"> pengungsi.</w:t>
            </w:r>
          </w:p>
          <w:p>
            <w:pPr>
              <w:pStyle w:val="IsiKotak"/>
              <w:suppressAutoHyphens/>
            </w:pPr>
            <w:r>
              <w:rPr>
                <w:b/>
                <w:bCs/>
                <w:color w:val="1A1A1A"/>
              </w:rPr>
              <w:t xml:space="preserve">Pelaksana: </w:t>
            </w:r>
            <w:r>
              <w:t xml:space="preserve">Pusat Vulkanologi dan Mitigasi Bencana Geologi (PVMBG) menyusun prakiraan besaran tiap fase. Perintah evakuasi dan pelaksanaannya berada pada BNPB bersama pemerintah daerah.</w:t>
            </w:r>
          </w:p>
          <w:p>
            <w:pPr>
              <w:pStyle w:val="IsiKotak"/>
              <w:suppressAutoHyphens/>
            </w:pPr>
            <w:r>
              <w:rPr>
                <w:b/>
                <w:bCs/>
                <w:color w:val="1A1A1A"/>
              </w:rPr>
              <w:t xml:space="preserve">Cara: </w:t>
            </w:r>
            <w:r>
              <w:t xml:space="preserve">Radius zona evakuasi </w:t>
            </w:r>
            <w:r>
              <w:t xml:space="preserve">10</w:t>
            </w:r>
            <w:r>
              <w:t xml:space="preserve">, </w:t>
            </w:r>
            <w:r>
              <w:t xml:space="preserve">15</w:t>
            </w:r>
            <w:r>
              <w:t xml:space="preserve">, dan </w:t>
            </w:r>
            <w:r>
              <w:t xml:space="preserve">20 km</w:t>
            </w:r>
            <w:r>
              <w:t xml:space="preserve"> dari puncak menjadi parameter kenaikan tingkat ancaman; perluasan ke </w:t>
            </w:r>
            <w:r>
              <w:t xml:space="preserve">15 km</w:t>
            </w:r>
            <w:r>
              <w:t xml:space="preserve"> pada 3 November 2010 menaikkan pengungsi menjadi lebih dari </w:t>
            </w:r>
            <w:r>
              <w:t xml:space="preserve">100.000</w:t>
            </w:r>
            <w:r>
              <w:t xml:space="preserve"> orang </w:t>
            </w:r>
            <w:r>
              <w:t xml:space="preserve">(Surono dkk., 2012, hlm. 126–127)</w:t>
            </w:r>
            <w:r>
              <w:t xml:space="preserve">.</w:t>
            </w:r>
          </w:p>
          <w:p>
            <w:pPr>
              <w:pStyle w:val="IsiKotak"/>
              <w:suppressAutoHyphens/>
            </w:pPr>
            <w:r>
              <w:rPr>
                <w:b/>
                <w:bCs/>
                <w:color w:val="1A1A1A"/>
              </w:rPr>
              <w:t xml:space="preserve">Hasil: </w:t>
            </w:r>
            <w:r>
              <w:t xml:space="preserve">DIBI mencatat </w:t>
            </w:r>
            <w:r>
              <w:t xml:space="preserve">386</w:t>
            </w:r>
            <w:r>
              <w:t xml:space="preserve"> meninggal. Penulis menghitung perkiraan </w:t>
            </w:r>
            <w:r>
              <w:t xml:space="preserve">10.000–20.000</w:t>
            </w:r>
            <w:r>
              <w:t xml:space="preserve"> jiwa terselamatkan dari jumlah rumah hancur dikali empat sampai delapan jiwa per rumah tangga </w:t>
            </w:r>
            <w:r>
              <w:t xml:space="preserve">(Surono dkk., 2012, hlm. 129)</w:t>
            </w:r>
            <w:r>
              <w:t xml:space="preserve">. Karena kejadiannya tunggal, sistem peringatan gunung api belum dinilai berdampak terukur.</w:t>
            </w:r>
          </w:p>
          <w:p>
            <w:pPr>
              <w:pStyle w:val="Sumber"/>
              <w:suppressAutoHyphens/>
            </w:pPr>
            <w:r>
              <w:rPr>
                <w:b/>
                <w:bCs/>
                <w:color w:val="6B7280"/>
                <w:sz w:val="17"/>
                <w:szCs w:val="17"/>
              </w:rPr>
              <w:t xml:space="preserve">Sumber: </w:t>
            </w:r>
            <w:r>
              <w:rPr>
                <w:color w:val="6B7280"/>
                <w:sz w:val="17"/>
                <w:szCs w:val="17"/>
              </w:rPr>
              <w:t xml:space="preserve">(Surono dkk., 2012; BNPB, t.t.-a)</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Tsunami Palu 2018 tiba </w:t>
            </w:r>
            <w:r>
              <w:rPr>
                <w:b/>
                <w:bCs/>
                <w:color w:val="1A1A1A"/>
              </w:rPr>
              <w:t xml:space="preserve">3–8 menit</w:t>
            </w:r>
            <w:r>
              <w:rPr>
                <w:b/>
                <w:bCs/>
                <w:color w:val="1A1A1A"/>
              </w:rPr>
              <w:t xml:space="preserve"> setelah gempa, dan </w:t>
            </w:r>
            <w:r>
              <w:rPr>
                <w:b/>
                <w:bCs/>
                <w:color w:val="1A1A1A"/>
              </w:rPr>
              <w:t xml:space="preserve">82,5%</w:t>
            </w:r>
            <w:r>
              <w:rPr>
                <w:b/>
                <w:bCs/>
                <w:color w:val="1A1A1A"/>
              </w:rPr>
              <w:t xml:space="preserve"> responden mengungsi setelah melihat warga lain</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Badan Meteorologi, Klimatologi, dan Geofisika (BMKG) menerbitkan peringatan tsunami berstatus Waspada dan Siaga untuk pantai Donggala dan Mamuju bagian utara serta Kota Palu bagian barat. Saat itu listrik padam dan akses komunikasi terputus </w:t>
            </w:r>
            <w:r>
              <w:t xml:space="preserve">(BNPB, 2018a, hlm. 1)</w:t>
            </w:r>
            <w:r>
              <w:t xml:space="preserve">. Gelombang tiba </w:t>
            </w:r>
            <w:r>
              <w:t xml:space="preserve">3–8 menit</w:t>
            </w:r>
            <w:r>
              <w:t xml:space="preserve"> setelah guncangan dengan </w:t>
            </w:r>
            <w:r>
              <w:rPr>
                <w:i/>
                <w:iCs/>
              </w:rPr>
              <w:t xml:space="preserve">run-up</w:t>
            </w:r>
            <w:r>
              <w:t xml:space="preserve"> tertinggi </w:t>
            </w:r>
            <w:r>
              <w:t xml:space="preserve">10,73 m</w:t>
            </w:r>
            <w:r>
              <w:t xml:space="preserve"> di Tondo </w:t>
            </w:r>
            <w:r>
              <w:t xml:space="preserve">(Widiyanto dkk., 2019)</w:t>
            </w:r>
            <w:r>
              <w:t xml:space="preserve">, dan survei sebulan kemudian tidak menemukan warga yang menerima peringatan resmi sebelum tsunami tiba </w:t>
            </w:r>
            <w:r>
              <w:t xml:space="preserve">(Harnantyari dkk., 2020)</w:t>
            </w:r>
            <w:r>
              <w:t xml:space="preserve">.</w:t>
            </w:r>
          </w:p>
          <w:p>
            <w:pPr>
              <w:pStyle w:val="IsiKotak"/>
            </w:pPr>
            <w:r>
              <w:rPr>
                <w:b/>
                <w:bCs/>
                <w:color w:val="1A1A1A"/>
              </w:rPr>
              <w:t xml:space="preserve">Dampak: </w:t>
            </w:r>
            <w:r>
              <w:t xml:space="preserve">Untuk tsunami dekat, keputusan evakuasi warga terjadi sebelum pesan resmi mana pun dapat sampai, sehingga evakuasi mandiri atas tanda alam dan jalur evakuasi menentukan jumlah korban; DIBI mencatat </w:t>
            </w:r>
            <w:r>
              <w:t xml:space="preserve">4.140</w:t>
            </w:r>
            <w:r>
              <w:t xml:space="preserve"> meninggal dan </w:t>
            </w:r>
            <w:r>
              <w:t xml:space="preserve">705</w:t>
            </w:r>
            <w:r>
              <w:t xml:space="preserve"> hilang untuk gabungan seluruh bahaya kejadian itu.</w:t>
            </w:r>
          </w:p>
          <w:p>
            <w:pPr>
              <w:pStyle w:val="IsiKotak"/>
            </w:pPr>
            <w:r>
              <w:rPr>
                <w:b/>
                <w:bCs/>
                <w:color w:val="1A1A1A"/>
              </w:rPr>
              <w:t xml:space="preserve">Pembuka: </w:t>
            </w:r>
            <w:r>
              <w:rPr>
                <w:i/>
                <w:iCs/>
              </w:rPr>
              <w:t xml:space="preserve">Indonesia Tsunami Early Warning System</w:t>
            </w:r>
            <w:r>
              <w:t xml:space="preserve"> (InaTEWS) berkekuatan bukti sedang karena bertumpu pada satu kejadian dan berposisi program berjalan yang wajib dievaluasi; dampaknya baru dapat dinilai terukur setelah evaluasi itu dilakukan.</w:t>
            </w:r>
          </w:p>
        </w:tc>
      </w:tr>
    </w:tbl>
    <w:p>
      <w:pPr>
        <w:pStyle w:val="Jarak"/>
      </w:pPr>
    </w:p>
    <w:p>
      <w:pPr>
        <w:pStyle w:val="Caption"/>
      </w:pPr>
      <w:bookmarkStart w:id="177" w:name="_Toc00072"/>
      <w:bookmarkStart w:id="176" w:name="_Ref001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176"/>
      <w:r>
        <w:rPr>
          <w:b/>
          <w:bCs/>
          <w:color w:val="051C2C"/>
        </w:rPr>
        <w:t xml:space="preserve"> </w:t>
      </w:r>
      <w:r>
        <w:t xml:space="preserve">Evakuasi korban banjir di Pekalongan, Februari 2023</w:t>
      </w:r>
      <w:bookmarkEnd w:id="177"/>
    </w:p>
    <w:p xmlns:a="http://schemas.openxmlformats.org/drawingml/2006/main" xmlns:pic="http://schemas.openxmlformats.org/drawingml/2006/picture">
      <w:pPr>
        <w:keepNext/>
        <w:spacing w:after="0" w:line="240" w:lineRule="auto"/>
        <w:jc w:val="center"/>
      </w:pPr>
      <w:bookmarkStart w:id="178" w:name="_Obj0013"/>
      <w:r>
        <w:drawing>
          <wp:inline distT="0" distB="0" distL="0" distR="0">
            <wp:extent cx="2898000" cy="2172792"/>
            <wp:effectExtent l="0" t="0" r="0" b="0"/>
            <wp:docPr id="27" name="Gambar 27"/>
            <wp:cNvGraphicFramePr>
              <a:graphicFrameLocks noChangeAspect="1"/>
            </wp:cNvGraphicFramePr>
            <a:graphic>
              <a:graphicData uri="http://schemas.openxmlformats.org/drawingml/2006/picture">
                <pic:pic>
                  <pic:nvPicPr>
                    <pic:cNvPr id="27" name="air-pekalongan-banjir.jpg"/>
                    <pic:cNvPicPr/>
                  </pic:nvPicPr>
                  <pic:blipFill>
                    <a:blip r:embed="rId32"/>
                    <a:stretch>
                      <a:fillRect/>
                    </a:stretch>
                  </pic:blipFill>
                  <pic:spPr>
                    <a:xfrm>
                      <a:off x="0" y="0"/>
                      <a:ext cx="2898000" cy="2172792"/>
                    </a:xfrm>
                    <a:prstGeom prst="rect">
                      <a:avLst/>
                    </a:prstGeom>
                  </pic:spPr>
                </pic:pic>
              </a:graphicData>
            </a:graphic>
          </wp:inline>
        </w:drawing>
      </w:r>
      <w:bookmarkEnd w:id="178"/>
    </w:p>
    <w:p>
      <w:pPr>
        <w:pStyle w:val="Sumber"/>
      </w:pPr>
      <w:r>
        <w:rPr>
          <w:b/>
          <w:bCs/>
          <w:color w:val="6B7280"/>
          <w:sz w:val="17"/>
          <w:szCs w:val="17"/>
        </w:rPr>
        <w:t xml:space="preserve">Sumber: </w:t>
      </w:r>
      <w:r>
        <w:rPr>
          <w:color w:val="6B7280"/>
          <w:sz w:val="17"/>
          <w:szCs w:val="17"/>
        </w:rPr>
        <w:t xml:space="preserve">Wikimedia Commons, AntaraTV, CC BY 3.0</w:t>
      </w:r>
    </w:p>
    <w:p>
      <w:pPr>
        <w:pStyle w:val="Heading2"/>
      </w:pPr>
      <w:bookmarkStart w:id="180" w:name="_Toc00073"/>
      <w:bookmarkStart w:id="179" w:name="_Ref0189"/>
      <w:r>
        <w:t xml:space="preserve">4.3</w:t>
      </w:r>
      <w:bookmarkEnd w:id="179"/>
      <w:r>
        <w:tab/>
      </w:r>
      <w:r>
        <w:t xml:space="preserve">Pola Korban: Kejadian dan Korban Bergerak Berbeda</w:t>
      </w:r>
      <w:bookmarkEnd w:id="180"/>
    </w:p>
    <w:p>
      <w:pPr>
        <w:pStyle w:val="IsiTemuan"/>
      </w:pPr>
      <w:r>
        <w:rPr>
          <w:b/>
          <w:bCs/>
          <w:color w:val="051C2C"/>
        </w:rPr>
        <w:t xml:space="preserve">Korelasi peringkat Spearman antara jumlah kejadian dan korban meninggal bencana alam per tahun hanya </w:t>
      </w:r>
      <w:r>
        <w:rPr>
          <w:b/>
          <w:bCs/>
          <w:color w:val="051C2C"/>
        </w:rPr>
        <w:t xml:space="preserve">0,17</w:t>
      </w:r>
      <w:r>
        <w:rPr>
          <w:b/>
          <w:bCs/>
          <w:color w:val="051C2C"/>
        </w:rPr>
        <w:t xml:space="preserve"> pada 2015–2023, periode sebelum patahan ambang.</w:t>
      </w:r>
      <w:r>
        <w:t xml:space="preserve"> Bila 2024 dan 2025 ikut dihitung, angkanya </w:t>
      </w:r>
      <w:r>
        <w:t xml:space="preserve">0,22</w:t>
      </w:r>
      <w:r>
        <w:t xml:space="preserve">, tetapi seri itu melintasi patahan </w:t>
      </w:r>
      <w:r>
        <w:t xml:space="preserve">(BNPB, t.t.-a)</w:t>
      </w:r>
      <w:r>
        <w:t xml:space="preserve">. Tahun 2021 dan 2023 mencatat kejadian terbanyak, sedangkan 2023 justru mencatat korban meninggal terendah kedua (</w:t>
      </w:r>
      <w:r>
        <w:t xml:space="preserve">275</w:t>
      </w:r>
      <w:r>
        <w:t xml:space="preserve">) setelah 2015 (</w:t>
      </w:r>
      <w:r>
        <w:t xml:space="preserve">219</w:t>
      </w:r>
      <w:r>
        <w:t xml:space="preserve">). Jumlah kejadian karena itu tidak dapat dipakai sebagai ukuran keparahan maupun ukuran kinerja penanggulangan bencana.</w:t>
      </w:r>
    </w:p>
    <w:p>
      <w:pPr>
        <w:pStyle w:val="IsiTemuan"/>
      </w:pPr>
      <w:r>
        <w:rPr>
          <w:b/>
          <w:bCs/>
          <w:color w:val="051C2C"/>
        </w:rPr>
        <w:t xml:space="preserve">Bencana geologi menyumbang </w:t>
      </w:r>
      <w:r>
        <w:rPr>
          <w:b/>
          <w:bCs/>
          <w:color w:val="051C2C"/>
        </w:rPr>
        <w:t xml:space="preserve">0,91%</w:t>
      </w:r>
      <w:r>
        <w:rPr>
          <w:b/>
          <w:bCs/>
          <w:color w:val="051C2C"/>
        </w:rPr>
        <w:t xml:space="preserve"> kejadian bencana alam 2015–2025 tetapi </w:t>
      </w:r>
      <w:r>
        <w:rPr>
          <w:b/>
          <w:bCs/>
          <w:color w:val="051C2C"/>
        </w:rPr>
        <w:t xml:space="preserve">6.236</w:t>
      </w:r>
      <w:r>
        <w:rPr>
          <w:b/>
          <w:bCs/>
          <w:color w:val="051C2C"/>
        </w:rPr>
        <w:t xml:space="preserve"> meninggal, atau </w:t>
      </w:r>
      <w:r>
        <w:rPr>
          <w:b/>
          <w:bCs/>
          <w:color w:val="051C2C"/>
        </w:rPr>
        <w:t xml:space="preserve">54,3%</w:t>
      </w:r>
      <w:r>
        <w:rPr>
          <w:b/>
          <w:bCs/>
          <w:color w:val="051C2C"/>
        </w:rPr>
        <w:t xml:space="preserve"> korban meninggal alam.</w:t>
      </w:r>
      <w:r>
        <w:t xml:space="preserve"> Hidrometeorologi menyumbang sisanya, </w:t>
      </w:r>
      <w:r>
        <w:t xml:space="preserve">5.241</w:t>
      </w:r>
      <w:r>
        <w:t xml:space="preserve"> meninggal atau </w:t>
      </w:r>
      <w:r>
        <w:t xml:space="preserve">45,7%</w:t>
      </w:r>
      <w:r>
        <w:t xml:space="preserve">, dari hampir seluruh kejadian </w:t>
      </w:r>
      <w:r>
        <w:t xml:space="preserve">(BNPB, t.t.-a)</w:t>
      </w:r>
      <w:r>
        <w:t xml:space="preserve">. Korban tahunan ditentukan oleh sedikit kejadian geologi berkorban massal pada 2018 dan 2022, dan pada 2025 oleh satu rangkaian banjir dan longsor.</w:t>
      </w:r>
    </w:p>
    <w:p>
      <w:pPr>
        <w:pStyle w:val="IsiTemuan"/>
      </w:pPr>
      <w:r>
        <w:rPr>
          <w:b/>
          <w:bCs/>
          <w:color w:val="051C2C"/>
        </w:rPr>
        <w:t xml:space="preserve">Lima kejadian menyumbang </w:t>
      </w:r>
      <w:r>
        <w:rPr>
          <w:b/>
          <w:bCs/>
          <w:color w:val="051C2C"/>
        </w:rPr>
        <w:t xml:space="preserve">6.950</w:t>
      </w:r>
      <w:r>
        <w:rPr>
          <w:b/>
          <w:bCs/>
          <w:color w:val="051C2C"/>
        </w:rPr>
        <w:t xml:space="preserve"> meninggal atau </w:t>
      </w:r>
      <w:r>
        <w:rPr>
          <w:b/>
          <w:bCs/>
          <w:color w:val="051C2C"/>
        </w:rPr>
        <w:t xml:space="preserve">60,6%</w:t>
      </w:r>
      <w:r>
        <w:rPr>
          <w:b/>
          <w:bCs/>
          <w:color w:val="051C2C"/>
        </w:rPr>
        <w:t xml:space="preserve"> korban meninggal bencana alam 2015–2025.</w:t>
      </w:r>
      <w:r>
        <w:t xml:space="preserve"> Kelimanya adalah Sulawesi Tengah 2018, Sumatra 2025, Cianjur 2022, Lombok 2018, dan Selat Sunda 2018. Per tahun, tiga kejadian 2018 menyumbang </w:t>
      </w:r>
      <w:r>
        <w:t xml:space="preserve">94,0%</w:t>
      </w:r>
      <w:r>
        <w:t xml:space="preserve"> korban meninggal alam 2018, Cianjur </w:t>
      </w:r>
      <w:r>
        <w:t xml:space="preserve">70,2%</w:t>
      </w:r>
      <w:r>
        <w:t xml:space="preserve"> korban 2022, dan Sumatra </w:t>
      </w:r>
      <w:r>
        <w:t xml:space="preserve">69,3%</w:t>
      </w:r>
      <w:r>
        <w:t xml:space="preserve"> korban 2025 </w:t>
      </w:r>
      <w:r>
        <w:t xml:space="preserve">(BNPB, t.t.-a)</w:t>
      </w:r>
      <w:r>
        <w:t xml:space="preserve">. Jendela tanggal tiap kejadian adalah pilihan penyusun. Kajian ini menilai indikator korban tahunan Rencana Nasional (Renas) Penanggulangan Bencana (PB) akan berfluktuasi besar walau sistem tidak berubah, sehingga pelaporan capaian perlu memuat angka tahunan, angka tanpa kejadian terbesar, dan daftar kejadian penentunya.</w:t>
      </w:r>
    </w:p>
    <w:p>
      <w:pPr>
        <w:pStyle w:val="Heading2"/>
      </w:pPr>
      <w:bookmarkStart w:id="182" w:name="_Toc00074"/>
      <w:bookmarkStart w:id="181" w:name="_Ref0183"/>
      <w:r>
        <w:t xml:space="preserve">4.4</w:t>
      </w:r>
      <w:bookmarkEnd w:id="181"/>
      <w:r>
        <w:tab/>
      </w:r>
      <w:r>
        <w:t xml:space="preserve">Bencana Nonalam dan Sosial dalam Catatan</w:t>
      </w:r>
      <w:bookmarkEnd w:id="182"/>
    </w:p>
    <w:p>
      <w:pPr>
        <w:pStyle w:val="IsiTemuan"/>
      </w:pPr>
      <w:r>
        <w:rPr>
          <w:b/>
          <w:bCs/>
          <w:color w:val="051C2C"/>
        </w:rPr>
        <w:t xml:space="preserve">Pandemi COVID-19 menewaskan </w:t>
      </w:r>
      <w:r>
        <w:rPr>
          <w:b/>
          <w:bCs/>
          <w:color w:val="051C2C"/>
        </w:rPr>
        <w:t xml:space="preserve">161.870</w:t>
      </w:r>
      <w:r>
        <w:rPr>
          <w:b/>
          <w:bCs/>
          <w:color w:val="051C2C"/>
        </w:rPr>
        <w:t xml:space="preserve"> orang menurut Kementerian Kesehatan, </w:t>
      </w:r>
      <w:r>
        <w:rPr>
          <w:b/>
          <w:bCs/>
          <w:color w:val="051C2C"/>
        </w:rPr>
        <w:t xml:space="preserve">13,6 kali</w:t>
      </w:r>
      <w:r>
        <w:rPr>
          <w:b/>
          <w:bCs/>
          <w:color w:val="051C2C"/>
        </w:rPr>
        <w:t xml:space="preserve"> seluruh korban meninggal kejadian bencana DIBI 2015–2025, tanpa satu baris pun di DIBI.</w:t>
      </w:r>
      <w:r>
        <w:t xml:space="preserve"> Angka itu kumulatif sampai sekitar akhir Juni 2023 </w:t>
      </w:r>
      <w:r>
        <w:t xml:space="preserve">(BNPB, 2025e, hlm. 14)</w:t>
      </w:r>
      <w:r>
        <w:t xml:space="preserve">. Definisinya berbeda dari korban kejadian di DIBI, jadi rasio tersebut hanya menyatakan besaran dan tidak dijumlahkan ke seri DIBI. Kebakaran terminal bahan bakar Plumpang 2023, Balongan 2021, dan ledakan smelter Morowali 2023 juga tidak memiliki baris DIBI, dan kategori epidemi baru muncul pada 2024 </w:t>
      </w:r>
      <w:r>
        <w:t xml:space="preserve">(BNPB, t.t.-a)</w:t>
      </w:r>
      <w:r>
        <w:t xml:space="preserve">.</w:t>
      </w:r>
    </w:p>
    <w:p>
      <w:pPr>
        <w:pStyle w:val="IsiTemuan"/>
      </w:pPr>
      <w:r>
        <w:rPr>
          <w:b/>
          <w:bCs/>
          <w:color w:val="051C2C"/>
        </w:rPr>
        <w:t xml:space="preserve">Kategori di luar bencana alam di DIBI baru rapat sejak 2024 dan pada 2025 memuat </w:t>
      </w:r>
      <w:r>
        <w:rPr>
          <w:b/>
          <w:bCs/>
          <w:color w:val="051C2C"/>
        </w:rPr>
        <w:t xml:space="preserve">363</w:t>
      </w:r>
      <w:r>
        <w:rPr>
          <w:b/>
          <w:bCs/>
          <w:color w:val="051C2C"/>
        </w:rPr>
        <w:t xml:space="preserve"> kejadian dengan </w:t>
      </w:r>
      <w:r>
        <w:rPr>
          <w:b/>
          <w:bCs/>
          <w:color w:val="051C2C"/>
        </w:rPr>
        <w:t xml:space="preserve">295</w:t>
      </w:r>
      <w:r>
        <w:rPr>
          <w:b/>
          <w:bCs/>
          <w:color w:val="051C2C"/>
        </w:rPr>
        <w:t xml:space="preserve"> meninggal.</w:t>
      </w:r>
      <w:r>
        <w:t xml:space="preserve"> Juklak 7/2023 memberi tiga belas kode jenis, sembilan untuk bencana alam dan empat untuk bencana nonalam dan sosial; kategori lainnya adalah kode DIBI di luar Juklak </w:t>
      </w:r>
      <w:r>
        <w:t xml:space="preserve">(BNPB, 2023j, hlm. 33–34)</w:t>
      </w:r>
      <w:r>
        <w:t xml:space="preserve">. Gagal teknologi tercatat </w:t>
      </w:r>
      <w:r>
        <w:t xml:space="preserve">10</w:t>
      </w:r>
      <w:r>
        <w:t xml:space="preserve"> kejadian dengan </w:t>
      </w:r>
      <w:r>
        <w:t xml:space="preserve">90</w:t>
      </w:r>
      <w:r>
        <w:t xml:space="preserve"> meninggal pada 2018–2026, dengan kejadian terbesar berupa ambruknya musala Pondok Pesantren Al Khoziny 2025 dengan </w:t>
      </w:r>
      <w:r>
        <w:t xml:space="preserve">63</w:t>
      </w:r>
      <w:r>
        <w:t xml:space="preserve"> meninggal. Seri epidemi 2025 memuat entri ganda Nias Selatan dengan </w:t>
      </w:r>
      <w:r>
        <w:t xml:space="preserve">14</w:t>
      </w:r>
      <w:r>
        <w:t xml:space="preserve"> meninggal yang tercatat di dua subjenis, sehingga epidemi 2025 terbaca </w:t>
      </w:r>
      <w:r>
        <w:t xml:space="preserve">28</w:t>
      </w:r>
      <w:r>
        <w:t xml:space="preserve"> meninggal.</w:t>
      </w:r>
    </w:p>
    <w:p>
      <w:pPr>
        <w:pStyle w:val="IsiTemuan"/>
      </w:pPr>
      <w:r>
        <w:rPr>
          <w:b/>
          <w:bCs/>
          <w:color w:val="051C2C"/>
        </w:rPr>
        <w:t xml:space="preserve">Kebakaran gedung dan permukiman tercatat </w:t>
      </w:r>
      <w:r>
        <w:rPr>
          <w:b/>
          <w:bCs/>
          <w:color w:val="051C2C"/>
        </w:rPr>
        <w:t xml:space="preserve">881</w:t>
      </w:r>
      <w:r>
        <w:rPr>
          <w:b/>
          <w:bCs/>
          <w:color w:val="051C2C"/>
        </w:rPr>
        <w:t xml:space="preserve"> laporan pada 2025 dengan </w:t>
      </w:r>
      <w:r>
        <w:rPr>
          <w:b/>
          <w:bCs/>
          <w:color w:val="051C2C"/>
        </w:rPr>
        <w:t xml:space="preserve">149</w:t>
      </w:r>
      <w:r>
        <w:rPr>
          <w:b/>
          <w:bCs/>
          <w:color w:val="051C2C"/>
        </w:rPr>
        <w:t xml:space="preserve"> meninggal, naik dari </w:t>
      </w:r>
      <w:r>
        <w:rPr>
          <w:b/>
          <w:bCs/>
          <w:color w:val="051C2C"/>
        </w:rPr>
        <w:t xml:space="preserve">83</w:t>
      </w:r>
      <w:r>
        <w:rPr>
          <w:b/>
          <w:bCs/>
          <w:color w:val="051C2C"/>
        </w:rPr>
        <w:t xml:space="preserve"> laporan pada 2024.</w:t>
      </w:r>
      <w:r>
        <w:t xml:space="preserve"> Pada cakupan kejadian bencana angkanya </w:t>
      </w:r>
      <w:r>
        <w:t xml:space="preserve">74</w:t>
      </w:r>
      <w:r>
        <w:t xml:space="preserve"> pada 2024 dan </w:t>
      </w:r>
      <w:r>
        <w:t xml:space="preserve">327</w:t>
      </w:r>
      <w:r>
        <w:t xml:space="preserve"> pada 2025 </w:t>
      </w:r>
      <w:r>
        <w:t xml:space="preserve">(BNPB, t.t.-a)</w:t>
      </w:r>
      <w:r>
        <w:t xml:space="preserve">. Lingkup kajian tidak memasukkan kebakaran permukiman ke dalam bencana nonalam, sehingga jenis ini hanya dicatat sebagai konteks patahan seri. Kebakaran TPA tidak memiliki jenis sendiri di DIBI, sehingga rangkaian </w:t>
      </w:r>
      <w:r>
        <w:t xml:space="preserve">16</w:t>
      </w:r>
      <w:r>
        <w:t xml:space="preserve"> TPA pada 2023 hanya tercatat di berita BNPB </w:t>
      </w:r>
      <w:r>
        <w:t xml:space="preserve">(BNPB, 2024h)</w:t>
      </w:r>
      <w:r>
        <w:t xml:space="preserve">.</w:t>
      </w:r>
    </w:p>
    <w:p>
      <w:pPr>
        <w:pStyle w:val="IsiTemuan"/>
      </w:pPr>
      <w:r>
        <w:rPr>
          <w:b/>
          <w:bCs/>
          <w:color w:val="051C2C"/>
        </w:rPr>
        <w:t xml:space="preserve">Seri konflik sosial DIBI 2019–2026 berisi </w:t>
      </w:r>
      <w:r>
        <w:rPr>
          <w:b/>
          <w:bCs/>
          <w:color w:val="051C2C"/>
        </w:rPr>
        <w:t xml:space="preserve">17</w:t>
      </w:r>
      <w:r>
        <w:rPr>
          <w:b/>
          <w:bCs/>
          <w:color w:val="051C2C"/>
        </w:rPr>
        <w:t xml:space="preserve"> kejadian dan </w:t>
      </w:r>
      <w:r>
        <w:rPr>
          <w:b/>
          <w:bCs/>
          <w:color w:val="051C2C"/>
        </w:rPr>
        <w:t xml:space="preserve">93</w:t>
      </w:r>
      <w:r>
        <w:rPr>
          <w:b/>
          <w:bCs/>
          <w:color w:val="051C2C"/>
        </w:rPr>
        <w:t xml:space="preserve"> meninggal tetapi memuat dugaan entri ganda.</w:t>
      </w:r>
      <w:r>
        <w:t xml:space="preserve"> Karena itu seri ini tidak dipakai untuk tren maupun analog. Baris Maluku Tengah tercatat dua kali dengan tanggal 3 April 2025 dan 3 April 2026, dan baris Jayawijaya 7 Mei 2026 dengan </w:t>
      </w:r>
      <w:r>
        <w:t xml:space="preserve">33</w:t>
      </w:r>
      <w:r>
        <w:t xml:space="preserve"> meninggal bertanggal sama dengan hari putusnya jembatan Wouma </w:t>
      </w:r>
      <w:r>
        <w:t xml:space="preserve">(BNPB, t.t.-a)</w:t>
      </w:r>
      <w:r>
        <w:t xml:space="preserve">. Kerusuhan Agustus 2025 hanya tercatat satu baris konflik sosial di Manokwari dengan </w:t>
      </w:r>
      <w:r>
        <w:t xml:space="preserve">1</w:t>
      </w:r>
      <w:r>
        <w:t xml:space="preserve"> meninggal. Kerusuhan Mei 1998 dan Agustus 2025 berada di luar lingkup kajian karena merupakan unjuk rasa yang berhadapan dengan aparat, sehingga diperlukan aturan klasifikasi tertulis yang menetapkan kategori pencatatan kejadian semacam itu (</w:t>
      </w:r>
      <w:r>
        <w:fldChar w:fldCharType="begin"/>
      </w:r>
      <w:r>
        <w:instrText xml:space="preserve"> REF _Ref0240 \h \* CHARFORMAT </w:instrText>
      </w:r>
      <w:r>
        <w:fldChar w:fldCharType="separate"/>
      </w:r>
      <w:r>
        <w:t xml:space="preserve">Tabel 4.3</w:t>
      </w:r>
      <w:r>
        <w:fldChar w:fldCharType="end"/>
      </w:r>
      <w:r>
        <w:t xml:space="preserve">).</w:t>
      </w:r>
    </w:p>
    <w:p>
      <w:pPr>
        <w:pStyle w:val="IsiTemuan"/>
      </w:pPr>
      <w:r>
        <w:rPr>
          <w:b/>
          <w:bCs/>
          <w:color w:val="051C2C"/>
        </w:rPr>
        <w:t xml:space="preserve">Badan Pusat Statistik (BPS) mencatat </w:t>
      </w:r>
      <w:r>
        <w:rPr>
          <w:b/>
          <w:bCs/>
          <w:color w:val="051C2C"/>
        </w:rPr>
        <w:t xml:space="preserve">2.031</w:t>
      </w:r>
      <w:r>
        <w:rPr>
          <w:b/>
          <w:bCs/>
          <w:color w:val="051C2C"/>
        </w:rPr>
        <w:t xml:space="preserve"> desa/kelurahan dengan perkelahian massal pada 2024, naik dari </w:t>
      </w:r>
      <w:r>
        <w:rPr>
          <w:b/>
          <w:bCs/>
          <w:color w:val="051C2C"/>
        </w:rPr>
        <w:t xml:space="preserve">1.553</w:t>
      </w:r>
      <w:r>
        <w:rPr>
          <w:b/>
          <w:bCs/>
          <w:color w:val="051C2C"/>
        </w:rPr>
        <w:t xml:space="preserve"> pada 2021.</w:t>
      </w:r>
      <w:r>
        <w:t xml:space="preserve"> Porsinya naik dari </w:t>
      </w:r>
      <w:r>
        <w:t xml:space="preserve">1,85%</w:t>
      </w:r>
      <w:r>
        <w:t xml:space="preserve"> menjadi </w:t>
      </w:r>
      <w:r>
        <w:t xml:space="preserve">2,41%</w:t>
      </w:r>
      <w:r>
        <w:t xml:space="preserve"> seluruh desa/kelurahan, dan </w:t>
      </w:r>
      <w:r>
        <w:t xml:space="preserve">150</w:t>
      </w:r>
      <w:r>
        <w:t xml:space="preserve"> desa mencatat korban meninggal </w:t>
      </w:r>
      <w:r>
        <w:t xml:space="preserve">(BPS, 2024d)</w:t>
      </w:r>
      <w:r>
        <w:t xml:space="preserve">. Satuannya desa, sehingga angka ini tidak dapat dibandingkan dengan jumlah kejadian atau korban DIBI.</w:t>
      </w:r>
    </w:p>
    <w:p>
      <w:pPr>
        <w:pStyle w:val="Heading2"/>
      </w:pPr>
      <w:bookmarkStart w:id="184" w:name="_Toc00075"/>
      <w:bookmarkStart w:id="183" w:name="_Ref0184"/>
      <w:r>
        <w:t xml:space="preserve">4.5</w:t>
      </w:r>
      <w:bookmarkEnd w:id="183"/>
      <w:r>
        <w:tab/>
      </w:r>
      <w:r>
        <w:t xml:space="preserve">Pelajaran dari Kejadian Besar</w:t>
      </w:r>
      <w:bookmarkEnd w:id="184"/>
    </w:p>
    <w:p>
      <w:pPr>
        <w:pStyle w:val="IsiTemuan"/>
      </w:pPr>
      <w:r>
        <w:rPr>
          <w:b/>
          <w:bCs/>
          <w:color w:val="051C2C"/>
        </w:rPr>
        <w:t xml:space="preserve">Rantai peringatan dini putus di hilir pada tsunami Palu 2018, yang tiba </w:t>
      </w:r>
      <w:r>
        <w:rPr>
          <w:b/>
          <w:bCs/>
          <w:color w:val="051C2C"/>
        </w:rPr>
        <w:t xml:space="preserve">3–8 menit</w:t>
      </w:r>
      <w:r>
        <w:rPr>
          <w:b/>
          <w:bCs/>
          <w:color w:val="051C2C"/>
        </w:rPr>
        <w:t xml:space="preserve"> setelah gempa sebelum warga menerima peringatan resmi.</w:t>
      </w:r>
      <w:r>
        <w:t xml:space="preserve"> Bukti Palu memperlihatkan tiga mata rantai, yaitu peringatan terbit, waktu tiba sangat singkat, dan komunikasi padam </w:t>
      </w:r>
      <w:r>
        <w:t xml:space="preserve">(BNPB, 2018a; Widiyanto dkk., 2019; Harnantyari dkk., 2020)</w:t>
      </w:r>
      <w:r>
        <w:t xml:space="preserve">. Merapi 2010 memberi sisi sebaliknya untuk bahaya yang berkembang berhari-hari, walaupun angka jiwa terselamatkannya merupakan perkiraan penulis. Secara nasional, Renstra BNPB mencatat tingkat keterpenuhan sistem peringatan dini bagi masyarakat terpapar di kawasan berisiko tinggi baru </w:t>
      </w:r>
      <w:r>
        <w:t xml:space="preserve">6%</w:t>
      </w:r>
      <w:r>
        <w:t xml:space="preserve"> </w:t>
      </w:r>
      <w:r>
        <w:t xml:space="preserve">(BNPB, 2025e, hlm. 70)</w:t>
      </w:r>
      <w:r>
        <w:t xml:space="preserve">. Pelajaran ini tidak dapat ditulis sebagai kegagalan maupun keberhasilan InaTEWS, karena bukti dampaknya masih dari satu kejadian.</w:t>
      </w:r>
    </w:p>
    <w:p>
      <w:pPr>
        <w:pStyle w:val="IsiTemuan"/>
      </w:pPr>
      <w:r>
        <w:rPr>
          <w:b/>
          <w:bCs/>
          <w:color w:val="051C2C"/>
        </w:rPr>
        <w:t xml:space="preserve">Kejadian besar bersifat berantai, seperti gempa Sulawesi Tengah 2018 yang memicu tsunami dan likuefaksi dan menewaskan </w:t>
      </w:r>
      <w:r>
        <w:rPr>
          <w:b/>
          <w:bCs/>
          <w:color w:val="051C2C"/>
        </w:rPr>
        <w:t xml:space="preserve">4.140</w:t>
      </w:r>
      <w:r>
        <w:rPr>
          <w:b/>
          <w:bCs/>
          <w:color w:val="051C2C"/>
        </w:rPr>
        <w:t xml:space="preserve"> orang.</w:t>
      </w:r>
      <w:r>
        <w:t xml:space="preserve"> Menurut BNPB, tsunami melanda pantai Donggala dan Teluk Palu, likuefaksi melanda Kota Palu dan Kabupaten Sigi, dan status tanggap darurat provinsi berlaku empat belas hari sampai 11 Oktober 2018 </w:t>
      </w:r>
      <w:r>
        <w:t xml:space="preserve">(BNPB, 2018a, hlm. 1)</w:t>
      </w:r>
      <w:r>
        <w:t xml:space="preserve">. Tsunami Selat Sunda 2018 dipicu longsor lereng Anak Krakatau, gempa Sulawesi Barat 2021 memicu longsor yang memutus jalur Mamuju–Majene </w:t>
      </w:r>
      <w:r>
        <w:t xml:space="preserve">(BNPB, 2025e, hlm. 11, 16)</w:t>
      </w:r>
      <w:r>
        <w:t xml:space="preserve">, dan banjir serta longsor Sumatra 2025 melanda </w:t>
      </w:r>
      <w:r>
        <w:t xml:space="preserve">55</w:t>
      </w:r>
      <w:r>
        <w:t xml:space="preserve"> kabupaten/kota di tiga provinsi. Korban likuefaksi 2018 tergabung dalam angka Sulawesi Tengah dan tidak dapat dipisah dari data publik, sehingga likuefaksi belum punya skenario sendiri.</w:t>
      </w:r>
    </w:p>
    <w:p>
      <w:pPr>
        <w:pStyle w:val="IsiTemuan"/>
      </w:pPr>
      <w:r>
        <w:rPr>
          <w:b/>
          <w:bCs/>
          <w:color w:val="051C2C"/>
        </w:rPr>
        <w:t xml:space="preserve">Angka korban bergeser antara data dinamis dan data statis, seperti Cianjur 2022 yang tercatat </w:t>
      </w:r>
      <w:r>
        <w:rPr>
          <w:b/>
          <w:bCs/>
          <w:color w:val="051C2C"/>
        </w:rPr>
        <w:t xml:space="preserve">334</w:t>
      </w:r>
      <w:r>
        <w:rPr>
          <w:b/>
          <w:bCs/>
          <w:color w:val="051C2C"/>
        </w:rPr>
        <w:t xml:space="preserve"> meninggal per 7 Desember 2022 dan </w:t>
      </w:r>
      <w:r>
        <w:rPr>
          <w:b/>
          <w:bCs/>
          <w:color w:val="051C2C"/>
        </w:rPr>
        <w:t xml:space="preserve">602</w:t>
      </w:r>
      <w:r>
        <w:rPr>
          <w:b/>
          <w:bCs/>
          <w:color w:val="051C2C"/>
        </w:rPr>
        <w:t xml:space="preserve"> di DIBI.</w:t>
      </w:r>
      <w:r>
        <w:t xml:space="preserve"> Juklak 7/2023 membedakan data dinamis yang berubah selama keadaan darurat dari data statis yang tetap; korban meninggal memakai nominal terakhir, sedangkan pengungsi memakai nominal terbesar selama tanggap darurat </w:t>
      </w:r>
      <w:r>
        <w:t xml:space="preserve">(BNPB, 2023j, hlm. 3, 22, 28)</w:t>
      </w:r>
      <w:r>
        <w:t xml:space="preserve">. Rumah rusak Cianjur punya tiga versi, yaitu </w:t>
      </w:r>
      <w:r>
        <w:t xml:space="preserve">53.408</w:t>
      </w:r>
      <w:r>
        <w:t xml:space="preserve"> menurut Badan Penanggulangan Bencana Daerah (BPBD) per 7 Desember 2022, </w:t>
      </w:r>
      <w:r>
        <w:t xml:space="preserve">57.337</w:t>
      </w:r>
      <w:r>
        <w:t xml:space="preserve"> di DIBI, dan </w:t>
      </w:r>
      <w:r>
        <w:t xml:space="preserve">114.315</w:t>
      </w:r>
      <w:r>
        <w:t xml:space="preserve"> menurut surat keputusan bupati tahap II hasil reviu BNPB </w:t>
      </w:r>
      <w:r>
        <w:t xml:space="preserve">(Pemerintah Kabupaten Cianjur, 2022)</w:t>
      </w:r>
      <w:r>
        <w:t xml:space="preserve">. Untuk Merapi 2010, data BNPB yang dikutip </w:t>
      </w:r>
      <w:r>
        <w:t xml:space="preserve">Surono dkk. (2012)</w:t>
      </w:r>
      <w:r>
        <w:t xml:space="preserve"> menulis </w:t>
      </w:r>
      <w:r>
        <w:t xml:space="preserve">367</w:t>
      </w:r>
      <w:r>
        <w:t xml:space="preserve"> meninggal tanpa tanggal rekap, sedangkan DIBI mencatat </w:t>
      </w:r>
      <w:r>
        <w:t xml:space="preserve">386</w:t>
      </w:r>
      <w:r>
        <w:t xml:space="preserve">. Perubahan angka per kejadian besar tidak terdokumentasi di sumber terbuka, termasuk sebab selisih DIBI dan USGS untuk Sulawesi Tengah (</w:t>
      </w:r>
      <w:r>
        <w:fldChar w:fldCharType="begin"/>
      </w:r>
      <w:r>
        <w:instrText xml:space="preserve"> REF _Ref0240 \h \* CHARFORMAT </w:instrText>
      </w:r>
      <w:r>
        <w:fldChar w:fldCharType="separate"/>
      </w:r>
      <w:r>
        <w:t xml:space="preserve">Tabel 4.3</w:t>
      </w:r>
      <w:r>
        <w:fldChar w:fldCharType="end"/>
      </w:r>
      <w:r>
        <w:t xml:space="preserve">). Satu kasus Cianjur tidak cukup untuk menyimpulkan versi mana yang umumnya lebih mutakhir.</w:t>
      </w:r>
    </w:p>
    <w:p>
      <w:pPr>
        <w:pStyle w:val="IsiTemuan"/>
      </w:pPr>
      <w:r>
        <w:rPr>
          <w:b/>
          <w:bCs/>
          <w:color w:val="051C2C"/>
        </w:rPr>
        <w:t xml:space="preserve">BRR Aceh dan Nias bekerja empat tahun, April 2005 sampai April 2009, sebagai pengaturan khusus satu kejadian, dan sama seperti Rekompak Yogyakarta 2006 dan rehabilitasi rumah Lombok 2018, bukti dampaknya masih lemah.</w:t>
      </w:r>
      <w:r>
        <w:t xml:space="preserve"> Rencana Induk Aceh dan Nias berlaku empat tahun mengikuti Rencana Pembangunan Jangka Menengah Nasional (RPJMN) 2004–2009 </w:t>
      </w:r>
      <w:r>
        <w:t xml:space="preserve">(Republik Indonesia, 2005, Pasal 2)</w:t>
      </w:r>
      <w:r>
        <w:t xml:space="preserve">. Kompendium program kajian ini menilai ketiganya dari laporan pelaksana sendiri. BRR dan Rekompak berposisi rujukan tata kelola, sedangkan rehabilitasi rumah Lombok berposisi pelajaran karena data progres resminya tidak konsisten dalam satu rilis. Evaluasi independen atas pemulihan kejadian besar itu belum dipublikasikan, sehingga keberhasilannya belum dapat dinilai. Pola yang berulang adalah setiap bencana besar membentuk pengaturan baru tanpa pelajaran manajemen yang dibakukan.</w:t>
      </w:r>
    </w:p>
    <w:p>
      <w:pPr>
        <w:pStyle w:val="IsiTemuan"/>
      </w:pPr>
      <w:r>
        <w:rPr>
          <w:b/>
          <w:bCs/>
          <w:color w:val="051C2C"/>
        </w:rPr>
        <w:t xml:space="preserve">Tujuh kelompok data histori belum tersedia terbuka (</w:t>
      </w:r>
      <w:r>
        <w:rPr>
          <w:b/>
          <w:bCs/>
          <w:color w:val="051C2C"/>
        </w:rPr>
        <w:fldChar w:fldCharType="begin"/>
      </w:r>
      <w:r>
        <w:rPr>
          <w:b/>
          <w:bCs/>
          <w:color w:val="051C2C"/>
        </w:rPr>
        <w:instrText xml:space="preserve"> REF _Ref0240 \h \* CHARFORMAT </w:instrText>
      </w:r>
      <w:r>
        <w:rPr>
          <w:b/>
          <w:bCs/>
          <w:color w:val="051C2C"/>
        </w:rPr>
        <w:fldChar w:fldCharType="separate"/>
      </w:r>
      <w:r>
        <w:rPr>
          <w:b/>
          <w:bCs/>
          <w:color w:val="051C2C"/>
        </w:rPr>
        <w:t xml:space="preserve">Tabel 4.3</w:t>
      </w:r>
      <w:r>
        <w:rPr>
          <w:b/>
          <w:bCs/>
          <w:color w:val="051C2C"/>
        </w:rPr>
        <w:fldChar w:fldCharType="end"/>
      </w:r>
      <w:r>
        <w:rPr>
          <w:b/>
          <w:bCs/>
          <w:color w:val="051C2C"/>
        </w:rPr>
        <w:t xml:space="preserve">), dan tiga di antaranya sudah tertaut rekomendasi di </w:t>
      </w:r>
      <w:hyperlink w:anchor="_Ref0006" w:history="1">
        <w:r>
          <w:rPr>
            <w:b/>
            <w:bCs/>
            <w:color w:val="051C2C"/>
          </w:rPr>
          <w:t xml:space="preserve">Bab 13</w:t>
        </w:r>
      </w:hyperlink>
      <w:r>
        <w:rPr>
          <w:b/>
          <w:bCs/>
          <w:color w:val="051C2C"/>
        </w:rPr>
        <w:t xml:space="preserve">.</w:t>
      </w:r>
      <w:r>
        <w:t xml:space="preserve"> Kekosongan baris DIBI untuk kejadian nonalam besar dan kebakaran TPA serta entri ganda epidemi masuk </w:t>
      </w:r>
      <w:r>
        <w:fldChar w:fldCharType="begin"/>
      </w:r>
      <w:r>
        <w:instrText xml:space="preserve"> REF _Ref0093 \h \* CHARFORMAT </w:instrText>
      </w:r>
      <w:r>
        <w:fldChar w:fldCharType="separate"/>
      </w:r>
      <w:r>
        <w:t xml:space="preserve">20</w:t>
      </w:r>
      <w:r>
        <w:fldChar w:fldCharType="end"/>
      </w:r>
      <w:r>
        <w:t xml:space="preserve">; R3P Lombok dan Sulawesi Tengah masuk seri kerusakan dan kerugian </w:t>
      </w:r>
      <w:r>
        <w:fldChar w:fldCharType="begin"/>
      </w:r>
      <w:r>
        <w:instrText xml:space="preserve"> REF _Ref0102 \h \* CHARFORMAT </w:instrText>
      </w:r>
      <w:r>
        <w:fldChar w:fldCharType="separate"/>
      </w:r>
      <w:r>
        <w:t xml:space="preserve">27</w:t>
      </w:r>
      <w:r>
        <w:fldChar w:fldCharType="end"/>
      </w:r>
      <w:r>
        <w:t xml:space="preserve">; pemutakhiran lantai per jenis masuk </w:t>
      </w:r>
      <w:r>
        <w:fldChar w:fldCharType="begin"/>
      </w:r>
      <w:r>
        <w:instrText xml:space="preserve"> REF _Ref0105 \h \* CHARFORMAT </w:instrText>
      </w:r>
      <w:r>
        <w:fldChar w:fldCharType="separate"/>
      </w:r>
      <w:r>
        <w:t xml:space="preserve">30</w:t>
      </w:r>
      <w:r>
        <w:fldChar w:fldCharType="end"/>
      </w:r>
      <w:r>
        <w:t xml:space="preserve">. Catatan perubahan angka per kejadian besar, aturan klasifikasi unjuk rasa dan entri ganda konflik sosial, rekap DIBI sebelum 2008, dan evaluasi independen pemulihan belum tertaut rekomendasi dan tetap sebagai permintaan data kepada unit pemegangnya.</w:t>
      </w:r>
    </w:p>
    <w:p>
      <w:pPr>
        <w:pStyle w:val="Caption"/>
      </w:pPr>
      <w:bookmarkStart w:id="186" w:name="_Toc00076"/>
      <w:bookmarkStart w:id="185" w:name="_Ref024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185"/>
      <w:r>
        <w:rPr>
          <w:b/>
          <w:bCs/>
          <w:color w:val="051C2C"/>
        </w:rPr>
        <w:t xml:space="preserve"> </w:t>
      </w:r>
      <w:r>
        <w:t xml:space="preserve">Data histori kejadian dan korban bencana yang belum tersedia dan pemegangnya, status Oktober 2026</w:t>
      </w:r>
      <w:bookmarkEnd w:id="18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55"/>
        <w:gridCol w:w="1914"/>
        <w:gridCol w:w="4885"/>
      </w:tblGrid>
      <w:tr>
        <w:trPr>
          <w:cantSplit/>
          <w:tblHeader/>
        </w:trPr>
        <w:tc>
          <w:tcPr>
            <w:tcW w:w="2555" w:type="dxa"/>
            <w:shd w:val="clear" w:color="auto" w:fill="051C2C"/>
            <w:vAlign w:val="center"/>
          </w:tcPr>
          <w:p>
            <w:pPr>
              <w:pStyle w:val="KepalaTabel"/>
              <w:suppressAutoHyphens/>
            </w:pPr>
            <w:r>
              <w:t xml:space="preserve">YANG BELUM TERSEDIA</w:t>
            </w:r>
          </w:p>
        </w:tc>
        <w:tc>
          <w:tcPr>
            <w:tcW w:w="1914" w:type="dxa"/>
            <w:shd w:val="clear" w:color="auto" w:fill="051C2C"/>
            <w:vAlign w:val="center"/>
          </w:tcPr>
          <w:p>
            <w:pPr>
              <w:pStyle w:val="KepalaTabel"/>
              <w:suppressAutoHyphens/>
            </w:pPr>
            <w:r>
              <w:t xml:space="preserve">PEMEGANG DATA</w:t>
            </w:r>
          </w:p>
        </w:tc>
        <w:tc>
          <w:tcPr>
            <w:tcW w:w="4885" w:type="dxa"/>
            <w:shd w:val="clear" w:color="auto" w:fill="051C2C"/>
            <w:vAlign w:val="center"/>
          </w:tcPr>
          <w:p>
            <w:pPr>
              <w:pStyle w:val="KepalaTabel"/>
              <w:suppressAutoHyphens/>
            </w:pPr>
            <w:r>
              <w:t xml:space="preserve">TINDAK LANJUT</w:t>
            </w:r>
          </w:p>
        </w:tc>
      </w:tr>
      <w:tr>
        <w:trPr>
          <w:cantSplit/>
        </w:trPr>
        <w:tc>
          <w:tcPr>
            <w:tcW w:w="2555" w:type="dxa"/>
          </w:tcPr>
          <w:p>
            <w:pPr>
              <w:pStyle w:val="IsiTabel"/>
              <w:suppressAutoHyphens/>
              <w:jc w:val="left"/>
            </w:pPr>
            <w:r>
              <w:t xml:space="preserve">Catatan perubahan angka dari data dinamis ke data statis per kejadian besar, termasuk sebab selisih DIBI dan USGS untuk Sulawesi Tengah 2018</w:t>
            </w:r>
          </w:p>
        </w:tc>
        <w:tc>
          <w:tcPr>
            <w:tcW w:w="1914" w:type="dxa"/>
          </w:tcPr>
          <w:p>
            <w:pPr>
              <w:pStyle w:val="IsiTabel"/>
              <w:suppressAutoHyphens/>
              <w:jc w:val="left"/>
            </w:pPr>
            <w:r>
              <w:t xml:space="preserve">Pusat Data, Informasi, dan Komunikasi Kebencanaan</w:t>
            </w:r>
          </w:p>
        </w:tc>
        <w:tc>
          <w:tcPr>
            <w:tcW w:w="4885" w:type="dxa"/>
          </w:tcPr>
          <w:p>
            <w:pPr>
              <w:pStyle w:val="IsiTabel"/>
              <w:suppressAutoHyphens/>
              <w:jc w:val="left"/>
            </w:pPr>
            <w:r>
              <w:t xml:space="preserve">belum tertaut rekomendasi; tetap sebagai permintaan data</w:t>
            </w:r>
          </w:p>
        </w:tc>
      </w:tr>
      <w:tr>
        <w:trPr>
          <w:cantSplit/>
        </w:trPr>
        <w:tc>
          <w:tcPr>
            <w:tcW w:w="2555" w:type="dxa"/>
          </w:tcPr>
          <w:p>
            <w:pPr>
              <w:pStyle w:val="IsiTabel"/>
              <w:suppressAutoHyphens/>
              <w:jc w:val="left"/>
            </w:pPr>
            <w:r>
              <w:t xml:space="preserve">Baris kejadian nonalam besar (COVID-19, Plumpang, Balongan, Morowali), jenis kebakaran TPA, dan entri ganda epidemi 2025</w:t>
            </w:r>
          </w:p>
        </w:tc>
        <w:tc>
          <w:tcPr>
            <w:tcW w:w="1914" w:type="dxa"/>
          </w:tcPr>
          <w:p>
            <w:pPr>
              <w:pStyle w:val="IsiTabel"/>
              <w:suppressAutoHyphens/>
              <w:jc w:val="left"/>
            </w:pPr>
            <w:r>
              <w:t xml:space="preserve">Pusat Data, Informasi, dan Komunikasi Kebencanaan</w:t>
            </w:r>
          </w:p>
        </w:tc>
        <w:tc>
          <w:tcPr>
            <w:tcW w:w="4885" w:type="dxa"/>
          </w:tcPr>
          <w:p>
            <w:pPr>
              <w:pStyle w:val="IsiTabel"/>
              <w:suppressAutoHyphens/>
              <w:jc w:val="left"/>
            </w:pPr>
            <w:r>
              <w:fldChar w:fldCharType="begin"/>
            </w:r>
            <w:r>
              <w:instrText xml:space="preserve"> REF _Ref0093 \h \* CHARFORMAT </w:instrText>
            </w:r>
            <w:r>
              <w:fldChar w:fldCharType="separate"/>
            </w:r>
            <w:r>
              <w:t xml:space="preserve">20</w:t>
            </w:r>
            <w:r>
              <w:fldChar w:fldCharType="end"/>
            </w:r>
          </w:p>
        </w:tc>
      </w:tr>
      <w:tr>
        <w:trPr>
          <w:cantSplit/>
        </w:trPr>
        <w:tc>
          <w:tcPr>
            <w:tcW w:w="2555" w:type="dxa"/>
          </w:tcPr>
          <w:p>
            <w:pPr>
              <w:pStyle w:val="IsiTabel"/>
              <w:suppressAutoHyphens/>
              <w:jc w:val="left"/>
            </w:pPr>
            <w:r>
              <w:t xml:space="preserve">Aturan klasifikasi unjuk rasa yang berhadapan dengan aparat dan pembersihan dugaan entri ganda konflik sosial 2025–2026</w:t>
            </w:r>
          </w:p>
        </w:tc>
        <w:tc>
          <w:tcPr>
            <w:tcW w:w="1914" w:type="dxa"/>
          </w:tcPr>
          <w:p>
            <w:pPr>
              <w:pStyle w:val="IsiTabel"/>
              <w:suppressAutoHyphens/>
              <w:jc w:val="left"/>
            </w:pPr>
            <w:r>
              <w:t xml:space="preserve">Pusat Data, Informasi, dan Komunikasi Kebencanaan</w:t>
            </w:r>
          </w:p>
        </w:tc>
        <w:tc>
          <w:tcPr>
            <w:tcW w:w="4885" w:type="dxa"/>
          </w:tcPr>
          <w:p>
            <w:pPr>
              <w:pStyle w:val="IsiTabel"/>
              <w:suppressAutoHyphens/>
              <w:jc w:val="left"/>
            </w:pPr>
            <w:r>
              <w:t xml:space="preserve">belum tertaut rekomendasi; tetap sebagai permintaan data</w:t>
            </w:r>
          </w:p>
        </w:tc>
      </w:tr>
      <w:tr>
        <w:trPr>
          <w:cantSplit/>
        </w:trPr>
        <w:tc>
          <w:tcPr>
            <w:tcW w:w="2555" w:type="dxa"/>
          </w:tcPr>
          <w:p>
            <w:pPr>
              <w:pStyle w:val="IsiTabel"/>
              <w:keepNext/>
              <w:suppressAutoHyphens/>
              <w:jc w:val="left"/>
            </w:pPr>
            <w:bookmarkStart w:id="187" w:name="_Ekor019a"/>
            <w:bookmarkEnd w:id="187"/>
            <w:r>
              <w:t xml:space="preserve">Rekap kejadian dan korban sebelum 2008 yang disebut teks dasbor DIBI</w:t>
            </w:r>
          </w:p>
        </w:tc>
        <w:tc>
          <w:tcPr>
            <w:tcW w:w="1914" w:type="dxa"/>
          </w:tcPr>
          <w:p>
            <w:pPr>
              <w:pStyle w:val="IsiTabel"/>
              <w:keepNext/>
              <w:suppressAutoHyphens/>
              <w:jc w:val="left"/>
            </w:pPr>
            <w:r>
              <w:t xml:space="preserve">Pusat Data, Informasi, dan Komunikasi Kebencanaan</w:t>
            </w:r>
          </w:p>
        </w:tc>
        <w:tc>
          <w:tcPr>
            <w:tcW w:w="4885" w:type="dxa"/>
          </w:tcPr>
          <w:p>
            <w:pPr>
              <w:pStyle w:val="IsiTabel"/>
              <w:keepNext/>
              <w:suppressAutoHyphens/>
              <w:jc w:val="left"/>
            </w:pPr>
            <w:r>
              <w:t xml:space="preserve">belum tertaut rekomendasi; tetap sebagai permintaan data</w:t>
            </w:r>
          </w:p>
        </w:tc>
      </w:tr>
      <w:tr>
        <w:trPr>
          <w:cantSplit/>
        </w:trPr>
        <w:tc>
          <w:tcPr>
            <w:tcW w:w="2555" w:type="dxa"/>
          </w:tcPr>
          <w:p>
            <w:pPr>
              <w:pStyle w:val="IsiTabel"/>
              <w:keepNext/>
              <w:suppressAutoHyphens/>
              <w:jc w:val="left"/>
            </w:pPr>
            <w:r>
              <w:t xml:space="preserve">R3P Lombok dan Sulawesi Tengah 2018 dalam seri kerusakan dan kerugian R3P</w:t>
            </w:r>
          </w:p>
        </w:tc>
        <w:tc>
          <w:tcPr>
            <w:tcW w:w="1914" w:type="dxa"/>
          </w:tcPr>
          <w:p>
            <w:pPr>
              <w:pStyle w:val="IsiTabel"/>
              <w:keepNext/>
              <w:suppressAutoHyphens/>
              <w:jc w:val="left"/>
            </w:pPr>
            <w:r>
              <w:t xml:space="preserve">Deputi Bidang Rehabilitasi dan Rekonstruksi</w:t>
            </w:r>
          </w:p>
        </w:tc>
        <w:tc>
          <w:tcPr>
            <w:tcW w:w="4885" w:type="dxa"/>
          </w:tcPr>
          <w:p>
            <w:pPr>
              <w:pStyle w:val="IsiTabel"/>
              <w:keepNext/>
              <w:suppressAutoHyphens/>
              <w:jc w:val="left"/>
            </w:pPr>
            <w:r>
              <w:fldChar w:fldCharType="begin"/>
            </w:r>
            <w:r>
              <w:instrText xml:space="preserve"> REF _Ref0102 \h \* CHARFORMAT </w:instrText>
            </w:r>
            <w:r>
              <w:fldChar w:fldCharType="separate"/>
            </w:r>
            <w:r>
              <w:t xml:space="preserve">27</w:t>
            </w:r>
            <w:r>
              <w:fldChar w:fldCharType="end"/>
            </w:r>
          </w:p>
        </w:tc>
      </w:tr>
      <w:tr>
        <w:trPr>
          <w:cantSplit/>
        </w:trPr>
        <w:tc>
          <w:tcPr>
            <w:tcW w:w="2555" w:type="dxa"/>
          </w:tcPr>
          <w:p>
            <w:pPr>
              <w:pStyle w:val="IsiTabel"/>
              <w:keepNext/>
              <w:suppressAutoHyphens/>
              <w:jc w:val="left"/>
            </w:pPr>
            <w:r>
              <w:t xml:space="preserve">Evaluasi independen pemulihan BRR Aceh dan Nias, Rekompak Yogyakarta, dan rehabilitasi rumah Lombok</w:t>
            </w:r>
          </w:p>
        </w:tc>
        <w:tc>
          <w:tcPr>
            <w:tcW w:w="1914" w:type="dxa"/>
          </w:tcPr>
          <w:p>
            <w:pPr>
              <w:pStyle w:val="IsiTabel"/>
              <w:keepNext/>
              <w:suppressAutoHyphens/>
              <w:jc w:val="left"/>
            </w:pPr>
            <w:r>
              <w:t xml:space="preserve">Deputi Bidang Rehabilitasi dan Rekonstruksi</w:t>
            </w:r>
          </w:p>
        </w:tc>
        <w:tc>
          <w:tcPr>
            <w:tcW w:w="4885" w:type="dxa"/>
          </w:tcPr>
          <w:p>
            <w:pPr>
              <w:pStyle w:val="IsiTabel"/>
              <w:keepNext/>
              <w:suppressAutoHyphens/>
              <w:jc w:val="left"/>
            </w:pPr>
            <w:r>
              <w:t xml:space="preserve">belum tertaut rekomendasi; tetap sebagai permintaan data</w:t>
            </w:r>
          </w:p>
        </w:tc>
      </w:tr>
      <w:tr>
        <w:trPr>
          <w:cantSplit/>
        </w:trPr>
        <w:tc>
          <w:tcPr>
            <w:tcW w:w="2555" w:type="dxa"/>
          </w:tcPr>
          <w:p>
            <w:pPr>
              <w:pStyle w:val="IsiTabel"/>
              <w:suppressAutoHyphens/>
              <w:jc w:val="left"/>
            </w:pPr>
            <w:bookmarkStart w:id="188" w:name="_Ekor019z"/>
            <w:bookmarkEnd w:id="188"/>
            <w:r>
              <w:t xml:space="preserve">Lantai kejadian tunggal untuk likuefaksi, tanah longsor, cuaca ekstrem, gelombang ekstrem dan abrasi, rob, dan kekeringan</w:t>
            </w:r>
          </w:p>
        </w:tc>
        <w:tc>
          <w:tcPr>
            <w:tcW w:w="1914" w:type="dxa"/>
          </w:tcPr>
          <w:p>
            <w:pPr>
              <w:pStyle w:val="IsiTabel"/>
              <w:suppressAutoHyphens/>
              <w:jc w:val="left"/>
            </w:pPr>
            <w:r>
              <w:t xml:space="preserve">Direktorat Pemetaan dan Evaluasi Risiko Bencana; turunan per jenis dari DIBI</w:t>
            </w:r>
          </w:p>
        </w:tc>
        <w:tc>
          <w:tcPr>
            <w:tcW w:w="4885" w:type="dxa"/>
          </w:tcPr>
          <w:p>
            <w:pPr>
              <w:pStyle w:val="IsiTabel"/>
              <w:suppressAutoHyphens/>
              <w:jc w:val="left"/>
            </w:pPr>
            <w:r>
              <w:fldChar w:fldCharType="begin"/>
            </w:r>
            <w:r>
              <w:instrText xml:space="preserve"> REF _Ref0105 \h \* CHARFORMAT </w:instrText>
            </w:r>
            <w:r>
              <w:fldChar w:fldCharType="separate"/>
            </w:r>
            <w:r>
              <w:t xml:space="preserve">30</w:t>
            </w:r>
            <w:r>
              <w:fldChar w:fldCharType="end"/>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atas Subbab 4.1 sampai Subbab 4.5, sampai 24 Oktober 2026; Juklak BNPB 7/2023</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05"/>
        </w:numPr>
      </w:pPr>
      <w:bookmarkStart w:id="190" w:name="_Toc00077"/>
      <w:r>
        <w:rPr>
          <w:sz w:val="18"/>
          <w:szCs w:val="18"/>
        </w:rPr>
        <w:br/>
      </w:r>
      <w:bookmarkStart w:id="189" w:name="_Ref0010"/>
      <w:r>
        <w:t xml:space="preserve">PROFIL RISIKO NASIONAL</w:t>
      </w:r>
      <w:bookmarkEnd w:id="189"/>
      <w:bookmarkEnd w:id="190"/>
    </w:p>
    <w:p>
      <w:pPr>
        <w:pStyle w:val="Pertanyaan"/>
      </w:pPr>
      <w:r>
        <w:t xml:space="preserve">Di wilayah mana, dari pulau sampai kab/kota, risiko terkonsentrasi menurut IRBI dan DIBI, dan berapa daerah berkapasitas minimal sedang menurut dua ukuran resmi? Mengapa capaian IRB tidak diikuti penurunan korban? Jenis bencana apa yang berada di kelas dampak tertinggi, dan untuk jenis mana kemungkinan lima tahun dapat dinilai?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8" name="Gambar 28"/>
                  <wp:cNvGraphicFramePr>
                    <a:graphicFrameLocks noChangeAspect="1"/>
                  </wp:cNvGraphicFramePr>
                  <a:graphic>
                    <a:graphicData uri="http://schemas.openxmlformats.org/drawingml/2006/picture">
                      <pic:pic>
                        <pic:nvPicPr>
                          <pic:cNvPr id="28"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Indeks Risiko Bencana Indonesia (IRBI) 2025 menempatkan </w:t>
            </w:r>
            <w:r>
              <w:t xml:space="preserve">169</w:t>
            </w:r>
            <w:r>
              <w:t xml:space="preserve"> dari </w:t>
            </w:r>
            <w:r>
              <w:t xml:space="preserve">514</w:t>
            </w:r>
            <w:r>
              <w:t xml:space="preserve"> kab/kota pada status Tinggi, termasuk </w:t>
            </w:r>
            <w:r>
              <w:t xml:space="preserve">37</w:t>
            </w:r>
            <w:r>
              <w:t xml:space="preserve"> dari </w:t>
            </w:r>
            <w:r>
              <w:t xml:space="preserve">42</w:t>
            </w:r>
            <w:r>
              <w:t xml:space="preserve"> di Papua dan hanya </w:t>
            </w:r>
            <w:r>
              <w:t xml:space="preserve">1</w:t>
            </w:r>
            <w:r>
              <w:t xml:space="preserve"> dari </w:t>
            </w:r>
            <w:r>
              <w:t xml:space="preserve">119</w:t>
            </w:r>
            <w:r>
              <w:t xml:space="preserve"> di Jawa. Data dan Informasi Bencana Indonesia (DIBI) justru mencatat </w:t>
            </w:r>
            <w:r>
              <w:t xml:space="preserve">47,2%</w:t>
            </w:r>
            <w:r>
              <w:t xml:space="preserve"> kejadian 2015–2025 di Jawa, sedikit di bawah porsi penduduknya sebesar </w:t>
            </w:r>
            <w:r>
              <w:t xml:space="preserve">56,1%</w:t>
            </w:r>
            <w:r>
              <w:t xml:space="preserve">, dan korelasi peringkat kedua sumber per kab/kota </w:t>
            </w:r>
            <w:r>
              <w:t xml:space="preserve">-0,38</w:t>
            </w:r>
            <w:r>
              <w:t xml:space="preserve">, sehingga keduanya disajikan berdampingan.</w:t>
            </w:r>
          </w:p>
          <w:p>
            <w:pPr>
              <w:pStyle w:val="DaftarKotak"/>
              <w:numPr>
                <w:ilvl w:val="0"/>
                <w:numId w:val="1"/>
              </w:numPr>
            </w:pPr>
            <w:r>
              <w:t xml:space="preserve">Indeks Risiko Bencana (IRB) nasional </w:t>
            </w:r>
            <w:r>
              <w:t xml:space="preserve">turun 10,76%</w:t>
            </w:r>
            <w:r>
              <w:t xml:space="preserve"> pada 2019–2024, sedangkan meninggal dan hilang akibat bencana hidrometeorologi rata-rata </w:t>
            </w:r>
            <w:r>
              <w:t xml:space="preserve">399,2</w:t>
            </w:r>
            <w:r>
              <w:t xml:space="preserve"> jiwa per tahun pada 2015–2019, </w:t>
            </w:r>
            <w:r>
              <w:t xml:space="preserve">424,0</w:t>
            </w:r>
            <w:r>
              <w:t xml:space="preserve"> pada 2020–2024, dan </w:t>
            </w:r>
            <w:r>
              <w:t xml:space="preserve">1.952</w:t>
            </w:r>
            <w:r>
              <w:t xml:space="preserve"> pada 2025. Penurunan IRB juga tampak pada bahaya geologi yang secara fisik tidak berubah dalam lima tahun, sehingga capaian IRB bukan bukti penurunan korban.</w:t>
            </w:r>
          </w:p>
          <w:p>
            <w:pPr>
              <w:pStyle w:val="DaftarKotak"/>
              <w:numPr>
                <w:ilvl w:val="0"/>
                <w:numId w:val="1"/>
              </w:numPr>
            </w:pPr>
            <w:r>
              <w:t xml:space="preserve">Capaian resmi kapasitas 2025 menurut Laporan Kinerja (LKIP) BNPB 2025 adalah </w:t>
            </w:r>
            <w:r>
              <w:t xml:space="preserve">50%</w:t>
            </w:r>
            <w:r>
              <w:t xml:space="preserve"> provinsi berkategori Indeks Ketahanan Daerah (IKD) minimal sedang, di bawah target </w:t>
            </w:r>
            <w:r>
              <w:t xml:space="preserve">67%</w:t>
            </w:r>
            <w:r>
              <w:t xml:space="preserve">. Dengan penyebut kab/kota, IKD 2025 memberi </w:t>
            </w:r>
            <w:r>
              <w:t xml:space="preserve">56,2%</w:t>
            </w:r>
            <w:r>
              <w:t xml:space="preserve"> dan kelas kapasitas Kajian Risiko Bencana (KRB) 2022–2026 memberi </w:t>
            </w:r>
            <w:r>
              <w:t xml:space="preserve">38,0%</w:t>
            </w:r>
            <w:r>
              <w:t xml:space="preserve">, dengan rentang KRB dari </w:t>
            </w:r>
            <w:r>
              <w:t xml:space="preserve">95,8%</w:t>
            </w:r>
            <w:r>
              <w:t xml:space="preserve"> di Jawa sampai </w:t>
            </w:r>
            <w:r>
              <w:t xml:space="preserve">2,4%</w:t>
            </w:r>
            <w:r>
              <w:t xml:space="preserve"> di Papua.</w:t>
            </w:r>
          </w:p>
          <w:p>
            <w:pPr>
              <w:pStyle w:val="IsiKotak"/>
            </w:pPr>
            <w:r>
              <w:rPr>
                <w:b/>
                <w:bCs/>
                <w:color w:val="1A1A1A"/>
              </w:rPr>
              <w:t xml:space="preserve">Angka kunci: </w:t>
            </w:r>
          </w:p>
          <w:p>
            <w:pPr>
              <w:pStyle w:val="DaftarKotak"/>
              <w:numPr>
                <w:ilvl w:val="0"/>
                <w:numId w:val="1"/>
              </w:numPr>
            </w:pPr>
            <w:r>
              <w:t xml:space="preserve">IRB nasional 2024 sebesar </w:t>
            </w:r>
            <w:r>
              <w:t xml:space="preserve">128,52</w:t>
            </w:r>
            <w:r>
              <w:t xml:space="preserve">, turun dari </w:t>
            </w:r>
            <w:r>
              <w:t xml:space="preserve">144,02</w:t>
            </w:r>
            <w:r>
              <w:t xml:space="preserve"> pada 2019 </w:t>
            </w:r>
            <w:r>
              <w:t xml:space="preserve">(BNPB, 2025e, hlm. 52)</w:t>
            </w:r>
            <w:r>
              <w:t xml:space="preserve">.</w:t>
            </w:r>
          </w:p>
          <w:p>
            <w:pPr>
              <w:pStyle w:val="DaftarKotak"/>
              <w:numPr>
                <w:ilvl w:val="0"/>
                <w:numId w:val="1"/>
              </w:numPr>
            </w:pPr>
            <w:r>
              <w:t xml:space="preserve">113,8 juta jiwa</w:t>
            </w:r>
            <w:r>
              <w:t xml:space="preserve"> berpotensi terpapar banjir menurut KRB 2022–2026 </w:t>
            </w:r>
            <w:r>
              <w:t xml:space="preserve">(BNPB, 2025c, hlm. 24)</w:t>
            </w:r>
            <w:r>
              <w:t xml:space="preserve">.</w:t>
            </w:r>
          </w:p>
          <w:p>
            <w:pPr>
              <w:pStyle w:val="DaftarKotak"/>
              <w:numPr>
                <w:ilvl w:val="0"/>
                <w:numId w:val="1"/>
              </w:numPr>
            </w:pPr>
            <w:r>
              <w:t xml:space="preserve">32,1%</w:t>
            </w:r>
            <w:r>
              <w:t xml:space="preserve"> meninggal dan hilang tingkat kab/kota 2015–2025 tercatat di Kota Palu </w:t>
            </w:r>
            <w:r>
              <w:t xml:space="preserve">(BNPB, t.t.-a)</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_Ref0086 \h \* CHARFORMAT </w:instrText>
            </w:r>
            <w:r>
              <w:fldChar w:fldCharType="separate"/>
            </w:r>
            <w:r>
              <w:t xml:space="preserve">10</w:t>
            </w:r>
            <w:r>
              <w:fldChar w:fldCharType="end"/>
            </w:r>
            <w:r>
              <w:t xml:space="preserve"> Tugaskan catatan metode IRBI 2025 (Sudah ada, perlu dikembangkan; Direktorat Pemetaan dan Evaluasi Risiko Bencana bersama Pusat Data, Informasi, dan Komunikasi Kebencanaan; internal BNPB; 100 hari).</w:t>
            </w:r>
          </w:p>
          <w:p>
            <w:pPr>
              <w:pStyle w:val="DaftarKotak"/>
              <w:numPr>
                <w:ilvl w:val="0"/>
                <w:numId w:val="1"/>
              </w:numPr>
            </w:pPr>
            <w:r>
              <w:fldChar w:fldCharType="begin"/>
            </w:r>
            <w:r>
              <w:instrText xml:space="preserve"> REF _Ref0089 \h \* CHARFORMAT </w:instrText>
            </w:r>
            <w:r>
              <w:fldChar w:fldCharType="separate"/>
            </w:r>
            <w:r>
              <w:t xml:space="preserve">35</w:t>
            </w:r>
            <w:r>
              <w:fldChar w:fldCharType="end"/>
            </w:r>
            <w:r>
              <w:t xml:space="preserve"> Putuskan alat ukur dan penyebut kapasitas daerah (Sudah ada, perlu dikembangkan; Biro Perencanaan bersama Direktorat Pemetaan dan Evaluasi Risiko Bencana dan Direktorat Sistem Penanggulangan Bencana; Kementerian Perencanaan Pembangunan Nasional/Bappenas dan Kementerian Dalam Negeri; 2026–2027).</w:t>
            </w:r>
          </w:p>
          <w:p>
            <w:pPr>
              <w:pStyle w:val="DaftarKotak"/>
              <w:numPr>
                <w:ilvl w:val="0"/>
                <w:numId w:val="1"/>
              </w:numPr>
            </w:pPr>
            <w:r>
              <w:fldChar w:fldCharType="begin"/>
            </w:r>
            <w:r>
              <w:instrText xml:space="preserve"> REF _Ref0105 \h \* CHARFORMAT </w:instrText>
            </w:r>
            <w:r>
              <w:fldChar w:fldCharType="separate"/>
            </w:r>
            <w:r>
              <w:t xml:space="preserve">30</w:t>
            </w:r>
            <w:r>
              <w:fldChar w:fldCharType="end"/>
            </w:r>
            <w:r>
              <w:t xml:space="preserve"> Perbarui daftar perhatian kab/kota dan lantai skenario (Usulan baru; Direktorat Pemetaan dan Evaluasi Risiko Bencana bersama Pusat Data, Informasi, dan Komunikasi Kebencanaan; internal BNPB; 2028–2030).</w:t>
            </w:r>
          </w:p>
        </w:tc>
      </w:tr>
    </w:tbl>
    <w:p>
      <w:pPr>
        <w:pStyle w:val="Jarak"/>
      </w:pPr>
    </w:p>
    <w:p>
      <w:pPr>
        <w:pStyle w:val="Caption"/>
      </w:pPr>
      <w:bookmarkStart w:id="192" w:name="_Toc00078"/>
      <w:bookmarkStart w:id="191" w:name="_Ref002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91"/>
      <w:r>
        <w:rPr>
          <w:b/>
          <w:bCs/>
          <w:color w:val="051C2C"/>
        </w:rPr>
        <w:t xml:space="preserve"> </w:t>
      </w:r>
      <w:r>
        <w:t xml:space="preserve">Muara Sungai Citarum di pesisir utara Jawa Barat, Oktober 2021</w:t>
      </w:r>
      <w:bookmarkEnd w:id="192"/>
    </w:p>
    <w:p xmlns:a="http://schemas.openxmlformats.org/drawingml/2006/main" xmlns:pic="http://schemas.openxmlformats.org/drawingml/2006/picture">
      <w:pPr>
        <w:keepNext/>
        <w:spacing w:after="0" w:line="240" w:lineRule="auto"/>
        <w:jc w:val="center"/>
      </w:pPr>
      <w:bookmarkStart w:id="193" w:name="_Obj0014"/>
      <w:r>
        <w:drawing>
          <wp:inline distT="0" distB="0" distL="0" distR="0">
            <wp:extent cx="2898000" cy="2173066"/>
            <wp:effectExtent l="0" t="0" r="0" b="0"/>
            <wp:docPr id="29" name="Gambar 29"/>
            <wp:cNvGraphicFramePr>
              <a:graphicFrameLocks noChangeAspect="1"/>
            </wp:cNvGraphicFramePr>
            <a:graphic>
              <a:graphicData uri="http://schemas.openxmlformats.org/drawingml/2006/picture">
                <pic:pic>
                  <pic:nvPicPr>
                    <pic:cNvPr id="29" name="air-muara-citarum.jpg"/>
                    <pic:cNvPicPr/>
                  </pic:nvPicPr>
                  <pic:blipFill>
                    <a:blip r:embed="rId33"/>
                    <a:stretch>
                      <a:fillRect/>
                    </a:stretch>
                  </pic:blipFill>
                  <pic:spPr>
                    <a:xfrm>
                      <a:off x="0" y="0"/>
                      <a:ext cx="2898000" cy="2173066"/>
                    </a:xfrm>
                    <a:prstGeom prst="rect">
                      <a:avLst/>
                    </a:prstGeom>
                  </pic:spPr>
                </pic:pic>
              </a:graphicData>
            </a:graphic>
          </wp:inline>
        </w:drawing>
      </w:r>
      <w:bookmarkEnd w:id="193"/>
    </w:p>
    <w:p>
      <w:pPr>
        <w:pStyle w:val="Sumber"/>
      </w:pPr>
      <w:r>
        <w:rPr>
          <w:b/>
          <w:bCs/>
          <w:color w:val="6B7280"/>
          <w:sz w:val="17"/>
          <w:szCs w:val="17"/>
        </w:rPr>
        <w:t xml:space="preserve">Sumber: </w:t>
      </w:r>
      <w:r>
        <w:rPr>
          <w:color w:val="6B7280"/>
          <w:sz w:val="17"/>
          <w:szCs w:val="17"/>
        </w:rPr>
        <w:t xml:space="preserve">Wikimedia Commons, Dasnusantara, CC BY-SA 4.0</w:t>
      </w:r>
    </w:p>
    <w:p>
      <w:pPr>
        <w:pStyle w:val="Heading2"/>
      </w:pPr>
      <w:bookmarkStart w:id="195" w:name="_Toc00079"/>
      <w:bookmarkStart w:id="194" w:name="_Ref0114"/>
      <w:r>
        <w:t xml:space="preserve">5.1</w:t>
      </w:r>
      <w:bookmarkEnd w:id="194"/>
      <w:r>
        <w:tab/>
      </w:r>
      <w:r>
        <w:t xml:space="preserve">Capaian IRB 2015–2024</w:t>
      </w:r>
      <w:bookmarkEnd w:id="195"/>
    </w:p>
    <w:p>
      <w:pPr>
        <w:pStyle w:val="IsiTemuan"/>
      </w:pPr>
      <w:r>
        <w:rPr>
          <w:b/>
          <w:bCs/>
          <w:color w:val="051C2C"/>
        </w:rPr>
        <w:t xml:space="preserve">IRB nasional turun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atau </w:t>
      </w:r>
      <w:r>
        <w:rPr>
          <w:b/>
          <w:bCs/>
          <w:color w:val="051C2C"/>
        </w:rPr>
        <w:t xml:space="preserve">turun 10,76%</w:t>
      </w:r>
      <w:r>
        <w:rPr>
          <w:b/>
          <w:bCs/>
          <w:color w:val="051C2C"/>
        </w:rPr>
        <w:t xml:space="preserve">, dan Rencana Strategis (Renstra) BNPB 2025–2029 menyatakan target penurunannya tercapai.</w:t>
      </w:r>
      <w:r>
        <w:t xml:space="preserve"> Renstra memuat seri itu dalam Tabel 1.6 dengan 2019 sebagai baseline </w:t>
      </w:r>
      <w:r>
        <w:t xml:space="preserve">(BNPB, 2025e, hlm. 52)</w:t>
      </w:r>
      <w:r>
        <w:t xml:space="preserve">. Seri 2015–2018, yang dimulai dari </w:t>
      </w:r>
      <w:r>
        <w:t xml:space="preserve">156,43</w:t>
      </w:r>
      <w:r>
        <w:t xml:space="preserve"> pada 2015, adalah rerata kab/kota yang dihitung penyusun dari data InaRISK tanpa angka terbit, sehingga berlabel asumsi kebijakan dan digambar dengan gaya garis berbeda pada </w:t>
      </w:r>
      <w:r>
        <w:fldChar w:fldCharType="begin"/>
      </w:r>
      <w:r>
        <w:instrText xml:space="preserve"> REF _Ref0059 \h \* CHARFORMAT </w:instrText>
      </w:r>
      <w:r>
        <w:fldChar w:fldCharType="separate"/>
      </w:r>
      <w:r>
        <w:t xml:space="preserve">Gambar 5.2</w:t>
      </w:r>
      <w:r>
        <w:fldChar w:fldCharType="end"/>
      </w:r>
      <w:r>
        <w:t xml:space="preserve"> </w:t>
      </w:r>
      <w:r>
        <w:t xml:space="preserve">(BNPB, t.t.-b)</w:t>
      </w:r>
      <w:r>
        <w:t xml:space="preserve">. Nilai IRBI 2025 tidak disambungkan ke seri ini karena skalanya berubah (</w:t>
      </w:r>
      <w:r>
        <w:t xml:space="preserve">Subbab </w:t>
      </w:r>
      <w:r>
        <w:fldChar w:fldCharType="begin"/>
      </w:r>
      <w:r>
        <w:instrText xml:space="preserve"> REF _Ref0191 \h \* CHARFORMAT </w:instrText>
      </w:r>
      <w:r>
        <w:fldChar w:fldCharType="separate"/>
      </w:r>
      <w:r>
        <w:t xml:space="preserve">5.2</w:t>
      </w:r>
      <w:r>
        <w:fldChar w:fldCharType="end"/>
      </w:r>
      <w:r>
        <w:t xml:space="preserve">).</w:t>
      </w:r>
    </w:p>
    <w:p>
      <w:pPr>
        <w:pStyle w:val="IsiTemuan"/>
      </w:pPr>
      <w:r>
        <w:rPr>
          <w:b/>
          <w:bCs/>
          <w:color w:val="051C2C"/>
        </w:rPr>
        <w:t xml:space="preserve">Per pulau, rerata IRB kab/kota di Jawa turun paling tajam pada 2019–2024, yaitu </w:t>
      </w:r>
      <w:r>
        <w:rPr>
          <w:b/>
          <w:bCs/>
          <w:color w:val="051C2C"/>
        </w:rPr>
        <w:t xml:space="preserve">turun 24,9%</w:t>
      </w:r>
      <w:r>
        <w:rPr>
          <w:b/>
          <w:bCs/>
          <w:color w:val="051C2C"/>
        </w:rPr>
        <w:t xml:space="preserve">, sementara Maluku dan Papua sedikit naik.</w:t>
      </w:r>
      <w:r>
        <w:t xml:space="preserve"> Rerata Kalimantan </w:t>
      </w:r>
      <w:r>
        <w:t xml:space="preserve">turun 11,2%</w:t>
      </w:r>
      <w:r>
        <w:t xml:space="preserve">, Bali dan Nusa Tenggara </w:t>
      </w:r>
      <w:r>
        <w:t xml:space="preserve">turun 9,9%</w:t>
      </w:r>
      <w:r>
        <w:t xml:space="preserve">, Sulawesi </w:t>
      </w:r>
      <w:r>
        <w:t xml:space="preserve">turun 7,5%</w:t>
      </w:r>
      <w:r>
        <w:t xml:space="preserve">, dan Sumatra </w:t>
      </w:r>
      <w:r>
        <w:t xml:space="preserve">turun 6,4%</w:t>
      </w:r>
      <w:r>
        <w:t xml:space="preserve">, sedangkan Maluku </w:t>
      </w:r>
      <w:r>
        <w:t xml:space="preserve">naik 0,21%</w:t>
      </w:r>
      <w:r>
        <w:t xml:space="preserve"> dan Papua </w:t>
      </w:r>
      <w:r>
        <w:t xml:space="preserve">naik 1,11%</w:t>
      </w:r>
      <w:r>
        <w:t xml:space="preserve"> </w:t>
      </w:r>
      <w:r>
        <w:t xml:space="preserve">(BNPB, t.t.-b)</w:t>
      </w:r>
      <w:r>
        <w:t xml:space="preserve">. Rerata per pulau adalah pengelompokan penyusun yang tidak diterbitkan BNPB. Papua dihitung dengan batas provinsi 2025, sehingga tidak sebanding dengan seri Renstra yang memakai batas provinsi lama, dan arah Papua pada seri terbit justru berlawanan.</w:t>
      </w:r>
    </w:p>
    <w:p>
      <w:pPr>
        <w:pStyle w:val="Caption"/>
      </w:pPr>
      <w:bookmarkStart w:id="197" w:name="_Toc00080"/>
      <w:bookmarkStart w:id="196" w:name="_Ref005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96"/>
      <w:r>
        <w:rPr>
          <w:b/>
          <w:bCs/>
          <w:color w:val="051C2C"/>
        </w:rPr>
        <w:t xml:space="preserve"> </w:t>
      </w:r>
      <w:r>
        <w:t xml:space="preserve">Indeks Risiko Bencana nasional dan rerata kab/kota per pulau di Indonesia, 2015–2024 (indeks)</w:t>
      </w:r>
      <w:bookmarkEnd w:id="197"/>
    </w:p>
    <w:p xmlns:a="http://schemas.openxmlformats.org/drawingml/2006/main" xmlns:pic="http://schemas.openxmlformats.org/drawingml/2006/picture">
      <w:pPr>
        <w:keepNext/>
        <w:spacing w:after="0" w:line="240" w:lineRule="auto"/>
        <w:jc w:val="center"/>
      </w:pPr>
      <w:bookmarkStart w:id="198" w:name="_Obj0015"/>
      <w:r>
        <w:drawing>
          <wp:inline distT="0" distB="0" distL="0" distR="0">
            <wp:extent cx="5940000" cy="2951723"/>
            <wp:effectExtent l="0" t="0" r="0" b="0"/>
            <wp:docPr id="30" name="Gambar 30"/>
            <wp:cNvGraphicFramePr>
              <a:graphicFrameLocks noChangeAspect="1"/>
            </wp:cNvGraphicFramePr>
            <a:graphic>
              <a:graphicData uri="http://schemas.openxmlformats.org/drawingml/2006/picture">
                <pic:pic>
                  <pic:nvPicPr>
                    <pic:cNvPr id="30" name="bab05-tren-irb.png"/>
                    <pic:cNvPicPr/>
                  </pic:nvPicPr>
                  <pic:blipFill>
                    <a:blip r:embed="rId34"/>
                    <a:stretch>
                      <a:fillRect/>
                    </a:stretch>
                  </pic:blipFill>
                  <pic:spPr>
                    <a:xfrm>
                      <a:off x="0" y="0"/>
                      <a:ext cx="5940000" cy="2951723"/>
                    </a:xfrm>
                    <a:prstGeom prst="rect">
                      <a:avLst/>
                    </a:prstGeom>
                  </pic:spPr>
                </pic:pic>
              </a:graphicData>
            </a:graphic>
          </wp:inline>
        </w:drawing>
      </w:r>
      <w:bookmarkEnd w:id="198"/>
    </w:p>
    <w:p>
      <w:pPr>
        <w:pStyle w:val="Sumber"/>
        <w:spacing w:after="40"/>
      </w:pPr>
      <w:r>
        <w:rPr>
          <w:b/>
          <w:bCs/>
          <w:color w:val="6B7280"/>
          <w:sz w:val="17"/>
          <w:szCs w:val="17"/>
        </w:rPr>
        <w:t xml:space="preserve">Sumber: </w:t>
      </w:r>
      <w:r>
        <w:rPr>
          <w:color w:val="6B7280"/>
          <w:sz w:val="17"/>
          <w:szCs w:val="17"/>
        </w:rPr>
        <w:t xml:space="preserve">InaRISK BNPB, IRBI 2015–2024; Renstra BNPB 2025–2029 Tabel 1.6;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Tabel peta panas. Baris nasional 2019–2024 berlabel resmi; nasional 2015–2018 dan tujuh baris pulau adalah rerata sederhana kab/kota pilihan penyusun, dan batas kelas warna pilihan penyusun. Papua memakai batas provinsi 2025. Nilai 2025 tidak ditampilkan karena skalanya berbeda.</w:t>
      </w:r>
    </w:p>
    <w:p>
      <w:pPr>
        <w:pStyle w:val="IsiTemuan"/>
      </w:pPr>
      <w:r>
        <w:rPr>
          <w:b/>
          <w:bCs/>
          <w:color w:val="051C2C"/>
        </w:rPr>
        <w:t xml:space="preserve">Median nilai IRB per kab/kota turun pada kesembilan bahaya dari 2019 ke 2024, termasuk gempa bumi dari </w:t>
      </w:r>
      <w:r>
        <w:rPr>
          <w:b/>
          <w:bCs/>
          <w:color w:val="051C2C"/>
        </w:rPr>
        <w:t xml:space="preserve">15,67</w:t>
      </w:r>
      <w:r>
        <w:rPr>
          <w:b/>
          <w:bCs/>
          <w:color w:val="051C2C"/>
        </w:rPr>
        <w:t xml:space="preserve"> menjadi </w:t>
      </w:r>
      <w:r>
        <w:rPr>
          <w:b/>
          <w:bCs/>
          <w:color w:val="051C2C"/>
        </w:rPr>
        <w:t xml:space="preserve">13,41</w:t>
      </w:r>
      <w:r>
        <w:rPr>
          <w:b/>
          <w:bCs/>
          <w:color w:val="051C2C"/>
        </w:rPr>
        <w:t xml:space="preserve">, padahal bahaya fisik gempa tidak berubah dalam lima tahun.</w:t>
      </w:r>
      <w:r>
        <w:t xml:space="preserve"> Median banjir turun dari </w:t>
      </w:r>
      <w:r>
        <w:t xml:space="preserve">24,00</w:t>
      </w:r>
      <w:r>
        <w:t xml:space="preserve"> menjadi </w:t>
      </w:r>
      <w:r>
        <w:t xml:space="preserve">20,32</w:t>
      </w:r>
      <w:r>
        <w:t xml:space="preserve"> pada periode yang sama </w:t>
      </w:r>
      <w:r>
        <w:t xml:space="preserve">(BNPB, t.t.-b)</w:t>
      </w:r>
      <w:r>
        <w:t xml:space="preserve">. Kesembilan median itu bukan sembilan pengamatan bebas. Dari </w:t>
      </w:r>
      <w:r>
        <w:t xml:space="preserve">400</w:t>
      </w:r>
      <w:r>
        <w:t xml:space="preserve"> kab/kota yang nilainya berubah, </w:t>
      </w:r>
      <w:r>
        <w:t xml:space="preserve">230</w:t>
      </w:r>
      <w:r>
        <w:t xml:space="preserve"> menggeser semua kolom bahaya dengan satu rasio yang identik, sehingga penurunan per bahaya umumnya berasal dari satu pengali per kab/kota. Renstra menyebut IRBI tersusun dari komponen bahaya, kerentanan, dan kapasitas </w:t>
      </w:r>
      <w:r>
        <w:t xml:space="preserve">(BNPB, 2025e, hlm. 5)</w:t>
      </w:r>
      <w:r>
        <w:t xml:space="preserve">. Rumus risiko sebagai hasil kali bahaya dan kerentanan yang dibagi kapasitas berada di lampiran Perka BNPB 2/2012 yang tidak terbuka dan hanya terverifikasi dari sumber sekunder </w:t>
      </w:r>
      <w:r>
        <w:t xml:space="preserve">(BNPB, 2012b)</w:t>
      </w:r>
      <w:r>
        <w:t xml:space="preserve">.</w:t>
      </w:r>
    </w:p>
    <w:p>
      <w:pPr>
        <w:pStyle w:val="IsiTemuan"/>
      </w:pPr>
      <w:r>
        <w:rPr>
          <w:b/>
          <w:bCs/>
          <w:color w:val="051C2C"/>
        </w:rPr>
        <w:t xml:space="preserve">Renstra menulis bahwa Indeks Ketahanan Daerah (IKD), alat ukur kapasitas dengan </w:t>
      </w:r>
      <w:r>
        <w:rPr>
          <w:b/>
          <w:bCs/>
          <w:color w:val="051C2C"/>
        </w:rPr>
        <w:t xml:space="preserve">71 indikator</w:t>
      </w:r>
      <w:r>
        <w:rPr>
          <w:b/>
          <w:bCs/>
          <w:color w:val="051C2C"/>
        </w:rPr>
        <w:t xml:space="preserve"> dan </w:t>
      </w:r>
      <w:r>
        <w:rPr>
          <w:b/>
          <w:bCs/>
          <w:color w:val="051C2C"/>
        </w:rPr>
        <w:t xml:space="preserve">284 pertanyaan</w:t>
      </w:r>
      <w:r>
        <w:rPr>
          <w:b/>
          <w:bCs/>
          <w:color w:val="051C2C"/>
        </w:rPr>
        <w:t xml:space="preserve"> per pengisian, "nantinya akan mempengaruhi" IRBI</w:t>
      </w:r>
      <w:r>
        <w:t xml:space="preserve"> </w:t>
      </w:r>
      <w:r>
        <w:t xml:space="preserve">(BNPB, 2025e, hlm. 85)</w:t>
      </w:r>
      <w:r>
        <w:t xml:space="preserve">. Pada 2025, kab/kota berkapasitas rendah menurut KRB 2022–2026 berstatus Tinggi pada IRBI dalam </w:t>
      </w:r>
      <w:r>
        <w:t xml:space="preserve">47,0%</w:t>
      </w:r>
      <w:r>
        <w:t xml:space="preserve"> kasus, sedangkan kab/kota berkapasitas minimal sedang hanya </w:t>
      </w:r>
      <w:r>
        <w:t xml:space="preserve">8,8%</w:t>
      </w:r>
      <w:r>
        <w:t xml:space="preserve"> </w:t>
      </w:r>
      <w:r>
        <w:t xml:space="preserve">(BNPB, 2026j, t.t.-b)</w:t>
      </w:r>
      <w:r>
        <w:t xml:space="preserve">. Kajian ini menilai mekanisme yang paling didukung data adalah perubahan komponen di luar bahaya. Data terbuka tidak memisahkan bagian kapasitas dari bagian kerentanan, dan pembaruan peta bahaya sebagai masukan indeks belum dapat dikecualikan karena komponen per kab/kota tidak terbuka. Pengali yang sama di semua kolom juga cocok dengan perubahan masukan bersama yang lain, sehingga pola itu mendukung, tetapi tidak membuktikan, peran kapasitas.</w:t>
      </w:r>
    </w:p>
    <w:p>
      <w:pPr>
        <w:pStyle w:val="IsiTemuan"/>
      </w:pPr>
      <w:r>
        <w:rPr>
          <w:b/>
          <w:bCs/>
          <w:color w:val="051C2C"/>
        </w:rPr>
        <w:t xml:space="preserve">Meninggal dan hilang akibat bencana hidrometeorologi rata-rata </w:t>
      </w:r>
      <w:r>
        <w:rPr>
          <w:b/>
          <w:bCs/>
          <w:color w:val="051C2C"/>
        </w:rPr>
        <w:t xml:space="preserve">399,2</w:t>
      </w:r>
      <w:r>
        <w:rPr>
          <w:b/>
          <w:bCs/>
          <w:color w:val="051C2C"/>
        </w:rPr>
        <w:t xml:space="preserve"> jiwa per tahun pada 2015–2019 dan </w:t>
      </w:r>
      <w:r>
        <w:rPr>
          <w:b/>
          <w:bCs/>
          <w:color w:val="051C2C"/>
        </w:rPr>
        <w:t xml:space="preserve">424,0</w:t>
      </w:r>
      <w:r>
        <w:rPr>
          <w:b/>
          <w:bCs/>
          <w:color w:val="051C2C"/>
        </w:rPr>
        <w:t xml:space="preserve"> pada 2020–2024, lalu </w:t>
      </w:r>
      <w:r>
        <w:rPr>
          <w:b/>
          <w:bCs/>
          <w:color w:val="051C2C"/>
        </w:rPr>
        <w:t xml:space="preserve">1.952</w:t>
      </w:r>
      <w:r>
        <w:rPr>
          <w:b/>
          <w:bCs/>
          <w:color w:val="051C2C"/>
        </w:rPr>
        <w:t xml:space="preserve"> pada 2025</w:t>
      </w:r>
      <w:r>
        <w:t xml:space="preserve"> </w:t>
      </w:r>
      <w:r>
        <w:t xml:space="preserve">(BNPB, t.t.-a)</w:t>
      </w:r>
      <w:r>
        <w:t xml:space="preserve">. Korban itu tidak ikut turun bersama IRB. Bencana geologi menyumbang </w:t>
      </w:r>
      <w:r>
        <w:t xml:space="preserve">6.988</w:t>
      </w:r>
      <w:r>
        <w:t xml:space="preserve"> dari </w:t>
      </w:r>
      <w:r>
        <w:t xml:space="preserve">13.056</w:t>
      </w:r>
      <w:r>
        <w:t xml:space="preserve"> meninggal dan hilang akibat bencana alam 2015–2025, atau </w:t>
      </w:r>
      <w:r>
        <w:t xml:space="preserve">53,5%</w:t>
      </w:r>
      <w:r>
        <w:t xml:space="preserve">, dan </w:t>
      </w:r>
      <w:r>
        <w:t xml:space="preserve">5.876</w:t>
      </w:r>
      <w:r>
        <w:t xml:space="preserve"> di antaranya terjadi pada 2018. Seri semua klasifikasi mencatat </w:t>
      </w:r>
      <w:r>
        <w:t xml:space="preserve">6.264</w:t>
      </w:r>
      <w:r>
        <w:t xml:space="preserve"> meninggal dan hilang pada 2018 dan </w:t>
      </w:r>
      <w:r>
        <w:t xml:space="preserve">2.276</w:t>
      </w:r>
      <w:r>
        <w:t xml:space="preserve"> pada 2025, dengan penanda patahan seri pada 2024.</w:t>
      </w:r>
    </w:p>
    <w:p>
      <w:pPr>
        <w:pStyle w:val="IsiTemuan"/>
      </w:pPr>
      <w:r>
        <w:rPr>
          <w:b/>
          <w:bCs/>
          <w:color w:val="051C2C"/>
        </w:rPr>
        <w:t xml:space="preserve">Tanpa 2018, rerata meninggal dan hilang semua klasifikasi 2015–2019 adalah </w:t>
      </w:r>
      <w:r>
        <w:rPr>
          <w:b/>
          <w:bCs/>
          <w:color w:val="051C2C"/>
        </w:rPr>
        <w:t xml:space="preserve">465,3</w:t>
      </w:r>
      <w:r>
        <w:rPr>
          <w:b/>
          <w:bCs/>
          <w:color w:val="051C2C"/>
        </w:rPr>
        <w:t xml:space="preserve"> jiwa per tahun, di bawah </w:t>
      </w:r>
      <w:r>
        <w:rPr>
          <w:b/>
          <w:bCs/>
          <w:color w:val="051C2C"/>
        </w:rPr>
        <w:t xml:space="preserve">615,6</w:t>
      </w:r>
      <w:r>
        <w:rPr>
          <w:b/>
          <w:bCs/>
          <w:color w:val="051C2C"/>
        </w:rPr>
        <w:t xml:space="preserve"> pada 2020–2024</w:t>
      </w:r>
      <w:r>
        <w:t xml:space="preserve"> </w:t>
      </w:r>
      <w:r>
        <w:t xml:space="preserve">(BNPB, t.t.-a)</w:t>
      </w:r>
      <w:r>
        <w:t xml:space="preserve">. Selisih itu tidak cukup untuk menyimpulkan korban naik. Rerata hidrometeorologi hampir datar, dan korelasi peringkat jumlah kejadian dengan korban meninggal bencana alam per tahun hanya </w:t>
      </w:r>
      <w:r>
        <w:t xml:space="preserve">0,22</w:t>
      </w:r>
      <w:r>
        <w:t xml:space="preserve"> pada 2015–2025. Yang terukur adalah korban tidak turun sementara IRB turun. Dua sebab bersumber data. Korban menumpuk pada kejadian langka bermagnitudo besar yang frekuensinya tidak mengikuti indeks lima tahunan, dan IRB nasional adalah rerata kab/kota tanpa bobot penduduk, sedangkan Kota Palu sendiri memuat </w:t>
      </w:r>
      <w:r>
        <w:t xml:space="preserve">32,1%</w:t>
      </w:r>
      <w:r>
        <w:t xml:space="preserve"> meninggal dan hilang tingkat kab/kota 2015–2025. Sebab ketiga adalah penilaian penyusun: IKD lebih mengukur kelengkapan kelembagaan dan kebijakan daripada hasil, dan tidak ada sumber terbuka yang menguji IKD terhadap korban.</w:t>
      </w:r>
    </w:p>
    <w:p>
      <w:pPr>
        <w:pStyle w:val="IsiTemuan"/>
      </w:pPr>
      <w:r>
        <w:rPr>
          <w:b/>
          <w:bCs/>
          <w:color w:val="051C2C"/>
        </w:rPr>
        <w:t xml:space="preserve">Jawa mencatat penurunan IRB terbesar, tetapi rerata korbannya pada 2020–2024, </w:t>
      </w:r>
      <w:r>
        <w:rPr>
          <w:b/>
          <w:bCs/>
          <w:color w:val="051C2C"/>
        </w:rPr>
        <w:t xml:space="preserve">274,0</w:t>
      </w:r>
      <w:r>
        <w:rPr>
          <w:b/>
          <w:bCs/>
          <w:color w:val="051C2C"/>
        </w:rPr>
        <w:t xml:space="preserve"> jiwa meninggal dan hilang per tahun, tidak lebih rendah daripada </w:t>
      </w:r>
      <w:r>
        <w:rPr>
          <w:b/>
          <w:bCs/>
          <w:color w:val="051C2C"/>
        </w:rPr>
        <w:t xml:space="preserve">246,8</w:t>
      </w:r>
      <w:r>
        <w:rPr>
          <w:b/>
          <w:bCs/>
          <w:color w:val="051C2C"/>
        </w:rPr>
        <w:t xml:space="preserve"> pada 2015–2019</w:t>
      </w:r>
      <w:r>
        <w:t xml:space="preserve"> </w:t>
      </w:r>
      <w:r>
        <w:t xml:space="preserve">(BNPB, t.t.-a)</w:t>
      </w:r>
      <w:r>
        <w:t xml:space="preserve">. Kenaikan rerata itu bertumpu pada satu kejadian, yaitu gempa bumi Cianjur 2022 dengan </w:t>
      </w:r>
      <w:r>
        <w:t xml:space="preserve">602</w:t>
      </w:r>
      <w:r>
        <w:t xml:space="preserve"> meninggal dan </w:t>
      </w:r>
      <w:r>
        <w:t xml:space="preserve">8</w:t>
      </w:r>
      <w:r>
        <w:t xml:space="preserve"> hilang. Kasus Jawa karena itu tidak dibaca sebagai bukti bahwa korban naik, melainkan sebagai contoh bahwa penurunan indeks dan besar korban bergerak terpisah.</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IRB nasional </w:t>
            </w:r>
            <w:r>
              <w:rPr>
                <w:b/>
                <w:bCs/>
                <w:color w:val="1A1A1A"/>
              </w:rPr>
              <w:t xml:space="preserve">turun 10,76%</w:t>
            </w:r>
            <w:r>
              <w:rPr>
                <w:b/>
                <w:bCs/>
                <w:color w:val="1A1A1A"/>
              </w:rPr>
              <w:t xml:space="preserve"> pada 2019–2024, sedangkan korban hidrometeorologi tidak ikut turun</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Median IRB per kab/kota turun pada kesembilan bahaya, termasuk bahaya geologi, dan </w:t>
            </w:r>
            <w:r>
              <w:t xml:space="preserve">230</w:t>
            </w:r>
            <w:r>
              <w:t xml:space="preserve"> kab/kota bergeser dengan satu pengali di semua kolom </w:t>
            </w:r>
            <w:r>
              <w:t xml:space="preserve">(BNPB, t.t.-b)</w:t>
            </w:r>
            <w:r>
              <w:t xml:space="preserve">. Meninggal dan hilang akibat bencana hidrometeorologi rata-rata </w:t>
            </w:r>
            <w:r>
              <w:t xml:space="preserve">399,2</w:t>
            </w:r>
            <w:r>
              <w:t xml:space="preserve"> jiwa per tahun pada 2015–2019 dan </w:t>
            </w:r>
            <w:r>
              <w:t xml:space="preserve">424,0</w:t>
            </w:r>
            <w:r>
              <w:t xml:space="preserve"> pada 2020–2024 </w:t>
            </w:r>
            <w:r>
              <w:t xml:space="preserve">(BNPB, t.t.-a)</w:t>
            </w:r>
            <w:r>
              <w:t xml:space="preserve">.</w:t>
            </w:r>
          </w:p>
          <w:p>
            <w:pPr>
              <w:pStyle w:val="IsiKotak"/>
            </w:pPr>
            <w:r>
              <w:rPr>
                <w:b/>
                <w:bCs/>
                <w:color w:val="1A1A1A"/>
              </w:rPr>
              <w:t xml:space="preserve">Dampak: </w:t>
            </w:r>
            <w:r>
              <w:t xml:space="preserve">Capaian IRB tidak dapat dipakai sebagai bukti penurunan korban. Sasaran korban Rencana Nasional Penanggulangan Bencana (Renas PB), yang langsung terukur dari DIBI, layak menjadi sasaran utama Grand Design, dengan IRB sebagai indikator pendamping setelah catatan metode IRBI 2025 terbit.</w:t>
            </w:r>
          </w:p>
          <w:p>
            <w:pPr>
              <w:pStyle w:val="IsiKotak"/>
            </w:pPr>
            <w:r>
              <w:rPr>
                <w:b/>
                <w:bCs/>
                <w:color w:val="1A1A1A"/>
              </w:rPr>
              <w:t xml:space="preserve">Pembuka: </w:t>
            </w:r>
            <w:r>
              <w:t xml:space="preserve">Direktorat Pemetaan dan Evaluasi Risiko Bencana menerbitkan catatan metode IRBI 2025 berikut komponen bahaya, kerentanan, dan kapasitas per kab/kota 2015–2025 (</w:t>
            </w:r>
            <w:r>
              <w:fldChar w:fldCharType="begin"/>
            </w:r>
            <w:r>
              <w:instrText xml:space="preserve"> REF _Ref0086 \h \* CHARFORMAT </w:instrText>
            </w:r>
            <w:r>
              <w:fldChar w:fldCharType="separate"/>
            </w:r>
            <w:r>
              <w:t xml:space="preserve">10</w:t>
            </w:r>
            <w:r>
              <w:fldChar w:fldCharType="end"/>
            </w:r>
            <w:r>
              <w:t xml:space="preserve">).</w:t>
            </w:r>
          </w:p>
        </w:tc>
      </w:tr>
    </w:tbl>
    <w:p>
      <w:pPr>
        <w:pStyle w:val="Jarak"/>
      </w:pPr>
    </w:p>
    <w:p>
      <w:pPr>
        <w:pStyle w:val="Heading2"/>
      </w:pPr>
      <w:bookmarkStart w:id="200" w:name="_Toc00081"/>
      <w:bookmarkStart w:id="199" w:name="_Ref0191"/>
      <w:r>
        <w:t xml:space="preserve">5.2</w:t>
      </w:r>
      <w:bookmarkEnd w:id="199"/>
      <w:r>
        <w:tab/>
      </w:r>
      <w:r>
        <w:t xml:space="preserve">Potret IRBI 2025 per Bahaya</w:t>
      </w:r>
      <w:bookmarkEnd w:id="200"/>
    </w:p>
    <w:p>
      <w:pPr>
        <w:pStyle w:val="IsiTemuan"/>
      </w:pPr>
      <w:r>
        <w:rPr>
          <w:b/>
          <w:bCs/>
          <w:color w:val="051C2C"/>
        </w:rPr>
        <w:t xml:space="preserve">IRBI 2025 menempatkan </w:t>
      </w:r>
      <w:r>
        <w:rPr>
          <w:b/>
          <w:bCs/>
          <w:color w:val="051C2C"/>
        </w:rPr>
        <w:t xml:space="preserve">169</w:t>
      </w:r>
      <w:r>
        <w:rPr>
          <w:b/>
          <w:bCs/>
          <w:color w:val="051C2C"/>
        </w:rPr>
        <w:t xml:space="preserve"> dari </w:t>
      </w:r>
      <w:r>
        <w:rPr>
          <w:b/>
          <w:bCs/>
          <w:color w:val="051C2C"/>
        </w:rPr>
        <w:t xml:space="preserve">514</w:t>
      </w:r>
      <w:r>
        <w:rPr>
          <w:b/>
          <w:bCs/>
          <w:color w:val="051C2C"/>
        </w:rPr>
        <w:t xml:space="preserve"> kab/kota pada status Tinggi dan </w:t>
      </w:r>
      <w:r>
        <w:rPr>
          <w:b/>
          <w:bCs/>
          <w:color w:val="051C2C"/>
        </w:rPr>
        <w:t xml:space="preserve">345</w:t>
      </w:r>
      <w:r>
        <w:rPr>
          <w:b/>
          <w:bCs/>
          <w:color w:val="051C2C"/>
        </w:rPr>
        <w:t xml:space="preserve"> pada status Sedang, tanpa kab/kota berstatus Rendah</w:t>
      </w:r>
      <w:r>
        <w:t xml:space="preserve"> </w:t>
      </w:r>
      <w:r>
        <w:t xml:space="preserve">(BNPB, t.t.-b)</w:t>
      </w:r>
      <w:r>
        <w:t xml:space="preserve">. Status ini dibaca langsung dari kolom status pada antarmuka data InaRISK, sehingga berlabel resmi. Penduduk kab/kota berstatus Tinggi berjumlah </w:t>
      </w:r>
      <w:r>
        <w:t xml:space="preserve">43,1 juta jiwa</w:t>
      </w:r>
      <w:r>
        <w:t xml:space="preserve"> atau </w:t>
      </w:r>
      <w:r>
        <w:t xml:space="preserve">15,0%</w:t>
      </w:r>
      <w:r>
        <w:t xml:space="preserve"> penduduk menurut WorldPop 2026 </w:t>
      </w:r>
      <w:r>
        <w:t xml:space="preserve">(WorldPop, 2025)</w:t>
      </w:r>
      <w:r>
        <w:t xml:space="preserve">. Angka penduduk itu berlabel asumsi kebijakan karena penyebutnya bukan proyeksi Badan Pusat Statistik (BPS). Sebaran status per kab/kota tampil pada </w:t>
      </w:r>
      <w:r>
        <w:fldChar w:fldCharType="begin"/>
      </w:r>
      <w:r>
        <w:instrText xml:space="preserve"> REF _Ref0053 \h \* CHARFORMAT </w:instrText>
      </w:r>
      <w:r>
        <w:fldChar w:fldCharType="separate"/>
      </w:r>
      <w:r>
        <w:t xml:space="preserve">Gambar 5.3</w:t>
      </w:r>
      <w:r>
        <w:fldChar w:fldCharType="end"/>
      </w:r>
      <w:r>
        <w:t xml:space="preserve">.</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201" w:name="_Obj0016"/>
            <w:r>
              <w:rPr>
                <w:b/>
                <w:bCs/>
                <w:color w:val="FFFFFF"/>
                <w:sz w:val="16"/>
                <w:szCs w:val="16"/>
                <w:shd w:val="clear" w:color="auto" w:fill="051C2C"/>
              </w:rPr>
              <w:t xml:space="preserve">  DATA RESMI  </w:t>
            </w:r>
            <w:bookmarkEnd w:id="201"/>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1" name="Gambar 31"/>
                        <wp:cNvGraphicFramePr>
                          <a:graphicFrameLocks noChangeAspect="1"/>
                        </wp:cNvGraphicFramePr>
                        <a:graphic>
                          <a:graphicData uri="http://schemas.openxmlformats.org/drawingml/2006/picture">
                            <pic:pic>
                              <pic:nvPicPr>
                                <pic:cNvPr id="31" name="wilayah-lucide-map-pin-D9600B-FBE7D6.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169</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status Tinggi IRBI 2025</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2" name="Gambar 32"/>
                        <wp:cNvGraphicFramePr>
                          <a:graphicFrameLocks noChangeAspect="1"/>
                        </wp:cNvGraphicFramePr>
                        <a:graphic>
                          <a:graphicData uri="http://schemas.openxmlformats.org/drawingml/2006/picture">
                            <pic:pic>
                              <pic:nvPicPr>
                                <pic:cNvPr id="32"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345</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status Sedang IRBI 2025</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3" name="Gambar 33"/>
                        <wp:cNvGraphicFramePr>
                          <a:graphicFrameLocks noChangeAspect="1"/>
                        </wp:cNvGraphicFramePr>
                        <a:graphic>
                          <a:graphicData uri="http://schemas.openxmlformats.org/drawingml/2006/picture">
                            <pic:pic>
                              <pic:nvPicPr>
                                <pic:cNvPr id="33"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13</w:t>
                  </w:r>
                  <w:r>
                    <w:t xml:space="preserve"> </w:t>
                  </w:r>
                  <w:r>
                    <w:rPr>
                      <w:color w:val="2E3440"/>
                      <w:sz w:val="17"/>
                      <w:szCs w:val="17"/>
                    </w:rPr>
                    <w:t xml:space="preserve">provinsi</w:t>
                  </w:r>
                </w:p>
                <w:p>
                  <w:pPr>
                    <w:pStyle w:val="IsiKotak"/>
                    <w:suppressAutoHyphens/>
                    <w:spacing w:after="0" w:line="240" w:lineRule="auto"/>
                  </w:pPr>
                  <w:r>
                    <w:rPr>
                      <w:color w:val="6B7280"/>
                      <w:sz w:val="17"/>
                      <w:szCs w:val="17"/>
                    </w:rPr>
                    <w:t xml:space="preserve">kelas Tinggi IRBI 2023</w:t>
                  </w:r>
                </w:p>
              </w:tc>
            </w:tr>
          </w:tbl>
          <w:p>
            <w:pPr>
              <w:pStyle w:val="Sumber"/>
            </w:pPr>
            <w:r>
              <w:rPr>
                <w:b/>
                <w:bCs/>
                <w:color w:val="2E3440"/>
                <w:sz w:val="17"/>
                <w:szCs w:val="17"/>
              </w:rPr>
              <w:t xml:space="preserve">Sumber: </w:t>
            </w:r>
            <w:r>
              <w:rPr>
                <w:color w:val="2E3440"/>
                <w:sz w:val="17"/>
                <w:szCs w:val="17"/>
              </w:rPr>
              <w:t xml:space="preserve">InaRISK BNPB, IRBI 2023 dan 2025</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Caption"/>
      </w:pPr>
      <w:bookmarkStart w:id="203" w:name="_Toc00082"/>
      <w:bookmarkStart w:id="202" w:name="_Ref005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202"/>
      <w:r>
        <w:rPr>
          <w:b/>
          <w:bCs/>
          <w:color w:val="051C2C"/>
        </w:rPr>
        <w:t xml:space="preserve"> </w:t>
      </w:r>
      <w:r>
        <w:t xml:space="preserve">Status Indeks Risiko Bencana Indonesia per kab/kota, 2025</w:t>
      </w:r>
      <w:bookmarkEnd w:id="203"/>
    </w:p>
    <w:p xmlns:a="http://schemas.openxmlformats.org/drawingml/2006/main" xmlns:pic="http://schemas.openxmlformats.org/drawingml/2006/picture">
      <w:pPr>
        <w:keepNext/>
        <w:spacing w:after="0" w:line="240" w:lineRule="auto"/>
        <w:jc w:val="center"/>
      </w:pPr>
      <w:bookmarkStart w:id="204" w:name="_Obj0017"/>
      <w:r>
        <w:drawing>
          <wp:inline distT="0" distB="0" distL="0" distR="0">
            <wp:extent cx="5940000" cy="2799415"/>
            <wp:effectExtent l="0" t="0" r="0" b="0"/>
            <wp:docPr id="34" name="Gambar 34"/>
            <wp:cNvGraphicFramePr>
              <a:graphicFrameLocks noChangeAspect="1"/>
            </wp:cNvGraphicFramePr>
            <a:graphic>
              <a:graphicData uri="http://schemas.openxmlformats.org/drawingml/2006/picture">
                <pic:pic>
                  <pic:nvPicPr>
                    <pic:cNvPr id="34" name="bab05-peta-status-irbi-2025.png"/>
                    <pic:cNvPicPr/>
                  </pic:nvPicPr>
                  <pic:blipFill>
                    <a:blip r:embed="rId20"/>
                    <a:stretch>
                      <a:fillRect/>
                    </a:stretch>
                  </pic:blipFill>
                  <pic:spPr>
                    <a:xfrm>
                      <a:off x="0" y="0"/>
                      <a:ext cx="5940000" cy="2799415"/>
                    </a:xfrm>
                    <a:prstGeom prst="rect">
                      <a:avLst/>
                    </a:prstGeom>
                  </pic:spPr>
                </pic:pic>
              </a:graphicData>
            </a:graphic>
          </wp:inline>
        </w:drawing>
      </w:r>
      <w:bookmarkEnd w:id="204"/>
    </w:p>
    <w:p>
      <w:pPr>
        <w:pStyle w:val="Sumber"/>
        <w:spacing w:after="40"/>
      </w:pPr>
      <w:r>
        <w:rPr>
          <w:b/>
          <w:bCs/>
          <w:color w:val="6B7280"/>
          <w:sz w:val="17"/>
          <w:szCs w:val="17"/>
        </w:rPr>
        <w:t xml:space="preserve">Sumber: </w:t>
      </w:r>
      <w:r>
        <w:rPr>
          <w:color w:val="6B7280"/>
          <w:sz w:val="17"/>
          <w:szCs w:val="17"/>
        </w:rPr>
        <w:t xml:space="preserve">InaRISK BNPB, IRBI 2025, kolom status</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Dua kelas resmi, Tinggi dan Sedang. Skala 2025 tidak sebanding dengan 2015–2024, dan peta tidak memeringkat kab/kota.</w:t>
      </w:r>
    </w:p>
    <w:p>
      <w:pPr>
        <w:pStyle w:val="IsiTemuan"/>
      </w:pPr>
      <w:r>
        <w:rPr>
          <w:b/>
          <w:bCs/>
          <w:color w:val="051C2C"/>
        </w:rPr>
        <w:t xml:space="preserve">Total IRBI 2025 tidak sama dengan jumlah kolom bahaya di satu pun dari </w:t>
      </w:r>
      <w:r>
        <w:rPr>
          <w:b/>
          <w:bCs/>
          <w:color w:val="051C2C"/>
        </w:rPr>
        <w:t xml:space="preserve">514</w:t>
      </w:r>
      <w:r>
        <w:rPr>
          <w:b/>
          <w:bCs/>
          <w:color w:val="051C2C"/>
        </w:rPr>
        <w:t xml:space="preserve"> kab/kota, dan nilai per bahaya berupa bilangan bulat</w:t>
      </w:r>
      <w:r>
        <w:t xml:space="preserve"> </w:t>
      </w:r>
      <w:r>
        <w:t xml:space="preserve">(BNPB, t.t.-b)</w:t>
      </w:r>
      <w:r>
        <w:t xml:space="preserve">. Akibatnya nilai kembar per bahaya lazim, sehingga nilai itu tidak dipakai untuk memeringkat kab/kota. </w:t>
      </w:r>
      <w:r>
        <w:fldChar w:fldCharType="begin"/>
      </w:r>
      <w:r>
        <w:instrText xml:space="preserve"> REF _Ref0049 \h \* CHARFORMAT </w:instrText>
      </w:r>
      <w:r>
        <w:fldChar w:fldCharType="separate"/>
      </w:r>
      <w:r>
        <w:t xml:space="preserve">Gambar 5.4</w:t>
      </w:r>
      <w:r>
        <w:fldChar w:fldCharType="end"/>
      </w:r>
      <w:r>
        <w:t xml:space="preserve"> memakai lima kelas kuintil per bahaya pilihan penyusun, dan kelas teratasnya ditulis "≥ batas" agar sama dengan syarat nilai teratas pada aturan daftar perhatian di </w:t>
      </w:r>
      <w:r>
        <w:t xml:space="preserve">Subbab </w:t>
      </w:r>
      <w:r>
        <w:fldChar w:fldCharType="begin"/>
      </w:r>
      <w:r>
        <w:instrText xml:space="preserve"> REF _Ref0116 \h \* CHARFORMAT </w:instrText>
      </w:r>
      <w:r>
        <w:fldChar w:fldCharType="separate"/>
      </w:r>
      <w:r>
        <w:t xml:space="preserve">3.8</w:t>
      </w:r>
      <w:r>
        <w:fldChar w:fldCharType="end"/>
      </w:r>
      <w:r>
        <w:t xml:space="preserve">. Sel tanpa nilai ditulis tidak dinilai, bukan nol.</w:t>
      </w:r>
    </w:p>
    <w:p>
      <w:pPr>
        <w:pStyle w:val="Caption"/>
      </w:pPr>
      <w:bookmarkStart w:id="206" w:name="_Toc00083"/>
      <w:bookmarkStart w:id="205" w:name="_Ref004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205"/>
      <w:r>
        <w:rPr>
          <w:b/>
          <w:bCs/>
          <w:color w:val="051C2C"/>
        </w:rPr>
        <w:t xml:space="preserve"> </w:t>
      </w:r>
      <w:r>
        <w:t xml:space="preserve">Nilai Indeks Risiko Bencana Indonesia per bahaya per kab/kota, 2025 (kelas kuintil)</w:t>
      </w:r>
      <w:bookmarkEnd w:id="206"/>
    </w:p>
    <w:p xmlns:a="http://schemas.openxmlformats.org/drawingml/2006/main" xmlns:pic="http://schemas.openxmlformats.org/drawingml/2006/picture">
      <w:pPr>
        <w:keepNext/>
        <w:spacing w:after="0" w:line="240" w:lineRule="auto"/>
        <w:jc w:val="center"/>
      </w:pPr>
      <w:bookmarkStart w:id="207" w:name="_Obj0018"/>
      <w:r>
        <w:drawing>
          <wp:inline distT="0" distB="0" distL="0" distR="0">
            <wp:extent cx="5940000" cy="7028220"/>
            <wp:effectExtent l="0" t="0" r="0" b="0"/>
            <wp:docPr id="35" name="Gambar 35"/>
            <wp:cNvGraphicFramePr>
              <a:graphicFrameLocks noChangeAspect="1"/>
            </wp:cNvGraphicFramePr>
            <a:graphic>
              <a:graphicData uri="http://schemas.openxmlformats.org/drawingml/2006/picture">
                <pic:pic>
                  <pic:nvPicPr>
                    <pic:cNvPr id="35" name="bab05-peta-irbi-per-bahaya-2025.png"/>
                    <pic:cNvPicPr/>
                  </pic:nvPicPr>
                  <pic:blipFill>
                    <a:blip r:embed="rId35"/>
                    <a:stretch>
                      <a:fillRect/>
                    </a:stretch>
                  </pic:blipFill>
                  <pic:spPr>
                    <a:xfrm>
                      <a:off x="0" y="0"/>
                      <a:ext cx="5940000" cy="7028220"/>
                    </a:xfrm>
                    <a:prstGeom prst="rect">
                      <a:avLst/>
                    </a:prstGeom>
                  </pic:spPr>
                </pic:pic>
              </a:graphicData>
            </a:graphic>
          </wp:inline>
        </w:drawing>
      </w:r>
      <w:bookmarkEnd w:id="207"/>
    </w:p>
    <w:p>
      <w:pPr>
        <w:pStyle w:val="Sumber"/>
        <w:spacing w:after="40"/>
      </w:pPr>
      <w:r>
        <w:rPr>
          <w:b/>
          <w:bCs/>
          <w:color w:val="6B7280"/>
          <w:sz w:val="17"/>
          <w:szCs w:val="17"/>
        </w:rPr>
        <w:t xml:space="preserve">Sumber: </w:t>
      </w:r>
      <w:r>
        <w:rPr>
          <w:color w:val="6B7280"/>
          <w:sz w:val="17"/>
          <w:szCs w:val="17"/>
        </w:rPr>
        <w:t xml:space="preserve">InaRISK BNPB, IRBI 2025, kolom per bahaya; pengelompokan kuintil oleh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Sembilan panel; nilai per bahaya berlabel resmi, kelas kuintil per panel pilihan penyusun. Kab/kota yang tidak dinilai untuk suatu bahaya diberi arsir Belum terdata.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IRBI 2025 tidak sebanding dengan seri 2015–2024. Korelasi peringkat kab/kota 2024 dan 2025 hanya </w:t>
            </w:r>
            <w:r>
              <w:t xml:space="preserve">0,59</w:t>
            </w:r>
            <w:r>
              <w:t xml:space="preserve">, dan rerata kab/kota 2025 sebesar </w:t>
            </w:r>
            <w:r>
              <w:t xml:space="preserve">147,95</w:t>
            </w:r>
            <w:r>
              <w:t xml:space="preserve"> memberi kenaikan semu </w:t>
            </w:r>
            <w:r>
              <w:t xml:space="preserve">15,1%</w:t>
            </w:r>
            <w:r>
              <w:t xml:space="preserve"> bila dibandingkan langsung dengan 2024 </w:t>
            </w:r>
            <w:r>
              <w:t xml:space="preserve">(BNPB, t.t.-b)</w:t>
            </w:r>
            <w:r>
              <w:t xml:space="preserve">. LKIP BNPB 2025 menetapkan rerata itu, </w:t>
            </w:r>
            <w:r>
              <w:t xml:space="preserve">147,95</w:t>
            </w:r>
            <w:r>
              <w:t xml:space="preserve">, sebagai baseline 2026–2029, lalu menilai target 2025 dengan menghitung ulang IRB memakai kerentanan 2021: penurunan </w:t>
            </w:r>
            <w:r>
              <w:t xml:space="preserve">1,03%</w:t>
            </w:r>
            <w:r>
              <w:t xml:space="preserve"> terhadap target </w:t>
            </w:r>
            <w:r>
              <w:t xml:space="preserve">1,2%</w:t>
            </w:r>
            <w:r>
              <w:t xml:space="preserve">, sehingga target dinyatakan tidak tercapai </w:t>
            </w:r>
            <w:r>
              <w:t xml:space="preserve">(BNPB, 2026c, hlm. x, 19)</w:t>
            </w:r>
            <w:r>
              <w:t xml:space="preserve">. Hitungan ulang itu memberi IRB 2024 sebesar </w:t>
            </w:r>
            <w:r>
              <w:t xml:space="preserve">171,95</w:t>
            </w:r>
            <w:r>
              <w:t xml:space="preserve">, berdampingan dengan </w:t>
            </w:r>
            <w:r>
              <w:t xml:space="preserve">128,52</w:t>
            </w:r>
            <w:r>
              <w:t xml:space="preserve"> pada seri Renstra; kedua angka resmi itu dihitung dari komponen berbeda dan tidak dirata-rata. Bobot komponen dan cara agregasi kab/kota untuk baseline baru belum terbit, sehingga capaian 2026–2029 belum dapat diperiksa pihak lain (</w:t>
            </w:r>
            <w:r>
              <w:fldChar w:fldCharType="begin"/>
            </w:r>
            <w:r>
              <w:instrText xml:space="preserve"> REF _Ref0086 \h \* CHARFORMAT </w:instrText>
            </w:r>
            <w:r>
              <w:fldChar w:fldCharType="separate"/>
            </w:r>
            <w:r>
              <w:t xml:space="preserve">10</w:t>
            </w:r>
            <w:r>
              <w:fldChar w:fldCharType="end"/>
            </w:r>
            <w:r>
              <w:t xml:space="preserve">).</w:t>
            </w:r>
          </w:p>
        </w:tc>
      </w:tr>
    </w:tbl>
    <w:p>
      <w:pPr>
        <w:pStyle w:val="Jarak"/>
      </w:pPr>
    </w:p>
    <w:p>
      <w:pPr>
        <w:pStyle w:val="Caption"/>
      </w:pPr>
      <w:bookmarkStart w:id="209" w:name="_Toc00084"/>
      <w:bookmarkStart w:id="208" w:name="_Ref002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208"/>
      <w:r>
        <w:rPr>
          <w:b/>
          <w:bCs/>
          <w:color w:val="051C2C"/>
        </w:rPr>
        <w:t xml:space="preserve"> </w:t>
      </w:r>
      <w:r>
        <w:t xml:space="preserve">Tepian Bengawan Solo yang surut pada musim kemarau, Juli 2015</w:t>
      </w:r>
      <w:bookmarkEnd w:id="209"/>
    </w:p>
    <w:p xmlns:a="http://schemas.openxmlformats.org/drawingml/2006/main" xmlns:pic="http://schemas.openxmlformats.org/drawingml/2006/picture">
      <w:pPr>
        <w:keepNext/>
        <w:spacing w:after="0" w:line="240" w:lineRule="auto"/>
        <w:jc w:val="center"/>
      </w:pPr>
      <w:bookmarkStart w:id="210" w:name="_Obj0019"/>
      <w:r>
        <w:drawing>
          <wp:inline distT="0" distB="0" distL="0" distR="0">
            <wp:extent cx="2898000" cy="2172941"/>
            <wp:effectExtent l="0" t="0" r="0" b="0"/>
            <wp:docPr id="36" name="Gambar 36"/>
            <wp:cNvGraphicFramePr>
              <a:graphicFrameLocks noChangeAspect="1"/>
            </wp:cNvGraphicFramePr>
            <a:graphic>
              <a:graphicData uri="http://schemas.openxmlformats.org/drawingml/2006/picture">
                <pic:pic>
                  <pic:nvPicPr>
                    <pic:cNvPr id="36" name="air-bengawan-solo-surut.jpg"/>
                    <pic:cNvPicPr/>
                  </pic:nvPicPr>
                  <pic:blipFill>
                    <a:blip r:embed="rId36"/>
                    <a:stretch>
                      <a:fillRect/>
                    </a:stretch>
                  </pic:blipFill>
                  <pic:spPr>
                    <a:xfrm>
                      <a:off x="0" y="0"/>
                      <a:ext cx="2898000" cy="2172941"/>
                    </a:xfrm>
                    <a:prstGeom prst="rect">
                      <a:avLst/>
                    </a:prstGeom>
                  </pic:spPr>
                </pic:pic>
              </a:graphicData>
            </a:graphic>
          </wp:inline>
        </w:drawing>
      </w:r>
      <w:bookmarkEnd w:id="210"/>
    </w:p>
    <w:p>
      <w:pPr>
        <w:pStyle w:val="Sumber"/>
      </w:pPr>
      <w:r>
        <w:rPr>
          <w:b/>
          <w:bCs/>
          <w:color w:val="6B7280"/>
          <w:sz w:val="17"/>
          <w:szCs w:val="17"/>
        </w:rPr>
        <w:t xml:space="preserve">Sumber: </w:t>
      </w:r>
      <w:r>
        <w:rPr>
          <w:color w:val="6B7280"/>
          <w:sz w:val="17"/>
          <w:szCs w:val="17"/>
        </w:rPr>
        <w:t xml:space="preserve">Wikimedia Commons, Crisco 1492, CC BY-SA 4.0</w:t>
      </w:r>
    </w:p>
    <w:p>
      <w:pPr>
        <w:pStyle w:val="Heading2"/>
      </w:pPr>
      <w:bookmarkStart w:id="212" w:name="_Toc00085"/>
      <w:bookmarkStart w:id="211" w:name="_Ref0194"/>
      <w:r>
        <w:t xml:space="preserve">5.3</w:t>
      </w:r>
      <w:bookmarkEnd w:id="211"/>
      <w:r>
        <w:tab/>
      </w:r>
      <w:r>
        <w:t xml:space="preserve">Sebaran per Pulau</w:t>
      </w:r>
      <w:bookmarkEnd w:id="212"/>
    </w:p>
    <w:p>
      <w:pPr>
        <w:pStyle w:val="IsiTemuan"/>
      </w:pPr>
      <w:r>
        <w:rPr>
          <w:b/>
          <w:bCs/>
          <w:color w:val="051C2C"/>
        </w:rPr>
        <w:t xml:space="preserve">Pada IRBI 2025, kab/kota berstatus Tinggi terkonsentrasi di luar Jawa dan Kalimantan, terutama Papua dengan </w:t>
      </w:r>
      <w:r>
        <w:rPr>
          <w:b/>
          <w:bCs/>
          <w:color w:val="051C2C"/>
        </w:rPr>
        <w:t xml:space="preserve">37</w:t>
      </w:r>
      <w:r>
        <w:rPr>
          <w:b/>
          <w:bCs/>
          <w:color w:val="051C2C"/>
        </w:rPr>
        <w:t xml:space="preserve"> dari </w:t>
      </w:r>
      <w:r>
        <w:rPr>
          <w:b/>
          <w:bCs/>
          <w:color w:val="051C2C"/>
        </w:rPr>
        <w:t xml:space="preserve">42</w:t>
      </w:r>
      <w:r>
        <w:rPr>
          <w:b/>
          <w:bCs/>
          <w:color w:val="051C2C"/>
        </w:rPr>
        <w:t xml:space="preserve"> kab/kota dan Maluku dengan </w:t>
      </w:r>
      <w:r>
        <w:rPr>
          <w:b/>
          <w:bCs/>
          <w:color w:val="051C2C"/>
        </w:rPr>
        <w:t xml:space="preserve">19</w:t>
      </w:r>
      <w:r>
        <w:rPr>
          <w:b/>
          <w:bCs/>
          <w:color w:val="051C2C"/>
        </w:rPr>
        <w:t xml:space="preserve"> dari </w:t>
      </w:r>
      <w:r>
        <w:rPr>
          <w:b/>
          <w:bCs/>
          <w:color w:val="051C2C"/>
        </w:rPr>
        <w:t xml:space="preserve">21</w:t>
      </w:r>
      <w:r>
        <w:rPr>
          <w:b/>
          <w:bCs/>
          <w:color w:val="051C2C"/>
        </w:rPr>
        <w:t xml:space="preserve">.</w:t>
      </w:r>
      <w:r>
        <w:t xml:space="preserve"> Sulawesi memuat </w:t>
      </w:r>
      <w:r>
        <w:t xml:space="preserve">40</w:t>
      </w:r>
      <w:r>
        <w:t xml:space="preserve"> dari </w:t>
      </w:r>
      <w:r>
        <w:t xml:space="preserve">81</w:t>
      </w:r>
      <w:r>
        <w:t xml:space="preserve">, Bali dan Nusa Tenggara </w:t>
      </w:r>
      <w:r>
        <w:t xml:space="preserve">21</w:t>
      </w:r>
      <w:r>
        <w:t xml:space="preserve"> dari </w:t>
      </w:r>
      <w:r>
        <w:t xml:space="preserve">41</w:t>
      </w:r>
      <w:r>
        <w:t xml:space="preserve">, dan Sumatra </w:t>
      </w:r>
      <w:r>
        <w:t xml:space="preserve">50</w:t>
      </w:r>
      <w:r>
        <w:t xml:space="preserve"> dari </w:t>
      </w:r>
      <w:r>
        <w:t xml:space="preserve">154</w:t>
      </w:r>
      <w:r>
        <w:t xml:space="preserve"> </w:t>
      </w:r>
      <w:r>
        <w:t xml:space="preserve">(BNPB, t.t.-b)</w:t>
      </w:r>
      <w:r>
        <w:t xml:space="preserve">. Kalimantan hanya </w:t>
      </w:r>
      <w:r>
        <w:t xml:space="preserve">1</w:t>
      </w:r>
      <w:r>
        <w:t xml:space="preserve"> dari </w:t>
      </w:r>
      <w:r>
        <w:t xml:space="preserve">56</w:t>
      </w:r>
      <w:r>
        <w:t xml:space="preserve">, dan Jawa </w:t>
      </w:r>
      <w:r>
        <w:t xml:space="preserve">1</w:t>
      </w:r>
      <w:r>
        <w:t xml:space="preserve"> dari </w:t>
      </w:r>
      <w:r>
        <w:t xml:space="preserve">119</w:t>
      </w:r>
      <w:r>
        <w:t xml:space="preserve">, yaitu Kab. Sukabumi. Sumatra memuat kab/kota Tinggi terbanyak menurut jumlah. Menurut porsi, yang tertinggi adalah Maluku dan Papua. Rerata IRBI 2025 per pulau tertinggi di Maluku (</w:t>
      </w:r>
      <w:r>
        <w:t xml:space="preserve">211,74</w:t>
      </w:r>
      <w:r>
        <w:t xml:space="preserve">) dan terendah di Jawa (</w:t>
      </w:r>
      <w:r>
        <w:t xml:space="preserve">99,43</w:t>
      </w:r>
      <w:r>
        <w:t xml:space="preserve">), dibanding rerata seluruh kab/kota </w:t>
      </w:r>
      <w:r>
        <w:t xml:space="preserve">147,95</w:t>
      </w:r>
      <w:r>
        <w:t xml:space="preserve"> (</w:t>
      </w:r>
      <w:r>
        <w:fldChar w:fldCharType="begin"/>
      </w:r>
      <w:r>
        <w:instrText xml:space="preserve"> REF _Ref0228 \h \* CHARFORMAT </w:instrText>
      </w:r>
      <w:r>
        <w:fldChar w:fldCharType="separate"/>
      </w:r>
      <w:r>
        <w:t xml:space="preserve">Tabel 5.1</w:t>
      </w:r>
      <w:r>
        <w:fldChar w:fldCharType="end"/>
      </w:r>
      <w:r>
        <w:t xml:space="preserve">).</w:t>
      </w:r>
    </w:p>
    <w:p>
      <w:pPr>
        <w:pStyle w:val="Caption"/>
      </w:pPr>
      <w:bookmarkStart w:id="214" w:name="_Toc00086"/>
      <w:bookmarkStart w:id="213" w:name="_Ref022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13"/>
      <w:r>
        <w:rPr>
          <w:b/>
          <w:bCs/>
          <w:color w:val="051C2C"/>
        </w:rPr>
        <w:t xml:space="preserve"> </w:t>
      </w:r>
      <w:r>
        <w:t xml:space="preserve">Rerata nilai IRBI kab/kota per bahaya dan per pulau, 2025 (indeks)</w:t>
      </w:r>
      <w:bookmarkEnd w:id="21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30"/>
        <w:gridCol w:w="858"/>
        <w:gridCol w:w="595"/>
        <w:gridCol w:w="667"/>
        <w:gridCol w:w="810"/>
        <w:gridCol w:w="1044"/>
        <w:gridCol w:w="807"/>
        <w:gridCol w:w="670"/>
        <w:gridCol w:w="636"/>
        <w:gridCol w:w="797"/>
        <w:gridCol w:w="901"/>
        <w:gridCol w:w="739"/>
      </w:tblGrid>
      <w:tr>
        <w:trPr>
          <w:cantSplit/>
          <w:tblHeader/>
        </w:trPr>
        <w:tc>
          <w:tcPr>
            <w:tcW w:w="830" w:type="dxa"/>
            <w:shd w:val="clear" w:color="auto" w:fill="051C2C"/>
            <w:vAlign w:val="center"/>
          </w:tcPr>
          <w:p>
            <w:pPr>
              <w:pStyle w:val="KepalaTabel"/>
              <w:suppressAutoHyphens/>
            </w:pPr>
            <w:r>
              <w:t xml:space="preserve">PULAU</w:t>
            </w:r>
          </w:p>
        </w:tc>
        <w:tc>
          <w:tcPr>
            <w:tcW w:w="858" w:type="dxa"/>
            <w:shd w:val="clear" w:color="auto" w:fill="051C2C"/>
            <w:vAlign w:val="center"/>
          </w:tcPr>
          <w:p>
            <w:pPr>
              <w:pStyle w:val="KepalaTabel"/>
              <w:suppressAutoHyphens/>
            </w:pPr>
            <w:r>
              <w:t xml:space="preserve">KAB/KOTA</w:t>
            </w:r>
          </w:p>
        </w:tc>
        <w:tc>
          <w:tcPr>
            <w:tcW w:w="595" w:type="dxa"/>
            <w:shd w:val="clear" w:color="auto" w:fill="051C2C"/>
            <w:vAlign w:val="center"/>
          </w:tcPr>
          <w:p>
            <w:pPr>
              <w:pStyle w:val="KepalaTabel"/>
              <w:suppressAutoHyphens/>
            </w:pPr>
            <w:r>
              <w:t xml:space="preserve">TOTAL</w:t>
            </w:r>
          </w:p>
        </w:tc>
        <w:tc>
          <w:tcPr>
            <w:tcW w:w="667" w:type="dxa"/>
            <w:shd w:val="clear" w:color="auto" w:fill="051C2C"/>
            <w:vAlign w:val="center"/>
          </w:tcPr>
          <w:p>
            <w:pPr>
              <w:pStyle w:val="KepalaTabel"/>
              <w:suppressAutoHyphens/>
            </w:pPr>
            <w:r>
              <w:t xml:space="preserve">BANJIR</w:t>
            </w:r>
          </w:p>
        </w:tc>
        <w:tc>
          <w:tcPr>
            <w:tcW w:w="810" w:type="dxa"/>
            <w:shd w:val="clear" w:color="auto" w:fill="051C2C"/>
            <w:vAlign w:val="center"/>
          </w:tcPr>
          <w:p>
            <w:pPr>
              <w:pStyle w:val="KepalaTabel"/>
              <w:suppressAutoHyphens/>
            </w:pPr>
            <w:r>
              <w:t xml:space="preserve">LONGSOR</w:t>
            </w:r>
          </w:p>
        </w:tc>
        <w:tc>
          <w:tcPr>
            <w:tcW w:w="1044" w:type="dxa"/>
            <w:shd w:val="clear" w:color="auto" w:fill="051C2C"/>
            <w:vAlign w:val="center"/>
          </w:tcPr>
          <w:p>
            <w:pPr>
              <w:pStyle w:val="KepalaTabel"/>
              <w:suppressAutoHyphens/>
            </w:pPr>
            <w:r>
              <w:t xml:space="preserve">KEKERINGAN</w:t>
            </w:r>
          </w:p>
        </w:tc>
        <w:tc>
          <w:tcPr>
            <w:tcW w:w="807" w:type="dxa"/>
            <w:shd w:val="clear" w:color="auto" w:fill="051C2C"/>
            <w:vAlign w:val="center"/>
          </w:tcPr>
          <w:p>
            <w:pPr>
              <w:pStyle w:val="KepalaTabel"/>
              <w:suppressAutoHyphens/>
            </w:pPr>
            <w:r>
              <w:t xml:space="preserve">CUACA EKSTREM</w:t>
            </w:r>
          </w:p>
        </w:tc>
        <w:tc>
          <w:tcPr>
            <w:tcW w:w="670" w:type="dxa"/>
            <w:shd w:val="clear" w:color="auto" w:fill="051C2C"/>
            <w:vAlign w:val="center"/>
          </w:tcPr>
          <w:p>
            <w:pPr>
              <w:pStyle w:val="KepalaTabel"/>
              <w:suppressAutoHyphens/>
            </w:pPr>
            <w:r>
              <w:t xml:space="preserve">ABRASI</w:t>
            </w:r>
          </w:p>
        </w:tc>
        <w:tc>
          <w:tcPr>
            <w:tcW w:w="636" w:type="dxa"/>
            <w:shd w:val="clear" w:color="auto" w:fill="051C2C"/>
            <w:vAlign w:val="center"/>
          </w:tcPr>
          <w:p>
            <w:pPr>
              <w:pStyle w:val="KepalaTabel"/>
              <w:suppressAutoHyphens/>
            </w:pPr>
            <w:r>
              <w:t xml:space="preserve">GEMPA</w:t>
            </w:r>
          </w:p>
        </w:tc>
        <w:tc>
          <w:tcPr>
            <w:tcW w:w="797" w:type="dxa"/>
            <w:shd w:val="clear" w:color="auto" w:fill="051C2C"/>
            <w:vAlign w:val="center"/>
          </w:tcPr>
          <w:p>
            <w:pPr>
              <w:pStyle w:val="KepalaTabel"/>
              <w:suppressAutoHyphens/>
            </w:pPr>
            <w:r>
              <w:t xml:space="preserve">TSUNAMI</w:t>
            </w:r>
          </w:p>
        </w:tc>
        <w:tc>
          <w:tcPr>
            <w:tcW w:w="901" w:type="dxa"/>
            <w:shd w:val="clear" w:color="auto" w:fill="051C2C"/>
            <w:vAlign w:val="center"/>
          </w:tcPr>
          <w:p>
            <w:pPr>
              <w:pStyle w:val="KepalaTabel"/>
              <w:suppressAutoHyphens/>
            </w:pPr>
            <w:r>
              <w:t xml:space="preserve">KARHUTLA</w:t>
            </w:r>
          </w:p>
        </w:tc>
        <w:tc>
          <w:tcPr>
            <w:tcW w:w="739" w:type="dxa"/>
            <w:shd w:val="clear" w:color="auto" w:fill="051C2C"/>
            <w:vAlign w:val="center"/>
          </w:tcPr>
          <w:p>
            <w:pPr>
              <w:pStyle w:val="KepalaTabel"/>
              <w:suppressAutoHyphens/>
            </w:pPr>
            <w:r>
              <w:t xml:space="preserve">GUNUNG API</w:t>
            </w:r>
          </w:p>
        </w:tc>
      </w:tr>
      <w:tr>
        <w:trPr>
          <w:cantSplit/>
        </w:trPr>
        <w:tc>
          <w:tcPr>
            <w:tcW w:w="830" w:type="dxa"/>
          </w:tcPr>
          <w:p>
            <w:pPr>
              <w:pStyle w:val="IsiTabel"/>
              <w:suppressAutoHyphens/>
              <w:jc w:val="left"/>
            </w:pPr>
            <w:r>
              <w:t xml:space="preserve">Sumatra</w:t>
            </w:r>
          </w:p>
        </w:tc>
        <w:tc>
          <w:tcPr>
            <w:tcW w:w="858" w:type="dxa"/>
          </w:tcPr>
          <w:p>
            <w:pPr>
              <w:pStyle w:val="IsiTabel"/>
              <w:suppressAutoHyphens/>
              <w:jc w:val="right"/>
            </w:pPr>
            <w:r>
              <w:t xml:space="preserve">154</w:t>
            </w:r>
          </w:p>
        </w:tc>
        <w:tc>
          <w:tcPr>
            <w:tcW w:w="595" w:type="dxa"/>
          </w:tcPr>
          <w:p>
            <w:pPr>
              <w:pStyle w:val="IsiTabel"/>
              <w:suppressAutoHyphens/>
              <w:jc w:val="right"/>
            </w:pPr>
            <w:r>
              <w:t xml:space="preserve">154,7</w:t>
            </w:r>
          </w:p>
        </w:tc>
        <w:tc>
          <w:tcPr>
            <w:tcW w:w="667" w:type="dxa"/>
          </w:tcPr>
          <w:p>
            <w:pPr>
              <w:pStyle w:val="IsiTabel"/>
              <w:suppressAutoHyphens/>
              <w:jc w:val="right"/>
            </w:pPr>
            <w:r>
              <w:t xml:space="preserve">19,6</w:t>
            </w:r>
          </w:p>
        </w:tc>
        <w:tc>
          <w:tcPr>
            <w:tcW w:w="810" w:type="dxa"/>
          </w:tcPr>
          <w:p>
            <w:pPr>
              <w:pStyle w:val="IsiTabel"/>
              <w:suppressAutoHyphens/>
              <w:jc w:val="right"/>
            </w:pPr>
            <w:r>
              <w:t xml:space="preserve">15,3</w:t>
            </w:r>
          </w:p>
        </w:tc>
        <w:tc>
          <w:tcPr>
            <w:tcW w:w="1044" w:type="dxa"/>
          </w:tcPr>
          <w:p>
            <w:pPr>
              <w:pStyle w:val="IsiTabel"/>
              <w:suppressAutoHyphens/>
              <w:jc w:val="right"/>
            </w:pPr>
            <w:r>
              <w:t xml:space="preserve">10,1</w:t>
            </w:r>
          </w:p>
        </w:tc>
        <w:tc>
          <w:tcPr>
            <w:tcW w:w="807" w:type="dxa"/>
          </w:tcPr>
          <w:p>
            <w:pPr>
              <w:pStyle w:val="IsiTabel"/>
              <w:suppressAutoHyphens/>
              <w:jc w:val="right"/>
            </w:pPr>
            <w:r>
              <w:t xml:space="preserve">18,2</w:t>
            </w:r>
          </w:p>
        </w:tc>
        <w:tc>
          <w:tcPr>
            <w:tcW w:w="670" w:type="dxa"/>
          </w:tcPr>
          <w:p>
            <w:pPr>
              <w:pStyle w:val="IsiTabel"/>
              <w:suppressAutoHyphens/>
              <w:jc w:val="right"/>
            </w:pPr>
            <w:r>
              <w:t xml:space="preserve">12,2</w:t>
            </w:r>
          </w:p>
        </w:tc>
        <w:tc>
          <w:tcPr>
            <w:tcW w:w="636" w:type="dxa"/>
          </w:tcPr>
          <w:p>
            <w:pPr>
              <w:pStyle w:val="IsiTabel"/>
              <w:suppressAutoHyphens/>
              <w:jc w:val="right"/>
            </w:pPr>
            <w:r>
              <w:t xml:space="preserve">9,5</w:t>
            </w:r>
          </w:p>
        </w:tc>
        <w:tc>
          <w:tcPr>
            <w:tcW w:w="797" w:type="dxa"/>
          </w:tcPr>
          <w:p>
            <w:pPr>
              <w:pStyle w:val="IsiTabel"/>
              <w:suppressAutoHyphens/>
              <w:jc w:val="right"/>
            </w:pPr>
            <w:r>
              <w:t xml:space="preserve">16,4</w:t>
            </w:r>
          </w:p>
        </w:tc>
        <w:tc>
          <w:tcPr>
            <w:tcW w:w="901" w:type="dxa"/>
          </w:tcPr>
          <w:p>
            <w:pPr>
              <w:pStyle w:val="IsiTabel"/>
              <w:suppressAutoHyphens/>
              <w:jc w:val="right"/>
            </w:pPr>
            <w:r>
              <w:t xml:space="preserve">12,7</w:t>
            </w:r>
          </w:p>
        </w:tc>
        <w:tc>
          <w:tcPr>
            <w:tcW w:w="739" w:type="dxa"/>
          </w:tcPr>
          <w:p>
            <w:pPr>
              <w:pStyle w:val="IsiTabel"/>
              <w:suppressAutoHyphens/>
              <w:jc w:val="right"/>
            </w:pPr>
            <w:r>
              <w:t xml:space="preserve">13,1</w:t>
            </w:r>
          </w:p>
        </w:tc>
      </w:tr>
      <w:tr>
        <w:trPr>
          <w:cantSplit/>
        </w:trPr>
        <w:tc>
          <w:tcPr>
            <w:tcW w:w="830" w:type="dxa"/>
          </w:tcPr>
          <w:p>
            <w:pPr>
              <w:pStyle w:val="IsiTabel"/>
              <w:suppressAutoHyphens/>
              <w:jc w:val="left"/>
            </w:pPr>
            <w:r>
              <w:t xml:space="preserve">Jawa</w:t>
            </w:r>
          </w:p>
        </w:tc>
        <w:tc>
          <w:tcPr>
            <w:tcW w:w="858" w:type="dxa"/>
          </w:tcPr>
          <w:p>
            <w:pPr>
              <w:pStyle w:val="IsiTabel"/>
              <w:suppressAutoHyphens/>
              <w:jc w:val="right"/>
            </w:pPr>
            <w:r>
              <w:t xml:space="preserve">119</w:t>
            </w:r>
          </w:p>
        </w:tc>
        <w:tc>
          <w:tcPr>
            <w:tcW w:w="595" w:type="dxa"/>
          </w:tcPr>
          <w:p>
            <w:pPr>
              <w:pStyle w:val="IsiTabel"/>
              <w:suppressAutoHyphens/>
              <w:jc w:val="right"/>
            </w:pPr>
            <w:r>
              <w:t xml:space="preserve">99,4</w:t>
            </w:r>
          </w:p>
        </w:tc>
        <w:tc>
          <w:tcPr>
            <w:tcW w:w="667" w:type="dxa"/>
          </w:tcPr>
          <w:p>
            <w:pPr>
              <w:pStyle w:val="IsiTabel"/>
              <w:suppressAutoHyphens/>
              <w:jc w:val="right"/>
            </w:pPr>
            <w:r>
              <w:t xml:space="preserve">13,9</w:t>
            </w:r>
          </w:p>
        </w:tc>
        <w:tc>
          <w:tcPr>
            <w:tcW w:w="810" w:type="dxa"/>
          </w:tcPr>
          <w:p>
            <w:pPr>
              <w:pStyle w:val="IsiTabel"/>
              <w:suppressAutoHyphens/>
              <w:jc w:val="right"/>
            </w:pPr>
            <w:r>
              <w:t xml:space="preserve">10,9</w:t>
            </w:r>
          </w:p>
        </w:tc>
        <w:tc>
          <w:tcPr>
            <w:tcW w:w="1044" w:type="dxa"/>
          </w:tcPr>
          <w:p>
            <w:pPr>
              <w:pStyle w:val="IsiTabel"/>
              <w:suppressAutoHyphens/>
              <w:jc w:val="right"/>
            </w:pPr>
            <w:r>
              <w:t xml:space="preserve">10,7</w:t>
            </w:r>
          </w:p>
        </w:tc>
        <w:tc>
          <w:tcPr>
            <w:tcW w:w="807" w:type="dxa"/>
          </w:tcPr>
          <w:p>
            <w:pPr>
              <w:pStyle w:val="IsiTabel"/>
              <w:suppressAutoHyphens/>
              <w:jc w:val="right"/>
            </w:pPr>
            <w:r>
              <w:t xml:space="preserve">16,0</w:t>
            </w:r>
          </w:p>
        </w:tc>
        <w:tc>
          <w:tcPr>
            <w:tcW w:w="670" w:type="dxa"/>
          </w:tcPr>
          <w:p>
            <w:pPr>
              <w:pStyle w:val="IsiTabel"/>
              <w:suppressAutoHyphens/>
              <w:jc w:val="right"/>
            </w:pPr>
            <w:r>
              <w:t xml:space="preserve">8,7</w:t>
            </w:r>
          </w:p>
        </w:tc>
        <w:tc>
          <w:tcPr>
            <w:tcW w:w="636" w:type="dxa"/>
          </w:tcPr>
          <w:p>
            <w:pPr>
              <w:pStyle w:val="IsiTabel"/>
              <w:suppressAutoHyphens/>
              <w:jc w:val="right"/>
            </w:pPr>
            <w:r>
              <w:t xml:space="preserve">5,4</w:t>
            </w:r>
          </w:p>
        </w:tc>
        <w:tc>
          <w:tcPr>
            <w:tcW w:w="797" w:type="dxa"/>
          </w:tcPr>
          <w:p>
            <w:pPr>
              <w:pStyle w:val="IsiTabel"/>
              <w:suppressAutoHyphens/>
              <w:jc w:val="right"/>
            </w:pPr>
            <w:r>
              <w:t xml:space="preserve">7,7</w:t>
            </w:r>
          </w:p>
        </w:tc>
        <w:tc>
          <w:tcPr>
            <w:tcW w:w="901" w:type="dxa"/>
          </w:tcPr>
          <w:p>
            <w:pPr>
              <w:pStyle w:val="IsiTabel"/>
              <w:suppressAutoHyphens/>
              <w:jc w:val="right"/>
            </w:pPr>
            <w:r>
              <w:t xml:space="preserve">9,0</w:t>
            </w:r>
          </w:p>
        </w:tc>
        <w:tc>
          <w:tcPr>
            <w:tcW w:w="739" w:type="dxa"/>
          </w:tcPr>
          <w:p>
            <w:pPr>
              <w:pStyle w:val="IsiTabel"/>
              <w:suppressAutoHyphens/>
              <w:jc w:val="right"/>
            </w:pPr>
            <w:r>
              <w:t xml:space="preserve">9,0</w:t>
            </w:r>
          </w:p>
        </w:tc>
      </w:tr>
      <w:tr>
        <w:trPr>
          <w:cantSplit/>
        </w:trPr>
        <w:tc>
          <w:tcPr>
            <w:tcW w:w="830" w:type="dxa"/>
          </w:tcPr>
          <w:p>
            <w:pPr>
              <w:pStyle w:val="IsiTabel"/>
              <w:suppressAutoHyphens/>
              <w:jc w:val="left"/>
            </w:pPr>
            <w:r>
              <w:t xml:space="preserve">Bali–Nusa Tenggara</w:t>
            </w:r>
          </w:p>
        </w:tc>
        <w:tc>
          <w:tcPr>
            <w:tcW w:w="858" w:type="dxa"/>
          </w:tcPr>
          <w:p>
            <w:pPr>
              <w:pStyle w:val="IsiTabel"/>
              <w:suppressAutoHyphens/>
              <w:jc w:val="right"/>
            </w:pPr>
            <w:r>
              <w:t xml:space="preserve">41</w:t>
            </w:r>
          </w:p>
        </w:tc>
        <w:tc>
          <w:tcPr>
            <w:tcW w:w="595" w:type="dxa"/>
          </w:tcPr>
          <w:p>
            <w:pPr>
              <w:pStyle w:val="IsiTabel"/>
              <w:suppressAutoHyphens/>
              <w:jc w:val="right"/>
            </w:pPr>
            <w:r>
              <w:t xml:space="preserve">171,1</w:t>
            </w:r>
          </w:p>
        </w:tc>
        <w:tc>
          <w:tcPr>
            <w:tcW w:w="667" w:type="dxa"/>
          </w:tcPr>
          <w:p>
            <w:pPr>
              <w:pStyle w:val="IsiTabel"/>
              <w:suppressAutoHyphens/>
              <w:jc w:val="right"/>
            </w:pPr>
            <w:r>
              <w:t xml:space="preserve">15,1</w:t>
            </w:r>
          </w:p>
        </w:tc>
        <w:tc>
          <w:tcPr>
            <w:tcW w:w="810" w:type="dxa"/>
          </w:tcPr>
          <w:p>
            <w:pPr>
              <w:pStyle w:val="IsiTabel"/>
              <w:suppressAutoHyphens/>
              <w:jc w:val="right"/>
            </w:pPr>
            <w:r>
              <w:t xml:space="preserve">13,9</w:t>
            </w:r>
          </w:p>
        </w:tc>
        <w:tc>
          <w:tcPr>
            <w:tcW w:w="1044" w:type="dxa"/>
          </w:tcPr>
          <w:p>
            <w:pPr>
              <w:pStyle w:val="IsiTabel"/>
              <w:suppressAutoHyphens/>
              <w:jc w:val="right"/>
            </w:pPr>
            <w:r>
              <w:t xml:space="preserve">14,3</w:t>
            </w:r>
          </w:p>
        </w:tc>
        <w:tc>
          <w:tcPr>
            <w:tcW w:w="807" w:type="dxa"/>
          </w:tcPr>
          <w:p>
            <w:pPr>
              <w:pStyle w:val="IsiTabel"/>
              <w:suppressAutoHyphens/>
              <w:jc w:val="right"/>
            </w:pPr>
            <w:r>
              <w:t xml:space="preserve">13,3</w:t>
            </w:r>
          </w:p>
        </w:tc>
        <w:tc>
          <w:tcPr>
            <w:tcW w:w="670" w:type="dxa"/>
          </w:tcPr>
          <w:p>
            <w:pPr>
              <w:pStyle w:val="IsiTabel"/>
              <w:suppressAutoHyphens/>
              <w:jc w:val="right"/>
            </w:pPr>
            <w:r>
              <w:t xml:space="preserve">11,7</w:t>
            </w:r>
          </w:p>
        </w:tc>
        <w:tc>
          <w:tcPr>
            <w:tcW w:w="636" w:type="dxa"/>
          </w:tcPr>
          <w:p>
            <w:pPr>
              <w:pStyle w:val="IsiTabel"/>
              <w:suppressAutoHyphens/>
              <w:jc w:val="right"/>
            </w:pPr>
            <w:r>
              <w:t xml:space="preserve">7,2</w:t>
            </w:r>
          </w:p>
        </w:tc>
        <w:tc>
          <w:tcPr>
            <w:tcW w:w="797" w:type="dxa"/>
          </w:tcPr>
          <w:p>
            <w:pPr>
              <w:pStyle w:val="IsiTabel"/>
              <w:suppressAutoHyphens/>
              <w:jc w:val="right"/>
            </w:pPr>
            <w:r>
              <w:t xml:space="preserve">17,3</w:t>
            </w:r>
          </w:p>
        </w:tc>
        <w:tc>
          <w:tcPr>
            <w:tcW w:w="901" w:type="dxa"/>
          </w:tcPr>
          <w:p>
            <w:pPr>
              <w:pStyle w:val="IsiTabel"/>
              <w:suppressAutoHyphens/>
              <w:jc w:val="right"/>
            </w:pPr>
            <w:r>
              <w:t xml:space="preserve">11,3</w:t>
            </w:r>
          </w:p>
        </w:tc>
        <w:tc>
          <w:tcPr>
            <w:tcW w:w="739" w:type="dxa"/>
          </w:tcPr>
          <w:p>
            <w:pPr>
              <w:pStyle w:val="IsiTabel"/>
              <w:suppressAutoHyphens/>
              <w:jc w:val="right"/>
            </w:pPr>
            <w:r>
              <w:t xml:space="preserve">13,6</w:t>
            </w:r>
          </w:p>
        </w:tc>
      </w:tr>
      <w:tr>
        <w:trPr>
          <w:cantSplit/>
        </w:trPr>
        <w:tc>
          <w:tcPr>
            <w:tcW w:w="830" w:type="dxa"/>
          </w:tcPr>
          <w:p>
            <w:pPr>
              <w:pStyle w:val="IsiTabel"/>
              <w:suppressAutoHyphens/>
              <w:jc w:val="left"/>
            </w:pPr>
            <w:r>
              <w:t xml:space="preserve">Kalimantan</w:t>
            </w:r>
          </w:p>
        </w:tc>
        <w:tc>
          <w:tcPr>
            <w:tcW w:w="858" w:type="dxa"/>
          </w:tcPr>
          <w:p>
            <w:pPr>
              <w:pStyle w:val="IsiTabel"/>
              <w:suppressAutoHyphens/>
              <w:jc w:val="right"/>
            </w:pPr>
            <w:r>
              <w:t xml:space="preserve">56</w:t>
            </w:r>
          </w:p>
        </w:tc>
        <w:tc>
          <w:tcPr>
            <w:tcW w:w="595" w:type="dxa"/>
          </w:tcPr>
          <w:p>
            <w:pPr>
              <w:pStyle w:val="IsiTabel"/>
              <w:suppressAutoHyphens/>
              <w:jc w:val="right"/>
            </w:pPr>
            <w:r>
              <w:t xml:space="preserve">105,8</w:t>
            </w:r>
          </w:p>
        </w:tc>
        <w:tc>
          <w:tcPr>
            <w:tcW w:w="667" w:type="dxa"/>
          </w:tcPr>
          <w:p>
            <w:pPr>
              <w:pStyle w:val="IsiTabel"/>
              <w:suppressAutoHyphens/>
              <w:jc w:val="right"/>
            </w:pPr>
            <w:r>
              <w:t xml:space="preserve">16,8</w:t>
            </w:r>
          </w:p>
        </w:tc>
        <w:tc>
          <w:tcPr>
            <w:tcW w:w="810" w:type="dxa"/>
          </w:tcPr>
          <w:p>
            <w:pPr>
              <w:pStyle w:val="IsiTabel"/>
              <w:suppressAutoHyphens/>
              <w:jc w:val="right"/>
            </w:pPr>
            <w:r>
              <w:t xml:space="preserve">8,1</w:t>
            </w:r>
          </w:p>
        </w:tc>
        <w:tc>
          <w:tcPr>
            <w:tcW w:w="1044" w:type="dxa"/>
          </w:tcPr>
          <w:p>
            <w:pPr>
              <w:pStyle w:val="IsiTabel"/>
              <w:suppressAutoHyphens/>
              <w:jc w:val="right"/>
            </w:pPr>
            <w:r>
              <w:t xml:space="preserve">11,4</w:t>
            </w:r>
          </w:p>
        </w:tc>
        <w:tc>
          <w:tcPr>
            <w:tcW w:w="807" w:type="dxa"/>
          </w:tcPr>
          <w:p>
            <w:pPr>
              <w:pStyle w:val="IsiTabel"/>
              <w:suppressAutoHyphens/>
              <w:jc w:val="right"/>
            </w:pPr>
            <w:r>
              <w:t xml:space="preserve">15,3</w:t>
            </w:r>
          </w:p>
        </w:tc>
        <w:tc>
          <w:tcPr>
            <w:tcW w:w="670" w:type="dxa"/>
          </w:tcPr>
          <w:p>
            <w:pPr>
              <w:pStyle w:val="IsiTabel"/>
              <w:suppressAutoHyphens/>
              <w:jc w:val="right"/>
            </w:pPr>
            <w:r>
              <w:t xml:space="preserve">10,3</w:t>
            </w:r>
          </w:p>
        </w:tc>
        <w:tc>
          <w:tcPr>
            <w:tcW w:w="636" w:type="dxa"/>
          </w:tcPr>
          <w:p>
            <w:pPr>
              <w:pStyle w:val="IsiTabel"/>
              <w:suppressAutoHyphens/>
              <w:jc w:val="right"/>
            </w:pPr>
            <w:r>
              <w:t xml:space="preserve">1,4</w:t>
            </w:r>
          </w:p>
        </w:tc>
        <w:tc>
          <w:tcPr>
            <w:tcW w:w="797" w:type="dxa"/>
          </w:tcPr>
          <w:p>
            <w:pPr>
              <w:pStyle w:val="IsiTabel"/>
              <w:suppressAutoHyphens/>
              <w:jc w:val="right"/>
            </w:pPr>
            <w:r>
              <w:t xml:space="preserve">6,0</w:t>
            </w:r>
          </w:p>
        </w:tc>
        <w:tc>
          <w:tcPr>
            <w:tcW w:w="901" w:type="dxa"/>
          </w:tcPr>
          <w:p>
            <w:pPr>
              <w:pStyle w:val="IsiTabel"/>
              <w:suppressAutoHyphens/>
              <w:jc w:val="right"/>
            </w:pPr>
            <w:r>
              <w:t xml:space="preserve">13,0</w:t>
            </w:r>
          </w:p>
        </w:tc>
        <w:tc>
          <w:tcPr>
            <w:tcW w:w="739" w:type="dxa"/>
          </w:tcPr>
          <w:p>
            <w:pPr>
              <w:pStyle w:val="IsiTabel"/>
              <w:suppressAutoHyphens/>
              <w:jc w:val="right"/>
            </w:pPr>
            <w:r>
              <w:t xml:space="preserve">–</w:t>
            </w:r>
          </w:p>
        </w:tc>
      </w:tr>
      <w:tr>
        <w:trPr>
          <w:cantSplit/>
        </w:trPr>
        <w:tc>
          <w:tcPr>
            <w:tcW w:w="830" w:type="dxa"/>
          </w:tcPr>
          <w:p>
            <w:pPr>
              <w:pStyle w:val="IsiTabel"/>
              <w:keepNext/>
              <w:suppressAutoHyphens/>
              <w:jc w:val="left"/>
            </w:pPr>
            <w:bookmarkStart w:id="215" w:name="_Ekor020a"/>
            <w:bookmarkEnd w:id="215"/>
            <w:r>
              <w:t xml:space="preserve">Sulawesi</w:t>
            </w:r>
          </w:p>
        </w:tc>
        <w:tc>
          <w:tcPr>
            <w:tcW w:w="858" w:type="dxa"/>
          </w:tcPr>
          <w:p>
            <w:pPr>
              <w:pStyle w:val="IsiTabel"/>
              <w:keepNext/>
              <w:suppressAutoHyphens/>
              <w:jc w:val="right"/>
            </w:pPr>
            <w:r>
              <w:t xml:space="preserve">81</w:t>
            </w:r>
          </w:p>
        </w:tc>
        <w:tc>
          <w:tcPr>
            <w:tcW w:w="595" w:type="dxa"/>
          </w:tcPr>
          <w:p>
            <w:pPr>
              <w:pStyle w:val="IsiTabel"/>
              <w:keepNext/>
              <w:suppressAutoHyphens/>
              <w:jc w:val="right"/>
            </w:pPr>
            <w:r>
              <w:t xml:space="preserve">177,5</w:t>
            </w:r>
          </w:p>
        </w:tc>
        <w:tc>
          <w:tcPr>
            <w:tcW w:w="667" w:type="dxa"/>
          </w:tcPr>
          <w:p>
            <w:pPr>
              <w:pStyle w:val="IsiTabel"/>
              <w:keepNext/>
              <w:suppressAutoHyphens/>
              <w:jc w:val="right"/>
            </w:pPr>
            <w:r>
              <w:t xml:space="preserve">18,8</w:t>
            </w:r>
          </w:p>
        </w:tc>
        <w:tc>
          <w:tcPr>
            <w:tcW w:w="810" w:type="dxa"/>
          </w:tcPr>
          <w:p>
            <w:pPr>
              <w:pStyle w:val="IsiTabel"/>
              <w:keepNext/>
              <w:suppressAutoHyphens/>
              <w:jc w:val="right"/>
            </w:pPr>
            <w:r>
              <w:t xml:space="preserve">14,0</w:t>
            </w:r>
          </w:p>
        </w:tc>
        <w:tc>
          <w:tcPr>
            <w:tcW w:w="1044" w:type="dxa"/>
          </w:tcPr>
          <w:p>
            <w:pPr>
              <w:pStyle w:val="IsiTabel"/>
              <w:keepNext/>
              <w:suppressAutoHyphens/>
              <w:jc w:val="right"/>
            </w:pPr>
            <w:r>
              <w:t xml:space="preserve">14,2</w:t>
            </w:r>
          </w:p>
        </w:tc>
        <w:tc>
          <w:tcPr>
            <w:tcW w:w="807" w:type="dxa"/>
          </w:tcPr>
          <w:p>
            <w:pPr>
              <w:pStyle w:val="IsiTabel"/>
              <w:keepNext/>
              <w:suppressAutoHyphens/>
              <w:jc w:val="right"/>
            </w:pPr>
            <w:r>
              <w:t xml:space="preserve">15,2</w:t>
            </w:r>
          </w:p>
        </w:tc>
        <w:tc>
          <w:tcPr>
            <w:tcW w:w="670" w:type="dxa"/>
          </w:tcPr>
          <w:p>
            <w:pPr>
              <w:pStyle w:val="IsiTabel"/>
              <w:keepNext/>
              <w:suppressAutoHyphens/>
              <w:jc w:val="right"/>
            </w:pPr>
            <w:r>
              <w:t xml:space="preserve">12,5</w:t>
            </w:r>
          </w:p>
        </w:tc>
        <w:tc>
          <w:tcPr>
            <w:tcW w:w="636" w:type="dxa"/>
          </w:tcPr>
          <w:p>
            <w:pPr>
              <w:pStyle w:val="IsiTabel"/>
              <w:keepNext/>
              <w:suppressAutoHyphens/>
              <w:jc w:val="right"/>
            </w:pPr>
            <w:r>
              <w:t xml:space="preserve">6,1</w:t>
            </w:r>
          </w:p>
        </w:tc>
        <w:tc>
          <w:tcPr>
            <w:tcW w:w="797" w:type="dxa"/>
          </w:tcPr>
          <w:p>
            <w:pPr>
              <w:pStyle w:val="IsiTabel"/>
              <w:keepNext/>
              <w:suppressAutoHyphens/>
              <w:jc w:val="right"/>
            </w:pPr>
            <w:r>
              <w:t xml:space="preserve">14,4</w:t>
            </w:r>
          </w:p>
        </w:tc>
        <w:tc>
          <w:tcPr>
            <w:tcW w:w="901" w:type="dxa"/>
          </w:tcPr>
          <w:p>
            <w:pPr>
              <w:pStyle w:val="IsiTabel"/>
              <w:keepNext/>
              <w:suppressAutoHyphens/>
              <w:jc w:val="right"/>
            </w:pPr>
            <w:r>
              <w:t xml:space="preserve">12,2</w:t>
            </w:r>
          </w:p>
        </w:tc>
        <w:tc>
          <w:tcPr>
            <w:tcW w:w="739" w:type="dxa"/>
          </w:tcPr>
          <w:p>
            <w:pPr>
              <w:pStyle w:val="IsiTabel"/>
              <w:keepNext/>
              <w:suppressAutoHyphens/>
              <w:jc w:val="right"/>
            </w:pPr>
            <w:r>
              <w:t xml:space="preserve">12,8</w:t>
            </w:r>
          </w:p>
        </w:tc>
      </w:tr>
      <w:tr>
        <w:trPr>
          <w:cantSplit/>
        </w:trPr>
        <w:tc>
          <w:tcPr>
            <w:tcW w:w="830" w:type="dxa"/>
          </w:tcPr>
          <w:p>
            <w:pPr>
              <w:pStyle w:val="IsiTabel"/>
              <w:keepNext/>
              <w:suppressAutoHyphens/>
              <w:jc w:val="left"/>
            </w:pPr>
            <w:r>
              <w:t xml:space="preserve">Maluku</w:t>
            </w:r>
          </w:p>
        </w:tc>
        <w:tc>
          <w:tcPr>
            <w:tcW w:w="858" w:type="dxa"/>
          </w:tcPr>
          <w:p>
            <w:pPr>
              <w:pStyle w:val="IsiTabel"/>
              <w:keepNext/>
              <w:suppressAutoHyphens/>
              <w:jc w:val="right"/>
            </w:pPr>
            <w:r>
              <w:t xml:space="preserve">21</w:t>
            </w:r>
          </w:p>
        </w:tc>
        <w:tc>
          <w:tcPr>
            <w:tcW w:w="595" w:type="dxa"/>
          </w:tcPr>
          <w:p>
            <w:pPr>
              <w:pStyle w:val="IsiTabel"/>
              <w:keepNext/>
              <w:suppressAutoHyphens/>
              <w:jc w:val="right"/>
            </w:pPr>
            <w:r>
              <w:t xml:space="preserve">211,7</w:t>
            </w:r>
          </w:p>
        </w:tc>
        <w:tc>
          <w:tcPr>
            <w:tcW w:w="667" w:type="dxa"/>
          </w:tcPr>
          <w:p>
            <w:pPr>
              <w:pStyle w:val="IsiTabel"/>
              <w:keepNext/>
              <w:suppressAutoHyphens/>
              <w:jc w:val="right"/>
            </w:pPr>
            <w:r>
              <w:t xml:space="preserve">21,0</w:t>
            </w:r>
          </w:p>
        </w:tc>
        <w:tc>
          <w:tcPr>
            <w:tcW w:w="810" w:type="dxa"/>
          </w:tcPr>
          <w:p>
            <w:pPr>
              <w:pStyle w:val="IsiTabel"/>
              <w:keepNext/>
              <w:suppressAutoHyphens/>
              <w:jc w:val="right"/>
            </w:pPr>
            <w:r>
              <w:t xml:space="preserve">12,6</w:t>
            </w:r>
          </w:p>
        </w:tc>
        <w:tc>
          <w:tcPr>
            <w:tcW w:w="1044" w:type="dxa"/>
          </w:tcPr>
          <w:p>
            <w:pPr>
              <w:pStyle w:val="IsiTabel"/>
              <w:keepNext/>
              <w:suppressAutoHyphens/>
              <w:jc w:val="right"/>
            </w:pPr>
            <w:r>
              <w:t xml:space="preserve">17,4</w:t>
            </w:r>
          </w:p>
        </w:tc>
        <w:tc>
          <w:tcPr>
            <w:tcW w:w="807" w:type="dxa"/>
          </w:tcPr>
          <w:p>
            <w:pPr>
              <w:pStyle w:val="IsiTabel"/>
              <w:keepNext/>
              <w:suppressAutoHyphens/>
              <w:jc w:val="right"/>
            </w:pPr>
            <w:r>
              <w:t xml:space="preserve">14,7</w:t>
            </w:r>
          </w:p>
        </w:tc>
        <w:tc>
          <w:tcPr>
            <w:tcW w:w="670" w:type="dxa"/>
          </w:tcPr>
          <w:p>
            <w:pPr>
              <w:pStyle w:val="IsiTabel"/>
              <w:keepNext/>
              <w:suppressAutoHyphens/>
              <w:jc w:val="right"/>
            </w:pPr>
            <w:r>
              <w:t xml:space="preserve">19,0</w:t>
            </w:r>
          </w:p>
        </w:tc>
        <w:tc>
          <w:tcPr>
            <w:tcW w:w="636" w:type="dxa"/>
          </w:tcPr>
          <w:p>
            <w:pPr>
              <w:pStyle w:val="IsiTabel"/>
              <w:keepNext/>
              <w:suppressAutoHyphens/>
              <w:jc w:val="right"/>
            </w:pPr>
            <w:r>
              <w:t xml:space="preserve">9,1</w:t>
            </w:r>
          </w:p>
        </w:tc>
        <w:tc>
          <w:tcPr>
            <w:tcW w:w="797" w:type="dxa"/>
          </w:tcPr>
          <w:p>
            <w:pPr>
              <w:pStyle w:val="IsiTabel"/>
              <w:keepNext/>
              <w:suppressAutoHyphens/>
              <w:jc w:val="right"/>
            </w:pPr>
            <w:r>
              <w:t xml:space="preserve">22,2</w:t>
            </w:r>
          </w:p>
        </w:tc>
        <w:tc>
          <w:tcPr>
            <w:tcW w:w="901" w:type="dxa"/>
          </w:tcPr>
          <w:p>
            <w:pPr>
              <w:pStyle w:val="IsiTabel"/>
              <w:keepNext/>
              <w:suppressAutoHyphens/>
              <w:jc w:val="right"/>
            </w:pPr>
            <w:r>
              <w:t xml:space="preserve">14,2</w:t>
            </w:r>
          </w:p>
        </w:tc>
        <w:tc>
          <w:tcPr>
            <w:tcW w:w="739" w:type="dxa"/>
          </w:tcPr>
          <w:p>
            <w:pPr>
              <w:pStyle w:val="IsiTabel"/>
              <w:keepNext/>
              <w:suppressAutoHyphens/>
              <w:jc w:val="right"/>
            </w:pPr>
            <w:r>
              <w:t xml:space="preserve">19,0</w:t>
            </w:r>
          </w:p>
        </w:tc>
      </w:tr>
      <w:tr>
        <w:trPr>
          <w:cantSplit/>
        </w:trPr>
        <w:tc>
          <w:tcPr>
            <w:tcW w:w="830" w:type="dxa"/>
          </w:tcPr>
          <w:p>
            <w:pPr>
              <w:pStyle w:val="IsiTabel"/>
              <w:keepNext/>
              <w:suppressAutoHyphens/>
              <w:jc w:val="left"/>
            </w:pPr>
            <w:r>
              <w:t xml:space="preserve">Papua</w:t>
            </w:r>
          </w:p>
        </w:tc>
        <w:tc>
          <w:tcPr>
            <w:tcW w:w="858" w:type="dxa"/>
          </w:tcPr>
          <w:p>
            <w:pPr>
              <w:pStyle w:val="IsiTabel"/>
              <w:keepNext/>
              <w:suppressAutoHyphens/>
              <w:jc w:val="right"/>
            </w:pPr>
            <w:r>
              <w:t xml:space="preserve">42</w:t>
            </w:r>
          </w:p>
        </w:tc>
        <w:tc>
          <w:tcPr>
            <w:tcW w:w="595" w:type="dxa"/>
          </w:tcPr>
          <w:p>
            <w:pPr>
              <w:pStyle w:val="IsiTabel"/>
              <w:keepNext/>
              <w:suppressAutoHyphens/>
              <w:jc w:val="right"/>
            </w:pPr>
            <w:r>
              <w:t xml:space="preserve">205,5</w:t>
            </w:r>
          </w:p>
        </w:tc>
        <w:tc>
          <w:tcPr>
            <w:tcW w:w="667" w:type="dxa"/>
          </w:tcPr>
          <w:p>
            <w:pPr>
              <w:pStyle w:val="IsiTabel"/>
              <w:keepNext/>
              <w:suppressAutoHyphens/>
              <w:jc w:val="right"/>
            </w:pPr>
            <w:r>
              <w:t xml:space="preserve">24,9</w:t>
            </w:r>
          </w:p>
        </w:tc>
        <w:tc>
          <w:tcPr>
            <w:tcW w:w="810" w:type="dxa"/>
          </w:tcPr>
          <w:p>
            <w:pPr>
              <w:pStyle w:val="IsiTabel"/>
              <w:keepNext/>
              <w:suppressAutoHyphens/>
              <w:jc w:val="right"/>
            </w:pPr>
            <w:r>
              <w:t xml:space="preserve">21,6</w:t>
            </w:r>
          </w:p>
        </w:tc>
        <w:tc>
          <w:tcPr>
            <w:tcW w:w="1044" w:type="dxa"/>
          </w:tcPr>
          <w:p>
            <w:pPr>
              <w:pStyle w:val="IsiTabel"/>
              <w:keepNext/>
              <w:suppressAutoHyphens/>
              <w:jc w:val="right"/>
            </w:pPr>
            <w:r>
              <w:t xml:space="preserve">20,4</w:t>
            </w:r>
          </w:p>
        </w:tc>
        <w:tc>
          <w:tcPr>
            <w:tcW w:w="807" w:type="dxa"/>
          </w:tcPr>
          <w:p>
            <w:pPr>
              <w:pStyle w:val="IsiTabel"/>
              <w:keepNext/>
              <w:suppressAutoHyphens/>
              <w:jc w:val="right"/>
            </w:pPr>
            <w:r>
              <w:t xml:space="preserve">17,7</w:t>
            </w:r>
          </w:p>
        </w:tc>
        <w:tc>
          <w:tcPr>
            <w:tcW w:w="670" w:type="dxa"/>
          </w:tcPr>
          <w:p>
            <w:pPr>
              <w:pStyle w:val="IsiTabel"/>
              <w:keepNext/>
              <w:suppressAutoHyphens/>
              <w:jc w:val="right"/>
            </w:pPr>
            <w:r>
              <w:t xml:space="preserve">10,8</w:t>
            </w:r>
          </w:p>
        </w:tc>
        <w:tc>
          <w:tcPr>
            <w:tcW w:w="636" w:type="dxa"/>
          </w:tcPr>
          <w:p>
            <w:pPr>
              <w:pStyle w:val="IsiTabel"/>
              <w:keepNext/>
              <w:suppressAutoHyphens/>
              <w:jc w:val="right"/>
            </w:pPr>
            <w:r>
              <w:t xml:space="preserve">14,1</w:t>
            </w:r>
          </w:p>
        </w:tc>
        <w:tc>
          <w:tcPr>
            <w:tcW w:w="797" w:type="dxa"/>
          </w:tcPr>
          <w:p>
            <w:pPr>
              <w:pStyle w:val="IsiTabel"/>
              <w:keepNext/>
              <w:suppressAutoHyphens/>
              <w:jc w:val="right"/>
            </w:pPr>
            <w:r>
              <w:t xml:space="preserve">17,0</w:t>
            </w:r>
          </w:p>
        </w:tc>
        <w:tc>
          <w:tcPr>
            <w:tcW w:w="901" w:type="dxa"/>
          </w:tcPr>
          <w:p>
            <w:pPr>
              <w:pStyle w:val="IsiTabel"/>
              <w:keepNext/>
              <w:suppressAutoHyphens/>
              <w:jc w:val="right"/>
            </w:pPr>
            <w:r>
              <w:t xml:space="preserve">16,4</w:t>
            </w:r>
          </w:p>
        </w:tc>
        <w:tc>
          <w:tcPr>
            <w:tcW w:w="739" w:type="dxa"/>
          </w:tcPr>
          <w:p>
            <w:pPr>
              <w:pStyle w:val="IsiTabel"/>
              <w:keepNext/>
              <w:suppressAutoHyphens/>
              <w:jc w:val="right"/>
            </w:pPr>
            <w:r>
              <w:t xml:space="preserve">–</w:t>
            </w:r>
          </w:p>
        </w:tc>
      </w:tr>
      <w:tr>
        <w:trPr>
          <w:cantSplit/>
        </w:trPr>
        <w:tc>
          <w:tcPr>
            <w:tcW w:w="830" w:type="dxa"/>
          </w:tcPr>
          <w:p>
            <w:pPr>
              <w:pStyle w:val="IsiTabel"/>
              <w:suppressAutoHyphens/>
              <w:jc w:val="left"/>
            </w:pPr>
            <w:bookmarkStart w:id="216" w:name="_Ekor020z"/>
            <w:bookmarkEnd w:id="216"/>
            <w:r>
              <w:t xml:space="preserve">Indonesia</w:t>
            </w:r>
          </w:p>
        </w:tc>
        <w:tc>
          <w:tcPr>
            <w:tcW w:w="858" w:type="dxa"/>
          </w:tcPr>
          <w:p>
            <w:pPr>
              <w:pStyle w:val="IsiTabel"/>
              <w:suppressAutoHyphens/>
              <w:jc w:val="right"/>
            </w:pPr>
            <w:r>
              <w:t xml:space="preserve">514</w:t>
            </w:r>
          </w:p>
        </w:tc>
        <w:tc>
          <w:tcPr>
            <w:tcW w:w="595" w:type="dxa"/>
          </w:tcPr>
          <w:p>
            <w:pPr>
              <w:pStyle w:val="IsiTabel"/>
              <w:suppressAutoHyphens/>
              <w:jc w:val="right"/>
            </w:pPr>
            <w:r>
              <w:t xml:space="preserve">147,9</w:t>
            </w:r>
          </w:p>
        </w:tc>
        <w:tc>
          <w:tcPr>
            <w:tcW w:w="667" w:type="dxa"/>
          </w:tcPr>
          <w:p>
            <w:pPr>
              <w:pStyle w:val="IsiTabel"/>
              <w:suppressAutoHyphens/>
              <w:jc w:val="right"/>
            </w:pPr>
            <w:r>
              <w:t xml:space="preserve">18,0</w:t>
            </w:r>
          </w:p>
        </w:tc>
        <w:tc>
          <w:tcPr>
            <w:tcW w:w="810" w:type="dxa"/>
          </w:tcPr>
          <w:p>
            <w:pPr>
              <w:pStyle w:val="IsiTabel"/>
              <w:suppressAutoHyphens/>
              <w:jc w:val="right"/>
            </w:pPr>
            <w:r>
              <w:t xml:space="preserve">13,7</w:t>
            </w:r>
          </w:p>
        </w:tc>
        <w:tc>
          <w:tcPr>
            <w:tcW w:w="1044" w:type="dxa"/>
          </w:tcPr>
          <w:p>
            <w:pPr>
              <w:pStyle w:val="IsiTabel"/>
              <w:suppressAutoHyphens/>
              <w:jc w:val="right"/>
            </w:pPr>
            <w:r>
              <w:t xml:space="preserve">12,5</w:t>
            </w:r>
          </w:p>
        </w:tc>
        <w:tc>
          <w:tcPr>
            <w:tcW w:w="807" w:type="dxa"/>
          </w:tcPr>
          <w:p>
            <w:pPr>
              <w:pStyle w:val="IsiTabel"/>
              <w:suppressAutoHyphens/>
              <w:jc w:val="right"/>
            </w:pPr>
            <w:r>
              <w:t xml:space="preserve">16,3</w:t>
            </w:r>
          </w:p>
        </w:tc>
        <w:tc>
          <w:tcPr>
            <w:tcW w:w="670" w:type="dxa"/>
          </w:tcPr>
          <w:p>
            <w:pPr>
              <w:pStyle w:val="IsiTabel"/>
              <w:suppressAutoHyphens/>
              <w:jc w:val="right"/>
            </w:pPr>
            <w:r>
              <w:t xml:space="preserve">11,7</w:t>
            </w:r>
          </w:p>
        </w:tc>
        <w:tc>
          <w:tcPr>
            <w:tcW w:w="636" w:type="dxa"/>
          </w:tcPr>
          <w:p>
            <w:pPr>
              <w:pStyle w:val="IsiTabel"/>
              <w:suppressAutoHyphens/>
              <w:jc w:val="right"/>
            </w:pPr>
            <w:r>
              <w:t xml:space="preserve">7,3</w:t>
            </w:r>
          </w:p>
        </w:tc>
        <w:tc>
          <w:tcPr>
            <w:tcW w:w="797" w:type="dxa"/>
          </w:tcPr>
          <w:p>
            <w:pPr>
              <w:pStyle w:val="IsiTabel"/>
              <w:suppressAutoHyphens/>
              <w:jc w:val="right"/>
            </w:pPr>
            <w:r>
              <w:t xml:space="preserve">14,4</w:t>
            </w:r>
          </w:p>
        </w:tc>
        <w:tc>
          <w:tcPr>
            <w:tcW w:w="901" w:type="dxa"/>
          </w:tcPr>
          <w:p>
            <w:pPr>
              <w:pStyle w:val="IsiTabel"/>
              <w:suppressAutoHyphens/>
              <w:jc w:val="right"/>
            </w:pPr>
            <w:r>
              <w:t xml:space="preserve">12,3</w:t>
            </w:r>
          </w:p>
        </w:tc>
        <w:tc>
          <w:tcPr>
            <w:tcW w:w="739" w:type="dxa"/>
          </w:tcPr>
          <w:p>
            <w:pPr>
              <w:pStyle w:val="IsiTabel"/>
              <w:suppressAutoHyphens/>
              <w:jc w:val="right"/>
            </w:pPr>
            <w:r>
              <w:t xml:space="preserve">11,5</w:t>
            </w:r>
          </w:p>
        </w:tc>
      </w:tr>
    </w:tbl>
    <w:p>
      <w:pPr>
        <w:pStyle w:val="Sumber"/>
        <w:spacing w:after="40"/>
      </w:pPr>
      <w:r>
        <w:rPr>
          <w:b/>
          <w:bCs/>
          <w:color w:val="6B7280"/>
          <w:sz w:val="17"/>
          <w:szCs w:val="17"/>
        </w:rPr>
        <w:t xml:space="preserve">Sumber: </w:t>
      </w:r>
      <w:r>
        <w:rPr>
          <w:color w:val="6B7280"/>
          <w:sz w:val="17"/>
          <w:szCs w:val="17"/>
        </w:rPr>
        <w:t xml:space="preserve">InaRISK BNPB, IRBI 2025;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Rerata sederhana kab/kota yang bernilai; pengelompokan pulau menurut kode provinsi pilihan penyusun, tidak diterbitkan BNPB. Total bukan jumlah kolom bahaya. Sel "–" berarti tidak ada kab/kota bernilai untuk bahaya itu.</w:t>
      </w:r>
    </w:p>
    <w:p>
      <w:pPr>
        <w:pStyle w:val="IsiTemuan"/>
      </w:pPr>
      <w:r>
        <w:rPr>
          <w:b/>
          <w:bCs/>
          <w:color w:val="051C2C"/>
        </w:rPr>
        <w:t xml:space="preserve">DIBI mencatat </w:t>
      </w:r>
      <w:r>
        <w:rPr>
          <w:b/>
          <w:bCs/>
          <w:color w:val="051C2C"/>
        </w:rPr>
        <w:t xml:space="preserve">47,2%</w:t>
      </w:r>
      <w:r>
        <w:rPr>
          <w:b/>
          <w:bCs/>
          <w:color w:val="051C2C"/>
        </w:rPr>
        <w:t xml:space="preserve"> kejadian bencana 2015–2025 di Jawa, sedikit di bawah porsi penduduk Jawa sebesar </w:t>
      </w:r>
      <w:r>
        <w:rPr>
          <w:b/>
          <w:bCs/>
          <w:color w:val="051C2C"/>
        </w:rPr>
        <w:t xml:space="preserve">56,1%</w:t>
      </w:r>
      <w:r>
        <w:rPr>
          <w:b/>
          <w:bCs/>
          <w:color w:val="051C2C"/>
        </w:rPr>
        <w:t xml:space="preserve">.</w:t>
      </w:r>
      <w:r>
        <w:t xml:space="preserve"> Per penduduk, kejadian di Jawa dalam sebelas tahun itu </w:t>
      </w:r>
      <w:r>
        <w:t xml:space="preserve">12,3 kejadian per 100.000 penduduk</w:t>
      </w:r>
      <w:r>
        <w:t xml:space="preserve">, di bawah angka nasional </w:t>
      </w:r>
      <w:r>
        <w:t xml:space="preserve">14,7</w:t>
      </w:r>
      <w:r>
        <w:t xml:space="preserve">, dan meninggal dan hilang </w:t>
      </w:r>
      <w:r>
        <w:t xml:space="preserve">1,86 jiwa per 100.000 penduduk</w:t>
      </w:r>
      <w:r>
        <w:t xml:space="preserve">, di bawah angka nasional </w:t>
      </w:r>
      <w:r>
        <w:t xml:space="preserve">4,70</w:t>
      </w:r>
      <w:r>
        <w:t xml:space="preserve"> </w:t>
      </w:r>
      <w:r>
        <w:t xml:space="preserve">(BNPB, t.t.-a; WorldPop, 2025)</w:t>
      </w:r>
      <w:r>
        <w:t xml:space="preserve">. Jawa memuat </w:t>
      </w:r>
      <w:r>
        <w:t xml:space="preserve">22,2%</w:t>
      </w:r>
      <w:r>
        <w:t xml:space="preserve"> meninggal dan hilang, sedangkan Sulawesi memuat </w:t>
      </w:r>
      <w:r>
        <w:t xml:space="preserve">41,3%</w:t>
      </w:r>
      <w:r>
        <w:t xml:space="preserve"> dengan </w:t>
      </w:r>
      <w:r>
        <w:t xml:space="preserve">7,4%</w:t>
      </w:r>
      <w:r>
        <w:t xml:space="preserve"> penduduk, atau </w:t>
      </w:r>
      <w:r>
        <w:t xml:space="preserve">26,39 jiwa per 100.000 penduduk</w:t>
      </w:r>
      <w:r>
        <w:t xml:space="preserve">, hampir seluruhnya dari Sulawesi Tengah 2018. Papua memuat </w:t>
      </w:r>
      <w:r>
        <w:t xml:space="preserve">0,8%</w:t>
      </w:r>
      <w:r>
        <w:t xml:space="preserve"> kejadian tercatat. Porsi Jawa dari penduduk terpapar banjir menurut KRB, </w:t>
      </w:r>
      <w:r>
        <w:t xml:space="preserve">55,5%</w:t>
      </w:r>
      <w:r>
        <w:t xml:space="preserve">, juga praktis sama dengan porsi penduduknya </w:t>
      </w:r>
      <w:r>
        <w:t xml:space="preserve">(BNPB, 2026j)</w:t>
      </w:r>
      <w:r>
        <w:t xml:space="preserve">. Angka per penduduk memakai penyebut WorldPop satu tahun untuk jumlah sebelas tahun dan berlabel asumsi kebijakan. IRBI, DIBI, dan KRB dengan demikian menunjuk wilayah yang berbeda, dan pernyataan bahwa risiko terkonsentrasi di luar Jawa hanya benar untuk ukuran IRBI, sehingga profil risiko disajikan berdampingan dengan ukurannya masing-masing.</w:t>
      </w:r>
    </w:p>
    <w:p>
      <w:pPr>
        <w:pStyle w:val="Heading2"/>
      </w:pPr>
      <w:bookmarkStart w:id="218" w:name="_Toc00087"/>
      <w:bookmarkStart w:id="217" w:name="_Ref0193"/>
      <w:r>
        <w:t xml:space="preserve">5.4</w:t>
      </w:r>
      <w:bookmarkEnd w:id="217"/>
      <w:r>
        <w:tab/>
      </w:r>
      <w:r>
        <w:t xml:space="preserve">Sebaran per Provinsi dan Provinsi Utama</w:t>
      </w:r>
      <w:bookmarkEnd w:id="218"/>
    </w:p>
    <w:p>
      <w:pPr>
        <w:pStyle w:val="IsiTemuan"/>
      </w:pPr>
      <w:r>
        <w:rPr>
          <w:b/>
          <w:bCs/>
          <w:color w:val="051C2C"/>
        </w:rPr>
        <w:t xml:space="preserve">Kelas provinsi resmi terakhir adalah IRBI 2023, dengan </w:t>
      </w:r>
      <w:r>
        <w:rPr>
          <w:b/>
          <w:bCs/>
          <w:color w:val="051C2C"/>
        </w:rPr>
        <w:t xml:space="preserve">13</w:t>
      </w:r>
      <w:r>
        <w:rPr>
          <w:b/>
          <w:bCs/>
          <w:color w:val="051C2C"/>
        </w:rPr>
        <w:t xml:space="preserve"> dari </w:t>
      </w:r>
      <w:r>
        <w:rPr>
          <w:b/>
          <w:bCs/>
          <w:color w:val="051C2C"/>
        </w:rPr>
        <w:t xml:space="preserve">38</w:t>
      </w:r>
      <w:r>
        <w:rPr>
          <w:b/>
          <w:bCs/>
          <w:color w:val="051C2C"/>
        </w:rPr>
        <w:t xml:space="preserve"> provinsi berkelas Tinggi; indeks tertinggi di Sulawesi Barat (</w:t>
      </w:r>
      <w:r>
        <w:rPr>
          <w:b/>
          <w:bCs/>
          <w:color w:val="051C2C"/>
        </w:rPr>
        <w:t xml:space="preserve">160,08</w:t>
      </w:r>
      <w:r>
        <w:rPr>
          <w:b/>
          <w:bCs/>
          <w:color w:val="051C2C"/>
        </w:rPr>
        <w:t xml:space="preserve">) dan Maluku (</w:t>
      </w:r>
      <w:r>
        <w:rPr>
          <w:b/>
          <w:bCs/>
          <w:color w:val="051C2C"/>
        </w:rPr>
        <w:t xml:space="preserve">160,03</w:t>
      </w:r>
      <w:r>
        <w:rPr>
          <w:b/>
          <w:bCs/>
          <w:color w:val="051C2C"/>
        </w:rPr>
        <w:t xml:space="preserve">).</w:t>
      </w:r>
      <w:r>
        <w:t xml:space="preserve"> Kepulauan Bangka Belitung menyusul dengan </w:t>
      </w:r>
      <w:r>
        <w:t xml:space="preserve">155,61</w:t>
      </w:r>
      <w:r>
        <w:t xml:space="preserve">, dan indeks terendah tercatat di DKI Jakarta, </w:t>
      </w:r>
      <w:r>
        <w:t xml:space="preserve">61,31</w:t>
      </w:r>
      <w:r>
        <w:t xml:space="preserve"> </w:t>
      </w:r>
      <w:r>
        <w:t xml:space="preserve">(BNPB, 2025c, hlm. 19, 2025e, hlm. 6–8)</w:t>
      </w:r>
      <w:r>
        <w:t xml:space="preserve">. Dua dokumen resmi berbeda tentang tiga provinsi terendah. Renas PB menyebut DKI Jakarta, Papua Pegunungan, dan DI Yogyakarta, sedangkan Renstra Tabel 1.1 dan data InaRISK menempatkan Kepulauan Riau (</w:t>
      </w:r>
      <w:r>
        <w:t xml:space="preserve">107,79</w:t>
      </w:r>
      <w:r>
        <w:t xml:space="preserve">) di bawah DI Yogyakarta (</w:t>
      </w:r>
      <w:r>
        <w:t xml:space="preserve">108,15</w:t>
      </w:r>
      <w:r>
        <w:t xml:space="preserve">) </w:t>
      </w:r>
      <w:r>
        <w:t xml:space="preserve">(BNPB, t.t.-b)</w:t>
      </w:r>
      <w:r>
        <w:t xml:space="preserve">. Indeks provinsi 2025 belum punya metode resmi, sehingga kelas provinsi 2025 yang diturunkan dari rerata kab/kota tidak dikutip sebagai kelas (</w:t>
      </w:r>
      <w:r>
        <w:fldChar w:fldCharType="begin"/>
      </w:r>
      <w:r>
        <w:instrText xml:space="preserve"> REF _Ref0052 \h \* CHARFORMAT </w:instrText>
      </w:r>
      <w:r>
        <w:fldChar w:fldCharType="separate"/>
      </w:r>
      <w:r>
        <w:t xml:space="preserve">Gambar 5.6</w:t>
      </w:r>
      <w:r>
        <w:fldChar w:fldCharType="end"/>
      </w:r>
      <w:r>
        <w:t xml:space="preserve">).</w:t>
      </w:r>
    </w:p>
    <w:p>
      <w:pPr>
        <w:pStyle w:val="Caption"/>
      </w:pPr>
      <w:bookmarkStart w:id="220" w:name="_Toc00088"/>
      <w:bookmarkStart w:id="219" w:name="_Ref005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219"/>
      <w:r>
        <w:rPr>
          <w:b/>
          <w:bCs/>
          <w:color w:val="051C2C"/>
        </w:rPr>
        <w:t xml:space="preserve"> </w:t>
      </w:r>
      <w:r>
        <w:t xml:space="preserve">Kelas Indeks Risiko Bencana Indonesia per provinsi, 2023</w:t>
      </w:r>
      <w:bookmarkEnd w:id="220"/>
    </w:p>
    <w:p xmlns:a="http://schemas.openxmlformats.org/drawingml/2006/main" xmlns:pic="http://schemas.openxmlformats.org/drawingml/2006/picture">
      <w:pPr>
        <w:keepNext/>
        <w:spacing w:after="0" w:line="240" w:lineRule="auto"/>
        <w:jc w:val="center"/>
      </w:pPr>
      <w:bookmarkStart w:id="221" w:name="_Obj0020"/>
      <w:r>
        <w:drawing>
          <wp:inline distT="0" distB="0" distL="0" distR="0">
            <wp:extent cx="5940000" cy="2799415"/>
            <wp:effectExtent l="0" t="0" r="0" b="0"/>
            <wp:docPr id="37" name="Gambar 37"/>
            <wp:cNvGraphicFramePr>
              <a:graphicFrameLocks noChangeAspect="1"/>
            </wp:cNvGraphicFramePr>
            <a:graphic>
              <a:graphicData uri="http://schemas.openxmlformats.org/drawingml/2006/picture">
                <pic:pic>
                  <pic:nvPicPr>
                    <pic:cNvPr id="37" name="bab05-peta-kelas-provinsi-2023.png"/>
                    <pic:cNvPicPr/>
                  </pic:nvPicPr>
                  <pic:blipFill>
                    <a:blip r:embed="rId37"/>
                    <a:stretch>
                      <a:fillRect/>
                    </a:stretch>
                  </pic:blipFill>
                  <pic:spPr>
                    <a:xfrm>
                      <a:off x="0" y="0"/>
                      <a:ext cx="5940000" cy="2799415"/>
                    </a:xfrm>
                    <a:prstGeom prst="rect">
                      <a:avLst/>
                    </a:prstGeom>
                  </pic:spPr>
                </pic:pic>
              </a:graphicData>
            </a:graphic>
          </wp:inline>
        </w:drawing>
      </w:r>
      <w:bookmarkEnd w:id="221"/>
    </w:p>
    <w:p>
      <w:pPr>
        <w:pStyle w:val="Sumber"/>
        <w:spacing w:after="40"/>
      </w:pPr>
      <w:r>
        <w:rPr>
          <w:b/>
          <w:bCs/>
          <w:color w:val="6B7280"/>
          <w:sz w:val="17"/>
          <w:szCs w:val="17"/>
        </w:rPr>
        <w:t xml:space="preserve">Sumber: </w:t>
      </w:r>
      <w:r>
        <w:rPr>
          <w:color w:val="6B7280"/>
          <w:sz w:val="17"/>
          <w:szCs w:val="17"/>
        </w:rPr>
        <w:t xml:space="preserve">InaRISK BNPB, IRBI 2023; Renas PB 2025–2029 hlm. 19; Renstra BNPB 2025–2029 Tabel 1.1</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Lima sel indeks berbeda antara data InaRISK dan Renstra tetapi kelasnya sama di kedua versi. Renas PB dan Renstra berbeda tentang provinsi terendah ketiga.</w:t>
      </w:r>
    </w:p>
    <w:p>
      <w:pPr>
        <w:pStyle w:val="IsiTemuan"/>
      </w:pPr>
      <w:r>
        <w:rPr>
          <w:b/>
          <w:bCs/>
          <w:color w:val="051C2C"/>
        </w:rPr>
        <w:t xml:space="preserve">Pada IRBI 2025, Nusa Tenggara Timur memuat kab/kota berstatus Tinggi terbanyak, </w:t>
      </w:r>
      <w:r>
        <w:rPr>
          <w:b/>
          <w:bCs/>
          <w:color w:val="051C2C"/>
        </w:rPr>
        <w:t xml:space="preserve">19</w:t>
      </w:r>
      <w:r>
        <w:rPr>
          <w:b/>
          <w:bCs/>
          <w:color w:val="051C2C"/>
        </w:rPr>
        <w:t xml:space="preserve"> dari </w:t>
      </w:r>
      <w:r>
        <w:rPr>
          <w:b/>
          <w:bCs/>
          <w:color w:val="051C2C"/>
        </w:rPr>
        <w:t xml:space="preserve">22</w:t>
      </w:r>
      <w:r>
        <w:rPr>
          <w:b/>
          <w:bCs/>
          <w:color w:val="051C2C"/>
        </w:rPr>
        <w:t xml:space="preserve">, disusul Sumatera Utara, Aceh, Sulawesi Tenggara, dan Maluku.</w:t>
      </w:r>
      <w:r>
        <w:t xml:space="preserve"> Papua Barat dan Papua Barat Daya berstatus Tinggi di seluruh kab/kotanya </w:t>
      </w:r>
      <w:r>
        <w:t xml:space="preserve">(BNPB, t.t.-b)</w:t>
      </w:r>
      <w:r>
        <w:t xml:space="preserve">. Dua belas provinsi tidak punya satu pun kab/kota Tinggi, yaitu lima provinsi di Jawa selain Jawa Barat, ditambah Bali, Kepulauan Bangka Belitung, Kepulauan Riau, dan empat provinsi Kalimantan selain Kalimantan Timur. Hitungan ini memakai status resmi per kab/kota yang dikelompokkan menurut kode provinsi.</w:t>
      </w:r>
    </w:p>
    <w:p>
      <w:pPr>
        <w:pStyle w:val="IsiTemuan"/>
      </w:pPr>
      <w:r>
        <w:rPr>
          <w:b/>
          <w:bCs/>
          <w:color w:val="051C2C"/>
        </w:rPr>
        <w:t xml:space="preserve">Menurut korban, Sulawesi Tengah memuat </w:t>
      </w:r>
      <w:r>
        <w:rPr>
          <w:b/>
          <w:bCs/>
          <w:color w:val="051C2C"/>
        </w:rPr>
        <w:t xml:space="preserve">4.925 jiwa</w:t>
      </w:r>
      <w:r>
        <w:rPr>
          <w:b/>
          <w:bCs/>
          <w:color w:val="051C2C"/>
        </w:rPr>
        <w:t xml:space="preserve"> meninggal dan hilang 2015–2025, hampir empat kali Jawa Barat di urutan kedua dengan </w:t>
      </w:r>
      <w:r>
        <w:rPr>
          <w:b/>
          <w:bCs/>
          <w:color w:val="051C2C"/>
        </w:rPr>
        <w:t xml:space="preserve">1.260</w:t>
      </w:r>
      <w:r>
        <w:rPr>
          <w:b/>
          <w:bCs/>
          <w:color w:val="051C2C"/>
        </w:rPr>
        <w:t xml:space="preserve"> jiwa.</w:t>
      </w:r>
      <w:r>
        <w:t xml:space="preserve"> </w:t>
      </w:r>
      <w:r>
        <w:fldChar w:fldCharType="begin"/>
      </w:r>
      <w:r>
        <w:instrText xml:space="preserve"> REF _Ref0316 \h \* CHARFORMAT </w:instrText>
      </w:r>
      <w:r>
        <w:fldChar w:fldCharType="separate"/>
      </w:r>
      <w:r>
        <w:t xml:space="preserve">Tabel 5.2</w:t>
      </w:r>
      <w:r>
        <w:fldChar w:fldCharType="end"/>
      </w:r>
      <w:r>
        <w:t xml:space="preserve"> menyandingkan dua kriteria provinsi utama, yaitu jumlah kab/kota daftar perhatian dan meninggal dan hilang 2015–2025, tanpa menggabungkannya menjadi satu skor </w:t>
      </w:r>
      <w:r>
        <w:t xml:space="preserve">(BNPB, t.t.-b, t.t.-a)</w:t>
      </w:r>
      <w:r>
        <w:t xml:space="preserve">. Jawa Barat dan Sumatera Utara masuk lima besar menurut kedua kriteria. Jawa Tengah dan Jawa Timur kembar dengan </w:t>
      </w:r>
      <w:r>
        <w:t xml:space="preserve">33</w:t>
      </w:r>
      <w:r>
        <w:t xml:space="preserve"> kab/kota daftar perhatian, dan Aceh kembar dengan Sulawesi Selatan (</w:t>
      </w:r>
      <w:r>
        <w:t xml:space="preserve">22</w:t>
      </w:r>
      <w:r>
        <w:t xml:space="preserve">) di batas lima besar. Sulawesi Tengah berada di urutan keempat belas menurut daftar perhatian, dan Jawa Tengah di urutan ketujuh menurut korban. Angka korban pada tabel dijumlah dari tingkat kab/kota untuk bencana alam dan semua laporan; rekap provinsi DIBI dengan cakupan kejadian bencana memberi angka sedikit lebih besar, misalnya Jawa Barat </w:t>
      </w:r>
      <w:r>
        <w:t xml:space="preserve">1.271</w:t>
      </w:r>
      <w:r>
        <w:t xml:space="preserve"> dan Aceh </w:t>
      </w:r>
      <w:r>
        <w:t xml:space="preserve">823</w:t>
      </w:r>
      <w:r>
        <w:t xml:space="preserve"> jiwa.</w:t>
      </w:r>
    </w:p>
    <w:p>
      <w:pPr>
        <w:pStyle w:val="Caption"/>
      </w:pPr>
      <w:bookmarkStart w:id="223" w:name="_Toc00089"/>
      <w:bookmarkStart w:id="222" w:name="_Ref031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22"/>
      <w:r>
        <w:rPr>
          <w:b/>
          <w:bCs/>
          <w:color w:val="051C2C"/>
        </w:rPr>
        <w:t xml:space="preserve"> </w:t>
      </w:r>
      <w:r>
        <w:t xml:space="preserve">Provinsi utama menurut jumlah kab/kota daftar perhatian dan meninggal dan hilang, Indonesia, 2015–2025</w:t>
      </w:r>
      <w:bookmarkEnd w:id="22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27"/>
        <w:gridCol w:w="1573"/>
        <w:gridCol w:w="1627"/>
        <w:gridCol w:w="4227"/>
      </w:tblGrid>
      <w:tr>
        <w:trPr>
          <w:cantSplit/>
          <w:tblHeader/>
        </w:trPr>
        <w:tc>
          <w:tcPr>
            <w:tcW w:w="1927" w:type="dxa"/>
            <w:shd w:val="clear" w:color="auto" w:fill="051C2C"/>
            <w:vAlign w:val="center"/>
          </w:tcPr>
          <w:p>
            <w:pPr>
              <w:pStyle w:val="KepalaTabel"/>
              <w:suppressAutoHyphens/>
            </w:pPr>
            <w:r>
              <w:t xml:space="preserve">PROVINSI</w:t>
            </w:r>
          </w:p>
        </w:tc>
        <w:tc>
          <w:tcPr>
            <w:tcW w:w="1573" w:type="dxa"/>
            <w:shd w:val="clear" w:color="auto" w:fill="051C2C"/>
            <w:vAlign w:val="center"/>
          </w:tcPr>
          <w:p>
            <w:pPr>
              <w:pStyle w:val="KepalaTabel"/>
              <w:suppressAutoHyphens/>
            </w:pPr>
            <w:r>
              <w:t xml:space="preserve">KAB/KOTA DAFTAR PERHATIAN</w:t>
            </w:r>
          </w:p>
        </w:tc>
        <w:tc>
          <w:tcPr>
            <w:tcW w:w="1627" w:type="dxa"/>
            <w:shd w:val="clear" w:color="auto" w:fill="051C2C"/>
            <w:vAlign w:val="center"/>
          </w:tcPr>
          <w:p>
            <w:pPr>
              <w:pStyle w:val="KepalaTabel"/>
              <w:suppressAutoHyphens/>
            </w:pPr>
            <w:r>
              <w:t xml:space="preserve">MENINGGAL DAN HILANG 2015–2025 (jiwa)</w:t>
            </w:r>
          </w:p>
        </w:tc>
        <w:tc>
          <w:tcPr>
            <w:tcW w:w="4227" w:type="dxa"/>
            <w:shd w:val="clear" w:color="auto" w:fill="051C2C"/>
            <w:vAlign w:val="center"/>
          </w:tcPr>
          <w:p>
            <w:pPr>
              <w:pStyle w:val="KepalaTabel"/>
              <w:suppressAutoHyphens/>
            </w:pPr>
            <w:r>
              <w:t xml:space="preserve">KEYAKINAN</w:t>
            </w:r>
          </w:p>
        </w:tc>
      </w:tr>
      <w:tr>
        <w:trPr>
          <w:cantSplit/>
        </w:trPr>
        <w:tc>
          <w:tcPr>
            <w:tcW w:w="1927" w:type="dxa"/>
          </w:tcPr>
          <w:p>
            <w:pPr>
              <w:pStyle w:val="IsiTabel"/>
              <w:suppressAutoHyphens/>
              <w:jc w:val="left"/>
            </w:pPr>
            <w:r>
              <w:t xml:space="preserve">Aceh</w:t>
            </w:r>
          </w:p>
        </w:tc>
        <w:tc>
          <w:tcPr>
            <w:tcW w:w="1573" w:type="dxa"/>
          </w:tcPr>
          <w:p>
            <w:pPr>
              <w:pStyle w:val="IsiTabel"/>
              <w:suppressAutoHyphens/>
              <w:jc w:val="right"/>
            </w:pPr>
            <w:r>
              <w:t xml:space="preserve">22</w:t>
            </w:r>
          </w:p>
        </w:tc>
        <w:tc>
          <w:tcPr>
            <w:tcW w:w="1627" w:type="dxa"/>
          </w:tcPr>
          <w:p>
            <w:pPr>
              <w:pStyle w:val="IsiTabel"/>
              <w:suppressAutoHyphens/>
              <w:jc w:val="right"/>
            </w:pPr>
            <w:r>
              <w:t xml:space="preserve">794</w:t>
            </w:r>
          </w:p>
        </w:tc>
        <w:tc>
          <w:tcPr>
            <w:tcW w:w="4227" w:type="dxa"/>
          </w:tcPr>
          <w:p>
            <w:pPr>
              <w:pStyle w:val="IsiTabel"/>
              <w:suppressAutoHyphens/>
              <w:jc w:val="left"/>
            </w:pPr>
            <w:r>
              <w:t xml:space="preserve">asumsi-kebijakan (daftar); resmi (korban)</w:t>
            </w:r>
          </w:p>
        </w:tc>
      </w:tr>
      <w:tr>
        <w:trPr>
          <w:cantSplit/>
        </w:trPr>
        <w:tc>
          <w:tcPr>
            <w:tcW w:w="1927" w:type="dxa"/>
          </w:tcPr>
          <w:p>
            <w:pPr>
              <w:pStyle w:val="IsiTabel"/>
              <w:suppressAutoHyphens/>
              <w:jc w:val="left"/>
            </w:pPr>
            <w:r>
              <w:t xml:space="preserve">Sumatera Utara</w:t>
            </w:r>
          </w:p>
        </w:tc>
        <w:tc>
          <w:tcPr>
            <w:tcW w:w="1573" w:type="dxa"/>
          </w:tcPr>
          <w:p>
            <w:pPr>
              <w:pStyle w:val="IsiTabel"/>
              <w:suppressAutoHyphens/>
              <w:jc w:val="right"/>
            </w:pPr>
            <w:r>
              <w:t xml:space="preserve">32</w:t>
            </w:r>
          </w:p>
        </w:tc>
        <w:tc>
          <w:tcPr>
            <w:tcW w:w="1627" w:type="dxa"/>
          </w:tcPr>
          <w:p>
            <w:pPr>
              <w:pStyle w:val="IsiTabel"/>
              <w:suppressAutoHyphens/>
              <w:jc w:val="right"/>
            </w:pPr>
            <w:r>
              <w:t xml:space="preserve">739</w:t>
            </w:r>
          </w:p>
        </w:tc>
        <w:tc>
          <w:tcPr>
            <w:tcW w:w="4227" w:type="dxa"/>
          </w:tcPr>
          <w:p>
            <w:pPr>
              <w:pStyle w:val="IsiTabel"/>
              <w:suppressAutoHyphens/>
              <w:jc w:val="left"/>
            </w:pPr>
            <w:r>
              <w:t xml:space="preserve">asumsi-kebijakan (daftar); resmi (korban)</w:t>
            </w:r>
          </w:p>
        </w:tc>
      </w:tr>
      <w:tr>
        <w:trPr>
          <w:cantSplit/>
        </w:trPr>
        <w:tc>
          <w:tcPr>
            <w:tcW w:w="1927" w:type="dxa"/>
          </w:tcPr>
          <w:p>
            <w:pPr>
              <w:pStyle w:val="IsiTabel"/>
              <w:suppressAutoHyphens/>
              <w:jc w:val="left"/>
            </w:pPr>
            <w:r>
              <w:t xml:space="preserve">Sumatera Barat</w:t>
            </w:r>
          </w:p>
        </w:tc>
        <w:tc>
          <w:tcPr>
            <w:tcW w:w="1573" w:type="dxa"/>
          </w:tcPr>
          <w:p>
            <w:pPr>
              <w:pStyle w:val="IsiTabel"/>
              <w:suppressAutoHyphens/>
              <w:jc w:val="right"/>
            </w:pPr>
            <w:r>
              <w:t xml:space="preserve">19</w:t>
            </w:r>
          </w:p>
        </w:tc>
        <w:tc>
          <w:tcPr>
            <w:tcW w:w="1627" w:type="dxa"/>
          </w:tcPr>
          <w:p>
            <w:pPr>
              <w:pStyle w:val="IsiTabel"/>
              <w:suppressAutoHyphens/>
              <w:jc w:val="right"/>
            </w:pPr>
            <w:r>
              <w:t xml:space="preserve">690</w:t>
            </w:r>
          </w:p>
        </w:tc>
        <w:tc>
          <w:tcPr>
            <w:tcW w:w="4227" w:type="dxa"/>
          </w:tcPr>
          <w:p>
            <w:pPr>
              <w:pStyle w:val="IsiTabel"/>
              <w:suppressAutoHyphens/>
              <w:jc w:val="left"/>
            </w:pPr>
            <w:r>
              <w:t xml:space="preserve">asumsi-kebijakan (daftar); resmi (korban)</w:t>
            </w:r>
          </w:p>
        </w:tc>
      </w:tr>
      <w:tr>
        <w:trPr>
          <w:cantSplit/>
        </w:trPr>
        <w:tc>
          <w:tcPr>
            <w:tcW w:w="1927" w:type="dxa"/>
          </w:tcPr>
          <w:p>
            <w:pPr>
              <w:pStyle w:val="IsiTabel"/>
              <w:suppressAutoHyphens/>
              <w:jc w:val="left"/>
            </w:pPr>
            <w:r>
              <w:t xml:space="preserve">Jawa Barat</w:t>
            </w:r>
          </w:p>
        </w:tc>
        <w:tc>
          <w:tcPr>
            <w:tcW w:w="1573" w:type="dxa"/>
          </w:tcPr>
          <w:p>
            <w:pPr>
              <w:pStyle w:val="IsiTabel"/>
              <w:suppressAutoHyphens/>
              <w:jc w:val="right"/>
            </w:pPr>
            <w:r>
              <w:t xml:space="preserve">26</w:t>
            </w:r>
          </w:p>
        </w:tc>
        <w:tc>
          <w:tcPr>
            <w:tcW w:w="1627" w:type="dxa"/>
          </w:tcPr>
          <w:p>
            <w:pPr>
              <w:pStyle w:val="IsiTabel"/>
              <w:suppressAutoHyphens/>
              <w:jc w:val="right"/>
            </w:pPr>
            <w:r>
              <w:t xml:space="preserve">1.260</w:t>
            </w:r>
          </w:p>
        </w:tc>
        <w:tc>
          <w:tcPr>
            <w:tcW w:w="4227" w:type="dxa"/>
          </w:tcPr>
          <w:p>
            <w:pPr>
              <w:pStyle w:val="IsiTabel"/>
              <w:suppressAutoHyphens/>
              <w:jc w:val="left"/>
            </w:pPr>
            <w:r>
              <w:t xml:space="preserve">asumsi-kebijakan (daftar); resmi (korban)</w:t>
            </w:r>
          </w:p>
        </w:tc>
      </w:tr>
      <w:tr>
        <w:trPr>
          <w:cantSplit/>
        </w:trPr>
        <w:tc>
          <w:tcPr>
            <w:tcW w:w="1927" w:type="dxa"/>
          </w:tcPr>
          <w:p>
            <w:pPr>
              <w:pStyle w:val="IsiTabel"/>
              <w:keepNext/>
              <w:suppressAutoHyphens/>
              <w:jc w:val="left"/>
            </w:pPr>
            <w:bookmarkStart w:id="224" w:name="_Ekor021a"/>
            <w:bookmarkEnd w:id="224"/>
            <w:r>
              <w:t xml:space="preserve">Jawa Tengah</w:t>
            </w:r>
          </w:p>
        </w:tc>
        <w:tc>
          <w:tcPr>
            <w:tcW w:w="1573" w:type="dxa"/>
          </w:tcPr>
          <w:p>
            <w:pPr>
              <w:pStyle w:val="IsiTabel"/>
              <w:keepNext/>
              <w:suppressAutoHyphens/>
              <w:jc w:val="right"/>
            </w:pPr>
            <w:r>
              <w:t xml:space="preserve">33</w:t>
            </w:r>
          </w:p>
        </w:tc>
        <w:tc>
          <w:tcPr>
            <w:tcW w:w="1627" w:type="dxa"/>
          </w:tcPr>
          <w:p>
            <w:pPr>
              <w:pStyle w:val="IsiTabel"/>
              <w:keepNext/>
              <w:suppressAutoHyphens/>
              <w:jc w:val="right"/>
            </w:pPr>
            <w:r>
              <w:t xml:space="preserve">559</w:t>
            </w:r>
          </w:p>
        </w:tc>
        <w:tc>
          <w:tcPr>
            <w:tcW w:w="4227" w:type="dxa"/>
          </w:tcPr>
          <w:p>
            <w:pPr>
              <w:pStyle w:val="IsiTabel"/>
              <w:keepNext/>
              <w:suppressAutoHyphens/>
              <w:jc w:val="left"/>
            </w:pPr>
            <w:r>
              <w:t xml:space="preserve">asumsi-kebijakan (daftar); resmi (korban)</w:t>
            </w:r>
          </w:p>
        </w:tc>
      </w:tr>
      <w:tr>
        <w:trPr>
          <w:cantSplit/>
        </w:trPr>
        <w:tc>
          <w:tcPr>
            <w:tcW w:w="1927" w:type="dxa"/>
          </w:tcPr>
          <w:p>
            <w:pPr>
              <w:pStyle w:val="IsiTabel"/>
              <w:keepNext/>
              <w:suppressAutoHyphens/>
              <w:jc w:val="left"/>
            </w:pPr>
            <w:r>
              <w:t xml:space="preserve">Jawa Timur</w:t>
            </w:r>
          </w:p>
        </w:tc>
        <w:tc>
          <w:tcPr>
            <w:tcW w:w="1573" w:type="dxa"/>
          </w:tcPr>
          <w:p>
            <w:pPr>
              <w:pStyle w:val="IsiTabel"/>
              <w:keepNext/>
              <w:suppressAutoHyphens/>
              <w:jc w:val="right"/>
            </w:pPr>
            <w:r>
              <w:t xml:space="preserve">33</w:t>
            </w:r>
          </w:p>
        </w:tc>
        <w:tc>
          <w:tcPr>
            <w:tcW w:w="1627" w:type="dxa"/>
          </w:tcPr>
          <w:p>
            <w:pPr>
              <w:pStyle w:val="IsiTabel"/>
              <w:keepNext/>
              <w:suppressAutoHyphens/>
              <w:jc w:val="right"/>
            </w:pPr>
            <w:r>
              <w:t xml:space="preserve">467</w:t>
            </w:r>
          </w:p>
        </w:tc>
        <w:tc>
          <w:tcPr>
            <w:tcW w:w="4227" w:type="dxa"/>
          </w:tcPr>
          <w:p>
            <w:pPr>
              <w:pStyle w:val="IsiTabel"/>
              <w:keepNext/>
              <w:suppressAutoHyphens/>
              <w:jc w:val="left"/>
            </w:pPr>
            <w:r>
              <w:t xml:space="preserve">asumsi-kebijakan (daftar); resmi (korban)</w:t>
            </w:r>
          </w:p>
        </w:tc>
      </w:tr>
      <w:tr>
        <w:trPr>
          <w:cantSplit/>
        </w:trPr>
        <w:tc>
          <w:tcPr>
            <w:tcW w:w="1927" w:type="dxa"/>
          </w:tcPr>
          <w:p>
            <w:pPr>
              <w:pStyle w:val="IsiTabel"/>
              <w:keepNext/>
              <w:suppressAutoHyphens/>
              <w:jc w:val="left"/>
            </w:pPr>
            <w:r>
              <w:t xml:space="preserve">Sulawesi Tengah</w:t>
            </w:r>
          </w:p>
        </w:tc>
        <w:tc>
          <w:tcPr>
            <w:tcW w:w="1573" w:type="dxa"/>
          </w:tcPr>
          <w:p>
            <w:pPr>
              <w:pStyle w:val="IsiTabel"/>
              <w:keepNext/>
              <w:suppressAutoHyphens/>
              <w:jc w:val="right"/>
            </w:pPr>
            <w:r>
              <w:t xml:space="preserve">11</w:t>
            </w:r>
          </w:p>
        </w:tc>
        <w:tc>
          <w:tcPr>
            <w:tcW w:w="1627" w:type="dxa"/>
          </w:tcPr>
          <w:p>
            <w:pPr>
              <w:pStyle w:val="IsiTabel"/>
              <w:keepNext/>
              <w:suppressAutoHyphens/>
              <w:jc w:val="right"/>
            </w:pPr>
            <w:r>
              <w:t xml:space="preserve">4.925</w:t>
            </w:r>
          </w:p>
        </w:tc>
        <w:tc>
          <w:tcPr>
            <w:tcW w:w="4227" w:type="dxa"/>
          </w:tcPr>
          <w:p>
            <w:pPr>
              <w:pStyle w:val="IsiTabel"/>
              <w:keepNext/>
              <w:suppressAutoHyphens/>
              <w:jc w:val="left"/>
            </w:pPr>
            <w:r>
              <w:t xml:space="preserve">asumsi-kebijakan (daftar); resmi (korban)</w:t>
            </w:r>
          </w:p>
        </w:tc>
      </w:tr>
      <w:tr>
        <w:trPr>
          <w:cantSplit/>
        </w:trPr>
        <w:tc>
          <w:tcPr>
            <w:tcW w:w="1927" w:type="dxa"/>
          </w:tcPr>
          <w:p>
            <w:pPr>
              <w:pStyle w:val="IsiTabel"/>
              <w:suppressAutoHyphens/>
              <w:jc w:val="left"/>
            </w:pPr>
            <w:bookmarkStart w:id="225" w:name="_Ekor021z"/>
            <w:bookmarkEnd w:id="225"/>
            <w:r>
              <w:t xml:space="preserve">Sulawesi Selatan</w:t>
            </w:r>
          </w:p>
        </w:tc>
        <w:tc>
          <w:tcPr>
            <w:tcW w:w="1573" w:type="dxa"/>
          </w:tcPr>
          <w:p>
            <w:pPr>
              <w:pStyle w:val="IsiTabel"/>
              <w:suppressAutoHyphens/>
              <w:jc w:val="right"/>
            </w:pPr>
            <w:r>
              <w:t xml:space="preserve">22</w:t>
            </w:r>
          </w:p>
        </w:tc>
        <w:tc>
          <w:tcPr>
            <w:tcW w:w="1627" w:type="dxa"/>
          </w:tcPr>
          <w:p>
            <w:pPr>
              <w:pStyle w:val="IsiTabel"/>
              <w:suppressAutoHyphens/>
              <w:jc w:val="right"/>
            </w:pPr>
            <w:r>
              <w:t xml:space="preserve">301</w:t>
            </w:r>
          </w:p>
        </w:tc>
        <w:tc>
          <w:tcPr>
            <w:tcW w:w="4227" w:type="dxa"/>
          </w:tcPr>
          <w:p>
            <w:pPr>
              <w:pStyle w:val="IsiTabel"/>
              <w:suppressAutoHyphens/>
              <w:jc w:val="left"/>
            </w:pPr>
            <w:r>
              <w:t xml:space="preserve">asumsi-kebijakan (daftar); resmi (korban)</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dan DIBI BNPB 2015–2025</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Delapan provinsi yang masuk lima besar menurut salah satu kriteria, urut kode wilayah. Jawa Tengah dan Jawa Timur kembar, Aceh dan Sulawesi Selatan kembar; tidak ada pemecah seri. Korban dijumlah dari tingkat kab/kota, bencana alam, semua laporan.</w:t>
      </w:r>
    </w:p>
    <w:p>
      <w:pPr>
        <w:pStyle w:val="IsiTemuan"/>
      </w:pPr>
      <w:r>
        <w:rPr>
          <w:b/>
          <w:bCs/>
          <w:color w:val="051C2C"/>
        </w:rPr>
        <w:t xml:space="preserve">Kota Palu sendiri mencatat </w:t>
      </w:r>
      <w:r>
        <w:rPr>
          <w:b/>
          <w:bCs/>
          <w:color w:val="051C2C"/>
        </w:rPr>
        <w:t xml:space="preserve">4.194</w:t>
      </w:r>
      <w:r>
        <w:rPr>
          <w:b/>
          <w:bCs/>
          <w:color w:val="051C2C"/>
        </w:rPr>
        <w:t xml:space="preserve"> meninggal dan hilang 2015–2025, atau </w:t>
      </w:r>
      <w:r>
        <w:rPr>
          <w:b/>
          <w:bCs/>
          <w:color w:val="051C2C"/>
        </w:rPr>
        <w:t xml:space="preserve">32,1%</w:t>
      </w:r>
      <w:r>
        <w:rPr>
          <w:b/>
          <w:bCs/>
          <w:color w:val="051C2C"/>
        </w:rPr>
        <w:t xml:space="preserve"> dari </w:t>
      </w:r>
      <w:r>
        <w:rPr>
          <w:b/>
          <w:bCs/>
          <w:color w:val="051C2C"/>
        </w:rPr>
        <w:t xml:space="preserve">13.063</w:t>
      </w:r>
      <w:r>
        <w:rPr>
          <w:b/>
          <w:bCs/>
          <w:color w:val="051C2C"/>
        </w:rPr>
        <w:t xml:space="preserve"> jiwa di tingkat kab/kota.</w:t>
      </w:r>
      <w:r>
        <w:t xml:space="preserve"> Kelima kab/kota dengan korban terbanyak berstatus Sedang pada IRBI 2025, tetapi IRBI 2025 adalah potret yang terbit sesudah kejadiannya (</w:t>
      </w:r>
      <w:r>
        <w:fldChar w:fldCharType="begin"/>
      </w:r>
      <w:r>
        <w:instrText xml:space="preserve"> REF _Ref0283 \h \* CHARFORMAT </w:instrText>
      </w:r>
      <w:r>
        <w:fldChar w:fldCharType="separate"/>
      </w:r>
      <w:r>
        <w:t xml:space="preserve">Tabel 5.3</w:t>
      </w:r>
      <w:r>
        <w:fldChar w:fldCharType="end"/>
      </w:r>
      <w:r>
        <w:t xml:space="preserve">). Status sebelum kejadian lebih tepat untuk menilai IRB sebagai penyaring. Pada seri 2015–2024 dengan ambang turunan di atas </w:t>
      </w:r>
      <w:r>
        <w:t xml:space="preserve">144</w:t>
      </w:r>
      <w:r>
        <w:t xml:space="preserve">, ambang yang menghasilkan tepat jumlah kab/kota Tinggi resmi 2023, </w:t>
      </w:r>
      <w:r>
        <w:t xml:space="preserve">3 dari 5 kab</w:t>
      </w:r>
      <w:r>
        <w:t xml:space="preserve">/kota itu berstatus Tinggi pada tahun kejadiannya </w:t>
      </w:r>
      <w:r>
        <w:t xml:space="preserve">(BNPB, t.t.-b, t.t.-a)</w:t>
      </w:r>
      <w:r>
        <w:t xml:space="preserve">. Kab. Lombok Utara dan Kab. Sigi berstatus Sedang pada 2018, dan Renas PB mencantumkan Kab. Sigi di antara lima kab/kota berindeks terendah 2023 </w:t>
      </w:r>
      <w:r>
        <w:t xml:space="preserve">(BNPB, 2025c, hlm. 19)</w:t>
      </w:r>
      <w:r>
        <w:t xml:space="preserve">. Status IRB menangkap sebagian, tidak seluruh, kejadian paling mematikan, sehingga skenario terburuk tetap memakai lantai kejadian tercatat, bukan status IRB saja. Turunnya Kota Palu, Kab. Cianjur, dan Kab. Pandeglang ke status Sedang pada 2025 dapat berasal dari perubahan skala atau dari komponen kerentanan dan kapasitas, dan data terbuka tidak memisahkan keduanya.</w:t>
      </w:r>
    </w:p>
    <w:p>
      <w:pPr>
        <w:pStyle w:val="Caption"/>
      </w:pPr>
      <w:bookmarkStart w:id="227" w:name="_Toc00090"/>
      <w:bookmarkStart w:id="226" w:name="_Ref028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26"/>
      <w:r>
        <w:rPr>
          <w:b/>
          <w:bCs/>
          <w:color w:val="051C2C"/>
        </w:rPr>
        <w:t xml:space="preserve"> </w:t>
      </w:r>
      <w:r>
        <w:t xml:space="preserve">Lima kab/kota dengan meninggal dan hilang terbanyak dan status IRB pada tahun kejadian dan pada 2025, Indonesia, 2015–2025</w:t>
      </w:r>
      <w:bookmarkEnd w:id="22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69"/>
        <w:gridCol w:w="1499"/>
        <w:gridCol w:w="1331"/>
        <w:gridCol w:w="1499"/>
        <w:gridCol w:w="958"/>
        <w:gridCol w:w="1049"/>
        <w:gridCol w:w="1049"/>
      </w:tblGrid>
      <w:tr>
        <w:trPr>
          <w:cantSplit/>
          <w:tblHeader/>
        </w:trPr>
        <w:tc>
          <w:tcPr>
            <w:tcW w:w="1969" w:type="dxa"/>
            <w:shd w:val="clear" w:color="auto" w:fill="051C2C"/>
            <w:vAlign w:val="center"/>
          </w:tcPr>
          <w:p>
            <w:pPr>
              <w:pStyle w:val="KepalaTabel"/>
              <w:keepNext/>
              <w:suppressAutoHyphens/>
            </w:pPr>
            <w:r>
              <w:t xml:space="preserve">KAB/KOTA</w:t>
            </w:r>
          </w:p>
        </w:tc>
        <w:tc>
          <w:tcPr>
            <w:tcW w:w="1499" w:type="dxa"/>
            <w:shd w:val="clear" w:color="auto" w:fill="051C2C"/>
            <w:vAlign w:val="center"/>
          </w:tcPr>
          <w:p>
            <w:pPr>
              <w:pStyle w:val="KepalaTabel"/>
              <w:keepNext/>
              <w:suppressAutoHyphens/>
            </w:pPr>
            <w:r>
              <w:t xml:space="preserve">MENINGGAL DAN HILANG 2015–2025 (jiwa)</w:t>
            </w:r>
          </w:p>
        </w:tc>
        <w:tc>
          <w:tcPr>
            <w:tcW w:w="1331" w:type="dxa"/>
            <w:shd w:val="clear" w:color="auto" w:fill="051C2C"/>
            <w:vAlign w:val="center"/>
          </w:tcPr>
          <w:p>
            <w:pPr>
              <w:pStyle w:val="KepalaTabel"/>
              <w:keepNext/>
              <w:suppressAutoHyphens/>
            </w:pPr>
            <w:r>
              <w:t xml:space="preserve">TAHUN KORBAN TERBESAR</w:t>
            </w:r>
          </w:p>
        </w:tc>
        <w:tc>
          <w:tcPr>
            <w:tcW w:w="1499" w:type="dxa"/>
            <w:shd w:val="clear" w:color="auto" w:fill="051C2C"/>
            <w:vAlign w:val="center"/>
          </w:tcPr>
          <w:p>
            <w:pPr>
              <w:pStyle w:val="KepalaTabel"/>
              <w:keepNext/>
              <w:suppressAutoHyphens/>
            </w:pPr>
            <w:r>
              <w:t xml:space="preserve">MENINGGAL DAN HILANG TAHUN ITU (jiwa)</w:t>
            </w:r>
          </w:p>
        </w:tc>
        <w:tc>
          <w:tcPr>
            <w:tcW w:w="958" w:type="dxa"/>
            <w:shd w:val="clear" w:color="auto" w:fill="051C2C"/>
            <w:vAlign w:val="center"/>
          </w:tcPr>
          <w:p>
            <w:pPr>
              <w:pStyle w:val="KepalaTabel"/>
              <w:keepNext/>
              <w:suppressAutoHyphens/>
            </w:pPr>
            <w:r>
              <w:t xml:space="preserve">IRB TAHUN ITU</w:t>
            </w:r>
          </w:p>
        </w:tc>
        <w:tc>
          <w:tcPr>
            <w:tcW w:w="1049" w:type="dxa"/>
            <w:shd w:val="clear" w:color="auto" w:fill="051C2C"/>
            <w:vAlign w:val="center"/>
          </w:tcPr>
          <w:p>
            <w:pPr>
              <w:pStyle w:val="KepalaTabel"/>
              <w:keepNext/>
              <w:suppressAutoHyphens/>
            </w:pPr>
            <w:r>
              <w:t xml:space="preserve">STATUS TAHUN ITU</w:t>
            </w:r>
          </w:p>
        </w:tc>
        <w:tc>
          <w:tcPr>
            <w:tcW w:w="1049" w:type="dxa"/>
            <w:shd w:val="clear" w:color="auto" w:fill="051C2C"/>
            <w:vAlign w:val="center"/>
          </w:tcPr>
          <w:p>
            <w:pPr>
              <w:pStyle w:val="KepalaTabel"/>
              <w:keepNext/>
              <w:suppressAutoHyphens/>
            </w:pPr>
            <w:r>
              <w:t xml:space="preserve">STATUS IRBI 2025</w:t>
            </w:r>
          </w:p>
        </w:tc>
      </w:tr>
      <w:tr>
        <w:trPr>
          <w:cantSplit/>
        </w:trPr>
        <w:tc>
          <w:tcPr>
            <w:tcW w:w="1969" w:type="dxa"/>
          </w:tcPr>
          <w:p>
            <w:pPr>
              <w:pStyle w:val="IsiTabel"/>
              <w:keepNext/>
              <w:suppressAutoHyphens/>
              <w:jc w:val="left"/>
            </w:pPr>
            <w:r>
              <w:t xml:space="preserve">Kota Palu</w:t>
            </w:r>
          </w:p>
        </w:tc>
        <w:tc>
          <w:tcPr>
            <w:tcW w:w="1499" w:type="dxa"/>
          </w:tcPr>
          <w:p>
            <w:pPr>
              <w:pStyle w:val="IsiTabel"/>
              <w:keepNext/>
              <w:suppressAutoHyphens/>
              <w:jc w:val="right"/>
            </w:pPr>
            <w:r>
              <w:t xml:space="preserve">4.194</w:t>
            </w:r>
          </w:p>
        </w:tc>
        <w:tc>
          <w:tcPr>
            <w:tcW w:w="1331" w:type="dxa"/>
          </w:tcPr>
          <w:p>
            <w:pPr>
              <w:pStyle w:val="IsiTabel"/>
              <w:keepNext/>
              <w:suppressAutoHyphens/>
              <w:jc w:val="center"/>
            </w:pPr>
            <w:r>
              <w:t xml:space="preserve">2018</w:t>
            </w:r>
          </w:p>
        </w:tc>
        <w:tc>
          <w:tcPr>
            <w:tcW w:w="1499" w:type="dxa"/>
          </w:tcPr>
          <w:p>
            <w:pPr>
              <w:pStyle w:val="IsiTabel"/>
              <w:keepNext/>
              <w:suppressAutoHyphens/>
              <w:jc w:val="right"/>
            </w:pPr>
            <w:r>
              <w:t xml:space="preserve">4.194</w:t>
            </w:r>
          </w:p>
        </w:tc>
        <w:tc>
          <w:tcPr>
            <w:tcW w:w="958" w:type="dxa"/>
          </w:tcPr>
          <w:p>
            <w:pPr>
              <w:pStyle w:val="IsiTabel"/>
              <w:keepNext/>
              <w:suppressAutoHyphens/>
              <w:jc w:val="right"/>
            </w:pPr>
            <w:r>
              <w:t xml:space="preserve">162,70</w:t>
            </w:r>
          </w:p>
        </w:tc>
        <w:tc>
          <w:tcPr>
            <w:tcW w:w="1049" w:type="dxa"/>
          </w:tcPr>
          <w:p>
            <w:pPr>
              <w:pStyle w:val="IsiTabel"/>
              <w:keepNext/>
              <w:suppressAutoHyphens/>
              <w:jc w:val="left"/>
            </w:pPr>
            <w:r>
              <w:t xml:space="preserve">Tinggi</w:t>
            </w:r>
          </w:p>
        </w:tc>
        <w:tc>
          <w:tcPr>
            <w:tcW w:w="1049" w:type="dxa"/>
          </w:tcPr>
          <w:p>
            <w:pPr>
              <w:pStyle w:val="IsiTabel"/>
              <w:keepNext/>
              <w:suppressAutoHyphens/>
              <w:jc w:val="left"/>
            </w:pPr>
            <w:r>
              <w:t xml:space="preserve">Sedang</w:t>
            </w:r>
          </w:p>
        </w:tc>
      </w:tr>
      <w:tr>
        <w:trPr>
          <w:cantSplit/>
        </w:trPr>
        <w:tc>
          <w:tcPr>
            <w:tcW w:w="1969" w:type="dxa"/>
          </w:tcPr>
          <w:p>
            <w:pPr>
              <w:pStyle w:val="IsiTabel"/>
              <w:keepNext/>
              <w:suppressAutoHyphens/>
              <w:jc w:val="left"/>
            </w:pPr>
            <w:bookmarkStart w:id="228" w:name="_Ekor022a"/>
            <w:bookmarkEnd w:id="228"/>
            <w:r>
              <w:t xml:space="preserve">Kab. Cianjur</w:t>
            </w:r>
          </w:p>
        </w:tc>
        <w:tc>
          <w:tcPr>
            <w:tcW w:w="1499" w:type="dxa"/>
          </w:tcPr>
          <w:p>
            <w:pPr>
              <w:pStyle w:val="IsiTabel"/>
              <w:keepNext/>
              <w:suppressAutoHyphens/>
              <w:jc w:val="right"/>
            </w:pPr>
            <w:r>
              <w:t xml:space="preserve">643</w:t>
            </w:r>
          </w:p>
        </w:tc>
        <w:tc>
          <w:tcPr>
            <w:tcW w:w="1331" w:type="dxa"/>
          </w:tcPr>
          <w:p>
            <w:pPr>
              <w:pStyle w:val="IsiTabel"/>
              <w:keepNext/>
              <w:suppressAutoHyphens/>
              <w:jc w:val="center"/>
            </w:pPr>
            <w:r>
              <w:t xml:space="preserve">2022</w:t>
            </w:r>
          </w:p>
        </w:tc>
        <w:tc>
          <w:tcPr>
            <w:tcW w:w="1499" w:type="dxa"/>
          </w:tcPr>
          <w:p>
            <w:pPr>
              <w:pStyle w:val="IsiTabel"/>
              <w:keepNext/>
              <w:suppressAutoHyphens/>
              <w:jc w:val="right"/>
            </w:pPr>
            <w:r>
              <w:t xml:space="preserve">613</w:t>
            </w:r>
          </w:p>
        </w:tc>
        <w:tc>
          <w:tcPr>
            <w:tcW w:w="958" w:type="dxa"/>
          </w:tcPr>
          <w:p>
            <w:pPr>
              <w:pStyle w:val="IsiTabel"/>
              <w:keepNext/>
              <w:suppressAutoHyphens/>
              <w:jc w:val="right"/>
            </w:pPr>
            <w:r>
              <w:t xml:space="preserve">207,62</w:t>
            </w:r>
          </w:p>
        </w:tc>
        <w:tc>
          <w:tcPr>
            <w:tcW w:w="1049" w:type="dxa"/>
          </w:tcPr>
          <w:p>
            <w:pPr>
              <w:pStyle w:val="IsiTabel"/>
              <w:keepNext/>
              <w:suppressAutoHyphens/>
              <w:jc w:val="left"/>
            </w:pPr>
            <w:r>
              <w:t xml:space="preserve">Tinggi</w:t>
            </w:r>
          </w:p>
        </w:tc>
        <w:tc>
          <w:tcPr>
            <w:tcW w:w="1049" w:type="dxa"/>
          </w:tcPr>
          <w:p>
            <w:pPr>
              <w:pStyle w:val="IsiTabel"/>
              <w:keepNext/>
              <w:suppressAutoHyphens/>
              <w:jc w:val="left"/>
            </w:pPr>
            <w:r>
              <w:t xml:space="preserve">Sedang</w:t>
            </w:r>
          </w:p>
        </w:tc>
      </w:tr>
      <w:tr>
        <w:trPr>
          <w:cantSplit/>
        </w:trPr>
        <w:tc>
          <w:tcPr>
            <w:tcW w:w="1969" w:type="dxa"/>
          </w:tcPr>
          <w:p>
            <w:pPr>
              <w:pStyle w:val="IsiTabel"/>
              <w:keepNext/>
              <w:suppressAutoHyphens/>
              <w:jc w:val="left"/>
            </w:pPr>
            <w:r>
              <w:t xml:space="preserve">Kab. Lombok Utara</w:t>
            </w:r>
          </w:p>
        </w:tc>
        <w:tc>
          <w:tcPr>
            <w:tcW w:w="1499" w:type="dxa"/>
          </w:tcPr>
          <w:p>
            <w:pPr>
              <w:pStyle w:val="IsiTabel"/>
              <w:keepNext/>
              <w:suppressAutoHyphens/>
              <w:jc w:val="right"/>
            </w:pPr>
            <w:r>
              <w:t xml:space="preserve">469</w:t>
            </w:r>
          </w:p>
        </w:tc>
        <w:tc>
          <w:tcPr>
            <w:tcW w:w="1331" w:type="dxa"/>
          </w:tcPr>
          <w:p>
            <w:pPr>
              <w:pStyle w:val="IsiTabel"/>
              <w:keepNext/>
              <w:suppressAutoHyphens/>
              <w:jc w:val="center"/>
            </w:pPr>
            <w:r>
              <w:t xml:space="preserve">2018</w:t>
            </w:r>
          </w:p>
        </w:tc>
        <w:tc>
          <w:tcPr>
            <w:tcW w:w="1499" w:type="dxa"/>
          </w:tcPr>
          <w:p>
            <w:pPr>
              <w:pStyle w:val="IsiTabel"/>
              <w:keepNext/>
              <w:suppressAutoHyphens/>
              <w:jc w:val="right"/>
            </w:pPr>
            <w:r>
              <w:t xml:space="preserve">469</w:t>
            </w:r>
          </w:p>
        </w:tc>
        <w:tc>
          <w:tcPr>
            <w:tcW w:w="958" w:type="dxa"/>
          </w:tcPr>
          <w:p>
            <w:pPr>
              <w:pStyle w:val="IsiTabel"/>
              <w:keepNext/>
              <w:suppressAutoHyphens/>
              <w:jc w:val="right"/>
            </w:pPr>
            <w:r>
              <w:t xml:space="preserve">120,62</w:t>
            </w:r>
          </w:p>
        </w:tc>
        <w:tc>
          <w:tcPr>
            <w:tcW w:w="1049" w:type="dxa"/>
          </w:tcPr>
          <w:p>
            <w:pPr>
              <w:pStyle w:val="IsiTabel"/>
              <w:keepNext/>
              <w:suppressAutoHyphens/>
              <w:jc w:val="left"/>
            </w:pPr>
            <w:r>
              <w:t xml:space="preserve">Sedang</w:t>
            </w:r>
          </w:p>
        </w:tc>
        <w:tc>
          <w:tcPr>
            <w:tcW w:w="1049" w:type="dxa"/>
          </w:tcPr>
          <w:p>
            <w:pPr>
              <w:pStyle w:val="IsiTabel"/>
              <w:keepNext/>
              <w:suppressAutoHyphens/>
              <w:jc w:val="left"/>
            </w:pPr>
            <w:r>
              <w:t xml:space="preserve">Sedang</w:t>
            </w:r>
          </w:p>
        </w:tc>
      </w:tr>
      <w:tr>
        <w:trPr>
          <w:cantSplit/>
        </w:trPr>
        <w:tc>
          <w:tcPr>
            <w:tcW w:w="1969" w:type="dxa"/>
          </w:tcPr>
          <w:p>
            <w:pPr>
              <w:pStyle w:val="IsiTabel"/>
              <w:keepNext/>
              <w:suppressAutoHyphens/>
              <w:jc w:val="left"/>
            </w:pPr>
            <w:r>
              <w:t xml:space="preserve">Kab. Sigi</w:t>
            </w:r>
          </w:p>
        </w:tc>
        <w:tc>
          <w:tcPr>
            <w:tcW w:w="1499" w:type="dxa"/>
          </w:tcPr>
          <w:p>
            <w:pPr>
              <w:pStyle w:val="IsiTabel"/>
              <w:keepNext/>
              <w:suppressAutoHyphens/>
              <w:jc w:val="right"/>
            </w:pPr>
            <w:r>
              <w:t xml:space="preserve">415</w:t>
            </w:r>
          </w:p>
        </w:tc>
        <w:tc>
          <w:tcPr>
            <w:tcW w:w="1331" w:type="dxa"/>
          </w:tcPr>
          <w:p>
            <w:pPr>
              <w:pStyle w:val="IsiTabel"/>
              <w:keepNext/>
              <w:suppressAutoHyphens/>
              <w:jc w:val="center"/>
            </w:pPr>
            <w:r>
              <w:t xml:space="preserve">2018</w:t>
            </w:r>
          </w:p>
        </w:tc>
        <w:tc>
          <w:tcPr>
            <w:tcW w:w="1499" w:type="dxa"/>
          </w:tcPr>
          <w:p>
            <w:pPr>
              <w:pStyle w:val="IsiTabel"/>
              <w:keepNext/>
              <w:suppressAutoHyphens/>
              <w:jc w:val="right"/>
            </w:pPr>
            <w:r>
              <w:t xml:space="preserve">405</w:t>
            </w:r>
          </w:p>
        </w:tc>
        <w:tc>
          <w:tcPr>
            <w:tcW w:w="958" w:type="dxa"/>
          </w:tcPr>
          <w:p>
            <w:pPr>
              <w:pStyle w:val="IsiTabel"/>
              <w:keepNext/>
              <w:suppressAutoHyphens/>
              <w:jc w:val="right"/>
            </w:pPr>
            <w:r>
              <w:t xml:space="preserve">52,16</w:t>
            </w:r>
          </w:p>
        </w:tc>
        <w:tc>
          <w:tcPr>
            <w:tcW w:w="1049" w:type="dxa"/>
          </w:tcPr>
          <w:p>
            <w:pPr>
              <w:pStyle w:val="IsiTabel"/>
              <w:keepNext/>
              <w:suppressAutoHyphens/>
              <w:jc w:val="left"/>
            </w:pPr>
            <w:r>
              <w:t xml:space="preserve">Sedang</w:t>
            </w:r>
          </w:p>
        </w:tc>
        <w:tc>
          <w:tcPr>
            <w:tcW w:w="1049" w:type="dxa"/>
          </w:tcPr>
          <w:p>
            <w:pPr>
              <w:pStyle w:val="IsiTabel"/>
              <w:keepNext/>
              <w:suppressAutoHyphens/>
              <w:jc w:val="left"/>
            </w:pPr>
            <w:r>
              <w:t xml:space="preserve">Sedang</w:t>
            </w:r>
          </w:p>
        </w:tc>
      </w:tr>
      <w:tr>
        <w:trPr>
          <w:cantSplit/>
        </w:trPr>
        <w:tc>
          <w:tcPr>
            <w:tcW w:w="1969" w:type="dxa"/>
          </w:tcPr>
          <w:p>
            <w:pPr>
              <w:pStyle w:val="IsiTabel"/>
              <w:suppressAutoHyphens/>
              <w:jc w:val="left"/>
            </w:pPr>
            <w:bookmarkStart w:id="229" w:name="_Ekor022z"/>
            <w:bookmarkEnd w:id="229"/>
            <w:r>
              <w:t xml:space="preserve">Kab. Pandeglang</w:t>
            </w:r>
          </w:p>
        </w:tc>
        <w:tc>
          <w:tcPr>
            <w:tcW w:w="1499" w:type="dxa"/>
          </w:tcPr>
          <w:p>
            <w:pPr>
              <w:pStyle w:val="IsiTabel"/>
              <w:suppressAutoHyphens/>
              <w:jc w:val="right"/>
            </w:pPr>
            <w:r>
              <w:t xml:space="preserve">319</w:t>
            </w:r>
          </w:p>
        </w:tc>
        <w:tc>
          <w:tcPr>
            <w:tcW w:w="1331" w:type="dxa"/>
          </w:tcPr>
          <w:p>
            <w:pPr>
              <w:pStyle w:val="IsiTabel"/>
              <w:suppressAutoHyphens/>
              <w:jc w:val="center"/>
            </w:pPr>
            <w:r>
              <w:t xml:space="preserve">2018</w:t>
            </w:r>
          </w:p>
        </w:tc>
        <w:tc>
          <w:tcPr>
            <w:tcW w:w="1499" w:type="dxa"/>
          </w:tcPr>
          <w:p>
            <w:pPr>
              <w:pStyle w:val="IsiTabel"/>
              <w:suppressAutoHyphens/>
              <w:jc w:val="right"/>
            </w:pPr>
            <w:r>
              <w:t xml:space="preserve">304</w:t>
            </w:r>
          </w:p>
        </w:tc>
        <w:tc>
          <w:tcPr>
            <w:tcW w:w="958" w:type="dxa"/>
          </w:tcPr>
          <w:p>
            <w:pPr>
              <w:pStyle w:val="IsiTabel"/>
              <w:suppressAutoHyphens/>
              <w:jc w:val="right"/>
            </w:pPr>
            <w:r>
              <w:t xml:space="preserve">215,20</w:t>
            </w:r>
          </w:p>
        </w:tc>
        <w:tc>
          <w:tcPr>
            <w:tcW w:w="1049" w:type="dxa"/>
          </w:tcPr>
          <w:p>
            <w:pPr>
              <w:pStyle w:val="IsiTabel"/>
              <w:suppressAutoHyphens/>
              <w:jc w:val="left"/>
            </w:pPr>
            <w:r>
              <w:t xml:space="preserve">Tinggi</w:t>
            </w:r>
          </w:p>
        </w:tc>
        <w:tc>
          <w:tcPr>
            <w:tcW w:w="1049" w:type="dxa"/>
          </w:tcPr>
          <w:p>
            <w:pPr>
              <w:pStyle w:val="IsiTabel"/>
              <w:suppressAutoHyphens/>
              <w:jc w:val="left"/>
            </w:pPr>
            <w:r>
              <w:t xml:space="preserve">Sedang</w:t>
            </w:r>
          </w:p>
        </w:tc>
      </w:tr>
    </w:tbl>
    <w:p>
      <w:pPr>
        <w:pStyle w:val="Sumber"/>
        <w:spacing w:after="40"/>
      </w:pPr>
      <w:r>
        <w:rPr>
          <w:b/>
          <w:bCs/>
          <w:color w:val="6B7280"/>
          <w:sz w:val="17"/>
          <w:szCs w:val="17"/>
        </w:rPr>
        <w:t xml:space="preserve">Sumber: </w:t>
      </w:r>
      <w:r>
        <w:rPr>
          <w:color w:val="6B7280"/>
          <w:sz w:val="17"/>
          <w:szCs w:val="17"/>
        </w:rPr>
        <w:t xml:space="preserve">Pengolahan data Pantau Bencana dari DIBI BNPB 2015–2025 dan InaRISK BNPB (IRBI 2015–2025)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Korban berlabel resmi (olah; bencana alam, semua laporan). Status tahun kejadian memakai ambang turunan, berlabel asumsi kebijakan; status 2025 dari kolom status resmi. Nilai IRB Kota Palu sama pada 2017–2020, dan Kab. Cianjur berstatus Tinggi di seluruh 2015–2024.</w:t>
      </w:r>
    </w:p>
    <w:p>
      <w:pPr>
        <w:pStyle w:val="IsiTemuan"/>
      </w:pPr>
      <w:r>
        <w:rPr>
          <w:b/>
          <w:bCs/>
          <w:color w:val="051C2C"/>
        </w:rPr>
        <w:t xml:space="preserve">Korelasi peringkat Spearman per kab/kota antara total IRBI 2025 dan jumlah kejadian bencana alam DIBI 2015–2025 adalah </w:t>
      </w:r>
      <w:r>
        <w:rPr>
          <w:b/>
          <w:bCs/>
          <w:color w:val="051C2C"/>
        </w:rPr>
        <w:t xml:space="preserve">-0,38</w:t>
      </w:r>
      <w:r>
        <w:rPr>
          <w:b/>
          <w:bCs/>
          <w:color w:val="051C2C"/>
        </w:rPr>
        <w:t xml:space="preserve"> untuk </w:t>
      </w:r>
      <w:r>
        <w:rPr>
          <w:b/>
          <w:bCs/>
          <w:color w:val="051C2C"/>
        </w:rPr>
        <w:t xml:space="preserve">514</w:t>
      </w:r>
      <w:r>
        <w:rPr>
          <w:b/>
          <w:bCs/>
          <w:color w:val="051C2C"/>
        </w:rPr>
        <w:t xml:space="preserve"> kab/kota.</w:t>
      </w:r>
      <w:r>
        <w:t xml:space="preserve"> Terhadap meninggal dan hilang korelasinya </w:t>
      </w:r>
      <w:r>
        <w:t xml:space="preserve">-0,04</w:t>
      </w:r>
      <w:r>
        <w:t xml:space="preserve">. Pola ini mengikuti penduduk: penduduk berkorelasi </w:t>
      </w:r>
      <w:r>
        <w:t xml:space="preserve">0,63</w:t>
      </w:r>
      <w:r>
        <w:t xml:space="preserve"> dengan jumlah kejadian, sedangkan total IRBI 2025 berkorelasi </w:t>
      </w:r>
      <w:r>
        <w:t xml:space="preserve">-0,47</w:t>
      </w:r>
      <w:r>
        <w:t xml:space="preserve"> dengan penduduk </w:t>
      </w:r>
      <w:r>
        <w:t xml:space="preserve">(BNPB, t.t.-b, t.t.-a; WorldPop, 2025)</w:t>
      </w:r>
      <w:r>
        <w:t xml:space="preserve">. IRBI adalah indeks per kab/kota yang tidak membesar mengikuti jumlah orang terpapar, sedangkan DIBI menghitung kejadian dan korban absolut, sehingga korelasi negatif itu menjelaskan, bukan membantah, kedua sumber. Per bahaya, korelasinya berkisar dari </w:t>
      </w:r>
      <w:r>
        <w:t xml:space="preserve">-0,31</w:t>
      </w:r>
      <w:r>
        <w:t xml:space="preserve"> untuk banjir sampai </w:t>
      </w:r>
      <w:r>
        <w:t xml:space="preserve">0,25</w:t>
      </w:r>
      <w:r>
        <w:t xml:space="preserve"> untuk gunung api. Kedua sumber karena itu tidak digabung menjadi satu peringkat.</w:t>
      </w:r>
    </w:p>
    <w:p>
      <w:pPr>
        <w:pStyle w:val="IsiTemuan"/>
      </w:pPr>
      <w:r>
        <w:rPr>
          <w:b/>
          <w:bCs/>
          <w:color w:val="051C2C"/>
        </w:rPr>
        <w:t xml:space="preserve">Kab/kota berstatus Tinggi pada IRBI 2025, yang dihuni </w:t>
      </w:r>
      <w:r>
        <w:rPr>
          <w:b/>
          <w:bCs/>
          <w:color w:val="051C2C"/>
        </w:rPr>
        <w:t xml:space="preserve">15,0%</w:t>
      </w:r>
      <w:r>
        <w:rPr>
          <w:b/>
          <w:bCs/>
          <w:color w:val="051C2C"/>
        </w:rPr>
        <w:t xml:space="preserve"> penduduk, memuat </w:t>
      </w:r>
      <w:r>
        <w:rPr>
          <w:b/>
          <w:bCs/>
          <w:color w:val="051C2C"/>
        </w:rPr>
        <w:t xml:space="preserve">17,9%</w:t>
      </w:r>
      <w:r>
        <w:rPr>
          <w:b/>
          <w:bCs/>
          <w:color w:val="051C2C"/>
        </w:rPr>
        <w:t xml:space="preserve"> kejadian dan </w:t>
      </w:r>
      <w:r>
        <w:rPr>
          <w:b/>
          <w:bCs/>
          <w:color w:val="051C2C"/>
        </w:rPr>
        <w:t xml:space="preserve">24,3%</w:t>
      </w:r>
      <w:r>
        <w:rPr>
          <w:b/>
          <w:bCs/>
          <w:color w:val="051C2C"/>
        </w:rPr>
        <w:t xml:space="preserve"> meninggal dan hilang DIBI 2015–2025.</w:t>
      </w:r>
      <w:r>
        <w:t xml:space="preserve"> Untuk 2025 saja porsinya </w:t>
      </w:r>
      <w:r>
        <w:t xml:space="preserve">57,6%</w:t>
      </w:r>
      <w:r>
        <w:t xml:space="preserve">, karena kab/kota terberat dalam banjir dan longsor Sumatra November 2025, termasuk Kab. Aceh Utara dan Kab. Agam, berstatus Tinggi </w:t>
      </w:r>
      <w:r>
        <w:t xml:space="preserve">(BNPB, t.t.-a, t.t.-b)</w:t>
      </w:r>
      <w:r>
        <w:t xml:space="preserve">. Porsi 2025 itu bukan uji ramalan. Tanggal ekspor IRBI 2025 tidak tertulis pada data InaRISK, dan siaran Kementerian Koordinator Bidang Pembangunan Manusia dan Kebudayaan (Kemenko PMK) 12 September 2025 menulis bahwa "perhitungan IRBI 2025 akan segera rampung pada Desember mendatang" </w:t>
      </w:r>
      <w:r>
        <w:t xml:space="preserve">(Kemenko PMK, 2025a)</w:t>
      </w:r>
      <w:r>
        <w:t xml:space="preserve">. IRBI 2025 dengan demikian besar kemungkinan diselesaikan sesudah kejadian November 2025, sehingga porsi itu tidak dibaca sebagai bukti bahwa IRBI 2025 menangkap kejadian 2025.</w:t>
      </w:r>
    </w:p>
    <w:p>
      <w:pPr>
        <w:pStyle w:val="Heading2"/>
      </w:pPr>
      <w:bookmarkStart w:id="231" w:name="_Toc00091"/>
      <w:bookmarkStart w:id="230" w:name="_Ref0187"/>
      <w:r>
        <w:t xml:space="preserve">5.5</w:t>
      </w:r>
      <w:bookmarkEnd w:id="230"/>
      <w:r>
        <w:tab/>
      </w:r>
      <w:r>
        <w:t xml:space="preserve">Daftar Perhatian Kab/Kota</w:t>
      </w:r>
      <w:bookmarkEnd w:id="231"/>
    </w:p>
    <w:p>
      <w:pPr>
        <w:pStyle w:val="IsiTemuan"/>
      </w:pPr>
      <w:r>
        <w:rPr>
          <w:b/>
          <w:bCs/>
          <w:color w:val="051C2C"/>
        </w:rPr>
        <w:t xml:space="preserve">Daftar perhatian dasar memuat </w:t>
      </w:r>
      <w:r>
        <w:rPr>
          <w:b/>
          <w:bCs/>
          <w:color w:val="051C2C"/>
        </w:rPr>
        <w:t xml:space="preserve">903 pasangan kab–bahaya</w:t>
      </w:r>
      <w:r>
        <w:rPr>
          <w:b/>
          <w:bCs/>
          <w:color w:val="051C2C"/>
        </w:rPr>
        <w:t xml:space="preserve"> kab/kota dan bahaya di </w:t>
      </w:r>
      <w:r>
        <w:rPr>
          <w:b/>
          <w:bCs/>
          <w:color w:val="051C2C"/>
        </w:rPr>
        <w:t xml:space="preserve">426</w:t>
      </w:r>
      <w:r>
        <w:rPr>
          <w:b/>
          <w:bCs/>
          <w:color w:val="051C2C"/>
        </w:rPr>
        <w:t xml:space="preserve"> kab/kota, atau </w:t>
      </w:r>
      <w:r>
        <w:rPr>
          <w:b/>
          <w:bCs/>
          <w:color w:val="051C2C"/>
        </w:rPr>
        <w:t xml:space="preserve">82,9%</w:t>
      </w:r>
      <w:r>
        <w:rPr>
          <w:b/>
          <w:bCs/>
          <w:color w:val="051C2C"/>
        </w:rPr>
        <w:t xml:space="preserve"> dari seluruh kab/kota.</w:t>
      </w:r>
      <w:r>
        <w:t xml:space="preserve"> Kab/kota masuk daftar suatu bahaya bila memenuhi paling sedikit dua syarat menurut aturan </w:t>
      </w:r>
      <w:r>
        <w:t xml:space="preserve">Subbab </w:t>
      </w:r>
      <w:r>
        <w:fldChar w:fldCharType="begin"/>
      </w:r>
      <w:r>
        <w:instrText xml:space="preserve"> REF _Ref0116 \h \* CHARFORMAT </w:instrText>
      </w:r>
      <w:r>
        <w:fldChar w:fldCharType="separate"/>
      </w:r>
      <w:r>
        <w:t xml:space="preserve">3.8</w:t>
      </w:r>
      <w:r>
        <w:fldChar w:fldCharType="end"/>
      </w:r>
      <w:r>
        <w:t xml:space="preserve"> </w:t>
      </w:r>
      <w:r>
        <w:t xml:space="preserve">(BNPB, t.t.-b, t.t.-a)</w:t>
      </w:r>
      <w:r>
        <w:t xml:space="preserve">. Cuaca ekstrem (</w:t>
      </w:r>
      <w:r>
        <w:t xml:space="preserve">272</w:t>
      </w:r>
      <w:r>
        <w:t xml:space="preserve"> kab/kota) dan banjir (</w:t>
      </w:r>
      <w:r>
        <w:t xml:space="preserve">253</w:t>
      </w:r>
      <w:r>
        <w:t xml:space="preserve">) mengisi daftar terbanyak, sedangkan kekeringan hanya </w:t>
      </w:r>
      <w:r>
        <w:t xml:space="preserve">9</w:t>
      </w:r>
      <w:r>
        <w:t xml:space="preserve">. Dua kab/kota masuk daftar untuk enam bahaya sekaligus, yaitu Kab. Sukabumi dan Kab. Padang Pariaman, dan </w:t>
      </w:r>
      <w:r>
        <w:t xml:space="preserve">47</w:t>
      </w:r>
      <w:r>
        <w:t xml:space="preserve"> kab/kota masuk untuk empat bahaya atau lebih. Rincian per kab/kota tersedia di Lampiran A.</w:t>
      </w:r>
    </w:p>
    <w:p>
      <w:pPr>
        <w:pStyle w:val="IsiTemuan"/>
      </w:pPr>
      <w:r>
        <w:rPr>
          <w:b/>
          <w:bCs/>
          <w:color w:val="051C2C"/>
        </w:rPr>
        <w:t xml:space="preserve">Hampir seluruh kab/kota di Jawa, </w:t>
      </w:r>
      <w:r>
        <w:rPr>
          <w:b/>
          <w:bCs/>
          <w:color w:val="051C2C"/>
        </w:rPr>
        <w:t xml:space="preserve">108</w:t>
      </w:r>
      <w:r>
        <w:rPr>
          <w:b/>
          <w:bCs/>
          <w:color w:val="051C2C"/>
        </w:rPr>
        <w:t xml:space="preserve"> dari </w:t>
      </w:r>
      <w:r>
        <w:rPr>
          <w:b/>
          <w:bCs/>
          <w:color w:val="051C2C"/>
        </w:rPr>
        <w:t xml:space="preserve">119</w:t>
      </w:r>
      <w:r>
        <w:rPr>
          <w:b/>
          <w:bCs/>
          <w:color w:val="051C2C"/>
        </w:rPr>
        <w:t xml:space="preserve">, masuk daftar perhatian, padahal hanya </w:t>
      </w:r>
      <w:r>
        <w:rPr>
          <w:b/>
          <w:bCs/>
          <w:color w:val="051C2C"/>
        </w:rPr>
        <w:t xml:space="preserve">1</w:t>
      </w:r>
      <w:r>
        <w:rPr>
          <w:b/>
          <w:bCs/>
          <w:color w:val="051C2C"/>
        </w:rPr>
        <w:t xml:space="preserve"> yang berstatus Tinggi pada IRBI 2025.</w:t>
      </w:r>
      <w:r>
        <w:t xml:space="preserve"> Di Papua sebaliknya, </w:t>
      </w:r>
      <w:r>
        <w:t xml:space="preserve">24</w:t>
      </w:r>
      <w:r>
        <w:t xml:space="preserve"> dari </w:t>
      </w:r>
      <w:r>
        <w:t xml:space="preserve">42</w:t>
      </w:r>
      <w:r>
        <w:t xml:space="preserve"> kab/kota masuk daftar, lebih sedikit daripada </w:t>
      </w:r>
      <w:r>
        <w:t xml:space="preserve">37</w:t>
      </w:r>
      <w:r>
        <w:t xml:space="preserve"> kab/kota Tinggi (</w:t>
      </w:r>
      <w:r>
        <w:fldChar w:fldCharType="begin"/>
      </w:r>
      <w:r>
        <w:instrText xml:space="preserve"> REF _Ref0312 \h \* CHARFORMAT </w:instrText>
      </w:r>
      <w:r>
        <w:fldChar w:fldCharType="separate"/>
      </w:r>
      <w:r>
        <w:t xml:space="preserve">Tabel 5.4</w:t>
      </w:r>
      <w:r>
        <w:fldChar w:fldCharType="end"/>
      </w:r>
      <w:r>
        <w:t xml:space="preserve">). Sebanyak </w:t>
      </w:r>
      <w:r>
        <w:t xml:space="preserve">135</w:t>
      </w:r>
      <w:r>
        <w:t xml:space="preserve"> dari </w:t>
      </w:r>
      <w:r>
        <w:t xml:space="preserve">169</w:t>
      </w:r>
      <w:r>
        <w:t xml:space="preserve"> kab/kota Tinggi masuk daftar untuk bahaya apa pun, dan </w:t>
      </w:r>
      <w:r>
        <w:t xml:space="preserve">34</w:t>
      </w:r>
      <w:r>
        <w:t xml:space="preserve"> tidak masuk, karena daftar meminta dua syarat dan syarat kejadian DIBI menumpuk di kab/kota padat penduduk </w:t>
      </w:r>
      <w:r>
        <w:t xml:space="preserve">(BNPB, t.t.-b, t.t.-a)</w:t>
      </w:r>
      <w:r>
        <w:t xml:space="preserve">. Daftar yang memuat </w:t>
      </w:r>
      <w:r>
        <w:t xml:space="preserve">82,9%</w:t>
      </w:r>
      <w:r>
        <w:t xml:space="preserve"> kab/kota tidak memisahkan prioritas nasional, sehingga tidak disebut daftar kab/kota prioritas. Kab/kota dengan empat bahaya atau lebih dan kab/kota Tinggi yang tidak masuk daftar dibaca sebagai bahan telaah. Aturannya dihitung ulang setelah baseline IRBI 2025 terbit (</w:t>
      </w:r>
      <w:r>
        <w:fldChar w:fldCharType="begin"/>
      </w:r>
      <w:r>
        <w:instrText xml:space="preserve"> REF _Ref0105 \h \* CHARFORMAT </w:instrText>
      </w:r>
      <w:r>
        <w:fldChar w:fldCharType="separate"/>
      </w:r>
      <w:r>
        <w:t xml:space="preserve">30</w:t>
      </w:r>
      <w:r>
        <w:fldChar w:fldCharType="end"/>
      </w:r>
      <w:r>
        <w:t xml:space="preserve">). Jumlah per bahaya beserta uji kepekaan aturannya tersaji pada </w:t>
      </w:r>
      <w:r>
        <w:fldChar w:fldCharType="begin"/>
      </w:r>
      <w:r>
        <w:instrText xml:space="preserve"> REF _Ref0245 \h \* CHARFORMAT </w:instrText>
      </w:r>
      <w:r>
        <w:fldChar w:fldCharType="separate"/>
      </w:r>
      <w:r>
        <w:t xml:space="preserve">Tabel 3.7</w:t>
      </w:r>
      <w:r>
        <w:fldChar w:fldCharType="end"/>
      </w:r>
      <w:r>
        <w:t xml:space="preserve">.</w:t>
      </w:r>
    </w:p>
    <w:p>
      <w:pPr>
        <w:pStyle w:val="Caption"/>
      </w:pPr>
      <w:bookmarkStart w:id="233" w:name="_Toc00092"/>
      <w:bookmarkStart w:id="232" w:name="_Ref031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232"/>
      <w:r>
        <w:rPr>
          <w:b/>
          <w:bCs/>
          <w:color w:val="051C2C"/>
        </w:rPr>
        <w:t xml:space="preserve"> </w:t>
      </w:r>
      <w:r>
        <w:t xml:space="preserve">Kab/kota daftar perhatian dan kab/kota berstatus Tinggi IRBI 2025 per pulau, Indonesia (kab/kota)</w:t>
      </w:r>
      <w:bookmarkEnd w:id="23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31"/>
        <w:gridCol w:w="1218"/>
        <w:gridCol w:w="1351"/>
        <w:gridCol w:w="978"/>
        <w:gridCol w:w="3576"/>
      </w:tblGrid>
      <w:tr>
        <w:trPr>
          <w:cantSplit/>
          <w:tblHeader/>
        </w:trPr>
        <w:tc>
          <w:tcPr>
            <w:tcW w:w="2231" w:type="dxa"/>
            <w:shd w:val="clear" w:color="auto" w:fill="051C2C"/>
            <w:vAlign w:val="center"/>
          </w:tcPr>
          <w:p>
            <w:pPr>
              <w:pStyle w:val="KepalaTabel"/>
              <w:suppressAutoHyphens/>
            </w:pPr>
            <w:r>
              <w:t xml:space="preserve">PULAU</w:t>
            </w:r>
          </w:p>
        </w:tc>
        <w:tc>
          <w:tcPr>
            <w:tcW w:w="1218" w:type="dxa"/>
            <w:shd w:val="clear" w:color="auto" w:fill="051C2C"/>
            <w:vAlign w:val="center"/>
          </w:tcPr>
          <w:p>
            <w:pPr>
              <w:pStyle w:val="KepalaTabel"/>
              <w:suppressAutoHyphens/>
            </w:pPr>
            <w:r>
              <w:t xml:space="preserve">KAB/KOTA</w:t>
            </w:r>
          </w:p>
        </w:tc>
        <w:tc>
          <w:tcPr>
            <w:tcW w:w="1351" w:type="dxa"/>
            <w:shd w:val="clear" w:color="auto" w:fill="051C2C"/>
            <w:vAlign w:val="center"/>
          </w:tcPr>
          <w:p>
            <w:pPr>
              <w:pStyle w:val="KepalaTabel"/>
              <w:suppressAutoHyphens/>
            </w:pPr>
            <w:r>
              <w:t xml:space="preserve">DAFTAR PERHATIAN</w:t>
            </w:r>
          </w:p>
        </w:tc>
        <w:tc>
          <w:tcPr>
            <w:tcW w:w="978" w:type="dxa"/>
            <w:shd w:val="clear" w:color="auto" w:fill="051C2C"/>
            <w:vAlign w:val="center"/>
          </w:tcPr>
          <w:p>
            <w:pPr>
              <w:pStyle w:val="KepalaTabel"/>
              <w:suppressAutoHyphens/>
            </w:pPr>
            <w:r>
              <w:t xml:space="preserve">STATUS TINGGI IRBI 2025</w:t>
            </w:r>
          </w:p>
        </w:tc>
        <w:tc>
          <w:tcPr>
            <w:tcW w:w="3576" w:type="dxa"/>
            <w:shd w:val="clear" w:color="auto" w:fill="051C2C"/>
            <w:vAlign w:val="center"/>
          </w:tcPr>
          <w:p>
            <w:pPr>
              <w:pStyle w:val="KepalaTabel"/>
              <w:suppressAutoHyphens/>
            </w:pPr>
            <w:r>
              <w:t xml:space="preserve">KEYAKINAN</w:t>
            </w:r>
          </w:p>
        </w:tc>
      </w:tr>
      <w:tr>
        <w:trPr>
          <w:cantSplit/>
        </w:trPr>
        <w:tc>
          <w:tcPr>
            <w:tcW w:w="2231" w:type="dxa"/>
          </w:tcPr>
          <w:p>
            <w:pPr>
              <w:pStyle w:val="IsiTabel"/>
              <w:suppressAutoHyphens/>
              <w:jc w:val="left"/>
            </w:pPr>
            <w:r>
              <w:t xml:space="preserve">Sumatra</w:t>
            </w:r>
          </w:p>
        </w:tc>
        <w:tc>
          <w:tcPr>
            <w:tcW w:w="1218" w:type="dxa"/>
          </w:tcPr>
          <w:p>
            <w:pPr>
              <w:pStyle w:val="IsiTabel"/>
              <w:suppressAutoHyphens/>
              <w:jc w:val="right"/>
            </w:pPr>
            <w:r>
              <w:t xml:space="preserve">154</w:t>
            </w:r>
          </w:p>
        </w:tc>
        <w:tc>
          <w:tcPr>
            <w:tcW w:w="1351" w:type="dxa"/>
          </w:tcPr>
          <w:p>
            <w:pPr>
              <w:pStyle w:val="IsiTabel"/>
              <w:suppressAutoHyphens/>
              <w:jc w:val="right"/>
            </w:pPr>
            <w:r>
              <w:t xml:space="preserve">136</w:t>
            </w:r>
          </w:p>
        </w:tc>
        <w:tc>
          <w:tcPr>
            <w:tcW w:w="978" w:type="dxa"/>
          </w:tcPr>
          <w:p>
            <w:pPr>
              <w:pStyle w:val="IsiTabel"/>
              <w:suppressAutoHyphens/>
              <w:jc w:val="right"/>
            </w:pPr>
            <w:r>
              <w:t xml:space="preserve">50</w:t>
            </w:r>
          </w:p>
        </w:tc>
        <w:tc>
          <w:tcPr>
            <w:tcW w:w="3576" w:type="dxa"/>
          </w:tcPr>
          <w:p>
            <w:pPr>
              <w:pStyle w:val="IsiTabel"/>
              <w:suppressAutoHyphens/>
              <w:jc w:val="left"/>
            </w:pPr>
            <w:r>
              <w:t xml:space="preserve">asumsi-kebijakan (daftar); resmi (status)</w:t>
            </w:r>
          </w:p>
        </w:tc>
      </w:tr>
      <w:tr>
        <w:trPr>
          <w:cantSplit/>
        </w:trPr>
        <w:tc>
          <w:tcPr>
            <w:tcW w:w="2231" w:type="dxa"/>
          </w:tcPr>
          <w:p>
            <w:pPr>
              <w:pStyle w:val="IsiTabel"/>
              <w:suppressAutoHyphens/>
              <w:jc w:val="left"/>
            </w:pPr>
            <w:r>
              <w:t xml:space="preserve">Jawa</w:t>
            </w:r>
          </w:p>
        </w:tc>
        <w:tc>
          <w:tcPr>
            <w:tcW w:w="1218" w:type="dxa"/>
          </w:tcPr>
          <w:p>
            <w:pPr>
              <w:pStyle w:val="IsiTabel"/>
              <w:suppressAutoHyphens/>
              <w:jc w:val="right"/>
            </w:pPr>
            <w:r>
              <w:t xml:space="preserve">119</w:t>
            </w:r>
          </w:p>
        </w:tc>
        <w:tc>
          <w:tcPr>
            <w:tcW w:w="1351" w:type="dxa"/>
          </w:tcPr>
          <w:p>
            <w:pPr>
              <w:pStyle w:val="IsiTabel"/>
              <w:suppressAutoHyphens/>
              <w:jc w:val="right"/>
            </w:pPr>
            <w:r>
              <w:t xml:space="preserve">108</w:t>
            </w:r>
          </w:p>
        </w:tc>
        <w:tc>
          <w:tcPr>
            <w:tcW w:w="978" w:type="dxa"/>
          </w:tcPr>
          <w:p>
            <w:pPr>
              <w:pStyle w:val="IsiTabel"/>
              <w:suppressAutoHyphens/>
              <w:jc w:val="right"/>
            </w:pPr>
            <w:r>
              <w:t xml:space="preserve">1</w:t>
            </w:r>
          </w:p>
        </w:tc>
        <w:tc>
          <w:tcPr>
            <w:tcW w:w="3576" w:type="dxa"/>
          </w:tcPr>
          <w:p>
            <w:pPr>
              <w:pStyle w:val="IsiTabel"/>
              <w:suppressAutoHyphens/>
              <w:jc w:val="left"/>
            </w:pPr>
            <w:r>
              <w:t xml:space="preserve">asumsi-kebijakan (daftar); resmi (status)</w:t>
            </w:r>
          </w:p>
        </w:tc>
      </w:tr>
      <w:tr>
        <w:trPr>
          <w:cantSplit/>
        </w:trPr>
        <w:tc>
          <w:tcPr>
            <w:tcW w:w="2231" w:type="dxa"/>
          </w:tcPr>
          <w:p>
            <w:pPr>
              <w:pStyle w:val="IsiTabel"/>
              <w:suppressAutoHyphens/>
              <w:jc w:val="left"/>
            </w:pPr>
            <w:r>
              <w:t xml:space="preserve">Bali dan Nusa Tenggara</w:t>
            </w:r>
          </w:p>
        </w:tc>
        <w:tc>
          <w:tcPr>
            <w:tcW w:w="1218" w:type="dxa"/>
          </w:tcPr>
          <w:p>
            <w:pPr>
              <w:pStyle w:val="IsiTabel"/>
              <w:suppressAutoHyphens/>
              <w:jc w:val="right"/>
            </w:pPr>
            <w:r>
              <w:t xml:space="preserve">41</w:t>
            </w:r>
          </w:p>
        </w:tc>
        <w:tc>
          <w:tcPr>
            <w:tcW w:w="1351" w:type="dxa"/>
          </w:tcPr>
          <w:p>
            <w:pPr>
              <w:pStyle w:val="IsiTabel"/>
              <w:suppressAutoHyphens/>
              <w:jc w:val="right"/>
            </w:pPr>
            <w:r>
              <w:t xml:space="preserve">34</w:t>
            </w:r>
          </w:p>
        </w:tc>
        <w:tc>
          <w:tcPr>
            <w:tcW w:w="978" w:type="dxa"/>
          </w:tcPr>
          <w:p>
            <w:pPr>
              <w:pStyle w:val="IsiTabel"/>
              <w:suppressAutoHyphens/>
              <w:jc w:val="right"/>
            </w:pPr>
            <w:r>
              <w:t xml:space="preserve">21</w:t>
            </w:r>
          </w:p>
        </w:tc>
        <w:tc>
          <w:tcPr>
            <w:tcW w:w="3576" w:type="dxa"/>
          </w:tcPr>
          <w:p>
            <w:pPr>
              <w:pStyle w:val="IsiTabel"/>
              <w:suppressAutoHyphens/>
              <w:jc w:val="left"/>
            </w:pPr>
            <w:r>
              <w:t xml:space="preserve">asumsi-kebijakan (daftar); resmi (status)</w:t>
            </w:r>
          </w:p>
        </w:tc>
      </w:tr>
      <w:tr>
        <w:trPr>
          <w:cantSplit/>
        </w:trPr>
        <w:tc>
          <w:tcPr>
            <w:tcW w:w="2231" w:type="dxa"/>
          </w:tcPr>
          <w:p>
            <w:pPr>
              <w:pStyle w:val="IsiTabel"/>
              <w:keepNext/>
              <w:suppressAutoHyphens/>
              <w:jc w:val="left"/>
            </w:pPr>
            <w:bookmarkStart w:id="234" w:name="_Ekor023a"/>
            <w:bookmarkEnd w:id="234"/>
            <w:r>
              <w:t xml:space="preserve">Kalimantan</w:t>
            </w:r>
          </w:p>
        </w:tc>
        <w:tc>
          <w:tcPr>
            <w:tcW w:w="1218" w:type="dxa"/>
          </w:tcPr>
          <w:p>
            <w:pPr>
              <w:pStyle w:val="IsiTabel"/>
              <w:keepNext/>
              <w:suppressAutoHyphens/>
              <w:jc w:val="right"/>
            </w:pPr>
            <w:r>
              <w:t xml:space="preserve">56</w:t>
            </w:r>
          </w:p>
        </w:tc>
        <w:tc>
          <w:tcPr>
            <w:tcW w:w="1351" w:type="dxa"/>
          </w:tcPr>
          <w:p>
            <w:pPr>
              <w:pStyle w:val="IsiTabel"/>
              <w:keepNext/>
              <w:suppressAutoHyphens/>
              <w:jc w:val="right"/>
            </w:pPr>
            <w:r>
              <w:t xml:space="preserve">40</w:t>
            </w:r>
          </w:p>
        </w:tc>
        <w:tc>
          <w:tcPr>
            <w:tcW w:w="978" w:type="dxa"/>
          </w:tcPr>
          <w:p>
            <w:pPr>
              <w:pStyle w:val="IsiTabel"/>
              <w:keepNext/>
              <w:suppressAutoHyphens/>
              <w:jc w:val="right"/>
            </w:pPr>
            <w:r>
              <w:t xml:space="preserve">1</w:t>
            </w:r>
          </w:p>
        </w:tc>
        <w:tc>
          <w:tcPr>
            <w:tcW w:w="3576" w:type="dxa"/>
          </w:tcPr>
          <w:p>
            <w:pPr>
              <w:pStyle w:val="IsiTabel"/>
              <w:keepNext/>
              <w:suppressAutoHyphens/>
              <w:jc w:val="left"/>
            </w:pPr>
            <w:r>
              <w:t xml:space="preserve">asumsi-kebijakan (daftar); resmi (status)</w:t>
            </w:r>
          </w:p>
        </w:tc>
      </w:tr>
      <w:tr>
        <w:trPr>
          <w:cantSplit/>
        </w:trPr>
        <w:tc>
          <w:tcPr>
            <w:tcW w:w="2231" w:type="dxa"/>
          </w:tcPr>
          <w:p>
            <w:pPr>
              <w:pStyle w:val="IsiTabel"/>
              <w:keepNext/>
              <w:suppressAutoHyphens/>
              <w:jc w:val="left"/>
            </w:pPr>
            <w:r>
              <w:t xml:space="preserve">Sulawesi</w:t>
            </w:r>
          </w:p>
        </w:tc>
        <w:tc>
          <w:tcPr>
            <w:tcW w:w="1218" w:type="dxa"/>
          </w:tcPr>
          <w:p>
            <w:pPr>
              <w:pStyle w:val="IsiTabel"/>
              <w:keepNext/>
              <w:suppressAutoHyphens/>
              <w:jc w:val="right"/>
            </w:pPr>
            <w:r>
              <w:t xml:space="preserve">81</w:t>
            </w:r>
          </w:p>
        </w:tc>
        <w:tc>
          <w:tcPr>
            <w:tcW w:w="1351" w:type="dxa"/>
          </w:tcPr>
          <w:p>
            <w:pPr>
              <w:pStyle w:val="IsiTabel"/>
              <w:keepNext/>
              <w:suppressAutoHyphens/>
              <w:jc w:val="right"/>
            </w:pPr>
            <w:r>
              <w:t xml:space="preserve">65</w:t>
            </w:r>
          </w:p>
        </w:tc>
        <w:tc>
          <w:tcPr>
            <w:tcW w:w="978" w:type="dxa"/>
          </w:tcPr>
          <w:p>
            <w:pPr>
              <w:pStyle w:val="IsiTabel"/>
              <w:keepNext/>
              <w:suppressAutoHyphens/>
              <w:jc w:val="right"/>
            </w:pPr>
            <w:r>
              <w:t xml:space="preserve">40</w:t>
            </w:r>
          </w:p>
        </w:tc>
        <w:tc>
          <w:tcPr>
            <w:tcW w:w="3576" w:type="dxa"/>
          </w:tcPr>
          <w:p>
            <w:pPr>
              <w:pStyle w:val="IsiTabel"/>
              <w:keepNext/>
              <w:suppressAutoHyphens/>
              <w:jc w:val="left"/>
            </w:pPr>
            <w:r>
              <w:t xml:space="preserve">asumsi-kebijakan (daftar); resmi (status)</w:t>
            </w:r>
          </w:p>
        </w:tc>
      </w:tr>
      <w:tr>
        <w:trPr>
          <w:cantSplit/>
        </w:trPr>
        <w:tc>
          <w:tcPr>
            <w:tcW w:w="2231" w:type="dxa"/>
          </w:tcPr>
          <w:p>
            <w:pPr>
              <w:pStyle w:val="IsiTabel"/>
              <w:keepNext/>
              <w:suppressAutoHyphens/>
              <w:jc w:val="left"/>
            </w:pPr>
            <w:r>
              <w:t xml:space="preserve">Maluku</w:t>
            </w:r>
          </w:p>
        </w:tc>
        <w:tc>
          <w:tcPr>
            <w:tcW w:w="1218" w:type="dxa"/>
          </w:tcPr>
          <w:p>
            <w:pPr>
              <w:pStyle w:val="IsiTabel"/>
              <w:keepNext/>
              <w:suppressAutoHyphens/>
              <w:jc w:val="right"/>
            </w:pPr>
            <w:r>
              <w:t xml:space="preserve">21</w:t>
            </w:r>
          </w:p>
        </w:tc>
        <w:tc>
          <w:tcPr>
            <w:tcW w:w="1351" w:type="dxa"/>
          </w:tcPr>
          <w:p>
            <w:pPr>
              <w:pStyle w:val="IsiTabel"/>
              <w:keepNext/>
              <w:suppressAutoHyphens/>
              <w:jc w:val="right"/>
            </w:pPr>
            <w:r>
              <w:t xml:space="preserve">19</w:t>
            </w:r>
          </w:p>
        </w:tc>
        <w:tc>
          <w:tcPr>
            <w:tcW w:w="978" w:type="dxa"/>
          </w:tcPr>
          <w:p>
            <w:pPr>
              <w:pStyle w:val="IsiTabel"/>
              <w:keepNext/>
              <w:suppressAutoHyphens/>
              <w:jc w:val="right"/>
            </w:pPr>
            <w:r>
              <w:t xml:space="preserve">19</w:t>
            </w:r>
          </w:p>
        </w:tc>
        <w:tc>
          <w:tcPr>
            <w:tcW w:w="3576" w:type="dxa"/>
          </w:tcPr>
          <w:p>
            <w:pPr>
              <w:pStyle w:val="IsiTabel"/>
              <w:keepNext/>
              <w:suppressAutoHyphens/>
              <w:jc w:val="left"/>
            </w:pPr>
            <w:r>
              <w:t xml:space="preserve">asumsi-kebijakan (daftar); resmi (status)</w:t>
            </w:r>
          </w:p>
        </w:tc>
      </w:tr>
      <w:tr>
        <w:trPr>
          <w:cantSplit/>
        </w:trPr>
        <w:tc>
          <w:tcPr>
            <w:tcW w:w="2231" w:type="dxa"/>
          </w:tcPr>
          <w:p>
            <w:pPr>
              <w:pStyle w:val="IsiTabel"/>
              <w:suppressAutoHyphens/>
              <w:jc w:val="left"/>
            </w:pPr>
            <w:bookmarkStart w:id="235" w:name="_Ekor023z"/>
            <w:bookmarkEnd w:id="235"/>
            <w:r>
              <w:t xml:space="preserve">Papua</w:t>
            </w:r>
          </w:p>
        </w:tc>
        <w:tc>
          <w:tcPr>
            <w:tcW w:w="1218" w:type="dxa"/>
          </w:tcPr>
          <w:p>
            <w:pPr>
              <w:pStyle w:val="IsiTabel"/>
              <w:suppressAutoHyphens/>
              <w:jc w:val="right"/>
            </w:pPr>
            <w:r>
              <w:t xml:space="preserve">42</w:t>
            </w:r>
          </w:p>
        </w:tc>
        <w:tc>
          <w:tcPr>
            <w:tcW w:w="1351" w:type="dxa"/>
          </w:tcPr>
          <w:p>
            <w:pPr>
              <w:pStyle w:val="IsiTabel"/>
              <w:suppressAutoHyphens/>
              <w:jc w:val="right"/>
            </w:pPr>
            <w:r>
              <w:t xml:space="preserve">24</w:t>
            </w:r>
          </w:p>
        </w:tc>
        <w:tc>
          <w:tcPr>
            <w:tcW w:w="978" w:type="dxa"/>
          </w:tcPr>
          <w:p>
            <w:pPr>
              <w:pStyle w:val="IsiTabel"/>
              <w:suppressAutoHyphens/>
              <w:jc w:val="right"/>
            </w:pPr>
            <w:r>
              <w:t xml:space="preserve">37</w:t>
            </w:r>
          </w:p>
        </w:tc>
        <w:tc>
          <w:tcPr>
            <w:tcW w:w="3576" w:type="dxa"/>
          </w:tcPr>
          <w:p>
            <w:pPr>
              <w:pStyle w:val="IsiTabel"/>
              <w:suppressAutoHyphens/>
              <w:jc w:val="left"/>
            </w:pPr>
            <w:r>
              <w:t xml:space="preserve">asumsi-kebijakan (daftar); resmi (status)</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KRB 2022–2026) dan DIBI BNPB 2015–2025</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Kab/kota daftar perhatian dihitung unik untuk bahaya apa pun. Pengelompokan pulau menurut kode provinsi pilihan penyusun.</w:t>
      </w:r>
    </w:p>
    <w:p>
      <w:pPr>
        <w:pStyle w:val="Heading2"/>
      </w:pPr>
      <w:bookmarkStart w:id="237" w:name="_Toc00093"/>
      <w:bookmarkStart w:id="236" w:name="_Ref0154"/>
      <w:r>
        <w:t xml:space="preserve">5.6</w:t>
      </w:r>
      <w:bookmarkEnd w:id="236"/>
      <w:r>
        <w:tab/>
      </w:r>
      <w:r>
        <w:t xml:space="preserve">Kapasitas Daerah: Dua Ukuran</w:t>
      </w:r>
      <w:bookmarkEnd w:id="237"/>
    </w:p>
    <w:p>
      <w:pPr>
        <w:pStyle w:val="IsiTemuan"/>
      </w:pPr>
      <w:r>
        <w:rPr>
          <w:b/>
          <w:bCs/>
          <w:color w:val="051C2C"/>
        </w:rPr>
        <w:t xml:space="preserve">Rencana Pembangunan Jangka Menengah Nasional (RPJMN) 2025–2029 menetapkan baseline </w:t>
      </w:r>
      <w:r>
        <w:rPr>
          <w:b/>
          <w:bCs/>
          <w:color w:val="051C2C"/>
        </w:rPr>
        <w:t xml:space="preserve">62%</w:t>
      </w:r>
      <w:r>
        <w:rPr>
          <w:b/>
          <w:bCs/>
          <w:color w:val="051C2C"/>
        </w:rPr>
        <w:t xml:space="preserve"> daerah berkapasitas penanggulangan bencana minimal sedang pada 2023, dengan target </w:t>
      </w:r>
      <w:r>
        <w:rPr>
          <w:b/>
          <w:bCs/>
          <w:color w:val="051C2C"/>
        </w:rPr>
        <w:t xml:space="preserve">67%</w:t>
      </w:r>
      <w:r>
        <w:rPr>
          <w:b/>
          <w:bCs/>
          <w:color w:val="051C2C"/>
        </w:rPr>
        <w:t xml:space="preserve"> pada 2025 dan </w:t>
      </w:r>
      <w:r>
        <w:rPr>
          <w:b/>
          <w:bCs/>
          <w:color w:val="051C2C"/>
        </w:rPr>
        <w:t xml:space="preserve">90%</w:t>
      </w:r>
      <w:r>
        <w:rPr>
          <w:b/>
          <w:bCs/>
          <w:color w:val="051C2C"/>
        </w:rPr>
        <w:t xml:space="preserve"> pada 2029</w:t>
      </w:r>
      <w:r>
        <w:t xml:space="preserve"> </w:t>
      </w:r>
      <w:r>
        <w:t xml:space="preserve">(Republik Indonesia, 2025b, hlm. 913)</w:t>
      </w:r>
      <w:r>
        <w:t xml:space="preserve">. Renstra BNPB memakai indikator yang sama dengan target tahunan </w:t>
      </w:r>
      <w:r>
        <w:t xml:space="preserve">67%</w:t>
      </w:r>
      <w:r>
        <w:t xml:space="preserve"> pada 2025, </w:t>
      </w:r>
      <w:r>
        <w:t xml:space="preserve">73%</w:t>
      </w:r>
      <w:r>
        <w:t xml:space="preserve"> pada 2026, dan </w:t>
      </w:r>
      <w:r>
        <w:t xml:space="preserve">90%</w:t>
      </w:r>
      <w:r>
        <w:t xml:space="preserve"> pada 2029, dengan kolom baseline kosong </w:t>
      </w:r>
      <w:r>
        <w:t xml:space="preserve">(BNPB, 2025e, hlm. 132)</w:t>
      </w:r>
      <w:r>
        <w:t xml:space="preserve">. Renstra tidak menyebut alat ukur indikator ini secara tertulis. IKD hanya dijelaskan sebagai upaya mengukur kapasitas di tingkat kab/kota dan provinsi, dengan rata-rata </w:t>
      </w:r>
      <w:r>
        <w:t xml:space="preserve">0,46</w:t>
      </w:r>
      <w:r>
        <w:t xml:space="preserve"> pada kategori sedang tanpa tahun </w:t>
      </w:r>
      <w:r>
        <w:t xml:space="preserve">(BNPB, 2025e, hlm. 70, 85)</w:t>
      </w:r>
      <w:r>
        <w:t xml:space="preserve">. Alat ukurnya ditetapkan kemudian dalam Manual Indikator Kinerja Utama (IKU), Kepka BNPB 318/2025, sebagai porsi provinsi berkategori IKD sedang atau tinggi. Menurut ukuran itu, LKIP BNPB 2025 mencatat capaian 2025 sebesar </w:t>
      </w:r>
      <w:r>
        <w:t xml:space="preserve">50%</w:t>
      </w:r>
      <w:r>
        <w:t xml:space="preserve">, atau </w:t>
      </w:r>
      <w:r>
        <w:t xml:space="preserve">19 provinsi</w:t>
      </w:r>
      <w:r>
        <w:t xml:space="preserve">, terhadap target </w:t>
      </w:r>
      <w:r>
        <w:t xml:space="preserve">67%</w:t>
      </w:r>
      <w:r>
        <w:t xml:space="preserve">, sehingga target tidak tercapai </w:t>
      </w:r>
      <w:r>
        <w:t xml:space="preserve">(BNPB, 2026c, hlm. x, 15–16, 20, 112–113)</w:t>
      </w:r>
      <w:r>
        <w:t xml:space="preserve">. Penyebut provinsi itu berbeda dengan siaran Kemenko PMK 12 September 2025, yang menulis target </w:t>
      </w:r>
      <w:r>
        <w:t xml:space="preserve">90%</w:t>
      </w:r>
      <w:r>
        <w:t xml:space="preserve"> untuk </w:t>
      </w:r>
      <w:r>
        <w:t xml:space="preserve">kabupaten/kota</w:t>
      </w:r>
      <w:r>
        <w:t xml:space="preserve"> </w:t>
      </w:r>
      <w:r>
        <w:t xml:space="preserve">(Kemenko PMK, 2025a)</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Narasi Renstra menulis indikator kapasitas naik dari </w:t>
            </w:r>
            <w:r>
              <w:t xml:space="preserve">67%</w:t>
            </w:r>
            <w:r>
              <w:t xml:space="preserve"> menjadi </w:t>
            </w:r>
            <w:r>
              <w:t xml:space="preserve">90%</w:t>
            </w:r>
            <w:r>
              <w:t xml:space="preserve">, sehingga angka awal itu mudah dibaca sebagai capaian </w:t>
            </w:r>
            <w:r>
              <w:t xml:space="preserve">(BNPB, 2025e, hlm. 85)</w:t>
            </w:r>
            <w:r>
              <w:t xml:space="preserve">. Renstra sendiri menyebut angka awal itu sebagai target tahun 2025 dan menaruhnya di kolom 2025 tabel target, bukan di kolom baseline </w:t>
            </w:r>
            <w:r>
              <w:t xml:space="preserve">(BNPB, 2025e, hlm. 125, 132)</w:t>
            </w:r>
            <w:r>
              <w:t xml:space="preserve">. Baseline resmi indikator ini adalah </w:t>
            </w:r>
            <w:r>
              <w:t xml:space="preserve">62%</w:t>
            </w:r>
            <w:r>
              <w:t xml:space="preserve"> pada 2023 menurut RPJMN, dan capaian 2025 menurut LKIP BNPB 2025 adalah </w:t>
            </w:r>
            <w:r>
              <w:t xml:space="preserve">50%</w:t>
            </w:r>
            <w:r>
              <w:t xml:space="preserve"> provinsi </w:t>
            </w:r>
            <w:r>
              <w:t xml:space="preserve">(BNPB, 2026c, hlm. x, 20)</w:t>
            </w:r>
            <w:r>
              <w:t xml:space="preserve">.</w:t>
            </w:r>
          </w:p>
        </w:tc>
      </w:tr>
    </w:tbl>
    <w:p>
      <w:pPr>
        <w:pStyle w:val="Jarak"/>
      </w:pPr>
    </w:p>
    <w:p>
      <w:pPr>
        <w:pStyle w:val="IsiTemuan"/>
      </w:pPr>
      <w:r>
        <w:rPr>
          <w:b/>
          <w:bCs/>
          <w:color w:val="051C2C"/>
        </w:rPr>
        <w:t xml:space="preserve">Menurut kelas kapasitas KRB 2022–2026, hanya </w:t>
      </w:r>
      <w:r>
        <w:rPr>
          <w:b/>
          <w:bCs/>
          <w:color w:val="051C2C"/>
        </w:rPr>
        <w:t xml:space="preserve">193</w:t>
      </w:r>
      <w:r>
        <w:rPr>
          <w:b/>
          <w:bCs/>
          <w:color w:val="051C2C"/>
        </w:rPr>
        <w:t xml:space="preserve"> dari </w:t>
      </w:r>
      <w:r>
        <w:rPr>
          <w:b/>
          <w:bCs/>
          <w:color w:val="051C2C"/>
        </w:rPr>
        <w:t xml:space="preserve">508</w:t>
      </w:r>
      <w:r>
        <w:rPr>
          <w:b/>
          <w:bCs/>
          <w:color w:val="051C2C"/>
        </w:rPr>
        <w:t xml:space="preserve"> kab/kota, atau </w:t>
      </w:r>
      <w:r>
        <w:rPr>
          <w:b/>
          <w:bCs/>
          <w:color w:val="051C2C"/>
        </w:rPr>
        <w:t xml:space="preserve">38,0%</w:t>
      </w:r>
      <w:r>
        <w:rPr>
          <w:b/>
          <w:bCs/>
          <w:color w:val="051C2C"/>
        </w:rPr>
        <w:t xml:space="preserve">, berkapasitas minimal sedang.</w:t>
      </w:r>
      <w:r>
        <w:t xml:space="preserve"> Sebanyak </w:t>
      </w:r>
      <w:r>
        <w:t xml:space="preserve">315</w:t>
      </w:r>
      <w:r>
        <w:t xml:space="preserve"> kab/kota berkapasitas rendah, </w:t>
      </w:r>
      <w:r>
        <w:t xml:space="preserve">190</w:t>
      </w:r>
      <w:r>
        <w:t xml:space="preserve"> sedang, dan </w:t>
      </w:r>
      <w:r>
        <w:t xml:space="preserve">3</w:t>
      </w:r>
      <w:r>
        <w:t xml:space="preserve"> tinggi, yaitu Kab. Kebumen, Kab. Magelang, dan Kab. Klaten </w:t>
      </w:r>
      <w:r>
        <w:t xml:space="preserve">(BNPB, 2026j)</w:t>
      </w:r>
      <w:r>
        <w:t xml:space="preserve">. Di tingkat kecamatan porsinya </w:t>
      </w:r>
      <w:r>
        <w:t xml:space="preserve">42,5%</w:t>
      </w:r>
      <w:r>
        <w:t xml:space="preserve">, sedangkan di tingkat provinsi </w:t>
      </w:r>
      <w:r>
        <w:t xml:space="preserve">31</w:t>
      </w:r>
      <w:r>
        <w:t xml:space="preserve"> dari </w:t>
      </w:r>
      <w:r>
        <w:t xml:space="preserve">34 provinsi</w:t>
      </w:r>
      <w:r>
        <w:t xml:space="preserve"> lama berkapasitas minimal sedang, atau </w:t>
      </w:r>
      <w:r>
        <w:t xml:space="preserve">91,2%</w:t>
      </w:r>
      <w:r>
        <w:t xml:space="preserve"> </w:t>
      </w:r>
      <w:r>
        <w:t xml:space="preserve">(BNPB, 2025c, hlm. 25)</w:t>
      </w:r>
      <w:r>
        <w:t xml:space="preserve">. Enam kab/kota lama bukan unit KRB dan ditulis tidak dinilai, bukan rendah. Bila dibobot penduduk, kab/kota berkapasitas minimal sedang dihuni </w:t>
      </w:r>
      <w:r>
        <w:t xml:space="preserve">67,0%</w:t>
      </w:r>
      <w:r>
        <w:t xml:space="preserve"> penduduk KRB. Kesamaan angka ini dengan target Renstra 2025 tidak menunjukkan asal angka Renstra, karena alat ukur Renstra adalah IKD provinsi.</w:t>
      </w:r>
    </w:p>
    <w:p>
      <w:pPr>
        <w:pStyle w:val="IsiTemuan"/>
      </w:pPr>
      <w:r>
        <w:rPr>
          <w:b/>
          <w:bCs/>
          <w:color w:val="051C2C"/>
        </w:rPr>
        <w:t xml:space="preserve">Kapasitas KRB kab/kota timpang antarpulau, dari </w:t>
      </w:r>
      <w:r>
        <w:rPr>
          <w:b/>
          <w:bCs/>
          <w:color w:val="051C2C"/>
        </w:rPr>
        <w:t xml:space="preserve">95,8%</w:t>
      </w:r>
      <w:r>
        <w:rPr>
          <w:b/>
          <w:bCs/>
          <w:color w:val="051C2C"/>
        </w:rPr>
        <w:t xml:space="preserve"> kab/kota minimal sedang di Jawa sampai </w:t>
      </w:r>
      <w:r>
        <w:rPr>
          <w:b/>
          <w:bCs/>
          <w:color w:val="051C2C"/>
        </w:rPr>
        <w:t xml:space="preserve">2,4%</w:t>
      </w:r>
      <w:r>
        <w:rPr>
          <w:b/>
          <w:bCs/>
          <w:color w:val="051C2C"/>
        </w:rPr>
        <w:t xml:space="preserve"> di Papua.</w:t>
      </w:r>
      <w:r>
        <w:t xml:space="preserve"> Bali dan Nusa Tenggara mencatat </w:t>
      </w:r>
      <w:r>
        <w:t xml:space="preserve">46,3%</w:t>
      </w:r>
      <w:r>
        <w:t xml:space="preserve">, Sulawesi </w:t>
      </w:r>
      <w:r>
        <w:t xml:space="preserve">23,7%</w:t>
      </w:r>
      <w:r>
        <w:t xml:space="preserve">, Sumatra </w:t>
      </w:r>
      <w:r>
        <w:t xml:space="preserve">20,9%</w:t>
      </w:r>
      <w:r>
        <w:t xml:space="preserve">, Kalimantan </w:t>
      </w:r>
      <w:r>
        <w:t xml:space="preserve">12,5%</w:t>
      </w:r>
      <w:r>
        <w:t xml:space="preserve">, dan Maluku </w:t>
      </w:r>
      <w:r>
        <w:t xml:space="preserve">9,5%</w:t>
      </w:r>
      <w:r>
        <w:t xml:space="preserve"> </w:t>
      </w:r>
      <w:r>
        <w:t xml:space="preserve">(BNPB, 2026j)</w:t>
      </w:r>
      <w:r>
        <w:t xml:space="preserve">. Seluruh kab/kota berkapasitas rendah di Kalimantan Selatan, Kepulauan Bangka Belitung, dan Pulau Papua di luar Provinsi Papua (lima provinsi); seluruh kab/kota berkapasitas minimal sedang di DKI Jakarta, Jawa Barat, Jawa Tengah, Banten, dan Bali (</w:t>
      </w:r>
      <w:r>
        <w:fldChar w:fldCharType="begin"/>
      </w:r>
      <w:r>
        <w:instrText xml:space="preserve"> REF _Ref0050 \h \* CHARFORMAT </w:instrText>
      </w:r>
      <w:r>
        <w:fldChar w:fldCharType="separate"/>
      </w:r>
      <w:r>
        <w:t xml:space="preserve">Gambar 5.7</w:t>
      </w:r>
      <w:r>
        <w:fldChar w:fldCharType="end"/>
      </w:r>
      <w:r>
        <w:t xml:space="preserve">).</w:t>
      </w:r>
    </w:p>
    <w:p>
      <w:pPr>
        <w:pStyle w:val="Caption"/>
      </w:pPr>
      <w:bookmarkStart w:id="239" w:name="_Toc00094"/>
      <w:bookmarkStart w:id="238" w:name="_Ref005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238"/>
      <w:r>
        <w:rPr>
          <w:b/>
          <w:bCs/>
          <w:color w:val="051C2C"/>
        </w:rPr>
        <w:t xml:space="preserve"> </w:t>
      </w:r>
      <w:r>
        <w:t xml:space="preserve">Kelas kapasitas penanggulangan bencana kab/kota menurut Kajian Risiko Bencana 2022–2026</w:t>
      </w:r>
      <w:bookmarkEnd w:id="239"/>
    </w:p>
    <w:p xmlns:a="http://schemas.openxmlformats.org/drawingml/2006/main" xmlns:pic="http://schemas.openxmlformats.org/drawingml/2006/picture">
      <w:pPr>
        <w:keepNext/>
        <w:spacing w:after="0" w:line="240" w:lineRule="auto"/>
        <w:jc w:val="center"/>
      </w:pPr>
      <w:bookmarkStart w:id="240" w:name="_Obj0021"/>
      <w:r>
        <w:drawing>
          <wp:inline distT="0" distB="0" distL="0" distR="0">
            <wp:extent cx="5940000" cy="2799415"/>
            <wp:effectExtent l="0" t="0" r="0" b="0"/>
            <wp:docPr id="38" name="Gambar 38"/>
            <wp:cNvGraphicFramePr>
              <a:graphicFrameLocks noChangeAspect="1"/>
            </wp:cNvGraphicFramePr>
            <a:graphic>
              <a:graphicData uri="http://schemas.openxmlformats.org/drawingml/2006/picture">
                <pic:pic>
                  <pic:nvPicPr>
                    <pic:cNvPr id="38" name="bab05-peta-kapasitas-krb.png"/>
                    <pic:cNvPicPr/>
                  </pic:nvPicPr>
                  <pic:blipFill>
                    <a:blip r:embed="rId38"/>
                    <a:stretch>
                      <a:fillRect/>
                    </a:stretch>
                  </pic:blipFill>
                  <pic:spPr>
                    <a:xfrm>
                      <a:off x="0" y="0"/>
                      <a:ext cx="5940000" cy="2799415"/>
                    </a:xfrm>
                    <a:prstGeom prst="rect">
                      <a:avLst/>
                    </a:prstGeom>
                  </pic:spPr>
                </pic:pic>
              </a:graphicData>
            </a:graphic>
          </wp:inline>
        </w:drawing>
      </w:r>
      <w:bookmarkEnd w:id="240"/>
    </w:p>
    <w:p>
      <w:pPr>
        <w:pStyle w:val="Sumber"/>
        <w:spacing w:after="40"/>
      </w:pPr>
      <w:r>
        <w:rPr>
          <w:b/>
          <w:bCs/>
          <w:color w:val="6B7280"/>
          <w:sz w:val="17"/>
          <w:szCs w:val="17"/>
        </w:rPr>
        <w:t xml:space="preserve">Sumber: </w:t>
      </w:r>
      <w:r>
        <w:rPr>
          <w:color w:val="6B7280"/>
          <w:sz w:val="17"/>
          <w:szCs w:val="17"/>
        </w:rPr>
        <w:t xml:space="preserve">InaRISK BNPB, Kajian Risiko Bencana 2022–2026, kelas kapasitas kab/kota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Tiga kelas resmi, rendah, sedang, dan tinggi, dari ringkasan KRB COVID-19; kelas kapasitas sama untuk semua bahaya. Kab/kota tanpa kelas KRB diberi arsir Belum terdata.</w:t>
      </w:r>
    </w:p>
    <w:p>
      <w:pPr>
        <w:pStyle w:val="IsiTemuan"/>
      </w:pPr>
      <w:r>
        <w:rPr>
          <w:b/>
          <w:bCs/>
          <w:color w:val="051C2C"/>
        </w:rPr>
        <w:t xml:space="preserve">Persentase daerah berkapasitas minimal sedang berkisar dari </w:t>
      </w:r>
      <w:r>
        <w:rPr>
          <w:b/>
          <w:bCs/>
          <w:color w:val="051C2C"/>
        </w:rPr>
        <w:t xml:space="preserve">38,0%</w:t>
      </w:r>
      <w:r>
        <w:rPr>
          <w:b/>
          <w:bCs/>
          <w:color w:val="051C2C"/>
        </w:rPr>
        <w:t xml:space="preserve"> sampai </w:t>
      </w:r>
      <w:r>
        <w:rPr>
          <w:b/>
          <w:bCs/>
          <w:color w:val="051C2C"/>
        </w:rPr>
        <w:t xml:space="preserve">91,2%</w:t>
      </w:r>
      <w:r>
        <w:rPr>
          <w:b/>
          <w:bCs/>
          <w:color w:val="051C2C"/>
        </w:rPr>
        <w:t xml:space="preserve"> menurut alat ukur dan unit wilayah yang dipakai, sehingga angka-angka itu tidak dibandingkan langsung dan ditampilkan berdampingan pada </w:t>
      </w:r>
      <w:r>
        <w:rPr>
          <w:b/>
          <w:bCs/>
          <w:color w:val="051C2C"/>
        </w:rPr>
        <w:fldChar w:fldCharType="begin"/>
      </w:r>
      <w:r>
        <w:rPr>
          <w:b/>
          <w:bCs/>
          <w:color w:val="051C2C"/>
        </w:rPr>
        <w:instrText xml:space="preserve"> REF _Ref0285 \h \* CHARFORMAT </w:instrText>
      </w:r>
      <w:r>
        <w:rPr>
          <w:b/>
          <w:bCs/>
          <w:color w:val="051C2C"/>
        </w:rPr>
        <w:fldChar w:fldCharType="separate"/>
      </w:r>
      <w:r>
        <w:rPr>
          <w:b/>
          <w:bCs/>
          <w:color w:val="051C2C"/>
        </w:rPr>
        <w:t xml:space="preserve">Tabel 5.5</w:t>
      </w:r>
      <w:r>
        <w:rPr>
          <w:b/>
          <w:bCs/>
          <w:color w:val="051C2C"/>
        </w:rPr>
        <w:fldChar w:fldCharType="end"/>
      </w:r>
      <w:r>
        <w:rPr>
          <w:b/>
          <w:bCs/>
          <w:color w:val="051C2C"/>
        </w:rPr>
        <w:t xml:space="preserve">.</w:t>
      </w:r>
      <w:r>
        <w:t xml:space="preserve"> Hasil IKD 2025 per kab/kota menempatkan </w:t>
      </w:r>
      <w:r>
        <w:t xml:space="preserve">274</w:t>
      </w:r>
      <w:r>
        <w:t xml:space="preserve"> kab/kota pada kategori sedang dan </w:t>
      </w:r>
      <w:r>
        <w:t xml:space="preserve">15</w:t>
      </w:r>
      <w:r>
        <w:t xml:space="preserve"> pada kategori tinggi, atau </w:t>
      </w:r>
      <w:r>
        <w:t xml:space="preserve">56,2%</w:t>
      </w:r>
      <w:r>
        <w:t xml:space="preserve"> dari seluruh kab/kota, tetapi hanya </w:t>
      </w:r>
      <w:r>
        <w:t xml:space="preserve">469</w:t>
      </w:r>
      <w:r>
        <w:t xml:space="preserve"> kab/kota yang menilai pada 2025 </w:t>
      </w:r>
      <w:r>
        <w:t xml:space="preserve">(BNPB, 2026c, hlm. 22)</w:t>
      </w:r>
      <w:r>
        <w:t xml:space="preserve">. Dengan penyebut provinsi menurut Manual IKU, jarak ke target 2029 adalah </w:t>
      </w:r>
      <w:r>
        <w:t xml:space="preserve">40 poin persen</w:t>
      </w:r>
      <w:r>
        <w:t xml:space="preserve">. Dengan penyebut kab/kota, IKD 2025 masih kurang </w:t>
      </w:r>
      <w:r>
        <w:t xml:space="preserve">174 kab/kota</w:t>
      </w:r>
      <w:r>
        <w:t xml:space="preserve">, sedangkan kelas kapasitas KRB kurang </w:t>
      </w:r>
      <w:r>
        <w:t xml:space="preserve">265</w:t>
      </w:r>
      <w:r>
        <w:t xml:space="preserve"> kab/kota untuk mencapai </w:t>
      </w:r>
      <w:r>
        <w:t xml:space="preserve">458 kab/kota</w:t>
      </w:r>
      <w:r>
        <w:t xml:space="preserve">. Angka provinsi KRB </w:t>
      </w:r>
      <w:r>
        <w:t xml:space="preserve">91,2%</w:t>
      </w:r>
      <w:r>
        <w:t xml:space="preserve"> menunjukkan besarnya pengaruh pilihan unit, karena rerata provinsi dapat menutupi kab/kota berkapasitas rendah. Kelas KRB dapat diperiksa per kab/kota dari InaRISK, sedangkan IKD belum diisi semua daerah: menurut pejabat Kementerian Dalam Negeri dalam rapat 4 September 2025, </w:t>
      </w:r>
      <w:r>
        <w:t xml:space="preserve">79 daerah</w:t>
      </w:r>
      <w:r>
        <w:t xml:space="preserve"> belum menyusun IKD 2024 </w:t>
      </w:r>
      <w:r>
        <w:t xml:space="preserve">(Kemenko PMK, 2025a)</w:t>
      </w:r>
      <w:r>
        <w:t xml:space="preserve">. Siaran yang sama mencatat </w:t>
      </w:r>
      <w:r>
        <w:t xml:space="preserve">87 daerah</w:t>
      </w:r>
      <w:r>
        <w:t xml:space="preserve"> belum mengaktifkan KRB dan </w:t>
      </w:r>
      <w:r>
        <w:t xml:space="preserve">63 daerah</w:t>
      </w:r>
      <w:r>
        <w:t xml:space="preserve"> belum menuntaskan standar pelayanan minimal sub-urusan bencana.</w:t>
      </w:r>
    </w:p>
    <w:p>
      <w:pPr>
        <w:pStyle w:val="Caption"/>
      </w:pPr>
      <w:bookmarkStart w:id="242" w:name="_Toc00095"/>
      <w:bookmarkStart w:id="241" w:name="_Ref028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241"/>
      <w:r>
        <w:rPr>
          <w:b/>
          <w:bCs/>
          <w:color w:val="051C2C"/>
        </w:rPr>
        <w:t xml:space="preserve"> </w:t>
      </w:r>
      <w:r>
        <w:t xml:space="preserve">Persentase daerah berkapasitas penanggulangan bencana minimal sedang menurut alat ukur dan unit, Indonesia, 2022–2029 (persen)</w:t>
      </w:r>
      <w:bookmarkEnd w:id="2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20"/>
        <w:gridCol w:w="1149"/>
        <w:gridCol w:w="1127"/>
        <w:gridCol w:w="1669"/>
        <w:gridCol w:w="853"/>
        <w:gridCol w:w="1970"/>
        <w:gridCol w:w="1266"/>
      </w:tblGrid>
      <w:tr>
        <w:trPr>
          <w:cantSplit/>
          <w:tblHeader/>
        </w:trPr>
        <w:tc>
          <w:tcPr>
            <w:tcW w:w="1320" w:type="dxa"/>
            <w:shd w:val="clear" w:color="auto" w:fill="051C2C"/>
            <w:vAlign w:val="center"/>
          </w:tcPr>
          <w:p>
            <w:pPr>
              <w:pStyle w:val="KepalaTabel"/>
              <w:suppressAutoHyphens/>
            </w:pPr>
            <w:r>
              <w:t xml:space="preserve">ALAT</w:t>
            </w:r>
          </w:p>
        </w:tc>
        <w:tc>
          <w:tcPr>
            <w:tcW w:w="1149" w:type="dxa"/>
            <w:shd w:val="clear" w:color="auto" w:fill="051C2C"/>
            <w:vAlign w:val="center"/>
          </w:tcPr>
          <w:p>
            <w:pPr>
              <w:pStyle w:val="KepalaTabel"/>
              <w:suppressAutoHyphens/>
            </w:pPr>
            <w:r>
              <w:t xml:space="preserve">UNIT</w:t>
            </w:r>
          </w:p>
        </w:tc>
        <w:tc>
          <w:tcPr>
            <w:tcW w:w="1127" w:type="dxa"/>
            <w:shd w:val="clear" w:color="auto" w:fill="051C2C"/>
            <w:vAlign w:val="center"/>
          </w:tcPr>
          <w:p>
            <w:pPr>
              <w:pStyle w:val="KepalaTabel"/>
              <w:suppressAutoHyphens/>
            </w:pPr>
            <w:r>
              <w:t xml:space="preserve">TAHUN</w:t>
            </w:r>
          </w:p>
        </w:tc>
        <w:tc>
          <w:tcPr>
            <w:tcW w:w="1669" w:type="dxa"/>
            <w:shd w:val="clear" w:color="auto" w:fill="051C2C"/>
            <w:vAlign w:val="center"/>
          </w:tcPr>
          <w:p>
            <w:pPr>
              <w:pStyle w:val="KepalaTabel"/>
              <w:suppressAutoHyphens/>
            </w:pPr>
            <w:r>
              <w:t xml:space="preserve">PENYEBUT</w:t>
            </w:r>
          </w:p>
        </w:tc>
        <w:tc>
          <w:tcPr>
            <w:tcW w:w="853" w:type="dxa"/>
            <w:shd w:val="clear" w:color="auto" w:fill="051C2C"/>
            <w:vAlign w:val="center"/>
          </w:tcPr>
          <w:p>
            <w:pPr>
              <w:pStyle w:val="KepalaTabel"/>
              <w:suppressAutoHyphens/>
            </w:pPr>
            <w:r>
              <w:t xml:space="preserve">ANGKA</w:t>
            </w:r>
          </w:p>
        </w:tc>
        <w:tc>
          <w:tcPr>
            <w:tcW w:w="1970" w:type="dxa"/>
            <w:shd w:val="clear" w:color="auto" w:fill="051C2C"/>
            <w:vAlign w:val="center"/>
          </w:tcPr>
          <w:p>
            <w:pPr>
              <w:pStyle w:val="KepalaTabel"/>
              <w:suppressAutoHyphens/>
            </w:pPr>
            <w:r>
              <w:t xml:space="preserve">SUMBER</w:t>
            </w:r>
          </w:p>
        </w:tc>
        <w:tc>
          <w:tcPr>
            <w:tcW w:w="1266" w:type="dxa"/>
            <w:shd w:val="clear" w:color="auto" w:fill="051C2C"/>
            <w:vAlign w:val="center"/>
          </w:tcPr>
          <w:p>
            <w:pPr>
              <w:pStyle w:val="KepalaTabel"/>
              <w:suppressAutoHyphens/>
            </w:pPr>
            <w:r>
              <w:t xml:space="preserve">KEYAKINAN</w:t>
            </w:r>
          </w:p>
        </w:tc>
      </w:tr>
      <w:tr>
        <w:trPr>
          <w:cantSplit/>
        </w:trPr>
        <w:tc>
          <w:tcPr>
            <w:tcW w:w="1320" w:type="dxa"/>
          </w:tcPr>
          <w:p>
            <w:pPr>
              <w:pStyle w:val="IsiTabel"/>
              <w:suppressAutoHyphens/>
              <w:jc w:val="left"/>
            </w:pPr>
            <w:r>
              <w:t xml:space="preserve">Indikator RPJMN, baseline</w:t>
            </w:r>
          </w:p>
        </w:tc>
        <w:tc>
          <w:tcPr>
            <w:tcW w:w="1149" w:type="dxa"/>
          </w:tcPr>
          <w:p>
            <w:pPr>
              <w:pStyle w:val="IsiTabel"/>
              <w:suppressAutoHyphens/>
              <w:jc w:val="left"/>
            </w:pPr>
            <w:r>
              <w:t xml:space="preserve">daerah</w:t>
            </w:r>
          </w:p>
        </w:tc>
        <w:tc>
          <w:tcPr>
            <w:tcW w:w="1127" w:type="dxa"/>
          </w:tcPr>
          <w:p>
            <w:pPr>
              <w:pStyle w:val="IsiTabel"/>
              <w:suppressAutoHyphens/>
              <w:jc w:val="left"/>
            </w:pPr>
            <w:r>
              <w:t xml:space="preserve">2023</w:t>
            </w:r>
          </w:p>
        </w:tc>
        <w:tc>
          <w:tcPr>
            <w:tcW w:w="1669" w:type="dxa"/>
          </w:tcPr>
          <w:p>
            <w:pPr>
              <w:pStyle w:val="IsiTabel"/>
              <w:suppressAutoHyphens/>
              <w:jc w:val="left"/>
            </w:pPr>
            <w:r>
              <w:t xml:space="preserve">tidak didefinisikan</w:t>
            </w:r>
          </w:p>
        </w:tc>
        <w:tc>
          <w:tcPr>
            <w:tcW w:w="853" w:type="dxa"/>
          </w:tcPr>
          <w:p>
            <w:pPr>
              <w:pStyle w:val="IsiTabel"/>
              <w:suppressAutoHyphens/>
              <w:jc w:val="right"/>
            </w:pPr>
            <w:r>
              <w:t xml:space="preserve">62%</w:t>
            </w:r>
          </w:p>
        </w:tc>
        <w:tc>
          <w:tcPr>
            <w:tcW w:w="1970" w:type="dxa"/>
          </w:tcPr>
          <w:p>
            <w:pPr>
              <w:pStyle w:val="IsiTabel"/>
              <w:suppressAutoHyphens/>
              <w:jc w:val="left"/>
            </w:pPr>
            <w:r>
              <w:t xml:space="preserve">RPJMN Lampiran III hlm. 913</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Renstra, target</w:t>
            </w:r>
          </w:p>
        </w:tc>
        <w:tc>
          <w:tcPr>
            <w:tcW w:w="1149" w:type="dxa"/>
          </w:tcPr>
          <w:p>
            <w:pPr>
              <w:pStyle w:val="IsiTabel"/>
              <w:suppressAutoHyphens/>
              <w:jc w:val="left"/>
            </w:pPr>
            <w:r>
              <w:t xml:space="preserve">daerah</w:t>
            </w:r>
          </w:p>
        </w:tc>
        <w:tc>
          <w:tcPr>
            <w:tcW w:w="1127" w:type="dxa"/>
          </w:tcPr>
          <w:p>
            <w:pPr>
              <w:pStyle w:val="IsiTabel"/>
              <w:suppressAutoHyphens/>
              <w:jc w:val="left"/>
            </w:pPr>
            <w:r>
              <w:t xml:space="preserve">2025</w:t>
            </w:r>
          </w:p>
        </w:tc>
        <w:tc>
          <w:tcPr>
            <w:tcW w:w="1669" w:type="dxa"/>
          </w:tcPr>
          <w:p>
            <w:pPr>
              <w:pStyle w:val="IsiTabel"/>
              <w:suppressAutoHyphens/>
              <w:jc w:val="left"/>
            </w:pPr>
            <w:r>
              <w:t xml:space="preserve">tidak didefinisikan</w:t>
            </w:r>
          </w:p>
        </w:tc>
        <w:tc>
          <w:tcPr>
            <w:tcW w:w="853" w:type="dxa"/>
          </w:tcPr>
          <w:p>
            <w:pPr>
              <w:pStyle w:val="IsiTabel"/>
              <w:suppressAutoHyphens/>
              <w:jc w:val="right"/>
            </w:pPr>
            <w:r>
              <w:t xml:space="preserve">67%</w:t>
            </w:r>
          </w:p>
        </w:tc>
        <w:tc>
          <w:tcPr>
            <w:tcW w:w="1970" w:type="dxa"/>
          </w:tcPr>
          <w:p>
            <w:pPr>
              <w:pStyle w:val="IsiTabel"/>
              <w:suppressAutoHyphens/>
              <w:jc w:val="left"/>
            </w:pPr>
            <w:r>
              <w:t xml:space="preserve">Renstra hlm. 125, 132</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Renstra, capaian menurut Manual IKU (IKD)</w:t>
            </w:r>
          </w:p>
        </w:tc>
        <w:tc>
          <w:tcPr>
            <w:tcW w:w="1149" w:type="dxa"/>
          </w:tcPr>
          <w:p>
            <w:pPr>
              <w:pStyle w:val="IsiTabel"/>
              <w:suppressAutoHyphens/>
              <w:jc w:val="left"/>
            </w:pPr>
            <w:r>
              <w:t xml:space="preserve">provinsi</w:t>
            </w:r>
          </w:p>
        </w:tc>
        <w:tc>
          <w:tcPr>
            <w:tcW w:w="1127" w:type="dxa"/>
          </w:tcPr>
          <w:p>
            <w:pPr>
              <w:pStyle w:val="IsiTabel"/>
              <w:suppressAutoHyphens/>
              <w:jc w:val="left"/>
            </w:pPr>
            <w:r>
              <w:t xml:space="preserve">2025</w:t>
            </w:r>
          </w:p>
        </w:tc>
        <w:tc>
          <w:tcPr>
            <w:tcW w:w="1669" w:type="dxa"/>
          </w:tcPr>
          <w:p>
            <w:pPr>
              <w:pStyle w:val="IsiTabel"/>
              <w:suppressAutoHyphens/>
              <w:jc w:val="left"/>
            </w:pPr>
            <w:r>
              <w:t xml:space="preserve">provinsi</w:t>
            </w:r>
          </w:p>
        </w:tc>
        <w:tc>
          <w:tcPr>
            <w:tcW w:w="853" w:type="dxa"/>
          </w:tcPr>
          <w:p>
            <w:pPr>
              <w:pStyle w:val="IsiTabel"/>
              <w:suppressAutoHyphens/>
              <w:jc w:val="right"/>
            </w:pPr>
            <w:r>
              <w:t xml:space="preserve">50%</w:t>
            </w:r>
          </w:p>
        </w:tc>
        <w:tc>
          <w:tcPr>
            <w:tcW w:w="1970" w:type="dxa"/>
          </w:tcPr>
          <w:p>
            <w:pPr>
              <w:pStyle w:val="IsiTabel"/>
              <w:suppressAutoHyphens/>
              <w:jc w:val="left"/>
            </w:pPr>
            <w:r>
              <w:t xml:space="preserve">LKIP BNPB 2025 hlm. x, 20</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Renstra, target</w:t>
            </w:r>
          </w:p>
        </w:tc>
        <w:tc>
          <w:tcPr>
            <w:tcW w:w="1149" w:type="dxa"/>
          </w:tcPr>
          <w:p>
            <w:pPr>
              <w:pStyle w:val="IsiTabel"/>
              <w:suppressAutoHyphens/>
              <w:jc w:val="left"/>
            </w:pPr>
            <w:r>
              <w:t xml:space="preserve">daerah</w:t>
            </w:r>
          </w:p>
        </w:tc>
        <w:tc>
          <w:tcPr>
            <w:tcW w:w="1127" w:type="dxa"/>
          </w:tcPr>
          <w:p>
            <w:pPr>
              <w:pStyle w:val="IsiTabel"/>
              <w:suppressAutoHyphens/>
              <w:jc w:val="left"/>
            </w:pPr>
            <w:r>
              <w:t xml:space="preserve">2026</w:t>
            </w:r>
          </w:p>
        </w:tc>
        <w:tc>
          <w:tcPr>
            <w:tcW w:w="1669" w:type="dxa"/>
          </w:tcPr>
          <w:p>
            <w:pPr>
              <w:pStyle w:val="IsiTabel"/>
              <w:suppressAutoHyphens/>
              <w:jc w:val="left"/>
            </w:pPr>
            <w:r>
              <w:t xml:space="preserve">tidak didefinisikan</w:t>
            </w:r>
          </w:p>
        </w:tc>
        <w:tc>
          <w:tcPr>
            <w:tcW w:w="853" w:type="dxa"/>
          </w:tcPr>
          <w:p>
            <w:pPr>
              <w:pStyle w:val="IsiTabel"/>
              <w:suppressAutoHyphens/>
              <w:jc w:val="right"/>
            </w:pPr>
            <w:r>
              <w:t xml:space="preserve">73%</w:t>
            </w:r>
          </w:p>
        </w:tc>
        <w:tc>
          <w:tcPr>
            <w:tcW w:w="1970" w:type="dxa"/>
          </w:tcPr>
          <w:p>
            <w:pPr>
              <w:pStyle w:val="IsiTabel"/>
              <w:suppressAutoHyphens/>
              <w:jc w:val="left"/>
            </w:pPr>
            <w:r>
              <w:t xml:space="preserve">Renstra hlm. 132</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RPJMN dan Renstra, target</w:t>
            </w:r>
          </w:p>
        </w:tc>
        <w:tc>
          <w:tcPr>
            <w:tcW w:w="1149" w:type="dxa"/>
          </w:tcPr>
          <w:p>
            <w:pPr>
              <w:pStyle w:val="IsiTabel"/>
              <w:suppressAutoHyphens/>
              <w:jc w:val="left"/>
            </w:pPr>
            <w:r>
              <w:t xml:space="preserve">kab/kota menurut siaran Kemenko PMK</w:t>
            </w:r>
          </w:p>
        </w:tc>
        <w:tc>
          <w:tcPr>
            <w:tcW w:w="1127" w:type="dxa"/>
          </w:tcPr>
          <w:p>
            <w:pPr>
              <w:pStyle w:val="IsiTabel"/>
              <w:suppressAutoHyphens/>
              <w:jc w:val="left"/>
            </w:pPr>
            <w:r>
              <w:t xml:space="preserve">2029</w:t>
            </w:r>
          </w:p>
        </w:tc>
        <w:tc>
          <w:tcPr>
            <w:tcW w:w="1669" w:type="dxa"/>
          </w:tcPr>
          <w:p>
            <w:pPr>
              <w:pStyle w:val="IsiTabel"/>
              <w:suppressAutoHyphens/>
              <w:jc w:val="left"/>
            </w:pPr>
            <w:r>
              <w:t xml:space="preserve">tidak didefinisikan di Renstra</w:t>
            </w:r>
          </w:p>
        </w:tc>
        <w:tc>
          <w:tcPr>
            <w:tcW w:w="853" w:type="dxa"/>
          </w:tcPr>
          <w:p>
            <w:pPr>
              <w:pStyle w:val="IsiTabel"/>
              <w:suppressAutoHyphens/>
              <w:jc w:val="right"/>
            </w:pPr>
            <w:r>
              <w:t xml:space="preserve">90%</w:t>
            </w:r>
          </w:p>
        </w:tc>
        <w:tc>
          <w:tcPr>
            <w:tcW w:w="1970" w:type="dxa"/>
          </w:tcPr>
          <w:p>
            <w:pPr>
              <w:pStyle w:val="IsiTabel"/>
              <w:suppressAutoHyphens/>
              <w:jc w:val="left"/>
            </w:pPr>
            <w:r>
              <w:t xml:space="preserve">RPJMN; Renstra; siaran Kemenko PMK</w:t>
            </w:r>
          </w:p>
        </w:tc>
        <w:tc>
          <w:tcPr>
            <w:tcW w:w="1266" w:type="dxa"/>
          </w:tcPr>
          <w:p>
            <w:pPr>
              <w:pStyle w:val="IsiTabel"/>
              <w:suppressAutoHyphens/>
              <w:jc w:val="left"/>
            </w:pPr>
            <w:r>
              <w:rPr>
                <w:b/>
                <w:bCs/>
                <w:color w:val="FFFFFF"/>
                <w:sz w:val="16"/>
                <w:szCs w:val="16"/>
                <w:shd w:val="clear" w:color="auto" w:fill="051C2C"/>
              </w:rPr>
              <w:t xml:space="preserve">  Resmi, terverifikasi (penyebut)  </w:t>
            </w:r>
          </w:p>
        </w:tc>
      </w:tr>
      <w:tr>
        <w:trPr>
          <w:cantSplit/>
        </w:trPr>
        <w:tc>
          <w:tcPr>
            <w:tcW w:w="1320" w:type="dxa"/>
          </w:tcPr>
          <w:p>
            <w:pPr>
              <w:pStyle w:val="IsiTabel"/>
              <w:keepNext/>
              <w:suppressAutoHyphens/>
              <w:jc w:val="left"/>
            </w:pPr>
            <w:bookmarkStart w:id="243" w:name="_Ekor024a"/>
            <w:bookmarkEnd w:id="243"/>
            <w:r>
              <w:t xml:space="preserve">IKD kab/kota</w:t>
            </w:r>
          </w:p>
        </w:tc>
        <w:tc>
          <w:tcPr>
            <w:tcW w:w="1149" w:type="dxa"/>
          </w:tcPr>
          <w:p>
            <w:pPr>
              <w:pStyle w:val="IsiTabel"/>
              <w:keepNext/>
              <w:suppressAutoHyphens/>
              <w:jc w:val="left"/>
            </w:pPr>
            <w:r>
              <w:t xml:space="preserve">kab/kota</w:t>
            </w:r>
          </w:p>
        </w:tc>
        <w:tc>
          <w:tcPr>
            <w:tcW w:w="1127" w:type="dxa"/>
          </w:tcPr>
          <w:p>
            <w:pPr>
              <w:pStyle w:val="IsiTabel"/>
              <w:keepNext/>
              <w:suppressAutoHyphens/>
              <w:jc w:val="left"/>
            </w:pPr>
            <w:r>
              <w:t xml:space="preserve">2025</w:t>
            </w:r>
          </w:p>
        </w:tc>
        <w:tc>
          <w:tcPr>
            <w:tcW w:w="1669" w:type="dxa"/>
          </w:tcPr>
          <w:p>
            <w:pPr>
              <w:pStyle w:val="IsiTabel"/>
              <w:keepNext/>
              <w:suppressAutoHyphens/>
              <w:jc w:val="left"/>
            </w:pPr>
            <w:r>
              <w:t xml:space="preserve">seluruh kab/kota</w:t>
            </w:r>
          </w:p>
        </w:tc>
        <w:tc>
          <w:tcPr>
            <w:tcW w:w="853" w:type="dxa"/>
          </w:tcPr>
          <w:p>
            <w:pPr>
              <w:pStyle w:val="IsiTabel"/>
              <w:keepNext/>
              <w:suppressAutoHyphens/>
              <w:jc w:val="right"/>
            </w:pPr>
            <w:r>
              <w:t xml:space="preserve">56,2%</w:t>
            </w:r>
          </w:p>
        </w:tc>
        <w:tc>
          <w:tcPr>
            <w:tcW w:w="1970" w:type="dxa"/>
          </w:tcPr>
          <w:p>
            <w:pPr>
              <w:pStyle w:val="IsiTabel"/>
              <w:keepNext/>
              <w:suppressAutoHyphens/>
              <w:jc w:val="left"/>
            </w:pPr>
            <w:r>
              <w:t xml:space="preserve">LKIP BNPB 2025 hlm. 22</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20" w:type="dxa"/>
          </w:tcPr>
          <w:p>
            <w:pPr>
              <w:pStyle w:val="IsiTabel"/>
              <w:keepNext/>
              <w:suppressAutoHyphens/>
              <w:jc w:val="left"/>
            </w:pPr>
            <w:r>
              <w:t xml:space="preserve">Kelas kapasitas KRB</w:t>
            </w:r>
          </w:p>
        </w:tc>
        <w:tc>
          <w:tcPr>
            <w:tcW w:w="1149" w:type="dxa"/>
          </w:tcPr>
          <w:p>
            <w:pPr>
              <w:pStyle w:val="IsiTabel"/>
              <w:keepNext/>
              <w:suppressAutoHyphens/>
              <w:jc w:val="left"/>
            </w:pPr>
            <w:r>
              <w:t xml:space="preserve">kab/kota</w:t>
            </w:r>
          </w:p>
        </w:tc>
        <w:tc>
          <w:tcPr>
            <w:tcW w:w="1127" w:type="dxa"/>
          </w:tcPr>
          <w:p>
            <w:pPr>
              <w:pStyle w:val="IsiTabel"/>
              <w:keepNext/>
              <w:suppressAutoHyphens/>
              <w:jc w:val="left"/>
            </w:pPr>
            <w:r>
              <w:t xml:space="preserve">2022–2026</w:t>
            </w:r>
          </w:p>
        </w:tc>
        <w:tc>
          <w:tcPr>
            <w:tcW w:w="1669" w:type="dxa"/>
          </w:tcPr>
          <w:p>
            <w:pPr>
              <w:pStyle w:val="IsiTabel"/>
              <w:keepNext/>
              <w:suppressAutoHyphens/>
              <w:jc w:val="left"/>
            </w:pPr>
            <w:r>
              <w:t xml:space="preserve">508 kab/kota</w:t>
            </w:r>
          </w:p>
        </w:tc>
        <w:tc>
          <w:tcPr>
            <w:tcW w:w="853" w:type="dxa"/>
          </w:tcPr>
          <w:p>
            <w:pPr>
              <w:pStyle w:val="IsiTabel"/>
              <w:keepNext/>
              <w:suppressAutoHyphens/>
              <w:jc w:val="right"/>
            </w:pPr>
            <w:r>
              <w:t xml:space="preserve">38,0%</w:t>
            </w:r>
          </w:p>
        </w:tc>
        <w:tc>
          <w:tcPr>
            <w:tcW w:w="1970" w:type="dxa"/>
          </w:tcPr>
          <w:p>
            <w:pPr>
              <w:pStyle w:val="IsiTabel"/>
              <w:keepNext/>
              <w:suppressAutoHyphens/>
              <w:jc w:val="left"/>
            </w:pPr>
            <w:r>
              <w:t xml:space="preserve">InaRISK BNPB</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20" w:type="dxa"/>
          </w:tcPr>
          <w:p>
            <w:pPr>
              <w:pStyle w:val="IsiTabel"/>
              <w:keepNext/>
              <w:suppressAutoHyphens/>
              <w:jc w:val="left"/>
            </w:pPr>
            <w:r>
              <w:t xml:space="preserve">Kelas kapasitas KRB</w:t>
            </w:r>
          </w:p>
        </w:tc>
        <w:tc>
          <w:tcPr>
            <w:tcW w:w="1149" w:type="dxa"/>
          </w:tcPr>
          <w:p>
            <w:pPr>
              <w:pStyle w:val="IsiTabel"/>
              <w:keepNext/>
              <w:suppressAutoHyphens/>
              <w:jc w:val="left"/>
            </w:pPr>
            <w:r>
              <w:t xml:space="preserve">kecamatan</w:t>
            </w:r>
          </w:p>
        </w:tc>
        <w:tc>
          <w:tcPr>
            <w:tcW w:w="1127" w:type="dxa"/>
          </w:tcPr>
          <w:p>
            <w:pPr>
              <w:pStyle w:val="IsiTabel"/>
              <w:keepNext/>
              <w:suppressAutoHyphens/>
              <w:jc w:val="left"/>
            </w:pPr>
            <w:r>
              <w:t xml:space="preserve">2022–2026</w:t>
            </w:r>
          </w:p>
        </w:tc>
        <w:tc>
          <w:tcPr>
            <w:tcW w:w="1669" w:type="dxa"/>
          </w:tcPr>
          <w:p>
            <w:pPr>
              <w:pStyle w:val="IsiTabel"/>
              <w:keepNext/>
              <w:suppressAutoHyphens/>
              <w:jc w:val="left"/>
            </w:pPr>
            <w:r>
              <w:t xml:space="preserve">kecamatan dinilai</w:t>
            </w:r>
          </w:p>
        </w:tc>
        <w:tc>
          <w:tcPr>
            <w:tcW w:w="853" w:type="dxa"/>
          </w:tcPr>
          <w:p>
            <w:pPr>
              <w:pStyle w:val="IsiTabel"/>
              <w:keepNext/>
              <w:suppressAutoHyphens/>
              <w:jc w:val="right"/>
            </w:pPr>
            <w:r>
              <w:t xml:space="preserve">42,5%</w:t>
            </w:r>
          </w:p>
        </w:tc>
        <w:tc>
          <w:tcPr>
            <w:tcW w:w="1970" w:type="dxa"/>
          </w:tcPr>
          <w:p>
            <w:pPr>
              <w:pStyle w:val="IsiTabel"/>
              <w:keepNext/>
              <w:suppressAutoHyphens/>
              <w:jc w:val="left"/>
            </w:pPr>
            <w:r>
              <w:t xml:space="preserve">InaRISK BNPB</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20" w:type="dxa"/>
          </w:tcPr>
          <w:p>
            <w:pPr>
              <w:pStyle w:val="IsiTabel"/>
              <w:keepNext/>
              <w:suppressAutoHyphens/>
              <w:jc w:val="left"/>
            </w:pPr>
            <w:bookmarkStart w:id="244" w:name="_Ekor024z"/>
            <w:bookmarkEnd w:id="244"/>
            <w:r>
              <w:t xml:space="preserve">Kelas kapasitas KRB</w:t>
            </w:r>
          </w:p>
        </w:tc>
        <w:tc>
          <w:tcPr>
            <w:tcW w:w="1149" w:type="dxa"/>
          </w:tcPr>
          <w:p>
            <w:pPr>
              <w:pStyle w:val="IsiTabel"/>
              <w:keepNext/>
              <w:suppressAutoHyphens/>
              <w:jc w:val="left"/>
            </w:pPr>
            <w:r>
              <w:t xml:space="preserve">provinsi</w:t>
            </w:r>
          </w:p>
        </w:tc>
        <w:tc>
          <w:tcPr>
            <w:tcW w:w="1127" w:type="dxa"/>
          </w:tcPr>
          <w:p>
            <w:pPr>
              <w:pStyle w:val="IsiTabel"/>
              <w:keepNext/>
              <w:suppressAutoHyphens/>
              <w:jc w:val="left"/>
            </w:pPr>
            <w:r>
              <w:t xml:space="preserve">2022–2026</w:t>
            </w:r>
          </w:p>
        </w:tc>
        <w:tc>
          <w:tcPr>
            <w:tcW w:w="1669" w:type="dxa"/>
          </w:tcPr>
          <w:p>
            <w:pPr>
              <w:pStyle w:val="IsiTabel"/>
              <w:keepNext/>
              <w:suppressAutoHyphens/>
              <w:jc w:val="left"/>
            </w:pPr>
            <w:r>
              <w:t xml:space="preserve">34 provinsi</w:t>
            </w:r>
            <w:r>
              <w:t xml:space="preserve"> lama</w:t>
            </w:r>
          </w:p>
        </w:tc>
        <w:tc>
          <w:tcPr>
            <w:tcW w:w="853" w:type="dxa"/>
          </w:tcPr>
          <w:p>
            <w:pPr>
              <w:pStyle w:val="IsiTabel"/>
              <w:keepNext/>
              <w:suppressAutoHyphens/>
              <w:jc w:val="right"/>
            </w:pPr>
            <w:r>
              <w:t xml:space="preserve">91,2%</w:t>
            </w:r>
          </w:p>
        </w:tc>
        <w:tc>
          <w:tcPr>
            <w:tcW w:w="1970" w:type="dxa"/>
          </w:tcPr>
          <w:p>
            <w:pPr>
              <w:pStyle w:val="IsiTabel"/>
              <w:keepNext/>
              <w:suppressAutoHyphens/>
              <w:jc w:val="left"/>
            </w:pPr>
            <w:r>
              <w:t xml:space="preserve">Renas PB Tabel 2.7 hlm. 25</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RPJMN 2025–2029 Lampiran III; Renstra BNPB 2025–2029; LKIP BNPB 2025; Renas PB 2025–2029 Tabel 2.7; InaRISK BNPB, KRB 2022–2026; Kemenko PMK, siaran 12 September 2025</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Penyebut indikator RPJMN dan Renstra tidak didefinisikan di Renstra; Manual IKU (Kepka BNPB 318/2025) memakai provinsi, sedangkan siaran Kemenko PMK menyebut kab/kota (terverifikasi, siaran pers). Persentase IKD kab/kota 2025 dihitung dari jumlah kategori di LKIP terhadap seluruh kab/kota.</w:t>
      </w:r>
    </w:p>
    <w:p>
      <w:pPr>
        <w:pStyle w:val="IsiTemuan"/>
      </w:pPr>
      <w:r>
        <w:rPr>
          <w:b/>
          <w:bCs/>
          <w:color w:val="051C2C"/>
        </w:rPr>
        <w:t xml:space="preserve">Sebanyak </w:t>
      </w:r>
      <w:r>
        <w:rPr>
          <w:b/>
          <w:bCs/>
          <w:color w:val="051C2C"/>
        </w:rPr>
        <w:t xml:space="preserve">148</w:t>
      </w:r>
      <w:r>
        <w:rPr>
          <w:b/>
          <w:bCs/>
          <w:color w:val="051C2C"/>
        </w:rPr>
        <w:t xml:space="preserve"> kab/kota sekaligus berkapasitas rendah menurut KRB dan berstatus Tinggi pada IRBI 2025, dengan penduduk </w:t>
      </w:r>
      <w:r>
        <w:rPr>
          <w:b/>
          <w:bCs/>
          <w:color w:val="051C2C"/>
        </w:rPr>
        <w:t xml:space="preserve">34,5 juta jiwa</w:t>
      </w:r>
      <w:r>
        <w:rPr>
          <w:b/>
          <w:bCs/>
          <w:color w:val="051C2C"/>
        </w:rPr>
        <w:t xml:space="preserve"> menurut WorldPop 2026.</w:t>
      </w:r>
      <w:r>
        <w:t xml:space="preserve"> Silang ini menjadi bahan sasaran kapasitas berbasis wilayah di Bab 11 </w:t>
      </w:r>
      <w:r>
        <w:t xml:space="preserve">(BNPB, 2026j, t.t.-b; WorldPop, 2025)</w:t>
      </w:r>
      <w:r>
        <w:t xml:space="preserve">. Status IRBI sendiri dipengaruhi kapasitas, sehingga kedua ukuran itu tidak dibaca sebagai dua bukti bebas. Perka BNPB 3/2012 tentang Panduan Penilaian Kapasitas Daerah dalam Penanggulangan Bencana berstatus berlaku, tetapi teksnya belum tersedia di Jaringan Dokumentasi dan Informasi Hukum BNPB, sehingga perka itu tidak disebut sebagai dasar IKD dan ambang kelas IKD tidak dikutip </w:t>
      </w:r>
      <w:r>
        <w:t xml:space="preserve">(BNPB, 2012c)</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 atas ukuran risiko dan kapasitas</w:t>
            </w:r>
          </w:p>
          <w:p>
            <w:pPr>
              <w:pStyle w:val="DaftarKotak"/>
              <w:numPr>
                <w:ilvl w:val="0"/>
                <w:numId w:val="1"/>
              </w:numPr>
            </w:pPr>
            <w:r>
              <w:t xml:space="preserve">Memilih penyebut alat ukur kapasitas daerah untuk sasaran </w:t>
            </w:r>
            <w:r>
              <w:t xml:space="preserve">90%</w:t>
            </w:r>
            <w:r>
              <w:t xml:space="preserve"> pada 2029, paling lambat lewat evaluasi tahun ketiga Renstra 2027 (</w:t>
            </w:r>
            <w:r>
              <w:fldChar w:fldCharType="begin"/>
            </w:r>
            <w:r>
              <w:instrText xml:space="preserve"> REF _Ref0089 \h \* CHARFORMAT </w:instrText>
            </w:r>
            <w:r>
              <w:fldChar w:fldCharType="separate"/>
            </w:r>
            <w:r>
              <w:t xml:space="preserve">35</w:t>
            </w:r>
            <w:r>
              <w:fldChar w:fldCharType="end"/>
            </w:r>
            <w:r>
              <w:t xml:space="preserve">).</w:t>
            </w:r>
          </w:p>
          <w:p>
            <w:pPr>
              <w:pStyle w:val="DaftarKotak"/>
              <w:numPr>
                <w:ilvl w:val="1"/>
                <w:numId w:val="1"/>
              </w:numPr>
            </w:pPr>
            <w:r>
              <w:t xml:space="preserve">Bila Manual IKU dipertahankan: porsi provinsi berkategori IKD minimal sedang, </w:t>
            </w:r>
            <w:r>
              <w:t xml:space="preserve">50%</w:t>
            </w:r>
            <w:r>
              <w:t xml:space="preserve"> pada 2025 dengan jarak </w:t>
            </w:r>
            <w:r>
              <w:t xml:space="preserve">40 poin persen</w:t>
            </w:r>
            <w:r>
              <w:t xml:space="preserve">; ukurannya sederhana, tetapi rerata provinsi dapat menutupi kab/kota berkapasitas rendah.</w:t>
            </w:r>
          </w:p>
          <w:p>
            <w:pPr>
              <w:pStyle w:val="DaftarKotak"/>
              <w:numPr>
                <w:ilvl w:val="1"/>
                <w:numId w:val="1"/>
              </w:numPr>
            </w:pPr>
            <w:r>
              <w:t xml:space="preserve">Bila penyebut diganti ke kab/kota: </w:t>
            </w:r>
            <w:r>
              <w:t xml:space="preserve">56,2%</w:t>
            </w:r>
            <w:r>
              <w:t xml:space="preserve"> menurut IKD 2025 atau </w:t>
            </w:r>
            <w:r>
              <w:t xml:space="preserve">38,0%</w:t>
            </w:r>
            <w:r>
              <w:t xml:space="preserve"> menurut kelas kapasitas KRB; ukurannya lebih dekat ke lokasi korban, tetapi baru </w:t>
            </w:r>
            <w:r>
              <w:t xml:space="preserve">469</w:t>
            </w:r>
            <w:r>
              <w:t xml:space="preserve"> kab/kota yang menilai IKD 2025.</w:t>
            </w:r>
          </w:p>
        </w:tc>
      </w:tr>
    </w:tbl>
    <w:p>
      <w:pPr>
        <w:pStyle w:val="Jarak"/>
      </w:pPr>
    </w:p>
    <w:p>
      <w:pPr>
        <w:pStyle w:val="Heading2"/>
      </w:pPr>
      <w:bookmarkStart w:id="246" w:name="_Toc00096"/>
      <w:bookmarkStart w:id="245" w:name="_Ref0166"/>
      <w:r>
        <w:t xml:space="preserve">5.7</w:t>
      </w:r>
      <w:bookmarkEnd w:id="245"/>
      <w:r>
        <w:tab/>
      </w:r>
      <w:r>
        <w:t xml:space="preserve">Keterpaparan Penduduk dan Aset</w:t>
      </w:r>
      <w:bookmarkEnd w:id="246"/>
    </w:p>
    <w:p>
      <w:pPr>
        <w:pStyle w:val="IsiTemuan"/>
      </w:pPr>
      <w:r>
        <w:rPr>
          <w:b/>
          <w:bCs/>
          <w:color w:val="051C2C"/>
        </w:rPr>
        <w:t xml:space="preserve">KRB 2022–2026 mencatat potensi penduduk terpapar banjir </w:t>
      </w:r>
      <w:r>
        <w:rPr>
          <w:b/>
          <w:bCs/>
          <w:color w:val="051C2C"/>
        </w:rPr>
        <w:t xml:space="preserve">113,8 juta jiwa</w:t>
      </w:r>
      <w:r>
        <w:rPr>
          <w:b/>
          <w:bCs/>
          <w:color w:val="051C2C"/>
        </w:rPr>
        <w:t xml:space="preserve">, likuefaksi </w:t>
      </w:r>
      <w:r>
        <w:rPr>
          <w:b/>
          <w:bCs/>
          <w:color w:val="051C2C"/>
        </w:rPr>
        <w:t xml:space="preserve">86,7 juta</w:t>
      </w:r>
      <w:r>
        <w:rPr>
          <w:b/>
          <w:bCs/>
          <w:color w:val="051C2C"/>
        </w:rPr>
        <w:t xml:space="preserve">, dan tanah longsor </w:t>
      </w:r>
      <w:r>
        <w:rPr>
          <w:b/>
          <w:bCs/>
          <w:color w:val="051C2C"/>
        </w:rPr>
        <w:t xml:space="preserve">25,3 juta</w:t>
      </w:r>
      <w:r>
        <w:rPr>
          <w:b/>
          <w:bCs/>
          <w:color w:val="051C2C"/>
        </w:rPr>
        <w:t xml:space="preserve">.</w:t>
      </w:r>
      <w:r>
        <w:t xml:space="preserve"> Gunung api memapar </w:t>
      </w:r>
      <w:r>
        <w:t xml:space="preserve">5,9 juta</w:t>
      </w:r>
      <w:r>
        <w:t xml:space="preserve"> jiwa dan tsunami </w:t>
      </w:r>
      <w:r>
        <w:t xml:space="preserve">5,3 juta</w:t>
      </w:r>
      <w:r>
        <w:t xml:space="preserve"> jiwa </w:t>
      </w:r>
      <w:r>
        <w:t xml:space="preserve">(BNPB, 2025c, hlm. 24)</w:t>
      </w:r>
      <w:r>
        <w:t xml:space="preserve">. Gempa bumi dan kekeringan memapar praktis seluruh penduduk, begitu pula kategori COVID-19 dan epidemi, karena angka ketiganya melebihi penduduk wilayah data InaRISK sebesar </w:t>
      </w:r>
      <w:r>
        <w:t xml:space="preserve">271,7 juta jiwa</w:t>
      </w:r>
      <w:r>
        <w:t xml:space="preserve"> </w:t>
      </w:r>
      <w:r>
        <w:t xml:space="preserve">(BNPB, 2026j)</w:t>
      </w:r>
      <w:r>
        <w:t xml:space="preserve">. Angka per bahaya dan potensi kerugian tampil pada </w:t>
      </w:r>
      <w:r>
        <w:fldChar w:fldCharType="begin"/>
      </w:r>
      <w:r>
        <w:instrText xml:space="preserve"> REF _Ref0302 \h \* CHARFORMAT </w:instrText>
      </w:r>
      <w:r>
        <w:fldChar w:fldCharType="separate"/>
      </w:r>
      <w:r>
        <w:t xml:space="preserve">Tabel 5.6</w:t>
      </w:r>
      <w:r>
        <w:fldChar w:fldCharType="end"/>
      </w:r>
      <w:r>
        <w:t xml:space="preserve">. Jawa memuat </w:t>
      </w:r>
      <w:r>
        <w:t xml:space="preserve">55,5%</w:t>
      </w:r>
      <w:r>
        <w:t xml:space="preserve"> penduduk terpapar banjir dan </w:t>
      </w:r>
      <w:r>
        <w:t xml:space="preserve">51,8%</w:t>
      </w:r>
      <w:r>
        <w:t xml:space="preserve"> penduduk terpapar longsor, sebanding dengan porsi penduduknya. Keterpaparan geologi per kab/kota belum ditarik ke paket data, sehingga hanya angka nasionalnya yang dipakai.</w:t>
      </w:r>
    </w:p>
    <w:p>
      <w:pPr>
        <w:pStyle w:val="IsiTemuan"/>
      </w:pPr>
      <w:r>
        <w:rPr>
          <w:b/>
          <w:bCs/>
          <w:color w:val="051C2C"/>
        </w:rPr>
        <w:t xml:space="preserve">Data InaRISK juga memuat kolom jiwa terpapar yang lebih kecil, misalnya banjir </w:t>
      </w:r>
      <w:r>
        <w:rPr>
          <w:b/>
          <w:bCs/>
          <w:color w:val="051C2C"/>
        </w:rPr>
        <w:t xml:space="preserve">109,6 juta</w:t>
      </w:r>
      <w:r>
        <w:rPr>
          <w:b/>
          <w:bCs/>
          <w:color w:val="051C2C"/>
        </w:rPr>
        <w:t xml:space="preserve"> dan gempa bumi </w:t>
      </w:r>
      <w:r>
        <w:rPr>
          <w:b/>
          <w:bCs/>
          <w:color w:val="051C2C"/>
        </w:rPr>
        <w:t xml:space="preserve">131,9 juta</w:t>
      </w:r>
      <w:r>
        <w:rPr>
          <w:b/>
          <w:bCs/>
          <w:color w:val="051C2C"/>
        </w:rPr>
        <w:t xml:space="preserve"> jiwa, tanpa dokumentasi arti kolomnya.</w:t>
      </w:r>
      <w:r>
        <w:t xml:space="preserve"> Kajian ini memakai kolom terpapar yang sama dengan Renas PB Tabel 2.5 </w:t>
      </w:r>
      <w:r>
        <w:t xml:space="preserve">(BNPB, 2025c, hlm. 24, 2026j)</w:t>
      </w:r>
      <w:r>
        <w:t xml:space="preserve">. Potensi kerugian fisik dan ekonomi adalah nilai aset terpapar dan merupakan batas atas. Kerugian multibahaya </w:t>
      </w:r>
      <w:r>
        <w:t xml:space="preserve">4.082.564.437.000.000</w:t>
      </w:r>
      <w:r>
        <w:t xml:space="preserve"> juta rupiah, sedangkan jumlah kolom per bahaya </w:t>
      </w:r>
      <w:r>
        <w:t xml:space="preserve">1,91 kali</w:t>
      </w:r>
      <w:r>
        <w:t xml:space="preserve"> angka multibahaya, sehingga kerugian per bahaya tidak dijumlah </w:t>
      </w:r>
      <w:r>
        <w:t xml:space="preserve">(BNPB, 2025c, hlm. 24–25)</w:t>
      </w:r>
      <w:r>
        <w:t xml:space="preserve">. Keterpaparan tidak dipakai sebagai kelas dampak pada </w:t>
      </w:r>
      <w:r>
        <w:t xml:space="preserve">Subbab </w:t>
      </w:r>
      <w:r>
        <w:fldChar w:fldCharType="begin"/>
      </w:r>
      <w:r>
        <w:instrText xml:space="preserve"> REF _Ref0215 \h \* CHARFORMAT </w:instrText>
      </w:r>
      <w:r>
        <w:fldChar w:fldCharType="separate"/>
      </w:r>
      <w:r>
        <w:t xml:space="preserve">5.8</w:t>
      </w:r>
      <w:r>
        <w:fldChar w:fldCharType="end"/>
      </w:r>
      <w:r>
        <w:t xml:space="preserve">, karena gempa bumi dan kekeringan memapar praktis seluruh penduduk dan tidak membedakan jenis.</w:t>
      </w:r>
    </w:p>
    <w:p>
      <w:pPr>
        <w:pStyle w:val="Caption"/>
      </w:pPr>
      <w:bookmarkStart w:id="248" w:name="_Toc00097"/>
      <w:bookmarkStart w:id="247" w:name="_Ref030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247"/>
      <w:r>
        <w:rPr>
          <w:b/>
          <w:bCs/>
          <w:color w:val="051C2C"/>
        </w:rPr>
        <w:t xml:space="preserve"> </w:t>
      </w:r>
      <w:r>
        <w:t xml:space="preserve">Potensi penduduk terpapar dan potensi kerugian fisik dan ekonomi per bahaya menurut Kajian Risiko Bencana 2022–2026, Indonesia</w:t>
      </w:r>
      <w:bookmarkEnd w:id="24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235"/>
        <w:gridCol w:w="1894"/>
        <w:gridCol w:w="3225"/>
      </w:tblGrid>
      <w:tr>
        <w:trPr>
          <w:cantSplit/>
          <w:tblHeader/>
        </w:trPr>
        <w:tc>
          <w:tcPr>
            <w:tcW w:w="4235" w:type="dxa"/>
            <w:shd w:val="clear" w:color="auto" w:fill="051C2C"/>
            <w:vAlign w:val="center"/>
          </w:tcPr>
          <w:p>
            <w:pPr>
              <w:pStyle w:val="KepalaTabel"/>
              <w:suppressAutoHyphens/>
            </w:pPr>
            <w:r>
              <w:t xml:space="preserve">BAHAYA</w:t>
            </w:r>
          </w:p>
        </w:tc>
        <w:tc>
          <w:tcPr>
            <w:tcW w:w="1894" w:type="dxa"/>
            <w:shd w:val="clear" w:color="auto" w:fill="051C2C"/>
            <w:vAlign w:val="center"/>
          </w:tcPr>
          <w:p>
            <w:pPr>
              <w:pStyle w:val="KepalaTabel"/>
              <w:suppressAutoHyphens/>
            </w:pPr>
            <w:r>
              <w:t xml:space="preserve">PENDUDUK TERPAPAR (jiwa)</w:t>
            </w:r>
          </w:p>
        </w:tc>
        <w:tc>
          <w:tcPr>
            <w:tcW w:w="3225" w:type="dxa"/>
            <w:shd w:val="clear" w:color="auto" w:fill="051C2C"/>
            <w:vAlign w:val="center"/>
          </w:tcPr>
          <w:p>
            <w:pPr>
              <w:pStyle w:val="KepalaTabel"/>
              <w:suppressAutoHyphens/>
            </w:pPr>
            <w:r>
              <w:t xml:space="preserve">POTENSI KERUGIAN (juta rupiah)</w:t>
            </w:r>
          </w:p>
        </w:tc>
      </w:tr>
      <w:tr>
        <w:trPr>
          <w:cantSplit/>
        </w:trPr>
        <w:tc>
          <w:tcPr>
            <w:tcW w:w="4235" w:type="dxa"/>
          </w:tcPr>
          <w:p>
            <w:pPr>
              <w:pStyle w:val="IsiTabel"/>
              <w:suppressAutoHyphens/>
              <w:jc w:val="left"/>
            </w:pPr>
            <w:r>
              <w:t xml:space="preserve">Gempa bumi</w:t>
            </w:r>
          </w:p>
        </w:tc>
        <w:tc>
          <w:tcPr>
            <w:tcW w:w="1894" w:type="dxa"/>
          </w:tcPr>
          <w:p>
            <w:pPr>
              <w:pStyle w:val="IsiTabel"/>
              <w:suppressAutoHyphens/>
              <w:jc w:val="right"/>
            </w:pPr>
            <w:r>
              <w:t xml:space="preserve">272.405.410</w:t>
            </w:r>
          </w:p>
        </w:tc>
        <w:tc>
          <w:tcPr>
            <w:tcW w:w="3225" w:type="dxa"/>
          </w:tcPr>
          <w:p>
            <w:pPr>
              <w:pStyle w:val="IsiTabel"/>
              <w:suppressAutoHyphens/>
              <w:jc w:val="right"/>
            </w:pPr>
            <w:r>
              <w:t xml:space="preserve">1.111.318.267.000.000</w:t>
            </w:r>
          </w:p>
        </w:tc>
      </w:tr>
      <w:tr>
        <w:trPr>
          <w:cantSplit/>
        </w:trPr>
        <w:tc>
          <w:tcPr>
            <w:tcW w:w="4235" w:type="dxa"/>
          </w:tcPr>
          <w:p>
            <w:pPr>
              <w:pStyle w:val="IsiTabel"/>
              <w:suppressAutoHyphens/>
              <w:jc w:val="left"/>
            </w:pPr>
            <w:r>
              <w:t xml:space="preserve">Kekeringan</w:t>
            </w:r>
          </w:p>
        </w:tc>
        <w:tc>
          <w:tcPr>
            <w:tcW w:w="1894" w:type="dxa"/>
          </w:tcPr>
          <w:p>
            <w:pPr>
              <w:pStyle w:val="IsiTabel"/>
              <w:suppressAutoHyphens/>
              <w:jc w:val="right"/>
            </w:pPr>
            <w:r>
              <w:t xml:space="preserve">272.564.439</w:t>
            </w:r>
          </w:p>
        </w:tc>
        <w:tc>
          <w:tcPr>
            <w:tcW w:w="3225" w:type="dxa"/>
          </w:tcPr>
          <w:p>
            <w:pPr>
              <w:pStyle w:val="IsiTabel"/>
              <w:suppressAutoHyphens/>
              <w:jc w:val="right"/>
            </w:pPr>
            <w:r>
              <w:t xml:space="preserve">967.552.017</w:t>
            </w:r>
          </w:p>
        </w:tc>
      </w:tr>
      <w:tr>
        <w:trPr>
          <w:cantSplit/>
        </w:trPr>
        <w:tc>
          <w:tcPr>
            <w:tcW w:w="4235" w:type="dxa"/>
          </w:tcPr>
          <w:p>
            <w:pPr>
              <w:pStyle w:val="IsiTabel"/>
              <w:suppressAutoHyphens/>
              <w:jc w:val="left"/>
            </w:pPr>
            <w:r>
              <w:t xml:space="preserve">Cuaca ekstrem</w:t>
            </w:r>
          </w:p>
        </w:tc>
        <w:tc>
          <w:tcPr>
            <w:tcW w:w="1894" w:type="dxa"/>
          </w:tcPr>
          <w:p>
            <w:pPr>
              <w:pStyle w:val="IsiTabel"/>
              <w:suppressAutoHyphens/>
              <w:jc w:val="right"/>
            </w:pPr>
            <w:r>
              <w:t xml:space="preserve">255.437.799</w:t>
            </w:r>
          </w:p>
        </w:tc>
        <w:tc>
          <w:tcPr>
            <w:tcW w:w="3225" w:type="dxa"/>
          </w:tcPr>
          <w:p>
            <w:pPr>
              <w:pStyle w:val="IsiTabel"/>
              <w:suppressAutoHyphens/>
              <w:jc w:val="right"/>
            </w:pPr>
            <w:r>
              <w:t xml:space="preserve">2.744.332.847.000.000</w:t>
            </w:r>
          </w:p>
        </w:tc>
      </w:tr>
      <w:tr>
        <w:trPr>
          <w:cantSplit/>
        </w:trPr>
        <w:tc>
          <w:tcPr>
            <w:tcW w:w="4235" w:type="dxa"/>
          </w:tcPr>
          <w:p>
            <w:pPr>
              <w:pStyle w:val="IsiTabel"/>
              <w:suppressAutoHyphens/>
              <w:jc w:val="left"/>
            </w:pPr>
            <w:r>
              <w:t xml:space="preserve">Banjir</w:t>
            </w:r>
          </w:p>
        </w:tc>
        <w:tc>
          <w:tcPr>
            <w:tcW w:w="1894" w:type="dxa"/>
          </w:tcPr>
          <w:p>
            <w:pPr>
              <w:pStyle w:val="IsiTabel"/>
              <w:suppressAutoHyphens/>
              <w:jc w:val="right"/>
            </w:pPr>
            <w:r>
              <w:t xml:space="preserve">113.829.496</w:t>
            </w:r>
          </w:p>
        </w:tc>
        <w:tc>
          <w:tcPr>
            <w:tcW w:w="3225" w:type="dxa"/>
          </w:tcPr>
          <w:p>
            <w:pPr>
              <w:pStyle w:val="IsiTabel"/>
              <w:suppressAutoHyphens/>
              <w:jc w:val="right"/>
            </w:pPr>
            <w:r>
              <w:t xml:space="preserve">1.006.919.180</w:t>
            </w:r>
          </w:p>
        </w:tc>
      </w:tr>
      <w:tr>
        <w:trPr>
          <w:cantSplit/>
        </w:trPr>
        <w:tc>
          <w:tcPr>
            <w:tcW w:w="4235" w:type="dxa"/>
          </w:tcPr>
          <w:p>
            <w:pPr>
              <w:pStyle w:val="IsiTabel"/>
              <w:suppressAutoHyphens/>
              <w:jc w:val="left"/>
            </w:pPr>
            <w:r>
              <w:t xml:space="preserve">Likuefaksi</w:t>
            </w:r>
          </w:p>
        </w:tc>
        <w:tc>
          <w:tcPr>
            <w:tcW w:w="1894" w:type="dxa"/>
          </w:tcPr>
          <w:p>
            <w:pPr>
              <w:pStyle w:val="IsiTabel"/>
              <w:suppressAutoHyphens/>
              <w:jc w:val="right"/>
            </w:pPr>
            <w:r>
              <w:t xml:space="preserve">86.689.779</w:t>
            </w:r>
          </w:p>
        </w:tc>
        <w:tc>
          <w:tcPr>
            <w:tcW w:w="3225" w:type="dxa"/>
          </w:tcPr>
          <w:p>
            <w:pPr>
              <w:pStyle w:val="IsiTabel"/>
              <w:suppressAutoHyphens/>
              <w:jc w:val="right"/>
            </w:pPr>
            <w:r>
              <w:t xml:space="preserve">351.875.950</w:t>
            </w:r>
          </w:p>
        </w:tc>
      </w:tr>
      <w:tr>
        <w:trPr>
          <w:cantSplit/>
        </w:trPr>
        <w:tc>
          <w:tcPr>
            <w:tcW w:w="4235" w:type="dxa"/>
          </w:tcPr>
          <w:p>
            <w:pPr>
              <w:pStyle w:val="IsiTabel"/>
              <w:suppressAutoHyphens/>
              <w:jc w:val="left"/>
            </w:pPr>
            <w:r>
              <w:t xml:space="preserve">Tanah longsor</w:t>
            </w:r>
          </w:p>
        </w:tc>
        <w:tc>
          <w:tcPr>
            <w:tcW w:w="1894" w:type="dxa"/>
          </w:tcPr>
          <w:p>
            <w:pPr>
              <w:pStyle w:val="IsiTabel"/>
              <w:suppressAutoHyphens/>
              <w:jc w:val="right"/>
            </w:pPr>
            <w:r>
              <w:t xml:space="preserve">25.252.687</w:t>
            </w:r>
          </w:p>
        </w:tc>
        <w:tc>
          <w:tcPr>
            <w:tcW w:w="3225" w:type="dxa"/>
          </w:tcPr>
          <w:p>
            <w:pPr>
              <w:pStyle w:val="IsiTabel"/>
              <w:suppressAutoHyphens/>
              <w:jc w:val="right"/>
            </w:pPr>
            <w:r>
              <w:t xml:space="preserve">696.025.976</w:t>
            </w:r>
          </w:p>
        </w:tc>
      </w:tr>
      <w:tr>
        <w:trPr>
          <w:cantSplit/>
        </w:trPr>
        <w:tc>
          <w:tcPr>
            <w:tcW w:w="4235" w:type="dxa"/>
          </w:tcPr>
          <w:p>
            <w:pPr>
              <w:pStyle w:val="IsiTabel"/>
              <w:suppressAutoHyphens/>
              <w:jc w:val="left"/>
            </w:pPr>
            <w:r>
              <w:t xml:space="preserve">Banjir bandang</w:t>
            </w:r>
          </w:p>
        </w:tc>
        <w:tc>
          <w:tcPr>
            <w:tcW w:w="1894" w:type="dxa"/>
          </w:tcPr>
          <w:p>
            <w:pPr>
              <w:pStyle w:val="IsiTabel"/>
              <w:suppressAutoHyphens/>
              <w:jc w:val="right"/>
            </w:pPr>
            <w:r>
              <w:t xml:space="preserve">15.391.846</w:t>
            </w:r>
          </w:p>
        </w:tc>
        <w:tc>
          <w:tcPr>
            <w:tcW w:w="3225" w:type="dxa"/>
          </w:tcPr>
          <w:p>
            <w:pPr>
              <w:pStyle w:val="IsiTabel"/>
              <w:suppressAutoHyphens/>
              <w:jc w:val="right"/>
            </w:pPr>
            <w:r>
              <w:t xml:space="preserve">147.673.335</w:t>
            </w:r>
          </w:p>
        </w:tc>
      </w:tr>
      <w:tr>
        <w:trPr>
          <w:cantSplit/>
        </w:trPr>
        <w:tc>
          <w:tcPr>
            <w:tcW w:w="4235" w:type="dxa"/>
          </w:tcPr>
          <w:p>
            <w:pPr>
              <w:pStyle w:val="IsiTabel"/>
              <w:suppressAutoHyphens/>
              <w:jc w:val="left"/>
            </w:pPr>
            <w:r>
              <w:t xml:space="preserve">Gunung api</w:t>
            </w:r>
          </w:p>
        </w:tc>
        <w:tc>
          <w:tcPr>
            <w:tcW w:w="1894" w:type="dxa"/>
          </w:tcPr>
          <w:p>
            <w:pPr>
              <w:pStyle w:val="IsiTabel"/>
              <w:suppressAutoHyphens/>
              <w:jc w:val="right"/>
            </w:pPr>
            <w:r>
              <w:t xml:space="preserve">5.864.711</w:t>
            </w:r>
          </w:p>
        </w:tc>
        <w:tc>
          <w:tcPr>
            <w:tcW w:w="3225" w:type="dxa"/>
          </w:tcPr>
          <w:p>
            <w:pPr>
              <w:pStyle w:val="IsiTabel"/>
              <w:suppressAutoHyphens/>
              <w:jc w:val="right"/>
            </w:pPr>
            <w:r>
              <w:t xml:space="preserve">12.048.691</w:t>
            </w:r>
          </w:p>
        </w:tc>
      </w:tr>
      <w:tr>
        <w:trPr>
          <w:cantSplit/>
        </w:trPr>
        <w:tc>
          <w:tcPr>
            <w:tcW w:w="4235" w:type="dxa"/>
          </w:tcPr>
          <w:p>
            <w:pPr>
              <w:pStyle w:val="IsiTabel"/>
              <w:keepNext/>
              <w:suppressAutoHyphens/>
              <w:jc w:val="left"/>
            </w:pPr>
            <w:bookmarkStart w:id="249" w:name="_Ekor025a"/>
            <w:bookmarkEnd w:id="249"/>
            <w:r>
              <w:t xml:space="preserve">Tsunami</w:t>
            </w:r>
          </w:p>
        </w:tc>
        <w:tc>
          <w:tcPr>
            <w:tcW w:w="1894" w:type="dxa"/>
          </w:tcPr>
          <w:p>
            <w:pPr>
              <w:pStyle w:val="IsiTabel"/>
              <w:keepNext/>
              <w:suppressAutoHyphens/>
              <w:jc w:val="right"/>
            </w:pPr>
            <w:r>
              <w:t xml:space="preserve">5.341.282</w:t>
            </w:r>
          </w:p>
        </w:tc>
        <w:tc>
          <w:tcPr>
            <w:tcW w:w="3225" w:type="dxa"/>
          </w:tcPr>
          <w:p>
            <w:pPr>
              <w:pStyle w:val="IsiTabel"/>
              <w:keepNext/>
              <w:suppressAutoHyphens/>
              <w:jc w:val="right"/>
            </w:pPr>
            <w:r>
              <w:t xml:space="preserve">42.978.422</w:t>
            </w:r>
          </w:p>
        </w:tc>
      </w:tr>
      <w:tr>
        <w:trPr>
          <w:cantSplit/>
        </w:trPr>
        <w:tc>
          <w:tcPr>
            <w:tcW w:w="4235" w:type="dxa"/>
          </w:tcPr>
          <w:p>
            <w:pPr>
              <w:pStyle w:val="IsiTabel"/>
              <w:keepNext/>
              <w:suppressAutoHyphens/>
              <w:jc w:val="left"/>
            </w:pPr>
            <w:r>
              <w:t xml:space="preserve">Gelombang ekstrem dan abrasi</w:t>
            </w:r>
          </w:p>
        </w:tc>
        <w:tc>
          <w:tcPr>
            <w:tcW w:w="1894" w:type="dxa"/>
          </w:tcPr>
          <w:p>
            <w:pPr>
              <w:pStyle w:val="IsiTabel"/>
              <w:keepNext/>
              <w:suppressAutoHyphens/>
              <w:jc w:val="right"/>
            </w:pPr>
            <w:r>
              <w:t xml:space="preserve">4.129.597</w:t>
            </w:r>
          </w:p>
        </w:tc>
        <w:tc>
          <w:tcPr>
            <w:tcW w:w="3225" w:type="dxa"/>
          </w:tcPr>
          <w:p>
            <w:pPr>
              <w:pStyle w:val="IsiTabel"/>
              <w:keepNext/>
              <w:suppressAutoHyphens/>
              <w:jc w:val="right"/>
            </w:pPr>
            <w:r>
              <w:t xml:space="preserve">21.624.931</w:t>
            </w:r>
          </w:p>
        </w:tc>
      </w:tr>
      <w:tr>
        <w:trPr>
          <w:cantSplit/>
        </w:trPr>
        <w:tc>
          <w:tcPr>
            <w:tcW w:w="4235" w:type="dxa"/>
          </w:tcPr>
          <w:p>
            <w:pPr>
              <w:pStyle w:val="IsiTabel"/>
              <w:keepNext/>
              <w:suppressAutoHyphens/>
              <w:jc w:val="left"/>
            </w:pPr>
            <w:r>
              <w:t xml:space="preserve">Karhutla</w:t>
            </w:r>
          </w:p>
        </w:tc>
        <w:tc>
          <w:tcPr>
            <w:tcW w:w="1894" w:type="dxa"/>
          </w:tcPr>
          <w:p>
            <w:pPr>
              <w:pStyle w:val="IsiTabel"/>
              <w:keepNext/>
              <w:suppressAutoHyphens/>
              <w:jc w:val="right"/>
            </w:pPr>
            <w:r>
              <w:t xml:space="preserve">–</w:t>
            </w:r>
          </w:p>
        </w:tc>
        <w:tc>
          <w:tcPr>
            <w:tcW w:w="3225" w:type="dxa"/>
          </w:tcPr>
          <w:p>
            <w:pPr>
              <w:pStyle w:val="IsiTabel"/>
              <w:keepNext/>
              <w:suppressAutoHyphens/>
              <w:jc w:val="right"/>
            </w:pPr>
            <w:r>
              <w:t xml:space="preserve">709.049.963</w:t>
            </w:r>
          </w:p>
        </w:tc>
      </w:tr>
      <w:tr>
        <w:trPr>
          <w:cantSplit/>
        </w:trPr>
        <w:tc>
          <w:tcPr>
            <w:tcW w:w="4235" w:type="dxa"/>
          </w:tcPr>
          <w:p>
            <w:pPr>
              <w:pStyle w:val="IsiTabel"/>
              <w:suppressAutoHyphens/>
              <w:jc w:val="left"/>
            </w:pPr>
            <w:bookmarkStart w:id="250" w:name="_Ekor025z"/>
            <w:bookmarkEnd w:id="250"/>
            <w:r>
              <w:t xml:space="preserve">Multibahaya</w:t>
            </w:r>
          </w:p>
        </w:tc>
        <w:tc>
          <w:tcPr>
            <w:tcW w:w="1894" w:type="dxa"/>
          </w:tcPr>
          <w:p>
            <w:pPr>
              <w:pStyle w:val="IsiTabel"/>
              <w:suppressAutoHyphens/>
              <w:jc w:val="right"/>
            </w:pPr>
            <w:r>
              <w:t xml:space="preserve">271.130.365</w:t>
            </w:r>
          </w:p>
        </w:tc>
        <w:tc>
          <w:tcPr>
            <w:tcW w:w="3225" w:type="dxa"/>
          </w:tcPr>
          <w:p>
            <w:pPr>
              <w:pStyle w:val="IsiTabel"/>
              <w:suppressAutoHyphens/>
              <w:jc w:val="right"/>
            </w:pPr>
            <w:r>
              <w:t xml:space="preserve">4.082.564.437.000.000</w:t>
            </w:r>
          </w:p>
        </w:tc>
      </w:tr>
    </w:tbl>
    <w:p>
      <w:pPr>
        <w:pStyle w:val="Sumber"/>
        <w:spacing w:after="40"/>
      </w:pPr>
      <w:r>
        <w:rPr>
          <w:b/>
          <w:bCs/>
          <w:color w:val="6B7280"/>
          <w:sz w:val="17"/>
          <w:szCs w:val="17"/>
        </w:rPr>
        <w:t xml:space="preserve">Sumber: </w:t>
      </w:r>
      <w:r>
        <w:rPr>
          <w:color w:val="6B7280"/>
          <w:sz w:val="17"/>
          <w:szCs w:val="17"/>
        </w:rPr>
        <w:t xml:space="preserve">Renas PB 2025–2029 Tabel 2.5 dan 2.6, mengutip KRB 2022–2026; InaRISK BNPB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Kerugian adalah nilai aset terpapar, batas atas, dan tidak dijumlah antarbahaya. Karhutla tidak disajikan untuk penduduk terpapar.</w:t>
      </w:r>
    </w:p>
    <w:p>
      <w:pPr>
        <w:pStyle w:val="Heading2"/>
      </w:pPr>
      <w:bookmarkStart w:id="252" w:name="_Toc00098"/>
      <w:bookmarkStart w:id="251" w:name="_Ref0215"/>
      <w:r>
        <w:t xml:space="preserve">5.8</w:t>
      </w:r>
      <w:bookmarkEnd w:id="251"/>
      <w:r>
        <w:tab/>
      </w:r>
      <w:r>
        <w:t xml:space="preserve">Penilaian Risiko Nasional Terbanding</w:t>
      </w:r>
      <w:bookmarkEnd w:id="252"/>
    </w:p>
    <w:p>
      <w:pPr>
        <w:pStyle w:val="IsiTemuan"/>
      </w:pPr>
      <w:r>
        <w:rPr>
          <w:b/>
          <w:bCs/>
          <w:color w:val="051C2C"/>
        </w:rPr>
        <w:t xml:space="preserve">Perban BNPB 2/2023 Pasal 7 ayat (5) meminta asumsi dampak diproyeksikan pada lima aspek, tetapi tidak menetapkan kelas atau ambang dampak.</w:t>
      </w:r>
      <w:r>
        <w:t xml:space="preserve"> Kelima aspek itu adalah lingkungan, kependudukan, ekonomi, infrastruktur atau fisik, dan layanan sipil. Lampirannya menyebut skenario dapat mempertimbangkan sejarah kejadian bencana terburuk </w:t>
      </w:r>
      <w:r>
        <w:t xml:space="preserve">(BNPB, 2023c, hlm. 4)</w:t>
      </w:r>
      <w:r>
        <w:t xml:space="preserve">. Kajian ini karena itu memakai rujukan metode </w:t>
      </w:r>
      <w:r>
        <w:rPr>
          <w:i/>
          <w:iCs/>
        </w:rPr>
        <w:t xml:space="preserve">National Risk Register</w:t>
      </w:r>
      <w:r>
        <w:t xml:space="preserve"> (NRR) Inggris sebagai pembanding, bukan sebagai standar Indonesia. Panduan NRR 2026 mendefinisikan kemungkinan sebagai peluang terjadi dalam lima tahun ke depan, dengan pita satu di bawah </w:t>
      </w:r>
      <w:r>
        <w:t xml:space="preserve">0,2%</w:t>
      </w:r>
      <w:r>
        <w:t xml:space="preserve"> sampai pita lima di atas </w:t>
      </w:r>
      <w:r>
        <w:t xml:space="preserve">25%</w:t>
      </w:r>
      <w:r>
        <w:t xml:space="preserve">, dan memplot tiap risiko pada skenario terburuk yang masuk akal </w:t>
      </w:r>
      <w:r>
        <w:t xml:space="preserve">(Cabinet Office, 2026, hlm. 7)</w:t>
      </w:r>
      <w:r>
        <w:t xml:space="preserve">. Kelas fatalitas NRR berbatas atas </w:t>
      </w:r>
      <w:r>
        <w:t xml:space="preserve">8</w:t>
      </w:r>
      <w:r>
        <w:t xml:space="preserve">, </w:t>
      </w:r>
      <w:r>
        <w:t xml:space="preserve">40</w:t>
      </w:r>
      <w:r>
        <w:t xml:space="preserve">, </w:t>
      </w:r>
      <w:r>
        <w:t xml:space="preserve">200</w:t>
      </w:r>
      <w:r>
        <w:t xml:space="preserve">, dan </w:t>
      </w:r>
      <w:r>
        <w:t xml:space="preserve">1.000</w:t>
      </w:r>
      <w:r>
        <w:t xml:space="preserve"> jiwa untuk kelas satu sampai empat, sehingga kelas lima berarti lebih dari </w:t>
      </w:r>
      <w:r>
        <w:t xml:space="preserve">1.000</w:t>
      </w:r>
      <w:r>
        <w:t xml:space="preserve"> meninggal dan hilang </w:t>
      </w:r>
      <w:r>
        <w:t xml:space="preserve">(Cabinet Office, 2025, hlm. 14)</w:t>
      </w:r>
      <w:r>
        <w:t xml:space="preserve">. Ambang ini masih usulan Bab 3. Seluruh kelas dan pita pada subbab ini karena itu berlabel asumsi kebijakan.</w:t>
      </w:r>
    </w:p>
    <w:p>
      <w:pPr>
        <w:pStyle w:val="IsiTemuan"/>
      </w:pPr>
      <w:r>
        <w:rPr>
          <w:b/>
          <w:bCs/>
          <w:color w:val="051C2C"/>
        </w:rPr>
        <w:t xml:space="preserve">Dengan ambang itu, </w:t>
      </w:r>
      <w:r>
        <w:rPr>
          <w:b/>
          <w:bCs/>
          <w:color w:val="051C2C"/>
        </w:rPr>
        <w:t xml:space="preserve">5</w:t>
      </w:r>
      <w:r>
        <w:rPr>
          <w:b/>
          <w:bCs/>
          <w:color w:val="051C2C"/>
        </w:rPr>
        <w:t xml:space="preserve"> dari </w:t>
      </w:r>
      <w:r>
        <w:rPr>
          <w:b/>
          <w:bCs/>
          <w:color w:val="051C2C"/>
        </w:rPr>
        <w:t xml:space="preserve">15 jenis</w:t>
      </w:r>
      <w:r>
        <w:rPr>
          <w:b/>
          <w:bCs/>
          <w:color w:val="051C2C"/>
        </w:rPr>
        <w:t xml:space="preserve"> bencana berada di kelas fatalitas lima menurut kejadian tercatat terbesar dalam periode acuan.</w:t>
      </w:r>
      <w:r>
        <w:t xml:space="preserve"> Kelima jenis itu adalah epidemi dan pandemi dengan COVID-19 </w:t>
      </w:r>
      <w:r>
        <w:t xml:space="preserve">161.870</w:t>
      </w:r>
      <w:r>
        <w:t xml:space="preserve"> meninggal </w:t>
      </w:r>
      <w:r>
        <w:t xml:space="preserve">(BNPB, 2025e, hlm. 14)</w:t>
      </w:r>
      <w:r>
        <w:t xml:space="preserve">, tsunami dengan Aceh 2004, konflik sosial dengan Maluku 1999–2002 yang menewaskan sedikitnya </w:t>
      </w:r>
      <w:r>
        <w:t xml:space="preserve">5.000</w:t>
      </w:r>
      <w:r>
        <w:t xml:space="preserve"> orang </w:t>
      </w:r>
      <w:r>
        <w:t xml:space="preserve">(ICG, 2002)</w:t>
      </w:r>
      <w:r>
        <w:t xml:space="preserve">, gempa bumi, dan banjir. Banjir mencapai kelas lima dari </w:t>
      </w:r>
      <w:r>
        <w:t xml:space="preserve">1.585</w:t>
      </w:r>
      <w:r>
        <w:t xml:space="preserve"> meninggal dan hilang akibat banjir saja pada 2025. Jumlahnya menjadi </w:t>
      </w:r>
      <w:r>
        <w:t xml:space="preserve">6</w:t>
      </w:r>
      <w:r>
        <w:t xml:space="preserve"> bila kelas mengungsi ikut dihitung, dengan gunung api dari Merapi 2010 yang mencatat </w:t>
      </w:r>
      <w:r>
        <w:t xml:space="preserve">447.982</w:t>
      </w:r>
      <w:r>
        <w:t xml:space="preserve"> pengungsi, dan </w:t>
      </w:r>
      <w:r>
        <w:t xml:space="preserve">7</w:t>
      </w:r>
      <w:r>
        <w:t xml:space="preserve"> bila likuefaksi dinilai dari angka gabungan Sulawesi Tengah 2018.</w:t>
      </w:r>
    </w:p>
    <w:p>
      <w:pPr>
        <w:pStyle w:val="IsiTemuan"/>
      </w:pPr>
      <w:r>
        <w:rPr>
          <w:b/>
          <w:bCs/>
          <w:color w:val="051C2C"/>
        </w:rPr>
        <w:t xml:space="preserve">Untuk tsunami Aceh 2004, buku Badan Rehabilitasi dan Rekonstruksi (BRR) NAD-Nias menulis </w:t>
      </w:r>
      <w:r>
        <w:rPr>
          <w:b/>
          <w:bCs/>
          <w:color w:val="051C2C"/>
        </w:rPr>
        <w:t xml:space="preserve">126.741</w:t>
      </w:r>
      <w:r>
        <w:rPr>
          <w:b/>
          <w:bCs/>
          <w:color w:val="051C2C"/>
        </w:rPr>
        <w:t xml:space="preserve"> meninggal pada teks naratif dan </w:t>
      </w:r>
      <w:r>
        <w:rPr>
          <w:b/>
          <w:bCs/>
          <w:color w:val="051C2C"/>
        </w:rPr>
        <w:t xml:space="preserve">127.720</w:t>
      </w:r>
      <w:r>
        <w:rPr>
          <w:b/>
          <w:bCs/>
          <w:color w:val="051C2C"/>
        </w:rPr>
        <w:t xml:space="preserve"> pada infografik capaian, dengan </w:t>
      </w:r>
      <w:r>
        <w:rPr>
          <w:b/>
          <w:bCs/>
          <w:color w:val="051C2C"/>
        </w:rPr>
        <w:t xml:space="preserve">93.285</w:t>
      </w:r>
      <w:r>
        <w:rPr>
          <w:b/>
          <w:bCs/>
          <w:color w:val="051C2C"/>
        </w:rPr>
        <w:t xml:space="preserve"> hilang, sehingga kedua angka ditulis berdampingan</w:t>
      </w:r>
      <w:r>
        <w:t xml:space="preserve"> </w:t>
      </w:r>
      <w:r>
        <w:t xml:space="preserve">(BRR NAD–Nias, 2009a, hlm. x, 2009b, hlm. xiii)</w:t>
      </w:r>
      <w:r>
        <w:t xml:space="preserve">. Gempa bumi Sulawesi Tengah 2018 tercatat </w:t>
      </w:r>
      <w:r>
        <w:t xml:space="preserve">4.140</w:t>
      </w:r>
      <w:r>
        <w:t xml:space="preserve"> meninggal dan </w:t>
      </w:r>
      <w:r>
        <w:t xml:space="preserve">705</w:t>
      </w:r>
      <w:r>
        <w:t xml:space="preserve"> hilang, angka gabungan gempa bumi beserta tsunami dan likuefaksi yang menyertainya. Gempa darat Yogyakarta 2006 tercatat </w:t>
      </w:r>
      <w:r>
        <w:t xml:space="preserve">5.749</w:t>
      </w:r>
      <w:r>
        <w:t xml:space="preserve"> meninggal </w:t>
      </w:r>
      <w:r>
        <w:t xml:space="preserve">(BNPB, t.t.-a; USGS, 2006a)</w:t>
      </w:r>
      <w:r>
        <w:t xml:space="preserve">.</w:t>
      </w:r>
    </w:p>
    <w:p>
      <w:pPr>
        <w:pStyle w:val="IsiTemuan"/>
      </w:pPr>
      <w:r>
        <w:rPr>
          <w:b/>
          <w:bCs/>
          <w:color w:val="051C2C"/>
        </w:rPr>
        <w:t xml:space="preserve">COVID-19, dengan </w:t>
      </w:r>
      <w:r>
        <w:rPr>
          <w:b/>
          <w:bCs/>
          <w:color w:val="051C2C"/>
        </w:rPr>
        <w:t xml:space="preserve">161.870</w:t>
      </w:r>
      <w:r>
        <w:rPr>
          <w:b/>
          <w:bCs/>
          <w:color w:val="051C2C"/>
        </w:rPr>
        <w:t xml:space="preserve"> meninggal, berada dua orde di atas ambang kelas lima, setara orde dengan tsunami Aceh 2004.</w:t>
      </w:r>
      <w:r>
        <w:t xml:space="preserve"> Kelas lima adalah kelas terbuka, sehingga kelima jenis berfatalitas kelas lima berada di kelas yang sama walau besarnya berbeda dua orde; </w:t>
      </w:r>
      <w:r>
        <w:fldChar w:fldCharType="begin"/>
      </w:r>
      <w:r>
        <w:instrText xml:space="preserve"> REF _Ref0297 \h \* CHARFORMAT </w:instrText>
      </w:r>
      <w:r>
        <w:fldChar w:fldCharType="separate"/>
      </w:r>
      <w:r>
        <w:t xml:space="preserve">Tabel 5.7</w:t>
      </w:r>
      <w:r>
        <w:fldChar w:fldCharType="end"/>
      </w:r>
      <w:r>
        <w:t xml:space="preserve"> karena itu menulis angka di samping kelas. Angka estimasi model tidak menentukan kelas dan hanya tampil berdampingan. Kematian berlebih COVID-19 2020–2021 menurut model World Health Organization (WHO) berkisar </w:t>
      </w:r>
      <w:r>
        <w:t xml:space="preserve">810.000–1.300.000</w:t>
      </w:r>
      <w:r>
        <w:t xml:space="preserve"> jiwa </w:t>
      </w:r>
      <w:r>
        <w:t xml:space="preserve">(WHO, 2023)</w:t>
      </w:r>
      <w:r>
        <w:t xml:space="preserve">, dan kematian berlebih akibat asap karhutla September–Oktober 2015 menurut model Koplitz dkk. </w:t>
      </w:r>
      <w:r>
        <w:t xml:space="preserve">sekitar 92.000</w:t>
      </w:r>
      <w:r>
        <w:t xml:space="preserve"> jiwa, sedangkan DIBI 2015 mencatat </w:t>
      </w:r>
      <w:r>
        <w:t xml:space="preserve">24</w:t>
      </w:r>
      <w:r>
        <w:t xml:space="preserve"> meninggal dan hilang akibat karhutla </w:t>
      </w:r>
      <w:r>
        <w:t xml:space="preserve">(Koplitz dkk., 2016; BNPB, t.t.-a)</w:t>
      </w:r>
      <w:r>
        <w:t xml:space="preserve">. Untuk megathrust selatan Jawa, lantai tercatat adalah tsunami Pangandaran 2006 dengan </w:t>
      </w:r>
      <w:r>
        <w:t xml:space="preserve">665</w:t>
      </w:r>
      <w:r>
        <w:t xml:space="preserve"> meninggal dan </w:t>
      </w:r>
      <w:r>
        <w:t xml:space="preserve">65</w:t>
      </w:r>
      <w:r>
        <w:t xml:space="preserve"> hilang </w:t>
      </w:r>
      <w:r>
        <w:t xml:space="preserve">(USGS, 2006b)</w:t>
      </w:r>
      <w:r>
        <w:t xml:space="preserve">, kelas empat, sedangkan korban guncangan analog skenario magnitudo </w:t>
      </w:r>
      <w:r>
        <w:t xml:space="preserve">9,1</w:t>
      </w:r>
      <w:r>
        <w:t xml:space="preserve"> berkisar </w:t>
      </w:r>
      <w:r>
        <w:t xml:space="preserve">11.000–140.000</w:t>
      </w:r>
      <w:r>
        <w:t xml:space="preserve"> jiwa dengan pita lebih dari satu orde.</w:t>
      </w:r>
    </w:p>
    <w:p>
      <w:pPr>
        <w:pStyle w:val="Caption"/>
      </w:pPr>
      <w:bookmarkStart w:id="254" w:name="_Toc00099"/>
      <w:bookmarkStart w:id="253" w:name="_Ref029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253"/>
      <w:r>
        <w:rPr>
          <w:b/>
          <w:bCs/>
          <w:color w:val="051C2C"/>
        </w:rPr>
        <w:t xml:space="preserve"> </w:t>
      </w:r>
      <w:r>
        <w:t xml:space="preserve">Kelas dampak aspek kependudukan dan dasar kemungkinan lima tahun per jenis bencana, Indonesia, 1996–2025 (kelas)</w:t>
      </w:r>
      <w:bookmarkEnd w:id="25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43"/>
        <w:gridCol w:w="1603"/>
        <w:gridCol w:w="1743"/>
        <w:gridCol w:w="1415"/>
        <w:gridCol w:w="1624"/>
        <w:gridCol w:w="1326"/>
      </w:tblGrid>
      <w:tr>
        <w:trPr>
          <w:cantSplit/>
          <w:tblHeader/>
        </w:trPr>
        <w:tc>
          <w:tcPr>
            <w:tcW w:w="1643" w:type="dxa"/>
            <w:shd w:val="clear" w:color="auto" w:fill="051C2C"/>
            <w:vAlign w:val="center"/>
          </w:tcPr>
          <w:p>
            <w:pPr>
              <w:pStyle w:val="KepalaTabel"/>
              <w:suppressAutoHyphens/>
            </w:pPr>
            <w:r>
              <w:t xml:space="preserve">JENIS</w:t>
            </w:r>
          </w:p>
        </w:tc>
        <w:tc>
          <w:tcPr>
            <w:tcW w:w="1603" w:type="dxa"/>
            <w:shd w:val="clear" w:color="auto" w:fill="051C2C"/>
            <w:vAlign w:val="center"/>
          </w:tcPr>
          <w:p>
            <w:pPr>
              <w:pStyle w:val="KepalaTabel"/>
              <w:suppressAutoHyphens/>
            </w:pPr>
            <w:r>
              <w:t xml:space="preserve">DASAR DAMPAK</w:t>
            </w:r>
          </w:p>
        </w:tc>
        <w:tc>
          <w:tcPr>
            <w:tcW w:w="1743" w:type="dxa"/>
            <w:shd w:val="clear" w:color="auto" w:fill="051C2C"/>
            <w:vAlign w:val="center"/>
          </w:tcPr>
          <w:p>
            <w:pPr>
              <w:pStyle w:val="KepalaTabel"/>
              <w:suppressAutoHyphens/>
            </w:pPr>
            <w:r>
              <w:t xml:space="preserve">FATALITAS</w:t>
            </w:r>
          </w:p>
        </w:tc>
        <w:tc>
          <w:tcPr>
            <w:tcW w:w="1415" w:type="dxa"/>
            <w:shd w:val="clear" w:color="auto" w:fill="051C2C"/>
            <w:vAlign w:val="center"/>
          </w:tcPr>
          <w:p>
            <w:pPr>
              <w:pStyle w:val="KepalaTabel"/>
              <w:suppressAutoHyphens/>
            </w:pPr>
            <w:r>
              <w:t xml:space="preserve">MENGUNGSI</w:t>
            </w:r>
          </w:p>
        </w:tc>
        <w:tc>
          <w:tcPr>
            <w:tcW w:w="1624" w:type="dxa"/>
            <w:shd w:val="clear" w:color="auto" w:fill="051C2C"/>
            <w:vAlign w:val="center"/>
          </w:tcPr>
          <w:p>
            <w:pPr>
              <w:pStyle w:val="KepalaTabel"/>
              <w:suppressAutoHyphens/>
            </w:pPr>
            <w:r>
              <w:t xml:space="preserve">KEMUNGKINAN LIMA TAHUN</w:t>
            </w:r>
          </w:p>
        </w:tc>
        <w:tc>
          <w:tcPr>
            <w:tcW w:w="1326" w:type="dxa"/>
            <w:shd w:val="clear" w:color="auto" w:fill="051C2C"/>
            <w:vAlign w:val="center"/>
          </w:tcPr>
          <w:p>
            <w:pPr>
              <w:pStyle w:val="KepalaTabel"/>
              <w:suppressAutoHyphens/>
            </w:pPr>
            <w:r>
              <w:t xml:space="preserve">KEYAKINAN</w:t>
            </w:r>
          </w:p>
        </w:tc>
      </w:tr>
      <w:tr>
        <w:trPr>
          <w:cantSplit/>
        </w:trPr>
        <w:tc>
          <w:tcPr>
            <w:tcW w:w="1643" w:type="dxa"/>
          </w:tcPr>
          <w:p>
            <w:pPr>
              <w:pStyle w:val="IsiTabel"/>
              <w:suppressAutoHyphens/>
              <w:jc w:val="left"/>
            </w:pPr>
            <w:r>
              <w:t xml:space="preserve">Gempa bumi dan tsunami megathrust selatan Jawa</w:t>
            </w:r>
          </w:p>
        </w:tc>
        <w:tc>
          <w:tcPr>
            <w:tcW w:w="1603" w:type="dxa"/>
          </w:tcPr>
          <w:p>
            <w:pPr>
              <w:pStyle w:val="IsiTabel"/>
              <w:suppressAutoHyphens/>
              <w:jc w:val="left"/>
            </w:pPr>
            <w:r>
              <w:t xml:space="preserve">Pangandaran 2006: </w:t>
            </w:r>
            <w:r>
              <w:t xml:space="preserve">665</w:t>
            </w:r>
            <w:r>
              <w:t xml:space="preserve"> meninggal, </w:t>
            </w:r>
            <w:r>
              <w:t xml:space="preserve">65</w:t>
            </w:r>
            <w:r>
              <w:t xml:space="preserve"> hilang; model guncangan </w:t>
            </w:r>
            <w:r>
              <w:t xml:space="preserve">11.000–140.000</w:t>
            </w:r>
          </w:p>
        </w:tc>
        <w:tc>
          <w:tcPr>
            <w:tcW w:w="1743" w:type="dxa"/>
          </w:tcPr>
          <w:p>
            <w:pPr>
              <w:pStyle w:val="IsiTabel"/>
              <w:suppressAutoHyphens/>
              <w:jc w:val="center"/>
            </w:pPr>
            <w:r>
              <w:t xml:space="preserve">empat (lima menurut model)</w:t>
            </w:r>
          </w:p>
        </w:tc>
        <w:tc>
          <w:tcPr>
            <w:tcW w:w="1415" w:type="dxa"/>
          </w:tcPr>
          <w:p>
            <w:pPr>
              <w:pStyle w:val="IsiTabel"/>
              <w:suppressAutoHyphens/>
              <w:jc w:val="center"/>
            </w:pPr>
            <w:r>
              <w:t xml:space="preserve">tidak tercatat</w:t>
            </w:r>
          </w:p>
        </w:tc>
        <w:tc>
          <w:tcPr>
            <w:tcW w:w="1624" w:type="dxa"/>
          </w:tcPr>
          <w:p>
            <w:pPr>
              <w:pStyle w:val="IsiTabel"/>
              <w:suppressAutoHyphens/>
              <w:jc w:val="left"/>
            </w:pPr>
            <w:r>
              <w:t xml:space="preserve">0,83%</w:t>
            </w:r>
            <w:r>
              <w:t xml:space="preserve"> gabungan, pita dua; </w:t>
            </w:r>
            <w:r>
              <w:t xml:space="preserve">1,24%</w:t>
            </w:r>
            <w:r>
              <w:t xml:space="preserve"> per segmen, pita tiga</w:t>
            </w:r>
          </w:p>
        </w:tc>
        <w:tc>
          <w:tcPr>
            <w:tcW w:w="1326" w:type="dxa"/>
          </w:tcPr>
          <w:p>
            <w:pPr>
              <w:pStyle w:val="IsiTabel"/>
              <w:suppressAutoHyphens/>
              <w:jc w:val="left"/>
            </w:pPr>
            <w:r>
              <w:rPr>
                <w:b/>
                <w:bCs/>
                <w:color w:val="1A1A1A"/>
                <w:sz w:val="16"/>
                <w:szCs w:val="16"/>
                <w:bdr w:val="single" w:sz="6" w:space="0" w:color="5B7A99"/>
              </w:rPr>
              <w:t xml:space="preserve">  Terverifikasi, estimasi-model (model)  </w:t>
            </w:r>
          </w:p>
        </w:tc>
      </w:tr>
      <w:tr>
        <w:trPr>
          <w:cantSplit/>
        </w:trPr>
        <w:tc>
          <w:tcPr>
            <w:tcW w:w="1643" w:type="dxa"/>
          </w:tcPr>
          <w:p>
            <w:pPr>
              <w:pStyle w:val="IsiTabel"/>
              <w:suppressAutoHyphens/>
              <w:jc w:val="left"/>
            </w:pPr>
            <w:r>
              <w:t xml:space="preserve">Gempa bumi sesar darat dan majemuk</w:t>
            </w:r>
          </w:p>
        </w:tc>
        <w:tc>
          <w:tcPr>
            <w:tcW w:w="1603" w:type="dxa"/>
          </w:tcPr>
          <w:p>
            <w:pPr>
              <w:pStyle w:val="IsiTabel"/>
              <w:suppressAutoHyphens/>
              <w:jc w:val="left"/>
            </w:pPr>
            <w:r>
              <w:t xml:space="preserve">Sulawesi Tengah 2018: </w:t>
            </w:r>
            <w:r>
              <w:t xml:space="preserve">4.140</w:t>
            </w:r>
            <w:r>
              <w:t xml:space="preserve"> meninggal, </w:t>
            </w:r>
            <w:r>
              <w:t xml:space="preserve">705</w:t>
            </w:r>
            <w:r>
              <w:t xml:space="preserve"> hilang, </w:t>
            </w:r>
            <w:r>
              <w:t xml:space="preserve">212.719</w:t>
            </w:r>
            <w:r>
              <w:t xml:space="preserve"> mengungsi; Yogyakarta 2006: </w:t>
            </w:r>
            <w:r>
              <w:t xml:space="preserve">5.749</w:t>
            </w:r>
          </w:p>
        </w:tc>
        <w:tc>
          <w:tcPr>
            <w:tcW w:w="1743" w:type="dxa"/>
          </w:tcPr>
          <w:p>
            <w:pPr>
              <w:pStyle w:val="IsiTabel"/>
              <w:suppressAutoHyphens/>
              <w:jc w:val="center"/>
            </w:pPr>
            <w:r>
              <w:t xml:space="preserve">lima</w:t>
            </w:r>
          </w:p>
        </w:tc>
        <w:tc>
          <w:tcPr>
            <w:tcW w:w="1415" w:type="dxa"/>
          </w:tcPr>
          <w:p>
            <w:pPr>
              <w:pStyle w:val="IsiTabel"/>
              <w:suppressAutoHyphens/>
              <w:jc w:val="center"/>
            </w:pPr>
            <w:r>
              <w:t xml:space="preserve">lima</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terverifikasi  </w:t>
            </w:r>
          </w:p>
        </w:tc>
      </w:tr>
      <w:tr>
        <w:trPr>
          <w:cantSplit/>
        </w:trPr>
        <w:tc>
          <w:tcPr>
            <w:tcW w:w="1643" w:type="dxa"/>
          </w:tcPr>
          <w:p>
            <w:pPr>
              <w:pStyle w:val="IsiTabel"/>
              <w:suppressAutoHyphens/>
              <w:jc w:val="left"/>
            </w:pPr>
            <w:r>
              <w:t xml:space="preserve">Tsunami nasional</w:t>
            </w:r>
          </w:p>
        </w:tc>
        <w:tc>
          <w:tcPr>
            <w:tcW w:w="1603" w:type="dxa"/>
          </w:tcPr>
          <w:p>
            <w:pPr>
              <w:pStyle w:val="IsiTabel"/>
              <w:suppressAutoHyphens/>
              <w:jc w:val="left"/>
            </w:pPr>
            <w:r>
              <w:t xml:space="preserve">Aceh 2004: </w:t>
            </w:r>
            <w:r>
              <w:t xml:space="preserve">126.741</w:t>
            </w:r>
            <w:r>
              <w:t xml:space="preserve"> atau </w:t>
            </w:r>
            <w:r>
              <w:t xml:space="preserve">127.720</w:t>
            </w:r>
            <w:r>
              <w:t xml:space="preserve"> meninggal, </w:t>
            </w:r>
            <w:r>
              <w:t xml:space="preserve">93.285</w:t>
            </w:r>
            <w:r>
              <w:t xml:space="preserve"> hilang</w:t>
            </w:r>
          </w:p>
        </w:tc>
        <w:tc>
          <w:tcPr>
            <w:tcW w:w="1743" w:type="dxa"/>
          </w:tcPr>
          <w:p>
            <w:pPr>
              <w:pStyle w:val="IsiTabel"/>
              <w:suppressAutoHyphens/>
              <w:jc w:val="center"/>
            </w:pPr>
            <w:r>
              <w:t xml:space="preserve">lima</w:t>
            </w:r>
          </w:p>
        </w:tc>
        <w:tc>
          <w:tcPr>
            <w:tcW w:w="1415" w:type="dxa"/>
          </w:tcPr>
          <w:p>
            <w:pPr>
              <w:pStyle w:val="IsiTabel"/>
              <w:suppressAutoHyphens/>
              <w:jc w:val="center"/>
            </w:pPr>
            <w:r>
              <w:t xml:space="preserve">lima (kehilangan tempat tinggal menurut BRR)</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Likuefaksi</w:t>
            </w:r>
          </w:p>
        </w:tc>
        <w:tc>
          <w:tcPr>
            <w:tcW w:w="1603" w:type="dxa"/>
          </w:tcPr>
          <w:p>
            <w:pPr>
              <w:pStyle w:val="IsiTabel"/>
              <w:suppressAutoHyphens/>
              <w:jc w:val="left"/>
            </w:pPr>
            <w:r>
              <w:t xml:space="preserve">Sulawesi Tengah 2018, gabungan dengan gempa dan tsunami</w:t>
            </w:r>
          </w:p>
        </w:tc>
        <w:tc>
          <w:tcPr>
            <w:tcW w:w="1743" w:type="dxa"/>
          </w:tcPr>
          <w:p>
            <w:pPr>
              <w:pStyle w:val="IsiTabel"/>
              <w:suppressAutoHyphens/>
              <w:jc w:val="center"/>
            </w:pPr>
            <w:r>
              <w:t xml:space="preserve">lima gabungan</w:t>
            </w:r>
          </w:p>
        </w:tc>
        <w:tc>
          <w:tcPr>
            <w:tcW w:w="1415" w:type="dxa"/>
          </w:tcPr>
          <w:p>
            <w:pPr>
              <w:pStyle w:val="IsiTabel"/>
              <w:suppressAutoHyphens/>
              <w:jc w:val="center"/>
            </w:pPr>
            <w:r>
              <w:t xml:space="preserve">lima gabungan</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Gunung api</w:t>
            </w:r>
          </w:p>
        </w:tc>
        <w:tc>
          <w:tcPr>
            <w:tcW w:w="1603" w:type="dxa"/>
          </w:tcPr>
          <w:p>
            <w:pPr>
              <w:pStyle w:val="IsiTabel"/>
              <w:suppressAutoHyphens/>
              <w:jc w:val="left"/>
            </w:pPr>
            <w:r>
              <w:t xml:space="preserve">Merapi 2010: </w:t>
            </w:r>
            <w:r>
              <w:t xml:space="preserve">386</w:t>
            </w:r>
            <w:r>
              <w:t xml:space="preserve"> meninggal, </w:t>
            </w:r>
            <w:r>
              <w:t xml:space="preserve">447.982</w:t>
            </w:r>
            <w:r>
              <w:t xml:space="preserve"> mengungsi</w:t>
            </w:r>
          </w:p>
        </w:tc>
        <w:tc>
          <w:tcPr>
            <w:tcW w:w="1743" w:type="dxa"/>
          </w:tcPr>
          <w:p>
            <w:pPr>
              <w:pStyle w:val="IsiTabel"/>
              <w:suppressAutoHyphens/>
              <w:jc w:val="center"/>
            </w:pPr>
            <w:r>
              <w:t xml:space="preserve">empat</w:t>
            </w:r>
          </w:p>
        </w:tc>
        <w:tc>
          <w:tcPr>
            <w:tcW w:w="1415" w:type="dxa"/>
          </w:tcPr>
          <w:p>
            <w:pPr>
              <w:pStyle w:val="IsiTabel"/>
              <w:suppressAutoHyphens/>
              <w:jc w:val="center"/>
            </w:pPr>
            <w:r>
              <w:t xml:space="preserve">lima</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Banjir dan banjir bandang</w:t>
            </w:r>
          </w:p>
        </w:tc>
        <w:tc>
          <w:tcPr>
            <w:tcW w:w="1603" w:type="dxa"/>
          </w:tcPr>
          <w:p>
            <w:pPr>
              <w:pStyle w:val="IsiTabel"/>
              <w:suppressAutoHyphens/>
              <w:jc w:val="left"/>
            </w:pPr>
            <w:r>
              <w:t xml:space="preserve">banjir 2025: </w:t>
            </w:r>
            <w:r>
              <w:t xml:space="preserve">1.585</w:t>
            </w:r>
            <w:r>
              <w:t xml:space="preserve"> meninggal dan hilang, </w:t>
            </w:r>
            <w:r>
              <w:t xml:space="preserve">1.126.773</w:t>
            </w:r>
            <w:r>
              <w:t xml:space="preserve"> mengungsi; lantai musim 2025/2026: </w:t>
            </w:r>
            <w:r>
              <w:t xml:space="preserve">1.692</w:t>
            </w:r>
          </w:p>
        </w:tc>
        <w:tc>
          <w:tcPr>
            <w:tcW w:w="1743" w:type="dxa"/>
          </w:tcPr>
          <w:p>
            <w:pPr>
              <w:pStyle w:val="IsiTabel"/>
              <w:suppressAutoHyphens/>
              <w:jc w:val="center"/>
            </w:pPr>
            <w:r>
              <w:t xml:space="preserve">lima</w:t>
            </w:r>
          </w:p>
        </w:tc>
        <w:tc>
          <w:tcPr>
            <w:tcW w:w="1415" w:type="dxa"/>
          </w:tcPr>
          <w:p>
            <w:pPr>
              <w:pStyle w:val="IsiTabel"/>
              <w:suppressAutoHyphens/>
              <w:jc w:val="center"/>
            </w:pPr>
            <w:r>
              <w:t xml:space="preserve">lima</w:t>
            </w:r>
          </w:p>
        </w:tc>
        <w:tc>
          <w:tcPr>
            <w:tcW w:w="1624" w:type="dxa"/>
          </w:tcPr>
          <w:p>
            <w:pPr>
              <w:pStyle w:val="IsiTabel"/>
              <w:suppressAutoHyphens/>
              <w:jc w:val="left"/>
            </w:pPr>
            <w:r>
              <w:t xml:space="preserve">23,7%</w:t>
            </w:r>
            <w:r>
              <w:t xml:space="preserve"> musim seburuk lantai, pita empat</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Tanah longsor</w:t>
            </w:r>
          </w:p>
        </w:tc>
        <w:tc>
          <w:tcPr>
            <w:tcW w:w="1603" w:type="dxa"/>
          </w:tcPr>
          <w:p>
            <w:pPr>
              <w:pStyle w:val="IsiTabel"/>
              <w:suppressAutoHyphens/>
              <w:jc w:val="left"/>
            </w:pPr>
            <w:r>
              <w:t xml:space="preserve">tahun terbesar 2014: </w:t>
            </w:r>
            <w:r>
              <w:t xml:space="preserve">354</w:t>
            </w:r>
            <w:r>
              <w:t xml:space="preserve"> meninggal dan hilang</w:t>
            </w:r>
          </w:p>
        </w:tc>
        <w:tc>
          <w:tcPr>
            <w:tcW w:w="1743" w:type="dxa"/>
          </w:tcPr>
          <w:p>
            <w:pPr>
              <w:pStyle w:val="IsiTabel"/>
              <w:suppressAutoHyphens/>
              <w:jc w:val="center"/>
            </w:pPr>
            <w:r>
              <w:t xml:space="preserve">paling tinggi empat</w:t>
            </w:r>
          </w:p>
        </w:tc>
        <w:tc>
          <w:tcPr>
            <w:tcW w:w="1415" w:type="dxa"/>
          </w:tcPr>
          <w:p>
            <w:pPr>
              <w:pStyle w:val="IsiTabel"/>
              <w:suppressAutoHyphens/>
              <w:jc w:val="center"/>
            </w:pPr>
            <w:r>
              <w:t xml:space="preserve">tiga</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Cuaca ekstrem</w:t>
            </w:r>
          </w:p>
        </w:tc>
        <w:tc>
          <w:tcPr>
            <w:tcW w:w="1603" w:type="dxa"/>
          </w:tcPr>
          <w:p>
            <w:pPr>
              <w:pStyle w:val="IsiTabel"/>
              <w:suppressAutoHyphens/>
              <w:jc w:val="left"/>
            </w:pPr>
            <w:r>
              <w:t xml:space="preserve">tahun terbesar 2025: </w:t>
            </w:r>
            <w:r>
              <w:t xml:space="preserve">81</w:t>
            </w:r>
            <w:r>
              <w:t xml:space="preserve"> meninggal dan hilang</w:t>
            </w:r>
          </w:p>
        </w:tc>
        <w:tc>
          <w:tcPr>
            <w:tcW w:w="1743" w:type="dxa"/>
          </w:tcPr>
          <w:p>
            <w:pPr>
              <w:pStyle w:val="IsiTabel"/>
              <w:suppressAutoHyphens/>
              <w:jc w:val="center"/>
            </w:pPr>
            <w:r>
              <w:t xml:space="preserve">paling tinggi tiga</w:t>
            </w:r>
          </w:p>
        </w:tc>
        <w:tc>
          <w:tcPr>
            <w:tcW w:w="1415" w:type="dxa"/>
          </w:tcPr>
          <w:p>
            <w:pPr>
              <w:pStyle w:val="IsiTabel"/>
              <w:suppressAutoHyphens/>
              <w:jc w:val="center"/>
            </w:pPr>
            <w:r>
              <w:t xml:space="preserve">tiga</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Gelombang ekstrem dan abrasi</w:t>
            </w:r>
          </w:p>
        </w:tc>
        <w:tc>
          <w:tcPr>
            <w:tcW w:w="1603" w:type="dxa"/>
          </w:tcPr>
          <w:p>
            <w:pPr>
              <w:pStyle w:val="IsiTabel"/>
              <w:suppressAutoHyphens/>
              <w:jc w:val="left"/>
            </w:pPr>
            <w:r>
              <w:t xml:space="preserve">tahun terbesar 2011: </w:t>
            </w:r>
            <w:r>
              <w:t xml:space="preserve">36</w:t>
            </w:r>
            <w:r>
              <w:t xml:space="preserve"> meninggal dan hilang</w:t>
            </w:r>
          </w:p>
        </w:tc>
        <w:tc>
          <w:tcPr>
            <w:tcW w:w="1743" w:type="dxa"/>
          </w:tcPr>
          <w:p>
            <w:pPr>
              <w:pStyle w:val="IsiTabel"/>
              <w:suppressAutoHyphens/>
              <w:jc w:val="center"/>
            </w:pPr>
            <w:r>
              <w:t xml:space="preserve">paling tinggi dua</w:t>
            </w:r>
          </w:p>
        </w:tc>
        <w:tc>
          <w:tcPr>
            <w:tcW w:w="1415" w:type="dxa"/>
          </w:tcPr>
          <w:p>
            <w:pPr>
              <w:pStyle w:val="IsiTabel"/>
              <w:suppressAutoHyphens/>
              <w:jc w:val="center"/>
            </w:pPr>
            <w:r>
              <w:t xml:space="preserve">dua</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Rob</w:t>
            </w:r>
          </w:p>
        </w:tc>
        <w:tc>
          <w:tcPr>
            <w:tcW w:w="1603" w:type="dxa"/>
          </w:tcPr>
          <w:p>
            <w:pPr>
              <w:pStyle w:val="IsiTabel"/>
              <w:suppressAutoHyphens/>
              <w:jc w:val="left"/>
            </w:pPr>
            <w:r>
              <w:t xml:space="preserve">banjir Demak dan Kudus 2024: </w:t>
            </w:r>
            <w:r>
              <w:t xml:space="preserve">11</w:t>
            </w:r>
            <w:r>
              <w:t xml:space="preserve"> meninggal, </w:t>
            </w:r>
            <w:r>
              <w:t xml:space="preserve">60.706</w:t>
            </w:r>
            <w:r>
              <w:t xml:space="preserve"> mengungsi</w:t>
            </w:r>
          </w:p>
        </w:tc>
        <w:tc>
          <w:tcPr>
            <w:tcW w:w="1743" w:type="dxa"/>
          </w:tcPr>
          <w:p>
            <w:pPr>
              <w:pStyle w:val="IsiTabel"/>
              <w:suppressAutoHyphens/>
              <w:jc w:val="center"/>
            </w:pPr>
            <w:r>
              <w:t xml:space="preserve">dua</w:t>
            </w:r>
          </w:p>
        </w:tc>
        <w:tc>
          <w:tcPr>
            <w:tcW w:w="1415" w:type="dxa"/>
          </w:tcPr>
          <w:p>
            <w:pPr>
              <w:pStyle w:val="IsiTabel"/>
              <w:suppressAutoHyphens/>
              <w:jc w:val="center"/>
            </w:pPr>
            <w:r>
              <w:t xml:space="preserve">empat</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Kekeringan</w:t>
            </w:r>
          </w:p>
        </w:tc>
        <w:tc>
          <w:tcPr>
            <w:tcW w:w="1603" w:type="dxa"/>
          </w:tcPr>
          <w:p>
            <w:pPr>
              <w:pStyle w:val="IsiTabel"/>
              <w:suppressAutoHyphens/>
              <w:jc w:val="left"/>
            </w:pPr>
            <w:r>
              <w:t xml:space="preserve">tahun terbesar 2023: </w:t>
            </w:r>
            <w:r>
              <w:t xml:space="preserve">6</w:t>
            </w:r>
            <w:r>
              <w:t xml:space="preserve"> meninggal dan hilang; terdampak 2018: </w:t>
            </w:r>
            <w:r>
              <w:t xml:space="preserve">7.798.763</w:t>
            </w:r>
          </w:p>
        </w:tc>
        <w:tc>
          <w:tcPr>
            <w:tcW w:w="1743" w:type="dxa"/>
          </w:tcPr>
          <w:p>
            <w:pPr>
              <w:pStyle w:val="IsiTabel"/>
              <w:suppressAutoHyphens/>
              <w:jc w:val="center"/>
            </w:pPr>
            <w:r>
              <w:t xml:space="preserve">satu</w:t>
            </w:r>
          </w:p>
        </w:tc>
        <w:tc>
          <w:tcPr>
            <w:tcW w:w="1415" w:type="dxa"/>
          </w:tcPr>
          <w:p>
            <w:pPr>
              <w:pStyle w:val="IsiTabel"/>
              <w:suppressAutoHyphens/>
              <w:jc w:val="center"/>
            </w:pPr>
            <w:r>
              <w:t xml:space="preserve">satu</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Karhutla</w:t>
            </w:r>
          </w:p>
        </w:tc>
        <w:tc>
          <w:tcPr>
            <w:tcW w:w="1603" w:type="dxa"/>
          </w:tcPr>
          <w:p>
            <w:pPr>
              <w:pStyle w:val="IsiTabel"/>
              <w:suppressAutoHyphens/>
              <w:jc w:val="left"/>
            </w:pPr>
            <w:r>
              <w:t xml:space="preserve">DIBI 2015: </w:t>
            </w:r>
            <w:r>
              <w:t xml:space="preserve">24</w:t>
            </w:r>
            <w:r>
              <w:t xml:space="preserve"> meninggal dan hilang; model asap </w:t>
            </w:r>
            <w:r>
              <w:t xml:space="preserve">sekitar 92.000</w:t>
            </w:r>
          </w:p>
        </w:tc>
        <w:tc>
          <w:tcPr>
            <w:tcW w:w="1743" w:type="dxa"/>
          </w:tcPr>
          <w:p>
            <w:pPr>
              <w:pStyle w:val="IsiTabel"/>
              <w:suppressAutoHyphens/>
              <w:jc w:val="center"/>
            </w:pPr>
            <w:r>
              <w:t xml:space="preserve">dua (lima menurut model)</w:t>
            </w:r>
          </w:p>
        </w:tc>
        <w:tc>
          <w:tcPr>
            <w:tcW w:w="1415" w:type="dxa"/>
          </w:tcPr>
          <w:p>
            <w:pPr>
              <w:pStyle w:val="IsiTabel"/>
              <w:suppressAutoHyphens/>
              <w:jc w:val="center"/>
            </w:pPr>
            <w:r>
              <w:t xml:space="preserve">satu</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estimasi-model (model)  </w:t>
            </w:r>
          </w:p>
        </w:tc>
      </w:tr>
      <w:tr>
        <w:trPr>
          <w:cantSplit/>
        </w:trPr>
        <w:tc>
          <w:tcPr>
            <w:tcW w:w="1643" w:type="dxa"/>
          </w:tcPr>
          <w:p>
            <w:pPr>
              <w:pStyle w:val="IsiTabel"/>
              <w:keepNext/>
              <w:suppressAutoHyphens/>
              <w:jc w:val="left"/>
            </w:pPr>
            <w:bookmarkStart w:id="255" w:name="_Ekor026a"/>
            <w:bookmarkEnd w:id="255"/>
            <w:r>
              <w:t xml:space="preserve">Epidemi dan pandemi</w:t>
            </w:r>
          </w:p>
        </w:tc>
        <w:tc>
          <w:tcPr>
            <w:tcW w:w="1603" w:type="dxa"/>
          </w:tcPr>
          <w:p>
            <w:pPr>
              <w:pStyle w:val="IsiTabel"/>
              <w:keepNext/>
              <w:suppressAutoHyphens/>
              <w:jc w:val="left"/>
            </w:pPr>
            <w:r>
              <w:t xml:space="preserve">COVID-19: </w:t>
            </w:r>
            <w:r>
              <w:t xml:space="preserve">161.870</w:t>
            </w:r>
            <w:r>
              <w:t xml:space="preserve"> meninggal</w:t>
            </w:r>
          </w:p>
        </w:tc>
        <w:tc>
          <w:tcPr>
            <w:tcW w:w="1743" w:type="dxa"/>
          </w:tcPr>
          <w:p>
            <w:pPr>
              <w:pStyle w:val="IsiTabel"/>
              <w:keepNext/>
              <w:suppressAutoHyphens/>
              <w:jc w:val="center"/>
            </w:pPr>
            <w:r>
              <w:t xml:space="preserve">lima</w:t>
            </w:r>
          </w:p>
        </w:tc>
        <w:tc>
          <w:tcPr>
            <w:tcW w:w="1415" w:type="dxa"/>
          </w:tcPr>
          <w:p>
            <w:pPr>
              <w:pStyle w:val="IsiTabel"/>
              <w:keepNext/>
              <w:suppressAutoHyphens/>
              <w:jc w:val="center"/>
            </w:pPr>
            <w:r>
              <w:t xml:space="preserve">tidak berlaku</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643" w:type="dxa"/>
          </w:tcPr>
          <w:p>
            <w:pPr>
              <w:pStyle w:val="IsiTabel"/>
              <w:keepNext/>
              <w:suppressAutoHyphens/>
              <w:jc w:val="left"/>
            </w:pPr>
            <w:r>
              <w:t xml:space="preserve">Kebakaran industri dan kegagalan teknologi</w:t>
            </w:r>
          </w:p>
        </w:tc>
        <w:tc>
          <w:tcPr>
            <w:tcW w:w="1603" w:type="dxa"/>
          </w:tcPr>
          <w:p>
            <w:pPr>
              <w:pStyle w:val="IsiTabel"/>
              <w:keepNext/>
              <w:suppressAutoHyphens/>
              <w:jc w:val="left"/>
            </w:pPr>
            <w:r>
              <w:t xml:space="preserve">Plumpang 2023: </w:t>
            </w:r>
            <w:r>
              <w:t xml:space="preserve">17</w:t>
            </w:r>
            <w:r>
              <w:t xml:space="preserve"> meninggal</w:t>
            </w:r>
          </w:p>
        </w:tc>
        <w:tc>
          <w:tcPr>
            <w:tcW w:w="1743" w:type="dxa"/>
          </w:tcPr>
          <w:p>
            <w:pPr>
              <w:pStyle w:val="IsiTabel"/>
              <w:keepNext/>
              <w:suppressAutoHyphens/>
              <w:jc w:val="center"/>
            </w:pPr>
            <w:r>
              <w:t xml:space="preserve">dua</w:t>
            </w:r>
          </w:p>
        </w:tc>
        <w:tc>
          <w:tcPr>
            <w:tcW w:w="1415" w:type="dxa"/>
          </w:tcPr>
          <w:p>
            <w:pPr>
              <w:pStyle w:val="IsiTabel"/>
              <w:keepNext/>
              <w:suppressAutoHyphens/>
              <w:jc w:val="center"/>
            </w:pPr>
            <w:r>
              <w:t xml:space="preserve">satu</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643" w:type="dxa"/>
          </w:tcPr>
          <w:p>
            <w:pPr>
              <w:pStyle w:val="IsiTabel"/>
              <w:keepNext/>
              <w:suppressAutoHyphens/>
              <w:jc w:val="left"/>
            </w:pPr>
            <w:r>
              <w:t xml:space="preserve">Kebakaran tempat pemrosesan akhir (TPA)</w:t>
            </w:r>
          </w:p>
        </w:tc>
        <w:tc>
          <w:tcPr>
            <w:tcW w:w="1603" w:type="dxa"/>
          </w:tcPr>
          <w:p>
            <w:pPr>
              <w:pStyle w:val="IsiTabel"/>
              <w:keepNext/>
              <w:suppressAutoHyphens/>
              <w:jc w:val="left"/>
            </w:pPr>
            <w:r>
              <w:t xml:space="preserve">tanpa korban jiwa tercatat; </w:t>
            </w:r>
            <w:r>
              <w:t xml:space="preserve">16 TPA</w:t>
            </w:r>
            <w:r>
              <w:t xml:space="preserve"> terbakar serentak 2023</w:t>
            </w:r>
          </w:p>
        </w:tc>
        <w:tc>
          <w:tcPr>
            <w:tcW w:w="1743" w:type="dxa"/>
          </w:tcPr>
          <w:p>
            <w:pPr>
              <w:pStyle w:val="IsiTabel"/>
              <w:keepNext/>
              <w:suppressAutoHyphens/>
              <w:jc w:val="center"/>
            </w:pPr>
            <w:r>
              <w:t xml:space="preserve">tidak relevan</w:t>
            </w:r>
          </w:p>
        </w:tc>
        <w:tc>
          <w:tcPr>
            <w:tcW w:w="1415" w:type="dxa"/>
          </w:tcPr>
          <w:p>
            <w:pPr>
              <w:pStyle w:val="IsiTabel"/>
              <w:keepNext/>
              <w:suppressAutoHyphens/>
              <w:jc w:val="center"/>
            </w:pPr>
            <w:r>
              <w:t xml:space="preserve">tidak tercatat</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643" w:type="dxa"/>
          </w:tcPr>
          <w:p>
            <w:pPr>
              <w:pStyle w:val="IsiTabel"/>
              <w:keepNext/>
              <w:suppressAutoHyphens/>
              <w:jc w:val="left"/>
            </w:pPr>
            <w:bookmarkStart w:id="256" w:name="_Ekor026z"/>
            <w:bookmarkEnd w:id="256"/>
            <w:r>
              <w:t xml:space="preserve">Konflik sosial</w:t>
            </w:r>
          </w:p>
        </w:tc>
        <w:tc>
          <w:tcPr>
            <w:tcW w:w="1603" w:type="dxa"/>
          </w:tcPr>
          <w:p>
            <w:pPr>
              <w:pStyle w:val="IsiTabel"/>
              <w:keepNext/>
              <w:suppressAutoHyphens/>
              <w:jc w:val="left"/>
            </w:pPr>
            <w:r>
              <w:t xml:space="preserve">Maluku 1999–2002: sedikitnya </w:t>
            </w:r>
            <w:r>
              <w:t xml:space="preserve">5.000</w:t>
            </w:r>
            <w:r>
              <w:t xml:space="preserve"> meninggal, </w:t>
            </w:r>
            <w:r>
              <w:t xml:space="preserve">700.000</w:t>
            </w:r>
            <w:r>
              <w:t xml:space="preserve"> mengungsi</w:t>
            </w:r>
          </w:p>
        </w:tc>
        <w:tc>
          <w:tcPr>
            <w:tcW w:w="1743" w:type="dxa"/>
          </w:tcPr>
          <w:p>
            <w:pPr>
              <w:pStyle w:val="IsiTabel"/>
              <w:keepNext/>
              <w:suppressAutoHyphens/>
              <w:jc w:val="center"/>
            </w:pPr>
            <w:r>
              <w:t xml:space="preserve">lima</w:t>
            </w:r>
          </w:p>
        </w:tc>
        <w:tc>
          <w:tcPr>
            <w:tcW w:w="1415" w:type="dxa"/>
          </w:tcPr>
          <w:p>
            <w:pPr>
              <w:pStyle w:val="IsiTabel"/>
              <w:keepNext/>
              <w:suppressAutoHyphens/>
              <w:jc w:val="center"/>
            </w:pPr>
            <w:r>
              <w:t xml:space="preserve">lima</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2008–2025; BRR NAD-Nias (2009); USGS; International Crisis Group (2002); Kementerian Kesehatan via Renstra BNPB; PuSGeN (2024); pita NRR Cabinet Office;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Kelas memakai pita fatalitas dan mengungsi usulan Bab 3 dan dihitung ulang bila ambangnya berubah. Jenis tanpa kejadian tunggal yang menonjol memakai jumlah setahun, batas atas satu kejadian. Angka estimasi model tidak menentukan kelas.</w:t>
      </w:r>
    </w:p>
    <w:p>
      <w:pPr>
        <w:pStyle w:val="IsiTemuan"/>
      </w:pPr>
      <w:r>
        <w:rPr>
          <w:b/>
          <w:bCs/>
          <w:color w:val="051C2C"/>
        </w:rPr>
        <w:t xml:space="preserve">Kemungkinan lima tahun yang dipasangkan dengan skenario dampak yang sama hanya dapat dinilai untuk </w:t>
      </w:r>
      <w:r>
        <w:rPr>
          <w:b/>
          <w:bCs/>
          <w:color w:val="051C2C"/>
        </w:rPr>
        <w:t xml:space="preserve">3 jenis</w:t>
      </w:r>
      <w:r>
        <w:rPr>
          <w:b/>
          <w:bCs/>
          <w:color w:val="051C2C"/>
        </w:rPr>
        <w:t xml:space="preserve">, yaitu gempa bumi dan tsunami lewat kartu megathrust selatan Jawa serta banjir lewat kartu musim hujan nasional.</w:t>
      </w:r>
      <w:r>
        <w:t xml:space="preserve"> Untuk megathrust, periode ulang </w:t>
      </w:r>
      <w:r>
        <w:t xml:space="preserve">600 tahun</w:t>
      </w:r>
      <w:r>
        <w:t xml:space="preserve"> skenario gabungan dan </w:t>
      </w:r>
      <w:r>
        <w:t xml:space="preserve">400 tahun</w:t>
      </w:r>
      <w:r>
        <w:t xml:space="preserve"> per segmen dari Peta Sumber dan Bahaya Gempa Indonesia 2024 diturunkan dengan asumsi Poisson menjadi </w:t>
      </w:r>
      <w:r>
        <w:t xml:space="preserve">0,83%</w:t>
      </w:r>
      <w:r>
        <w:t xml:space="preserve"> dan </w:t>
      </w:r>
      <w:r>
        <w:t xml:space="preserve">1,24%</w:t>
      </w:r>
      <w:r>
        <w:t xml:space="preserve"> dalam lima tahun </w:t>
      </w:r>
      <w:r>
        <w:t xml:space="preserve">(PuSGeN, 2024, hlm. 342–343)</w:t>
      </w:r>
      <w:r>
        <w:t xml:space="preserve">. Kedua peluang itu turunan penyusun, bukan angka Pusat Studi Gempa Nasional (PuSGeN). Untuk banjir, peluang lima tahun musim hujan seburuk lantai 2025/2026, yang mencatat </w:t>
      </w:r>
      <w:r>
        <w:t xml:space="preserve">1.692</w:t>
      </w:r>
      <w:r>
        <w:t xml:space="preserve"> meninggal dan hilang, adalah </w:t>
      </w:r>
      <w:r>
        <w:t xml:space="preserve">23,7%</w:t>
      </w:r>
      <w:r>
        <w:t xml:space="preserve"> menurut posisi plot Weibull </w:t>
      </w:r>
      <w:r>
        <w:t xml:space="preserve">(BNPB, t.t.-a)</w:t>
      </w:r>
      <w:r>
        <w:t xml:space="preserve">. Aturan Weibull memberi pita empat untuk tahun terburuk jenis apa pun secara konstruksi. Dasar itu lemah; bila Bab 3 menolak aturan tersebut, banjir pindah ke panel tanpa penilaian kemungkinan. Titik gempa bumi dan tsunami pada matriks berada di kelas empat menurut lantai Pangandaran, lebih rendah daripada kelas jenisnya, dan catatan gambar menyebut hal itu (</w:t>
      </w:r>
      <w:r>
        <w:fldChar w:fldCharType="begin"/>
      </w:r>
      <w:r>
        <w:instrText xml:space="preserve"> REF _Ref0046 \h \* CHARFORMAT </w:instrText>
      </w:r>
      <w:r>
        <w:fldChar w:fldCharType="separate"/>
      </w:r>
      <w:r>
        <w:t xml:space="preserve">Gambar 5.8</w:t>
      </w:r>
      <w:r>
        <w:fldChar w:fldCharType="end"/>
      </w:r>
      <w:r>
        <w:t xml:space="preserve">).</w:t>
      </w:r>
    </w:p>
    <w:p>
      <w:pPr>
        <w:pStyle w:val="IsiTemuan"/>
      </w:pPr>
      <w:r>
        <w:rPr>
          <w:b/>
          <w:bCs/>
          <w:color w:val="051C2C"/>
        </w:rPr>
        <w:t xml:space="preserve">Dua belas jenis masuk panel yang dampaknya dinilai tetapi kemungkinannya tidak, termasuk empat jenis yang pada </w:t>
      </w:r>
      <w:r>
        <w:rPr>
          <w:b/>
          <w:bCs/>
          <w:color w:val="051C2C"/>
        </w:rPr>
        <w:fldChar w:fldCharType="begin"/>
      </w:r>
      <w:r>
        <w:rPr>
          <w:b/>
          <w:bCs/>
          <w:color w:val="051C2C"/>
        </w:rPr>
        <w:instrText xml:space="preserve"> REF _Ref0297 \h \* CHARFORMAT </w:instrText>
      </w:r>
      <w:r>
        <w:rPr>
          <w:b/>
          <w:bCs/>
          <w:color w:val="051C2C"/>
        </w:rPr>
        <w:fldChar w:fldCharType="separate"/>
      </w:r>
      <w:r>
        <w:rPr>
          <w:b/>
          <w:bCs/>
          <w:color w:val="051C2C"/>
        </w:rPr>
        <w:t xml:space="preserve">Tabel 5.7</w:t>
      </w:r>
      <w:r>
        <w:rPr>
          <w:b/>
          <w:bCs/>
          <w:color w:val="051C2C"/>
        </w:rPr>
        <w:fldChar w:fldCharType="end"/>
      </w:r>
      <w:r>
        <w:rPr>
          <w:b/>
          <w:bCs/>
          <w:color w:val="051C2C"/>
        </w:rPr>
        <w:t xml:space="preserve"> hanya punya peluang fase iklim.</w:t>
      </w:r>
      <w:r>
        <w:t xml:space="preserve"> Dalam jendela lima tahun 1950–2025, </w:t>
      </w:r>
      <w:r>
        <w:t xml:space="preserve">84,7%</w:t>
      </w:r>
      <w:r>
        <w:t xml:space="preserve"> memuat paling sedikit satu musim La Niña dan </w:t>
      </w:r>
      <w:r>
        <w:t xml:space="preserve">38,9%</w:t>
      </w:r>
      <w:r>
        <w:t xml:space="preserve"> memuat El Niño kuat </w:t>
      </w:r>
      <w:r>
        <w:t xml:space="preserve">(NOAA Climate Prediction Center, 2026b)</w:t>
      </w:r>
      <w:r>
        <w:t xml:space="preserve">. Angka itu adalah peluang fase, bukan peluang kejadian sebesar analog dampak. Dari </w:t>
      </w:r>
      <w:r>
        <w:t xml:space="preserve">7 musim</w:t>
      </w:r>
      <w:r>
        <w:t xml:space="preserve"> La Niña 2008/2009–2022/2023, tidak satu pun mendekati kelas lima; yang terbesar, 2010/2011, mencatat </w:t>
      </w:r>
      <w:r>
        <w:t xml:space="preserve">599</w:t>
      </w:r>
      <w:r>
        <w:t xml:space="preserve"> meninggal dan hilang, sedangkan musim lantai 2025/2026 bernilai </w:t>
      </w:r>
      <w:r>
        <w:rPr>
          <w:i/>
          <w:iCs/>
        </w:rPr>
        <w:t xml:space="preserve">Oceanic Niño Index</w:t>
      </w:r>
      <w:r>
        <w:t xml:space="preserve"> (ONI) </w:t>
      </w:r>
      <w:r>
        <w:t xml:space="preserve">-0,6</w:t>
      </w:r>
      <w:r>
        <w:t xml:space="preserve"> dan tidak tergolong La Niña </w:t>
      </w:r>
      <w:r>
        <w:t xml:space="preserve">(BNPB, t.t.-a; NOAA Climate Prediction Center, 2026b)</w:t>
      </w:r>
      <w:r>
        <w:t xml:space="preserve">. Korban terbesar karhutla dan kekeringan masing-masing hanya terjadi pada satu dari tiga musim El Niño kuat. Kemungkinan dan dampak tidak dikalikan menjadi satu skor per jenis, karena dasar kemungkinannya berbeda sifat dan dua belas jenis tidak punya dasar yang dipasangkan; matriks menampilkan posisi, bukan peringkat.</w:t>
      </w:r>
    </w:p>
    <w:p>
      <w:pPr>
        <w:pStyle w:val="Caption"/>
      </w:pPr>
      <w:bookmarkStart w:id="258" w:name="_Toc00100"/>
      <w:bookmarkStart w:id="257" w:name="_Ref004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8</w:t>
      </w:r>
      <w:r>
        <w:rPr>
          <w:b/>
          <w:bCs/>
          <w:color w:val="051C2C"/>
        </w:rPr>
        <w:fldChar w:fldCharType="end"/>
      </w:r>
      <w:bookmarkEnd w:id="257"/>
      <w:r>
        <w:rPr>
          <w:b/>
          <w:bCs/>
          <w:color w:val="051C2C"/>
        </w:rPr>
        <w:t xml:space="preserve"> </w:t>
      </w:r>
      <w:r>
        <w:t xml:space="preserve">Matriks kemungkinan lima tahun dan kelas fatalitas per jenis bencana, dengan kolom jenis tanpa dasar kemungkinan, Indonesia 2026</w:t>
      </w:r>
      <w:bookmarkEnd w:id="258"/>
    </w:p>
    <w:p xmlns:a="http://schemas.openxmlformats.org/drawingml/2006/main" xmlns:pic="http://schemas.openxmlformats.org/drawingml/2006/picture">
      <w:pPr>
        <w:keepNext/>
        <w:spacing w:after="0" w:line="240" w:lineRule="auto"/>
        <w:jc w:val="center"/>
      </w:pPr>
      <w:bookmarkStart w:id="259" w:name="_Obj0022"/>
      <w:r>
        <w:drawing>
          <wp:inline distT="0" distB="0" distL="0" distR="0">
            <wp:extent cx="5940000" cy="5979600"/>
            <wp:effectExtent l="0" t="0" r="0" b="0"/>
            <wp:docPr id="39" name="Gambar 39"/>
            <wp:cNvGraphicFramePr>
              <a:graphicFrameLocks noChangeAspect="1"/>
            </wp:cNvGraphicFramePr>
            <a:graphic>
              <a:graphicData uri="http://schemas.openxmlformats.org/drawingml/2006/picture">
                <pic:pic>
                  <pic:nvPicPr>
                    <pic:cNvPr id="39" name="bab05-matriks-kemungkinan-dampak.png"/>
                    <pic:cNvPicPr/>
                  </pic:nvPicPr>
                  <pic:blipFill>
                    <a:blip r:embed="rId39"/>
                    <a:stretch>
                      <a:fillRect/>
                    </a:stretch>
                  </pic:blipFill>
                  <pic:spPr>
                    <a:xfrm>
                      <a:off x="0" y="0"/>
                      <a:ext cx="5940000" cy="5979600"/>
                    </a:xfrm>
                    <a:prstGeom prst="rect">
                      <a:avLst/>
                    </a:prstGeom>
                  </pic:spPr>
                </pic:pic>
              </a:graphicData>
            </a:graphic>
          </wp:inline>
        </w:drawing>
      </w:r>
      <w:bookmarkEnd w:id="259"/>
    </w:p>
    <w:p>
      <w:pPr>
        <w:pStyle w:val="Sumber"/>
        <w:spacing w:after="40"/>
      </w:pPr>
      <w:r>
        <w:rPr>
          <w:b/>
          <w:bCs/>
          <w:color w:val="6B7280"/>
          <w:sz w:val="17"/>
          <w:szCs w:val="17"/>
        </w:rPr>
        <w:t xml:space="preserve">Sumber: </w:t>
      </w:r>
      <w:r>
        <w:rPr>
          <w:color w:val="6B7280"/>
          <w:sz w:val="17"/>
          <w:szCs w:val="17"/>
        </w:rPr>
        <w:t xml:space="preserve">Pita kemungkinan dan fatalitas NRR Cabinet Office; DIBI BNPB 2008–2025; PuSGeN (2024); NOAA CPC;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Satu titik per jenis; likuefaksi digabung dengan gempa bumi dan kebakaran TPA tidak digambar karena tanpa korban jiwa tercatat. Titik megathrust memakai lantai Pangandaran 2006 (kelas empat), sedangkan kelas jenis gempa bumi dan tsunami lima dari kartu yang kemungkinannya tidak dinilai. Kelas dan pita bergantung pada ambang Bab 3 yang belum dikunci.</w:t>
      </w:r>
    </w:p>
    <w:p>
      <w:pPr>
        <w:pBdr>
          <w:top w:val="single" w:sz="16" w:space="0" w:color="D9600B"/>
        </w:pBdr>
        <w:spacing w:before="0" w:after="80" w:line="60" w:lineRule="exact"/>
        <w:ind w:right="8674"/>
      </w:pPr>
    </w:p>
    <w:p>
      <w:pPr>
        <w:pStyle w:val="Heading1"/>
        <w:numPr>
          <w:ilvl w:val="0"/>
          <w:numId w:val="906"/>
        </w:numPr>
      </w:pPr>
      <w:bookmarkStart w:id="261" w:name="_Toc00101"/>
      <w:r>
        <w:rPr>
          <w:sz w:val="18"/>
          <w:szCs w:val="18"/>
        </w:rPr>
        <w:br/>
      </w:r>
      <w:bookmarkStart w:id="260" w:name="_Ref0000"/>
      <w:r>
        <w:t xml:space="preserve">BENCANA GEOLOGI</w:t>
      </w:r>
      <w:bookmarkEnd w:id="260"/>
      <w:bookmarkEnd w:id="261"/>
    </w:p>
    <w:p>
      <w:pPr>
        <w:pStyle w:val="Pertanyaan"/>
      </w:pPr>
      <w:r>
        <w:t xml:space="preserve">Berapa penduduk terpapar resmi per bahaya geologi, dan di mana? Apa yang dapat dan tidak dapat dikuantifikasi untuk megathrust dan tsunami? Berapa korban kejadian analog sesar darat, erupsi, dan gempa majemuk, dan tuas apa yang paling menekan korban?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40" name="Gambar 40"/>
                  <wp:cNvGraphicFramePr>
                    <a:graphicFrameLocks noChangeAspect="1"/>
                  </wp:cNvGraphicFramePr>
                  <a:graphic>
                    <a:graphicData uri="http://schemas.openxmlformats.org/drawingml/2006/picture">
                      <pic:pic>
                        <pic:nvPicPr>
                          <pic:cNvPr id="40"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Kajian Risiko Bencana (KRB) 2022–2026 mencatat </w:t>
            </w:r>
            <w:r>
              <w:t xml:space="preserve">272.405.410</w:t>
            </w:r>
            <w:r>
              <w:t xml:space="preserve"> jiwa terpapar gempa bumi, praktis seluruh penduduk. Indeks Risiko Bencana Indonesia (IRBI) 2025 tidak menempatkan satu pun dari </w:t>
            </w:r>
            <w:r>
              <w:t xml:space="preserve">56</w:t>
            </w:r>
            <w:r>
              <w:t xml:space="preserve"> kab/kota kelas nilai teratas tsunami di Pulau Jawa, sehingga sebaran risiko geologi tidak dapat dibaca dari satu ukuran.</w:t>
            </w:r>
          </w:p>
          <w:p>
            <w:pPr>
              <w:pStyle w:val="DaftarKotak"/>
              <w:numPr>
                <w:ilvl w:val="0"/>
                <w:numId w:val="1"/>
              </w:numPr>
            </w:pPr>
            <w:r>
              <w:t xml:space="preserve">Yang resmi untuk megathrust selatan Jawa hanya bahayanya, yaitu magnitudo maksimum Mw </w:t>
            </w:r>
            <w:r>
              <w:t xml:space="preserve">9,1</w:t>
            </w:r>
            <w:r>
              <w:t xml:space="preserve"> dengan periode ulang </w:t>
            </w:r>
            <w:r>
              <w:t xml:space="preserve">600 tahun</w:t>
            </w:r>
            <w:r>
              <w:t xml:space="preserve">. Pita korban guncangan model lebih dari satu orde dan korban tsunami skenario tidak dikuantifikasi, sehingga kartu memakai lantai tercatat: </w:t>
            </w:r>
            <w:r>
              <w:t xml:space="preserve">5.749</w:t>
            </w:r>
            <w:r>
              <w:t xml:space="preserve"> meninggal pada gempa sesar darat Yogyakarta 2006 untuk guncangan dan </w:t>
            </w:r>
            <w:r>
              <w:t xml:space="preserve">665</w:t>
            </w:r>
            <w:r>
              <w:t xml:space="preserve"> meninggal pada tsunami Pangandaran 2006.</w:t>
            </w:r>
          </w:p>
          <w:p>
            <w:pPr>
              <w:pStyle w:val="DaftarKotak"/>
              <w:numPr>
                <w:ilvl w:val="0"/>
                <w:numId w:val="1"/>
              </w:numPr>
            </w:pPr>
            <w:r>
              <w:t xml:space="preserve">Data menunjuk mutu bangunan sebagai tuas korban guncangan dan evakuasi segera sebagai tuas korban tsunami dan erupsi. Besar efek kedua tuas belum diukur di Indonesia, dan tidak satu pun dari delapan program terkait geologi di kompendium kajian ini berbukti kuat.</w:t>
            </w:r>
          </w:p>
          <w:p>
            <w:pPr>
              <w:pStyle w:val="IsiKotak"/>
            </w:pPr>
            <w:r>
              <w:rPr>
                <w:b/>
                <w:bCs/>
                <w:color w:val="1A1A1A"/>
              </w:rPr>
              <w:t xml:space="preserve">Angka kunci: </w:t>
            </w:r>
          </w:p>
          <w:p>
            <w:pPr>
              <w:pStyle w:val="DaftarKotak"/>
              <w:numPr>
                <w:ilvl w:val="0"/>
                <w:numId w:val="1"/>
              </w:numPr>
            </w:pPr>
            <w:r>
              <w:t xml:space="preserve">5.341.282</w:t>
            </w:r>
            <w:r>
              <w:t xml:space="preserve"> jiwa terpapar tsunami menurut KRB 2022–2026 </w:t>
            </w:r>
            <w:r>
              <w:t xml:space="preserve">(BNPB, 2025c, hlm. 24)</w:t>
            </w:r>
            <w:r>
              <w:t xml:space="preserve">.</w:t>
            </w:r>
          </w:p>
          <w:p>
            <w:pPr>
              <w:pStyle w:val="DaftarKotak"/>
              <w:numPr>
                <w:ilvl w:val="0"/>
                <w:numId w:val="1"/>
              </w:numPr>
            </w:pPr>
            <w:r>
              <w:t xml:space="preserve">14</w:t>
            </w:r>
            <w:r>
              <w:t xml:space="preserve"> segmen megathrust dan </w:t>
            </w:r>
            <w:r>
              <w:t xml:space="preserve">401</w:t>
            </w:r>
            <w:r>
              <w:t xml:space="preserve"> sesar aktif dalam Peta Sumber dan Bahaya Gempa 2024 </w:t>
            </w:r>
            <w:r>
              <w:t xml:space="preserve">(PuSGeN, 2024)</w:t>
            </w:r>
            <w:r>
              <w:t xml:space="preserve">.</w:t>
            </w:r>
          </w:p>
          <w:p>
            <w:pPr>
              <w:pStyle w:val="DaftarKotak"/>
              <w:numPr>
                <w:ilvl w:val="0"/>
                <w:numId w:val="1"/>
              </w:numPr>
            </w:pPr>
            <w:r>
              <w:t xml:space="preserve">4.140</w:t>
            </w:r>
            <w:r>
              <w:t xml:space="preserve"> meninggal dan </w:t>
            </w:r>
            <w:r>
              <w:t xml:space="preserve">705</w:t>
            </w:r>
            <w:r>
              <w:t xml:space="preserve"> hilang akibat gempa majemuk Sulawesi Tengah 2018 </w:t>
            </w:r>
            <w:r>
              <w:t xml:space="preserve">(BNPB, t.t.-a)</w:t>
            </w:r>
            <w:r>
              <w:t xml:space="preserve">.</w:t>
            </w:r>
          </w:p>
          <w:p>
            <w:pPr>
              <w:pStyle w:val="IsiKotak"/>
            </w:pPr>
            <w:r>
              <w:rPr>
                <w:b/>
                <w:bCs/>
                <w:color w:val="1A1A1A"/>
              </w:rPr>
              <w:t xml:space="preserve">Rekomendasi: </w:t>
            </w:r>
            <w:r>
              <w:fldChar w:fldCharType="begin"/>
            </w:r>
            <w:r>
              <w:instrText xml:space="preserve"> REF _Ref0090 \h \* CHARFORMAT </w:instrText>
            </w:r>
            <w:r>
              <w:fldChar w:fldCharType="separate"/>
            </w:r>
            <w:r>
              <w:t xml:space="preserve">18</w:t>
            </w:r>
            <w:r>
              <w:fldChar w:fldCharType="end"/>
            </w:r>
            <w:r>
              <w:t xml:space="preserve">, </w:t>
            </w:r>
            <w:r>
              <w:fldChar w:fldCharType="begin"/>
            </w:r>
            <w:r>
              <w:instrText xml:space="preserve"> REF _Ref0102 \h \* CHARFORMAT </w:instrText>
            </w:r>
            <w:r>
              <w:fldChar w:fldCharType="separate"/>
            </w:r>
            <w:r>
              <w:t xml:space="preserve">27</w:t>
            </w:r>
            <w:r>
              <w:fldChar w:fldCharType="end"/>
            </w:r>
            <w:r>
              <w:t xml:space="preserve">, </w:t>
            </w:r>
            <w:r>
              <w:fldChar w:fldCharType="begin"/>
            </w:r>
            <w:r>
              <w:instrText xml:space="preserve"> REF _Ref0104 \h \* CHARFORMAT </w:instrText>
            </w:r>
            <w:r>
              <w:fldChar w:fldCharType="separate"/>
            </w:r>
            <w:r>
              <w:t xml:space="preserve">40</w:t>
            </w:r>
            <w:r>
              <w:fldChar w:fldCharType="end"/>
            </w:r>
          </w:p>
        </w:tc>
      </w:tr>
    </w:tbl>
    <w:p>
      <w:pPr>
        <w:pStyle w:val="Jarak"/>
      </w:pPr>
    </w:p>
    <w:p>
      <w:pPr>
        <w:pStyle w:val="Caption"/>
      </w:pPr>
      <w:bookmarkStart w:id="263" w:name="_Toc00102"/>
      <w:bookmarkStart w:id="262" w:name="_Ref002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262"/>
      <w:r>
        <w:rPr>
          <w:b/>
          <w:bCs/>
          <w:color w:val="051C2C"/>
        </w:rPr>
        <w:t xml:space="preserve"> </w:t>
      </w:r>
      <w:r>
        <w:t xml:space="preserve">Puing bangunan setelah gempa dan tsunami Palu, Palu, Sulawesi Tengah, Oktober 2018</w:t>
      </w:r>
      <w:bookmarkEnd w:id="263"/>
    </w:p>
    <w:p xmlns:a="http://schemas.openxmlformats.org/drawingml/2006/main" xmlns:pic="http://schemas.openxmlformats.org/drawingml/2006/picture">
      <w:pPr>
        <w:keepNext/>
        <w:spacing w:after="0" w:line="240" w:lineRule="auto"/>
        <w:jc w:val="center"/>
      </w:pPr>
      <w:bookmarkStart w:id="264" w:name="_Obj0023"/>
      <w:r>
        <w:drawing>
          <wp:inline distT="0" distB="0" distL="0" distR="0">
            <wp:extent cx="5940000" cy="2966700"/>
            <wp:effectExtent l="0" t="0" r="0" b="0"/>
            <wp:docPr id="41" name="Gambar 41"/>
            <wp:cNvGraphicFramePr>
              <a:graphicFrameLocks noChangeAspect="1"/>
            </wp:cNvGraphicFramePr>
            <a:graphic>
              <a:graphicData uri="http://schemas.openxmlformats.org/drawingml/2006/picture">
                <pic:pic>
                  <pic:nvPicPr>
                    <pic:cNvPr id="41" name="mit-b06-palu.jpg"/>
                    <pic:cNvPicPr/>
                  </pic:nvPicPr>
                  <pic:blipFill>
                    <a:blip r:embed="rId40"/>
                    <a:stretch>
                      <a:fillRect/>
                    </a:stretch>
                  </pic:blipFill>
                  <pic:spPr>
                    <a:xfrm>
                      <a:off x="0" y="0"/>
                      <a:ext cx="5940000" cy="2966700"/>
                    </a:xfrm>
                    <a:prstGeom prst="rect">
                      <a:avLst/>
                    </a:prstGeom>
                  </pic:spPr>
                </pic:pic>
              </a:graphicData>
            </a:graphic>
          </wp:inline>
        </w:drawing>
      </w:r>
      <w:bookmarkEnd w:id="264"/>
    </w:p>
    <w:p>
      <w:pPr>
        <w:pStyle w:val="Sumber"/>
      </w:pPr>
      <w:r>
        <w:rPr>
          <w:b/>
          <w:bCs/>
          <w:color w:val="6B7280"/>
          <w:sz w:val="17"/>
          <w:szCs w:val="17"/>
        </w:rPr>
        <w:t xml:space="preserve">Sumber: </w:t>
      </w:r>
      <w:r>
        <w:rPr>
          <w:color w:val="6B7280"/>
          <w:sz w:val="17"/>
          <w:szCs w:val="17"/>
        </w:rPr>
        <w:t xml:space="preserve">Wikimedia Commons, Ungkeito, CC BY-SA 4.0</w:t>
      </w:r>
    </w:p>
    <w:p>
      <w:pPr>
        <w:pStyle w:val="IsiTemuan"/>
      </w:pPr>
      <w:r>
        <w:rPr>
          <w:b/>
          <w:bCs/>
          <w:color w:val="051C2C"/>
        </w:rPr>
        <w:t xml:space="preserve">Paparan resmi geologi terbesar adalah gempa bumi dengan </w:t>
      </w:r>
      <w:r>
        <w:rPr>
          <w:b/>
          <w:bCs/>
          <w:color w:val="051C2C"/>
        </w:rPr>
        <w:t xml:space="preserve">272.405.410</w:t>
      </w:r>
      <w:r>
        <w:rPr>
          <w:b/>
          <w:bCs/>
          <w:color w:val="051C2C"/>
        </w:rPr>
        <w:t xml:space="preserve"> jiwa, disusul likuefaksi </w:t>
      </w:r>
      <w:r>
        <w:rPr>
          <w:b/>
          <w:bCs/>
          <w:color w:val="051C2C"/>
        </w:rPr>
        <w:t xml:space="preserve">86.689.779</w:t>
      </w:r>
      <w:r>
        <w:rPr>
          <w:b/>
          <w:bCs/>
          <w:color w:val="051C2C"/>
        </w:rPr>
        <w:t xml:space="preserve">, gunung api </w:t>
      </w:r>
      <w:r>
        <w:rPr>
          <w:b/>
          <w:bCs/>
          <w:color w:val="051C2C"/>
        </w:rPr>
        <w:t xml:space="preserve">5.864.711</w:t>
      </w:r>
      <w:r>
        <w:rPr>
          <w:b/>
          <w:bCs/>
          <w:color w:val="051C2C"/>
        </w:rPr>
        <w:t xml:space="preserve">, dan tsunami </w:t>
      </w:r>
      <w:r>
        <w:rPr>
          <w:b/>
          <w:bCs/>
          <w:color w:val="051C2C"/>
        </w:rPr>
        <w:t xml:space="preserve">5.341.282</w:t>
      </w:r>
      <w:r>
        <w:rPr>
          <w:b/>
          <w:bCs/>
          <w:color w:val="051C2C"/>
        </w:rPr>
        <w:t xml:space="preserve"> jiwa.</w:t>
      </w:r>
      <w:r>
        <w:t xml:space="preserve"> Angka paparan gempa itu melampaui jumlah penduduk wilayah di basis data yang sama, sehingga mencakup praktis seluruh penduduk dan tidak membedakan wilayah </w:t>
      </w:r>
      <w:r>
        <w:t xml:space="preserve">(BNPB, 2026i)</w:t>
      </w:r>
      <w:r>
        <w:t xml:space="preserve">. Potensi kerugian fisik dan ekonomi per bahaya dari KRB yang sama, mulai dari </w:t>
      </w:r>
      <w:r>
        <w:t xml:space="preserve">Rp1.111,3 triliun</w:t>
      </w:r>
      <w:r>
        <w:t xml:space="preserve"> untuk gempa, adalah nilai aset terpapar yang tidak dijumlah antarbahaya </w:t>
      </w:r>
      <w:r>
        <w:t xml:space="preserve">(BNPB, 2025c, hlm. 24–25)</w:t>
      </w:r>
      <w:r>
        <w:t xml:space="preserve">. Status resmi tiap bahaya tampil pada </w:t>
      </w:r>
      <w:r>
        <w:fldChar w:fldCharType="begin"/>
      </w:r>
      <w:r>
        <w:instrText xml:space="preserve"> REF _Ref0327 \h \* CHARFORMAT </w:instrText>
      </w:r>
      <w:r>
        <w:fldChar w:fldCharType="separate"/>
      </w:r>
      <w:r>
        <w:t xml:space="preserve">Tabel 6.1</w:t>
      </w:r>
      <w:r>
        <w:fldChar w:fldCharType="end"/>
      </w:r>
      <w:r>
        <w:t xml:space="preserve">.</w:t>
      </w:r>
    </w:p>
    <w:p>
      <w:pPr>
        <w:pStyle w:val="Caption"/>
      </w:pPr>
      <w:bookmarkStart w:id="266" w:name="_Toc00103"/>
      <w:bookmarkStart w:id="265" w:name="_Ref032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65"/>
      <w:r>
        <w:rPr>
          <w:b/>
          <w:bCs/>
          <w:color w:val="051C2C"/>
        </w:rPr>
        <w:t xml:space="preserve"> </w:t>
      </w:r>
      <w:r>
        <w:t xml:space="preserve">Paparan, aset di kelas bahaya tinggi, dan kelas IRBI per bahaya geologi di Indonesia, KRB 2022–2026 dan IRBI 2025</w:t>
      </w:r>
      <w:bookmarkEnd w:id="26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06"/>
        <w:gridCol w:w="1228"/>
        <w:gridCol w:w="1523"/>
        <w:gridCol w:w="1084"/>
        <w:gridCol w:w="1372"/>
        <w:gridCol w:w="1170"/>
        <w:gridCol w:w="1171"/>
      </w:tblGrid>
      <w:tr>
        <w:trPr>
          <w:cantSplit/>
          <w:tblHeader/>
        </w:trPr>
        <w:tc>
          <w:tcPr>
            <w:tcW w:w="1806" w:type="dxa"/>
            <w:shd w:val="clear" w:color="auto" w:fill="051C2C"/>
            <w:vAlign w:val="center"/>
          </w:tcPr>
          <w:p>
            <w:pPr>
              <w:pStyle w:val="KepalaTabel"/>
              <w:keepNext/>
              <w:suppressAutoHyphens/>
            </w:pPr>
            <w:r>
              <w:t xml:space="preserve">BAHAYA</w:t>
            </w:r>
          </w:p>
        </w:tc>
        <w:tc>
          <w:tcPr>
            <w:tcW w:w="1228" w:type="dxa"/>
            <w:shd w:val="clear" w:color="auto" w:fill="051C2C"/>
            <w:vAlign w:val="center"/>
          </w:tcPr>
          <w:p>
            <w:pPr>
              <w:pStyle w:val="KepalaTabel"/>
              <w:keepNext/>
              <w:suppressAutoHyphens/>
            </w:pPr>
            <w:r>
              <w:t xml:space="preserve">TERPAPAR (jiwa)</w:t>
            </w:r>
          </w:p>
        </w:tc>
        <w:tc>
          <w:tcPr>
            <w:tcW w:w="1523" w:type="dxa"/>
            <w:shd w:val="clear" w:color="auto" w:fill="051C2C"/>
            <w:vAlign w:val="center"/>
          </w:tcPr>
          <w:p>
            <w:pPr>
              <w:pStyle w:val="KepalaTabel"/>
              <w:keepNext/>
              <w:suppressAutoHyphens/>
            </w:pPr>
            <w:r>
              <w:t xml:space="preserve">POTENSI KERUGIAN</w:t>
            </w:r>
          </w:p>
        </w:tc>
        <w:tc>
          <w:tcPr>
            <w:tcW w:w="1084" w:type="dxa"/>
            <w:shd w:val="clear" w:color="auto" w:fill="051C2C"/>
            <w:vAlign w:val="center"/>
          </w:tcPr>
          <w:p>
            <w:pPr>
              <w:pStyle w:val="KepalaTabel"/>
              <w:keepNext/>
              <w:suppressAutoHyphens/>
            </w:pPr>
            <w:r>
              <w:t xml:space="preserve">SEKOLAH KELAS TINGGI</w:t>
            </w:r>
          </w:p>
        </w:tc>
        <w:tc>
          <w:tcPr>
            <w:tcW w:w="1372" w:type="dxa"/>
            <w:shd w:val="clear" w:color="auto" w:fill="051C2C"/>
            <w:vAlign w:val="center"/>
          </w:tcPr>
          <w:p>
            <w:pPr>
              <w:pStyle w:val="KepalaTabel"/>
              <w:keepNext/>
              <w:suppressAutoHyphens/>
            </w:pPr>
            <w:r>
              <w:t xml:space="preserve">PUSKESMAS KELAS TINGGI</w:t>
            </w:r>
          </w:p>
        </w:tc>
        <w:tc>
          <w:tcPr>
            <w:tcW w:w="1170" w:type="dxa"/>
            <w:shd w:val="clear" w:color="auto" w:fill="051C2C"/>
            <w:vAlign w:val="center"/>
          </w:tcPr>
          <w:p>
            <w:pPr>
              <w:pStyle w:val="KepalaTabel"/>
              <w:keepNext/>
              <w:suppressAutoHyphens/>
            </w:pPr>
            <w:r>
              <w:t xml:space="preserve">KAB/KOTA BERNILAI IRBI</w:t>
            </w:r>
          </w:p>
        </w:tc>
        <w:tc>
          <w:tcPr>
            <w:tcW w:w="1171" w:type="dxa"/>
            <w:shd w:val="clear" w:color="auto" w:fill="051C2C"/>
            <w:vAlign w:val="center"/>
          </w:tcPr>
          <w:p>
            <w:pPr>
              <w:pStyle w:val="KepalaTabel"/>
              <w:keepNext/>
              <w:suppressAutoHyphens/>
            </w:pPr>
            <w:r>
              <w:t xml:space="preserve">KAB/KOTA KELAS TERATAS</w:t>
            </w:r>
          </w:p>
        </w:tc>
      </w:tr>
      <w:tr>
        <w:trPr>
          <w:cantSplit/>
        </w:trPr>
        <w:tc>
          <w:tcPr>
            <w:tcW w:w="1806" w:type="dxa"/>
          </w:tcPr>
          <w:p>
            <w:pPr>
              <w:pStyle w:val="IsiTabel"/>
              <w:keepNext/>
              <w:suppressAutoHyphens/>
              <w:jc w:val="left"/>
            </w:pPr>
            <w:bookmarkStart w:id="267" w:name="_Ekor027a"/>
            <w:bookmarkEnd w:id="267"/>
            <w:r>
              <w:t xml:space="preserve">Gempa bumi</w:t>
            </w:r>
          </w:p>
        </w:tc>
        <w:tc>
          <w:tcPr>
            <w:tcW w:w="1228" w:type="dxa"/>
          </w:tcPr>
          <w:p>
            <w:pPr>
              <w:pStyle w:val="IsiTabel"/>
              <w:keepNext/>
              <w:suppressAutoHyphens/>
              <w:jc w:val="right"/>
            </w:pPr>
            <w:r>
              <w:t xml:space="preserve">272.405.410</w:t>
            </w:r>
          </w:p>
        </w:tc>
        <w:tc>
          <w:tcPr>
            <w:tcW w:w="1523" w:type="dxa"/>
          </w:tcPr>
          <w:p>
            <w:pPr>
              <w:pStyle w:val="IsiTabel"/>
              <w:keepNext/>
              <w:suppressAutoHyphens/>
              <w:jc w:val="right"/>
            </w:pPr>
            <w:r>
              <w:t xml:space="preserve">Rp1.111,3 triliun</w:t>
            </w:r>
          </w:p>
        </w:tc>
        <w:tc>
          <w:tcPr>
            <w:tcW w:w="1084" w:type="dxa"/>
          </w:tcPr>
          <w:p>
            <w:pPr>
              <w:pStyle w:val="IsiTabel"/>
              <w:keepNext/>
              <w:suppressAutoHyphens/>
              <w:jc w:val="right"/>
            </w:pPr>
            <w:r>
              <w:t xml:space="preserve">198.052</w:t>
            </w:r>
          </w:p>
        </w:tc>
        <w:tc>
          <w:tcPr>
            <w:tcW w:w="1372" w:type="dxa"/>
          </w:tcPr>
          <w:p>
            <w:pPr>
              <w:pStyle w:val="IsiTabel"/>
              <w:keepNext/>
              <w:suppressAutoHyphens/>
              <w:jc w:val="right"/>
            </w:pPr>
            <w:r>
              <w:t xml:space="preserve">3.351</w:t>
            </w:r>
          </w:p>
        </w:tc>
        <w:tc>
          <w:tcPr>
            <w:tcW w:w="1170" w:type="dxa"/>
          </w:tcPr>
          <w:p>
            <w:pPr>
              <w:pStyle w:val="IsiTabel"/>
              <w:keepNext/>
              <w:suppressAutoHyphens/>
              <w:jc w:val="right"/>
            </w:pPr>
            <w:r>
              <w:t xml:space="preserve">514</w:t>
            </w:r>
          </w:p>
        </w:tc>
        <w:tc>
          <w:tcPr>
            <w:tcW w:w="1171" w:type="dxa"/>
          </w:tcPr>
          <w:p>
            <w:pPr>
              <w:pStyle w:val="IsiTabel"/>
              <w:keepNext/>
              <w:suppressAutoHyphens/>
              <w:jc w:val="right"/>
            </w:pPr>
            <w:r>
              <w:t xml:space="preserve">112</w:t>
            </w:r>
          </w:p>
        </w:tc>
      </w:tr>
      <w:tr>
        <w:trPr>
          <w:cantSplit/>
        </w:trPr>
        <w:tc>
          <w:tcPr>
            <w:tcW w:w="1806" w:type="dxa"/>
          </w:tcPr>
          <w:p>
            <w:pPr>
              <w:pStyle w:val="IsiTabel"/>
              <w:keepNext/>
              <w:suppressAutoHyphens/>
              <w:jc w:val="left"/>
            </w:pPr>
            <w:r>
              <w:t xml:space="preserve">Likuefaksi</w:t>
            </w:r>
          </w:p>
        </w:tc>
        <w:tc>
          <w:tcPr>
            <w:tcW w:w="1228" w:type="dxa"/>
          </w:tcPr>
          <w:p>
            <w:pPr>
              <w:pStyle w:val="IsiTabel"/>
              <w:keepNext/>
              <w:suppressAutoHyphens/>
              <w:jc w:val="right"/>
            </w:pPr>
            <w:r>
              <w:t xml:space="preserve">86.689.779</w:t>
            </w:r>
          </w:p>
        </w:tc>
        <w:tc>
          <w:tcPr>
            <w:tcW w:w="1523" w:type="dxa"/>
          </w:tcPr>
          <w:p>
            <w:pPr>
              <w:pStyle w:val="IsiTabel"/>
              <w:keepNext/>
              <w:suppressAutoHyphens/>
              <w:jc w:val="right"/>
            </w:pPr>
            <w:r>
              <w:t xml:space="preserve">Rp351,9 triliun</w:t>
            </w:r>
          </w:p>
        </w:tc>
        <w:tc>
          <w:tcPr>
            <w:tcW w:w="1084" w:type="dxa"/>
          </w:tcPr>
          <w:p>
            <w:pPr>
              <w:pStyle w:val="IsiTabel"/>
              <w:keepNext/>
              <w:suppressAutoHyphens/>
              <w:jc w:val="right"/>
            </w:pPr>
            <w:r>
              <w:t xml:space="preserve">73.208</w:t>
            </w:r>
          </w:p>
        </w:tc>
        <w:tc>
          <w:tcPr>
            <w:tcW w:w="1372" w:type="dxa"/>
          </w:tcPr>
          <w:p>
            <w:pPr>
              <w:pStyle w:val="IsiTabel"/>
              <w:keepNext/>
              <w:suppressAutoHyphens/>
              <w:jc w:val="right"/>
            </w:pPr>
            <w:r>
              <w:t xml:space="preserve">1.245</w:t>
            </w:r>
          </w:p>
        </w:tc>
        <w:tc>
          <w:tcPr>
            <w:tcW w:w="1170" w:type="dxa"/>
          </w:tcPr>
          <w:p>
            <w:pPr>
              <w:pStyle w:val="IsiTabel"/>
              <w:keepNext/>
              <w:suppressAutoHyphens/>
              <w:jc w:val="right"/>
            </w:pPr>
            <w:r>
              <w:t xml:space="preserve">–</w:t>
            </w:r>
          </w:p>
        </w:tc>
        <w:tc>
          <w:tcPr>
            <w:tcW w:w="1171" w:type="dxa"/>
          </w:tcPr>
          <w:p>
            <w:pPr>
              <w:pStyle w:val="IsiTabel"/>
              <w:keepNext/>
              <w:suppressAutoHyphens/>
              <w:jc w:val="right"/>
            </w:pPr>
            <w:r>
              <w:t xml:space="preserve">–</w:t>
            </w:r>
          </w:p>
        </w:tc>
      </w:tr>
      <w:tr>
        <w:trPr>
          <w:cantSplit/>
        </w:trPr>
        <w:tc>
          <w:tcPr>
            <w:tcW w:w="1806" w:type="dxa"/>
          </w:tcPr>
          <w:p>
            <w:pPr>
              <w:pStyle w:val="IsiTabel"/>
              <w:keepNext/>
              <w:suppressAutoHyphens/>
              <w:jc w:val="left"/>
            </w:pPr>
            <w:r>
              <w:t xml:space="preserve">Letusan gunung api</w:t>
            </w:r>
          </w:p>
        </w:tc>
        <w:tc>
          <w:tcPr>
            <w:tcW w:w="1228" w:type="dxa"/>
          </w:tcPr>
          <w:p>
            <w:pPr>
              <w:pStyle w:val="IsiTabel"/>
              <w:keepNext/>
              <w:suppressAutoHyphens/>
              <w:jc w:val="right"/>
            </w:pPr>
            <w:r>
              <w:t xml:space="preserve">5.864.711</w:t>
            </w:r>
          </w:p>
        </w:tc>
        <w:tc>
          <w:tcPr>
            <w:tcW w:w="1523" w:type="dxa"/>
          </w:tcPr>
          <w:p>
            <w:pPr>
              <w:pStyle w:val="IsiTabel"/>
              <w:keepNext/>
              <w:suppressAutoHyphens/>
              <w:jc w:val="right"/>
            </w:pPr>
            <w:r>
              <w:t xml:space="preserve">Rp12 triliun</w:t>
            </w:r>
          </w:p>
        </w:tc>
        <w:tc>
          <w:tcPr>
            <w:tcW w:w="1084" w:type="dxa"/>
          </w:tcPr>
          <w:p>
            <w:pPr>
              <w:pStyle w:val="IsiTabel"/>
              <w:keepNext/>
              <w:suppressAutoHyphens/>
              <w:jc w:val="right"/>
            </w:pPr>
            <w:r>
              <w:t xml:space="preserve">24.721</w:t>
            </w:r>
          </w:p>
        </w:tc>
        <w:tc>
          <w:tcPr>
            <w:tcW w:w="1372" w:type="dxa"/>
          </w:tcPr>
          <w:p>
            <w:pPr>
              <w:pStyle w:val="IsiTabel"/>
              <w:keepNext/>
              <w:suppressAutoHyphens/>
              <w:jc w:val="right"/>
            </w:pPr>
            <w:r>
              <w:t xml:space="preserve">378</w:t>
            </w:r>
          </w:p>
        </w:tc>
        <w:tc>
          <w:tcPr>
            <w:tcW w:w="1170" w:type="dxa"/>
          </w:tcPr>
          <w:p>
            <w:pPr>
              <w:pStyle w:val="IsiTabel"/>
              <w:keepNext/>
              <w:suppressAutoHyphens/>
              <w:jc w:val="right"/>
            </w:pPr>
            <w:r>
              <w:t xml:space="preserve">132</w:t>
            </w:r>
          </w:p>
        </w:tc>
        <w:tc>
          <w:tcPr>
            <w:tcW w:w="1171" w:type="dxa"/>
          </w:tcPr>
          <w:p>
            <w:pPr>
              <w:pStyle w:val="IsiTabel"/>
              <w:keepNext/>
              <w:suppressAutoHyphens/>
              <w:jc w:val="right"/>
            </w:pPr>
            <w:r>
              <w:t xml:space="preserve">31</w:t>
            </w:r>
          </w:p>
        </w:tc>
      </w:tr>
      <w:tr>
        <w:trPr>
          <w:cantSplit/>
        </w:trPr>
        <w:tc>
          <w:tcPr>
            <w:tcW w:w="1806" w:type="dxa"/>
          </w:tcPr>
          <w:p>
            <w:pPr>
              <w:pStyle w:val="IsiTabel"/>
              <w:suppressAutoHyphens/>
              <w:jc w:val="left"/>
            </w:pPr>
            <w:bookmarkStart w:id="268" w:name="_Ekor027z"/>
            <w:bookmarkEnd w:id="268"/>
            <w:r>
              <w:t xml:space="preserve">Tsunami</w:t>
            </w:r>
          </w:p>
        </w:tc>
        <w:tc>
          <w:tcPr>
            <w:tcW w:w="1228" w:type="dxa"/>
          </w:tcPr>
          <w:p>
            <w:pPr>
              <w:pStyle w:val="IsiTabel"/>
              <w:suppressAutoHyphens/>
              <w:jc w:val="right"/>
            </w:pPr>
            <w:r>
              <w:t xml:space="preserve">5.341.282</w:t>
            </w:r>
          </w:p>
        </w:tc>
        <w:tc>
          <w:tcPr>
            <w:tcW w:w="1523" w:type="dxa"/>
          </w:tcPr>
          <w:p>
            <w:pPr>
              <w:pStyle w:val="IsiTabel"/>
              <w:suppressAutoHyphens/>
              <w:jc w:val="right"/>
            </w:pPr>
            <w:r>
              <w:t xml:space="preserve">Rp43 triliun</w:t>
            </w:r>
          </w:p>
        </w:tc>
        <w:tc>
          <w:tcPr>
            <w:tcW w:w="1084" w:type="dxa"/>
          </w:tcPr>
          <w:p>
            <w:pPr>
              <w:pStyle w:val="IsiTabel"/>
              <w:suppressAutoHyphens/>
              <w:jc w:val="right"/>
            </w:pPr>
            <w:r>
              <w:t xml:space="preserve">59.839</w:t>
            </w:r>
          </w:p>
        </w:tc>
        <w:tc>
          <w:tcPr>
            <w:tcW w:w="1372" w:type="dxa"/>
          </w:tcPr>
          <w:p>
            <w:pPr>
              <w:pStyle w:val="IsiTabel"/>
              <w:suppressAutoHyphens/>
              <w:jc w:val="right"/>
            </w:pPr>
            <w:r>
              <w:t xml:space="preserve">1.210</w:t>
            </w:r>
          </w:p>
        </w:tc>
        <w:tc>
          <w:tcPr>
            <w:tcW w:w="1170" w:type="dxa"/>
          </w:tcPr>
          <w:p>
            <w:pPr>
              <w:pStyle w:val="IsiTabel"/>
              <w:suppressAutoHyphens/>
              <w:jc w:val="right"/>
            </w:pPr>
            <w:r>
              <w:t xml:space="preserve">273</w:t>
            </w:r>
          </w:p>
        </w:tc>
        <w:tc>
          <w:tcPr>
            <w:tcW w:w="1171" w:type="dxa"/>
          </w:tcPr>
          <w:p>
            <w:pPr>
              <w:pStyle w:val="IsiTabel"/>
              <w:suppressAutoHyphens/>
              <w:jc w:val="right"/>
            </w:pPr>
            <w:r>
              <w:t xml:space="preserve">56</w:t>
            </w:r>
          </w:p>
        </w:tc>
      </w:tr>
    </w:tbl>
    <w:p>
      <w:pPr>
        <w:pStyle w:val="Sumber"/>
        <w:spacing w:after="40"/>
      </w:pPr>
      <w:r>
        <w:rPr>
          <w:b/>
          <w:bCs/>
          <w:color w:val="6B7280"/>
          <w:sz w:val="17"/>
          <w:szCs w:val="17"/>
        </w:rPr>
        <w:t xml:space="preserve">Sumber: </w:t>
      </w:r>
      <w:r>
        <w:rPr>
          <w:color w:val="6B7280"/>
          <w:sz w:val="17"/>
          <w:szCs w:val="17"/>
        </w:rPr>
        <w:t xml:space="preserve">Renas PB 2025–2029 dari KRB 2022–2026 </w:t>
      </w:r>
      <w:r>
        <w:rPr>
          <w:color w:val="6B7280"/>
          <w:sz w:val="17"/>
          <w:szCs w:val="17"/>
        </w:rPr>
        <w:t xml:space="preserve">(BNPB, 2025c, hlm. 24–25)</w:t>
      </w:r>
      <w:r>
        <w:rPr>
          <w:color w:val="6B7280"/>
          <w:sz w:val="17"/>
          <w:szCs w:val="17"/>
        </w:rPr>
        <w:t xml:space="preserve">; InaRISK BNPB, ringkasan KRB per bahaya </w:t>
      </w:r>
      <w:r>
        <w:rPr>
          <w:color w:val="6B7280"/>
          <w:sz w:val="17"/>
          <w:szCs w:val="17"/>
        </w:rPr>
        <w:t xml:space="preserve">(BNPB, 2026i)</w:t>
      </w:r>
      <w:r>
        <w:rPr>
          <w:color w:val="6B7280"/>
          <w:sz w:val="17"/>
          <w:szCs w:val="17"/>
        </w:rPr>
        <w:t xml:space="preserve">; IRBI 2025 </w:t>
      </w:r>
      <w:r>
        <w:rPr>
          <w:color w:val="6B7280"/>
          <w:sz w:val="17"/>
          <w:szCs w:val="17"/>
        </w:rPr>
        <w:t xml:space="preserve">(BNPB, t.t.-b)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Kelas nilai teratas adalah kuintil teratas nilai kab/kota per bahaya, pilihan penyusun; likuefaksi tidak punya nilai IRBI per kab/kota; arti kolom aset dibaca dari nama medan data KRB.</w:t>
      </w:r>
    </w:p>
    <w:p>
      <w:pPr>
        <w:pStyle w:val="IsiTemuan"/>
      </w:pPr>
      <w:r>
        <w:rPr>
          <w:b/>
          <w:bCs/>
          <w:color w:val="051C2C"/>
        </w:rPr>
        <w:t xml:space="preserve">Peringkat IRBI 2025 per kab/kota berkorelasi hanya </w:t>
      </w:r>
      <w:r>
        <w:rPr>
          <w:b/>
          <w:bCs/>
          <w:color w:val="051C2C"/>
        </w:rPr>
        <w:t xml:space="preserve">0,23</w:t>
      </w:r>
      <w:r>
        <w:rPr>
          <w:b/>
          <w:bCs/>
          <w:color w:val="051C2C"/>
        </w:rPr>
        <w:t xml:space="preserve"> dengan jumlah laporan kejadian gempa 2015–2025 dan </w:t>
      </w:r>
      <w:r>
        <w:rPr>
          <w:b/>
          <w:bCs/>
          <w:color w:val="051C2C"/>
        </w:rPr>
        <w:t xml:space="preserve">0,25</w:t>
      </w:r>
      <w:r>
        <w:rPr>
          <w:b/>
          <w:bCs/>
          <w:color w:val="051C2C"/>
        </w:rPr>
        <w:t xml:space="preserve"> untuk gunung api, sedangkan KRB per kab/kota untuk keempat bahaya geologi tidak tersedia dalam bahan kajian.</w:t>
      </w:r>
      <w:r>
        <w:t xml:space="preserve"> Karena itu, paparan resmi ditulis pada tingkat nasional, dan sebaran per kab/kota memakai nilai IRBI 2025 sebagai status resmi serta keluaran skenario platform sebagai estimasi model </w:t>
      </w:r>
      <w:r>
        <w:t xml:space="preserve">(BNPB, t.t.-b, t.t.-a)</w:t>
      </w:r>
      <w:r>
        <w:t xml:space="preserve">. Catatan metode IRBI 2025 belum terbit, sehingga sebab rendahnya kesesuaian itu tidak dapat dipastikan.</w:t>
      </w:r>
    </w:p>
    <w:p>
      <w:pPr>
        <w:pStyle w:val="Heading2"/>
      </w:pPr>
      <w:bookmarkStart w:id="270" w:name="_Toc00104"/>
      <w:bookmarkStart w:id="269" w:name="_Ref0181"/>
      <w:r>
        <w:t xml:space="preserve">6.1</w:t>
      </w:r>
      <w:bookmarkEnd w:id="269"/>
      <w:r>
        <w:tab/>
      </w:r>
      <w:r>
        <w:t xml:space="preserve">Gempa Bumi Megathrust</w:t>
      </w:r>
      <w:bookmarkEnd w:id="270"/>
    </w:p>
    <w:p>
      <w:pPr>
        <w:pStyle w:val="Heading3"/>
      </w:pPr>
      <w:bookmarkStart w:id="271" w:name="_Toc00105"/>
      <w:r>
        <w:t xml:space="preserve">6.1.1</w:t>
      </w:r>
      <w:r>
        <w:tab/>
      </w:r>
      <w:r>
        <w:t xml:space="preserve">Bahaya dan Status Resmi</w:t>
      </w:r>
      <w:bookmarkEnd w:id="271"/>
    </w:p>
    <w:p>
      <w:pPr>
        <w:pStyle w:val="IsiTemuan"/>
      </w:pPr>
      <w:r>
        <w:rPr>
          <w:b/>
          <w:bCs/>
          <w:color w:val="051C2C"/>
        </w:rPr>
        <w:t xml:space="preserve">Pusat Studi Gempa Nasional (PuSGeN) 2024 menetapkan magnitudo maksimum segmen gabungan megathrust Jawa Mw </w:t>
      </w:r>
      <w:r>
        <w:rPr>
          <w:b/>
          <w:bCs/>
          <w:color w:val="051C2C"/>
        </w:rPr>
        <w:t xml:space="preserve">9,1</w:t>
      </w:r>
      <w:r>
        <w:rPr>
          <w:b/>
          <w:bCs/>
          <w:color w:val="051C2C"/>
        </w:rPr>
        <w:t xml:space="preserve">, sepanjang </w:t>
      </w:r>
      <w:r>
        <w:rPr>
          <w:b/>
          <w:bCs/>
          <w:color w:val="051C2C"/>
        </w:rPr>
        <w:t xml:space="preserve">1.120 km</w:t>
      </w:r>
      <w:r>
        <w:rPr>
          <w:b/>
          <w:bCs/>
          <w:color w:val="051C2C"/>
        </w:rPr>
        <w:t xml:space="preserve">, dengan periode ulang </w:t>
      </w:r>
      <w:r>
        <w:rPr>
          <w:b/>
          <w:bCs/>
          <w:color w:val="051C2C"/>
        </w:rPr>
        <w:t xml:space="preserve">600 tahun</w:t>
      </w:r>
      <w:r>
        <w:rPr>
          <w:b/>
          <w:bCs/>
          <w:color w:val="051C2C"/>
        </w:rPr>
        <w:t xml:space="preserve">.</w:t>
      </w:r>
      <w:r>
        <w:t xml:space="preserve"> Segmen Jawa bagian barat dan timur masing-masing bermagnitudo maksimum Mw </w:t>
      </w:r>
      <w:r>
        <w:t xml:space="preserve">8,9</w:t>
      </w:r>
      <w:r>
        <w:t xml:space="preserve"> dengan periode ulang </w:t>
      </w:r>
      <w:r>
        <w:t xml:space="preserve">400 tahun</w:t>
      </w:r>
      <w:r>
        <w:t xml:space="preserve">, sedangkan segmen Mentawai-Siberut, Mentawai-Pagai, dan Enggano masing-masing Mw </w:t>
      </w:r>
      <w:r>
        <w:t xml:space="preserve">8,9</w:t>
      </w:r>
      <w:r>
        <w:t xml:space="preserve"> dengan periode ulang </w:t>
      </w:r>
      <w:r>
        <w:t xml:space="preserve">330 tahun</w:t>
      </w:r>
      <w:r>
        <w:t xml:space="preserve"> </w:t>
      </w:r>
      <w:r>
        <w:t xml:space="preserve">(PuSGeN, 2024, hlm. 342–343)</w:t>
      </w:r>
      <w:r>
        <w:t xml:space="preserve">. Segmen Sumba bermagnitudo maksimum Mw </w:t>
      </w:r>
      <w:r>
        <w:t xml:space="preserve">8,5</w:t>
      </w:r>
      <w:r>
        <w:t xml:space="preserve"> tanpa data periode ulang. Buku PuSGeN memuat bahaya dan tidak memuat skenario korban. Rencana Nasional Penanggulangan Bencana (Renas PB) 2025–2029 mencatat bahwa zona sumber bahaya dan kawasan rawan bencana gempa bumi dan tsunami belum teridentifikasi lengkap karena metode identifikasinya belum memadai </w:t>
      </w:r>
      <w:r>
        <w:t xml:space="preserve">(BNPB, 2025c, hlm. 27–28)</w:t>
      </w:r>
      <w:r>
        <w:t xml:space="preserve">.</w:t>
      </w:r>
    </w:p>
    <w:p>
      <w:pPr>
        <w:pStyle w:val="IsiTemuan"/>
      </w:pPr>
      <w:r>
        <w:rPr>
          <w:b/>
          <w:bCs/>
          <w:color w:val="051C2C"/>
        </w:rPr>
        <w:t xml:space="preserve">Bila periode ulang resmi dibaca dengan asumsi Poisson, peluang gempa Mw </w:t>
      </w:r>
      <w:r>
        <w:rPr>
          <w:b/>
          <w:bCs/>
          <w:color w:val="051C2C"/>
        </w:rPr>
        <w:t xml:space="preserve">9,1</w:t>
      </w:r>
      <w:r>
        <w:rPr>
          <w:b/>
          <w:bCs/>
          <w:color w:val="051C2C"/>
        </w:rPr>
        <w:t xml:space="preserve"> di selatan Jawa dalam lima tahun adalah </w:t>
      </w:r>
      <w:r>
        <w:rPr>
          <w:b/>
          <w:bCs/>
          <w:color w:val="051C2C"/>
        </w:rPr>
        <w:t xml:space="preserve">0,83%</w:t>
      </w:r>
      <w:r>
        <w:rPr>
          <w:b/>
          <w:bCs/>
          <w:color w:val="051C2C"/>
        </w:rPr>
        <w:t xml:space="preserve">.</w:t>
      </w:r>
      <w:r>
        <w:t xml:space="preserve"> Peluang gempa Mw </w:t>
      </w:r>
      <w:r>
        <w:t xml:space="preserve">8,9</w:t>
      </w:r>
      <w:r>
        <w:t xml:space="preserve"> per segmen Jawa adalah </w:t>
      </w:r>
      <w:r>
        <w:t xml:space="preserve">1,24%</w:t>
      </w:r>
      <w:r>
        <w:t xml:space="preserve">, dan per segmen Mentawai-Siberut, Mentawai-Pagai, atau Enggano </w:t>
      </w:r>
      <w:r>
        <w:t xml:space="preserve">1,50%</w:t>
      </w:r>
      <w:r>
        <w:t xml:space="preserve">. Ketiganya merupakan turunan penyusun dan berada di atas ambang penyisihan, sehingga tidak ada skenario yang disisihkan; peluang segmen Sumba tidak dinilai.</w:t>
      </w:r>
    </w:p>
    <w:p>
      <w:pPr>
        <w:pStyle w:val="IsiTemuan"/>
      </w:pPr>
      <w:r>
        <w:rPr>
          <w:b/>
          <w:bCs/>
          <w:color w:val="051C2C"/>
        </w:rPr>
        <w:t xml:space="preserve">Proyeksi korban megathrust resmi yang terbaca hanya contoh rencana kontinjensi (renkon) tsunami Provinsi Jawa Timur 2021 dalam lampiran Peraturan Badan Nasional Penanggulangan Bencana (BNPB) Nomor 2 Tahun 2023.</w:t>
      </w:r>
      <w:r>
        <w:t xml:space="preserve"> Skenario korban dari PuSGeN atau Badan Meteorologi, Klimatologi, dan Geofisika (BMKG) tidak terbuka, dan renkon megathrust nasional tidak ditemukan </w:t>
      </w:r>
      <w:r>
        <w:t xml:space="preserve">(BNPB, 2023c, hlm. 17)</w:t>
      </w:r>
      <w:r>
        <w:t xml:space="preserve">. Contoh itu memproyeksikan korban meninggal </w:t>
      </w:r>
      <w:r>
        <w:t xml:space="preserve">1%</w:t>
      </w:r>
      <w:r>
        <w:t xml:space="preserve"> penduduk terpapar di tiap kab; tabelnya terpotong dan dasar rasio tetap itu tidak terbaca.</w:t>
      </w:r>
    </w:p>
    <w:p>
      <w:pPr>
        <w:pStyle w:val="Heading3"/>
      </w:pPr>
      <w:bookmarkStart w:id="272" w:name="_Toc00106"/>
      <w:r>
        <w:t xml:space="preserve">6.1.2</w:t>
      </w:r>
      <w:r>
        <w:tab/>
      </w:r>
      <w:r>
        <w:t xml:space="preserve">Skenario Platform dan Angka Tercatat</w:t>
      </w:r>
      <w:bookmarkEnd w:id="272"/>
    </w:p>
    <w:p>
      <w:pPr>
        <w:pStyle w:val="IsiTemuan"/>
      </w:pPr>
      <w:r>
        <w:rPr>
          <w:b/>
          <w:bCs/>
          <w:color w:val="051C2C"/>
        </w:rPr>
        <w:t xml:space="preserve">Estimasi model platform pada Mw </w:t>
      </w:r>
      <w:r>
        <w:rPr>
          <w:b/>
          <w:bCs/>
          <w:color w:val="051C2C"/>
        </w:rPr>
        <w:t xml:space="preserve">9,1</w:t>
      </w:r>
      <w:r>
        <w:rPr>
          <w:b/>
          <w:bCs/>
          <w:color w:val="051C2C"/>
        </w:rPr>
        <w:t xml:space="preserve"> memberi </w:t>
      </w:r>
      <w:r>
        <w:rPr>
          <w:b/>
          <w:bCs/>
          <w:color w:val="051C2C"/>
        </w:rPr>
        <w:t xml:space="preserve">30–110 juta</w:t>
      </w:r>
      <w:r>
        <w:rPr>
          <w:b/>
          <w:bCs/>
          <w:color w:val="051C2C"/>
        </w:rPr>
        <w:t xml:space="preserve"> jiwa pada guncangan VII atau lebih skala </w:t>
      </w:r>
      <w:r>
        <w:rPr>
          <w:b/>
          <w:bCs/>
          <w:i/>
          <w:iCs/>
          <w:color w:val="051C2C"/>
        </w:rPr>
        <w:t xml:space="preserve">Modified Mercalli Intensity</w:t>
      </w:r>
      <w:r>
        <w:rPr>
          <w:b/>
          <w:bCs/>
          <w:color w:val="051C2C"/>
        </w:rPr>
        <w:t xml:space="preserve"> (MMI), dengan nilai tengah </w:t>
      </w:r>
      <w:r>
        <w:rPr>
          <w:b/>
          <w:bCs/>
          <w:color w:val="051C2C"/>
        </w:rPr>
        <w:t xml:space="preserve">sekitar 69 juta</w:t>
      </w:r>
      <w:r>
        <w:rPr>
          <w:b/>
          <w:bCs/>
          <w:color w:val="051C2C"/>
        </w:rPr>
        <w:t xml:space="preserve"> jiwa.</w:t>
      </w:r>
      <w:r>
        <w:t xml:space="preserve"> Jiwa terpapar itu tersebar di </w:t>
      </w:r>
      <w:r>
        <w:t xml:space="preserve">sekitar 77 kab/kota</w:t>
      </w:r>
      <w:r>
        <w:t xml:space="preserve">. Angka itu estimasi model yang belum diuji balik: persamaan prediksi guncangan tanahnya belum diuji terhadap arsip intensitas BMKG, dan bidang patahannya </w:t>
      </w:r>
      <w:r>
        <w:t xml:space="preserve">sekitar 700 km</w:t>
      </w:r>
      <w:r>
        <w:t xml:space="preserve">, lebih pendek dari segmen resmi </w:t>
      </w:r>
      <w:r>
        <w:t xml:space="preserve">1.120 km</w:t>
      </w:r>
      <w:r>
        <w:t xml:space="preserve">, sehingga guncangan ke barat dan timur kemungkinan kurang </w:t>
      </w:r>
      <w:r>
        <w:t xml:space="preserve">(Pantau Bencana, 2026e)</w:t>
      </w:r>
      <w:r>
        <w:t xml:space="preserve">. Jawa Timur, Jawa Tengah, dan Jawa Barat memuat porsi jiwa terpapar terbesar, dengan Kab. Bandung, Kab. Malang, dan Kab. Jember di urutan teratas (</w:t>
      </w:r>
      <w:r>
        <w:fldChar w:fldCharType="begin"/>
      </w:r>
      <w:r>
        <w:instrText xml:space="preserve"> REF _Ref0047 \h \* CHARFORMAT </w:instrText>
      </w:r>
      <w:r>
        <w:fldChar w:fldCharType="separate"/>
      </w:r>
      <w:r>
        <w:t xml:space="preserve">Gambar 6.2</w:t>
      </w:r>
      <w:r>
        <w:fldChar w:fldCharType="end"/>
      </w:r>
      <w:r>
        <w:t xml:space="preserve">). Skenario ilustratif Jawa yang magnitudonya di bawah magnitudo maksimum tidak dipakai di kartu.</w:t>
      </w:r>
    </w:p>
    <w:p>
      <w:pPr>
        <w:pStyle w:val="Caption"/>
      </w:pPr>
      <w:bookmarkStart w:id="274" w:name="_Toc00107"/>
      <w:bookmarkStart w:id="273" w:name="_Ref004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273"/>
      <w:r>
        <w:rPr>
          <w:b/>
          <w:bCs/>
          <w:color w:val="051C2C"/>
        </w:rPr>
        <w:t xml:space="preserve"> </w:t>
      </w:r>
      <w:r>
        <w:t xml:space="preserve">Jiwa terpapar guncangan MMI VII atau lebih per kab/kota pada skenario megathrust Jawa Mw 9,1 PuSGeN 2024 dengan geometri platform (jiwa)</w:t>
      </w:r>
      <w:bookmarkEnd w:id="274"/>
    </w:p>
    <w:p xmlns:a="http://schemas.openxmlformats.org/drawingml/2006/main" xmlns:pic="http://schemas.openxmlformats.org/drawingml/2006/picture">
      <w:pPr>
        <w:keepNext/>
        <w:spacing w:after="0" w:line="240" w:lineRule="auto"/>
        <w:jc w:val="center"/>
      </w:pPr>
      <w:bookmarkStart w:id="275" w:name="_Obj0024"/>
      <w:r>
        <w:drawing>
          <wp:inline distT="0" distB="0" distL="0" distR="0">
            <wp:extent cx="5940000" cy="2503938"/>
            <wp:effectExtent l="0" t="0" r="0" b="0"/>
            <wp:docPr id="42" name="Gambar 42"/>
            <wp:cNvGraphicFramePr>
              <a:graphicFrameLocks noChangeAspect="1"/>
            </wp:cNvGraphicFramePr>
            <a:graphic>
              <a:graphicData uri="http://schemas.openxmlformats.org/drawingml/2006/picture">
                <pic:pic>
                  <pic:nvPicPr>
                    <pic:cNvPr id="42" name="bab06-peta-mmi-jawa.png"/>
                    <pic:cNvPicPr/>
                  </pic:nvPicPr>
                  <pic:blipFill>
                    <a:blip r:embed="rId41"/>
                    <a:stretch>
                      <a:fillRect/>
                    </a:stretch>
                  </pic:blipFill>
                  <pic:spPr>
                    <a:xfrm>
                      <a:off x="0" y="0"/>
                      <a:ext cx="5940000" cy="2503938"/>
                    </a:xfrm>
                    <a:prstGeom prst="rect">
                      <a:avLst/>
                    </a:prstGeom>
                  </pic:spPr>
                </pic:pic>
              </a:graphicData>
            </a:graphic>
          </wp:inline>
        </w:drawing>
      </w:r>
      <w:bookmarkEnd w:id="275"/>
    </w:p>
    <w:p>
      <w:pPr>
        <w:pStyle w:val="Sumber"/>
        <w:spacing w:after="40"/>
      </w:pPr>
      <w:r>
        <w:rPr>
          <w:b/>
          <w:bCs/>
          <w:color w:val="6B7280"/>
          <w:sz w:val="17"/>
          <w:szCs w:val="17"/>
        </w:rPr>
        <w:t xml:space="preserve">Sumber: </w:t>
      </w:r>
      <w:r>
        <w:rPr>
          <w:color w:val="6B7280"/>
          <w:sz w:val="17"/>
          <w:szCs w:val="17"/>
        </w:rPr>
        <w:t xml:space="preserve">Simulasi skenario Pantau Bencana, belum divalidasi; magnitudo maksimum dari PuSGeN 2024; penduduk WorldPop 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Nilai tengah per kab/kota; bidang patahan platform lebih pendek dari segmen resmi, sehingga guncangan di ujung barat dan timur kemungkinan kurang.</w:t>
      </w:r>
    </w:p>
    <w:p>
      <w:pPr>
        <w:pStyle w:val="IsiTemuan"/>
      </w:pPr>
      <w:r>
        <w:rPr>
          <w:b/>
          <w:bCs/>
          <w:color w:val="051C2C"/>
        </w:rPr>
        <w:t xml:space="preserve">Mesin korban gempa platform menghitung </w:t>
      </w:r>
      <w:r>
        <w:rPr>
          <w:b/>
          <w:bCs/>
          <w:color w:val="051C2C"/>
        </w:rPr>
        <w:t xml:space="preserve">sekitar 560 jiwa</w:t>
      </w:r>
      <w:r>
        <w:rPr>
          <w:b/>
          <w:bCs/>
          <w:color w:val="051C2C"/>
        </w:rPr>
        <w:t xml:space="preserve"> untuk gempa Yogyakarta 2006, sedangkan Survei Geologi Amerika Serikat (USGS) mencatat </w:t>
      </w:r>
      <w:r>
        <w:rPr>
          <w:b/>
          <w:bCs/>
          <w:color w:val="051C2C"/>
        </w:rPr>
        <w:t xml:space="preserve">5.749</w:t>
      </w:r>
      <w:r>
        <w:rPr>
          <w:b/>
          <w:bCs/>
          <w:color w:val="051C2C"/>
        </w:rPr>
        <w:t xml:space="preserve"> meninggal.</w:t>
      </w:r>
      <w:r>
        <w:t xml:space="preserve"> Model itu dikalibrasi pada delapan gempa kerak dengan faktor galat uji silang </w:t>
      </w:r>
      <w:r>
        <w:t xml:space="preserve">sekitar 5,3</w:t>
      </w:r>
      <w:r>
        <w:t xml:space="preserve"> kali, dan untuk Padang 2009 di luar sampel model memberi angka di atas </w:t>
      </w:r>
      <w:r>
        <w:t xml:space="preserve">1.195</w:t>
      </w:r>
      <w:r>
        <w:t xml:space="preserve"> meninggal yang tercatat di Data dan Informasi Bencana Indonesia (DIBI) </w:t>
      </w:r>
      <w:r>
        <w:t xml:space="preserve">(USGS, 2006a; BNPB, t.t.-a)</w:t>
      </w:r>
      <w:r>
        <w:t xml:space="preserve">. Rasio korban per jiwa terpapar yang dipakai mesin, dengan median </w:t>
      </w:r>
      <w:r>
        <w:t xml:space="preserve">sekitar 0,047%</w:t>
      </w:r>
      <w:r>
        <w:t xml:space="preserve">, berasal dari enam gempa kerak dan slab, tanpa satu pun analog megathrust. Akibatnya, pita korban guncangan skenario Mw </w:t>
      </w:r>
      <w:r>
        <w:t xml:space="preserve">9,1</w:t>
      </w:r>
      <w:r>
        <w:t xml:space="preserve"> melebar lebih dari satu orde; pita itu hanya tampil di lampiran, dan kartu memakai lantai tercatat.</w:t>
      </w:r>
    </w:p>
    <w:p>
      <w:pPr>
        <w:pStyle w:val="IsiTemuan"/>
      </w:pPr>
      <w:r>
        <w:rPr>
          <w:b/>
          <w:bCs/>
          <w:color w:val="051C2C"/>
        </w:rPr>
        <w:t xml:space="preserve">Lantai korban guncangan kartu megathrust adalah Yogyakarta 2006 dengan </w:t>
      </w:r>
      <w:r>
        <w:rPr>
          <w:b/>
          <w:bCs/>
          <w:color w:val="051C2C"/>
        </w:rPr>
        <w:t xml:space="preserve">5.749</w:t>
      </w:r>
      <w:r>
        <w:rPr>
          <w:b/>
          <w:bCs/>
          <w:color w:val="051C2C"/>
        </w:rPr>
        <w:t xml:space="preserve"> meninggal untuk Jawa dan Padang 2009 dengan </w:t>
      </w:r>
      <w:r>
        <w:rPr>
          <w:b/>
          <w:bCs/>
          <w:color w:val="051C2C"/>
        </w:rPr>
        <w:t xml:space="preserve">1.195</w:t>
      </w:r>
      <w:r>
        <w:rPr>
          <w:b/>
          <w:bCs/>
          <w:color w:val="051C2C"/>
        </w:rPr>
        <w:t xml:space="preserve"> meninggal untuk Sumatra bagian barat.</w:t>
      </w:r>
      <w:r>
        <w:t xml:space="preserve"> Keduanya kejadian gempa bumi tercatat terburuk pada periode acuan 1996–2025 di wilayah masing-masing, tetapi bukan gempa megathrust: Yogyakarta 2006 berasal dari sesar darat dan Padang 2009 dari gempa intraslab. Lantai tsunami adalah Pangandaran 2006 dengan </w:t>
      </w:r>
      <w:r>
        <w:t xml:space="preserve">665</w:t>
      </w:r>
      <w:r>
        <w:t xml:space="preserve"> meninggal dan </w:t>
      </w:r>
      <w:r>
        <w:t xml:space="preserve">65</w:t>
      </w:r>
      <w:r>
        <w:t xml:space="preserve"> hilang untuk selatan Jawa, serta Mentawai 2010 dengan </w:t>
      </w:r>
      <w:r>
        <w:t xml:space="preserve">447</w:t>
      </w:r>
      <w:r>
        <w:t xml:space="preserve"> meninggal dan </w:t>
      </w:r>
      <w:r>
        <w:t xml:space="preserve">56</w:t>
      </w:r>
      <w:r>
        <w:t xml:space="preserve"> hilang untuk Sumatra bagian barat </w:t>
      </w:r>
      <w:r>
        <w:t xml:space="preserve">(USGS, 2006b; BNPB, t.t.-a)</w:t>
      </w:r>
      <w:r>
        <w:t xml:space="preserve">. Batas bawah pita korban model Mentawai berada di bawah lantai Padang 2009, tetapi tidak dinaikkan karena lantai itu merupakan kejadian dari sumber lain, bukan ketidakpastian model. Untuk segmen ini pun kartu hanya menulis lantai tercatat.</w:t>
      </w:r>
    </w:p>
    <w:p>
      <w:pPr>
        <w:pStyle w:val="Caption"/>
        <w:pageBreakBefore/>
      </w:pPr>
      <w:bookmarkStart w:id="277" w:name="_Toc00108"/>
      <w:bookmarkStart w:id="276" w:name="_Ref028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76"/>
      <w:r>
        <w:rPr>
          <w:b/>
          <w:bCs/>
          <w:color w:val="051C2C"/>
        </w:rPr>
        <w:t xml:space="preserve"> </w:t>
      </w:r>
      <w:r>
        <w:t xml:space="preserve">Megathrust selatan Jawa Mw </w:t>
      </w:r>
      <w:r>
        <w:t xml:space="preserve">9,1</w:t>
      </w:r>
      <w:r>
        <w:t xml:space="preserve"> PuSGeN 2024 pada geometri platform</w:t>
      </w:r>
      <w:bookmarkEnd w:id="277"/>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keepNext/>
                    <w:spacing w:after="0"/>
                  </w:pPr>
                  <w:bookmarkStart w:id="279" w:name="_Kartu001a"/>
                  <w:bookmarkStart w:id="278" w:name="_Obj0025"/>
                  <w:r>
                    <w:rPr>
                      <w:position w:val="-10"/>
                    </w:rPr>
                    <w:drawing>
                      <wp:inline distT="0" distB="0" distL="0" distR="0">
                        <wp:extent cx="216000" cy="216000"/>
                        <wp:effectExtent l="0" t="0" r="0" b="0"/>
                        <wp:docPr id="43" name="Gambar 43"/>
                        <wp:cNvGraphicFramePr>
                          <a:graphicFrameLocks noChangeAspect="1"/>
                        </wp:cNvGraphicFramePr>
                        <a:graphic>
                          <a:graphicData uri="http://schemas.openxmlformats.org/drawingml/2006/picture">
                            <pic:pic>
                              <pic:nvPicPr>
                                <pic:cNvPr id="43" name="gempa-deck-gempa-FFFFFF-8A4B2A.png"/>
                                <pic:cNvPicPr/>
                              </pic:nvPicPr>
                              <pic:blipFill>
                                <a:blip r:embed="rId42"/>
                                <a:stretch>
                                  <a:fillRect/>
                                </a:stretch>
                              </pic:blipFill>
                              <pic:spPr>
                                <a:xfrm>
                                  <a:off x="0" y="0"/>
                                  <a:ext cx="216000" cy="216000"/>
                                </a:xfrm>
                                <a:prstGeom prst="rect">
                                  <a:avLst/>
                                </a:prstGeom>
                              </pic:spPr>
                            </pic:pic>
                          </a:graphicData>
                        </a:graphic>
                      </wp:inline>
                    </w:drawing>
                  </w:r>
                  <w:r>
                    <w:t xml:space="preserve"> </w:t>
                  </w:r>
                  <w:r>
                    <w:rPr>
                      <w:b/>
                      <w:bCs/>
                    </w:rPr>
                    <w:t xml:space="preserve">Gempa bumi</w:t>
                  </w:r>
                  <w:r>
                    <w:rPr>
                      <w:color w:val="2E3440"/>
                    </w:rPr>
                    <w:t xml:space="preserve">  Geologi</w:t>
                  </w:r>
                  <w:bookmarkEnd w:id="278"/>
                  <w:bookmarkEnd w:id="279"/>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Magnitudo maksimum dan periode ulang segmen gabungan Jawa dari PuSGeN 2024; sebaran guncangan dari mesin platform; korban ditulis sebagai lantai tercatat karena pita model lebih dari satu orde.</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rPr>
                            <w:b/>
                            <w:bCs/>
                            <w:color w:val="1A1A1A"/>
                            <w:sz w:val="16"/>
                            <w:szCs w:val="16"/>
                            <w:bdr w:val="single" w:sz="6" w:space="0" w:color="BFC5CC"/>
                          </w:rPr>
                          <w:t xml:space="preserve">  &lt; 0,2%  </w:t>
                        </w:r>
                        <w:r>
                          <w:t xml:space="preserve"> </w:t>
                        </w:r>
                        <w:r>
                          <w:rPr>
                            <w:b/>
                            <w:bCs/>
                            <w:color w:val="FFFFFF"/>
                            <w:sz w:val="16"/>
                            <w:szCs w:val="16"/>
                            <w:shd w:val="clear" w:color="auto" w:fill="051C2C"/>
                          </w:rPr>
                          <w:t xml:space="preserve">  0,2–1%  </w:t>
                        </w:r>
                        <w:r>
                          <w:t xml:space="preserve"> </w:t>
                        </w:r>
                        <w:r>
                          <w:rPr>
                            <w:b/>
                            <w:bCs/>
                            <w:color w:val="1A1A1A"/>
                            <w:sz w:val="16"/>
                            <w:szCs w:val="16"/>
                            <w:bdr w:val="single" w:sz="6" w:space="0" w:color="BFC5CC"/>
                          </w:rPr>
                          <w:t xml:space="preserve">  1–5%  </w:t>
                        </w:r>
                        <w:r>
                          <w:t xml:space="preserve"> </w:t>
                        </w:r>
                        <w:r>
                          <w:rPr>
                            <w:b/>
                            <w:bCs/>
                            <w:color w:val="1A1A1A"/>
                            <w:sz w:val="16"/>
                            <w:szCs w:val="16"/>
                            <w:bdr w:val="single" w:sz="6" w:space="0" w:color="BFC5C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44" name="Gambar 44"/>
                              <wp:cNvGraphicFramePr>
                                <a:graphicFrameLocks noChangeAspect="1"/>
                              </wp:cNvGraphicFramePr>
                              <a:graphic>
                                <a:graphicData uri="http://schemas.openxmlformats.org/drawingml/2006/picture">
                                  <pic:pic>
                                    <pic:nvPicPr>
                                      <pic:cNvPr id="4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45" name="Gambar 45"/>
                              <wp:cNvGraphicFramePr>
                                <a:graphicFrameLocks noChangeAspect="1"/>
                              </wp:cNvGraphicFramePr>
                              <a:graphic>
                                <a:graphicData uri="http://schemas.openxmlformats.org/drawingml/2006/picture">
                                  <pic:pic>
                                    <pic:nvPicPr>
                                      <pic:cNvPr id="4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46" name="Gambar 46"/>
                              <wp:cNvGraphicFramePr>
                                <a:graphicFrameLocks noChangeAspect="1"/>
                              </wp:cNvGraphicFramePr>
                              <a:graphic>
                                <a:graphicData uri="http://schemas.openxmlformats.org/drawingml/2006/picture">
                                  <pic:pic>
                                    <pic:nvPicPr>
                                      <pic:cNvPr id="4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47" name="Gambar 47"/>
                              <wp:cNvGraphicFramePr>
                                <a:graphicFrameLocks noChangeAspect="1"/>
                              </wp:cNvGraphicFramePr>
                              <a:graphic>
                                <a:graphicData uri="http://schemas.openxmlformats.org/drawingml/2006/picture">
                                  <pic:pic>
                                    <pic:nvPicPr>
                                      <pic:cNvPr id="4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025759"/>
                        <wp:effectExtent l="0" t="0" r="0" b="0"/>
                        <wp:docPr id="48" name="Gambar 48"/>
                        <wp:cNvGraphicFramePr>
                          <a:graphicFrameLocks noChangeAspect="1"/>
                        </wp:cNvGraphicFramePr>
                        <a:graphic>
                          <a:graphicData uri="http://schemas.openxmlformats.org/drawingml/2006/picture">
                            <pic:pic>
                              <pic:nvPicPr>
                                <pic:cNvPr id="48" name="bab06-kartu-megathrust-jawa.png"/>
                                <pic:cNvPicPr/>
                              </pic:nvPicPr>
                              <pic:blipFill>
                                <a:blip r:embed="rId44"/>
                                <a:stretch>
                                  <a:fillRect/>
                                </a:stretch>
                              </pic:blipFill>
                              <pic:spPr>
                                <a:xfrm>
                                  <a:off x="0" y="0"/>
                                  <a:ext cx="1882800" cy="2025759"/>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049"/>
              <w:gridCol w:w="1439"/>
              <w:gridCol w:w="852"/>
              <w:gridCol w:w="1525"/>
              <w:gridCol w:w="1489"/>
            </w:tblGrid>
            <w:tr>
              <w:trPr>
                <w:cantSplit/>
                <w:tblHeader/>
              </w:trPr>
              <w:tc>
                <w:tcPr>
                  <w:tcW w:w="4049" w:type="dxa"/>
                  <w:shd w:val="clear" w:color="auto" w:fill="051C2C"/>
                  <w:vAlign w:val="center"/>
                </w:tcPr>
                <w:p>
                  <w:pPr>
                    <w:pStyle w:val="KepalaTabel"/>
                    <w:keepNext/>
                    <w:suppressAutoHyphens/>
                  </w:pPr>
                  <w:r>
                    <w:t xml:space="preserve">BESARAN</w:t>
                  </w:r>
                </w:p>
              </w:tc>
              <w:tc>
                <w:tcPr>
                  <w:tcW w:w="1439"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525" w:type="dxa"/>
                  <w:shd w:val="clear" w:color="auto" w:fill="051C2C"/>
                  <w:vAlign w:val="center"/>
                </w:tcPr>
                <w:p>
                  <w:pPr>
                    <w:pStyle w:val="KepalaTabel"/>
                    <w:keepNext/>
                    <w:suppressAutoHyphens/>
                  </w:pPr>
                  <w:r>
                    <w:t xml:space="preserve">KEYAKINAN</w:t>
                  </w:r>
                </w:p>
              </w:tc>
              <w:tc>
                <w:tcPr>
                  <w:tcW w:w="1489" w:type="dxa"/>
                  <w:shd w:val="clear" w:color="auto" w:fill="051C2C"/>
                  <w:vAlign w:val="center"/>
                </w:tcPr>
                <w:p>
                  <w:pPr>
                    <w:pStyle w:val="KepalaTabel"/>
                    <w:keepNext/>
                    <w:suppressAutoHyphens/>
                  </w:pPr>
                  <w:r>
                    <w:t xml:space="preserve">SUMBER</w:t>
                  </w:r>
                </w:p>
              </w:tc>
            </w:tr>
            <w:tr>
              <w:trPr>
                <w:cantSplit/>
              </w:trPr>
              <w:tc>
                <w:tcPr>
                  <w:tcW w:w="4049" w:type="dxa"/>
                </w:tcPr>
                <w:p>
                  <w:pPr>
                    <w:pStyle w:val="IsiTabel"/>
                    <w:keepNext/>
                    <w:suppressAutoHyphens/>
                    <w:jc w:val="left"/>
                  </w:pPr>
                  <w:r>
                    <w:t xml:space="preserve">Kependudukan, korban jiwa guncangan (lantai Yogyakarta 2006)</w:t>
                  </w:r>
                </w:p>
              </w:tc>
              <w:tc>
                <w:tcPr>
                  <w:tcW w:w="1439" w:type="dxa"/>
                </w:tcPr>
                <w:p>
                  <w:pPr>
                    <w:pStyle w:val="IsiTabel"/>
                    <w:keepNext/>
                    <w:suppressAutoHyphens/>
                    <w:jc w:val="right"/>
                  </w:pPr>
                  <w:r>
                    <w:t xml:space="preserve">5.749</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489" w:type="dxa"/>
                </w:tcPr>
                <w:p>
                  <w:pPr>
                    <w:pStyle w:val="IsiTabel"/>
                    <w:keepNext/>
                    <w:suppressAutoHyphens/>
                    <w:jc w:val="left"/>
                  </w:pPr>
                  <w:r>
                    <w:t xml:space="preserve">USGS; pita model di lampiran</w:t>
                  </w:r>
                </w:p>
              </w:tc>
            </w:tr>
            <w:tr>
              <w:trPr>
                <w:cantSplit/>
              </w:trPr>
              <w:tc>
                <w:tcPr>
                  <w:tcW w:w="4049" w:type="dxa"/>
                </w:tcPr>
                <w:p>
                  <w:pPr>
                    <w:pStyle w:val="IsiTabel"/>
                    <w:keepNext/>
                    <w:suppressAutoHyphens/>
                    <w:jc w:val="left"/>
                  </w:pPr>
                  <w:r>
                    <w:t xml:space="preserve">Kependudukan, korban jiwa tsunami (lantai Pangandaran 2006)</w:t>
                  </w:r>
                </w:p>
              </w:tc>
              <w:tc>
                <w:tcPr>
                  <w:tcW w:w="1439" w:type="dxa"/>
                </w:tcPr>
                <w:p>
                  <w:pPr>
                    <w:pStyle w:val="IsiTabel"/>
                    <w:keepNext/>
                    <w:suppressAutoHyphens/>
                    <w:jc w:val="right"/>
                  </w:pPr>
                  <w:r>
                    <w:t xml:space="preserve">665</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489" w:type="dxa"/>
                </w:tcPr>
                <w:p>
                  <w:pPr>
                    <w:pStyle w:val="IsiTabel"/>
                    <w:keepNext/>
                    <w:suppressAutoHyphens/>
                    <w:jc w:val="left"/>
                  </w:pPr>
                  <w:r>
                    <w:t xml:space="preserve">USGS, ditambah </w:t>
                  </w:r>
                  <w:r>
                    <w:t xml:space="preserve">65</w:t>
                  </w:r>
                  <w:r>
                    <w:t xml:space="preserve"> hilang; korban tsunami skenario tidak dikuantifikasi</w:t>
                  </w:r>
                </w:p>
              </w:tc>
            </w:tr>
            <w:tr>
              <w:trPr>
                <w:cantSplit/>
              </w:trPr>
              <w:tc>
                <w:tcPr>
                  <w:tcW w:w="4049" w:type="dxa"/>
                </w:tcPr>
                <w:p>
                  <w:pPr>
                    <w:pStyle w:val="IsiTabel"/>
                    <w:keepNext/>
                    <w:suppressAutoHyphens/>
                    <w:jc w:val="left"/>
                  </w:pPr>
                  <w:r>
                    <w:t xml:space="preserve">Kependudukan, jiwa terpapar MMI VII atau lebih</w:t>
                  </w:r>
                </w:p>
              </w:tc>
              <w:tc>
                <w:tcPr>
                  <w:tcW w:w="1439" w:type="dxa"/>
                </w:tcPr>
                <w:p>
                  <w:pPr>
                    <w:pStyle w:val="IsiTabel"/>
                    <w:keepNext/>
                    <w:suppressAutoHyphens/>
                    <w:jc w:val="right"/>
                  </w:pPr>
                  <w:r>
                    <w:t xml:space="preserve">30 juta</w:t>
                  </w:r>
                </w:p>
              </w:tc>
              <w:tc>
                <w:tcPr>
                  <w:tcW w:w="852" w:type="dxa"/>
                </w:tcPr>
                <w:p>
                  <w:pPr>
                    <w:pStyle w:val="IsiTabel"/>
                    <w:keepNext/>
                    <w:suppressAutoHyphens/>
                    <w:jc w:val="right"/>
                  </w:pPr>
                  <w:r>
                    <w:t xml:space="preserve">110 juta</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489" w:type="dxa"/>
                </w:tcPr>
                <w:p>
                  <w:pPr>
                    <w:pStyle w:val="IsiTabel"/>
                    <w:keepNext/>
                    <w:suppressAutoHyphens/>
                    <w:jc w:val="left"/>
                  </w:pPr>
                  <w:r>
                    <w:t xml:space="preserve">simulasi Pantau Bencana; persamaan guncangan belum diuji</w:t>
                  </w:r>
                </w:p>
              </w:tc>
            </w:tr>
            <w:tr>
              <w:trPr>
                <w:cantSplit/>
              </w:trPr>
              <w:tc>
                <w:tcPr>
                  <w:tcW w:w="4049" w:type="dxa"/>
                </w:tcPr>
                <w:p>
                  <w:pPr>
                    <w:pStyle w:val="IsiTabel"/>
                    <w:keepNext/>
                    <w:suppressAutoHyphens/>
                    <w:jc w:val="left"/>
                  </w:pPr>
                  <w:r>
                    <w:t xml:space="preserve">Lingkungan, luas guncangan MMI VI atau lebih (km²)</w:t>
                  </w:r>
                </w:p>
              </w:tc>
              <w:tc>
                <w:tcPr>
                  <w:tcW w:w="1439" w:type="dxa"/>
                </w:tcPr>
                <w:p>
                  <w:pPr>
                    <w:pStyle w:val="IsiTabel"/>
                    <w:keepNext/>
                    <w:suppressAutoHyphens/>
                    <w:jc w:val="right"/>
                  </w:pPr>
                  <w:r>
                    <w:t xml:space="preserve">sekitar 120.000</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489" w:type="dxa"/>
                </w:tcPr>
                <w:p>
                  <w:pPr>
                    <w:pStyle w:val="IsiTabel"/>
                    <w:keepNext/>
                    <w:suppressAutoHyphens/>
                    <w:jc w:val="left"/>
                  </w:pPr>
                  <w:r>
                    <w:t xml:space="preserve">simulasi Pantau Bencana</w:t>
                  </w:r>
                </w:p>
              </w:tc>
            </w:tr>
            <w:tr>
              <w:trPr>
                <w:cantSplit/>
              </w:trPr>
              <w:tc>
                <w:tcPr>
                  <w:tcW w:w="4049" w:type="dxa"/>
                </w:tcPr>
                <w:p>
                  <w:pPr>
                    <w:pStyle w:val="IsiTabel"/>
                    <w:keepNext/>
                    <w:suppressAutoHyphens/>
                    <w:jc w:val="left"/>
                  </w:pPr>
                  <w:r>
                    <w:t xml:space="preserve">Lingkungan, pantai dicapai tsunami kurang dari </w:t>
                  </w:r>
                  <w:r>
                    <w:t xml:space="preserve">30</w:t>
                  </w:r>
                  <w:r>
                    <w:t xml:space="preserve"> menit (km)</w:t>
                  </w:r>
                </w:p>
              </w:tc>
              <w:tc>
                <w:tcPr>
                  <w:tcW w:w="1439" w:type="dxa"/>
                </w:tcPr>
                <w:p>
                  <w:pPr>
                    <w:pStyle w:val="IsiTabel"/>
                    <w:keepNext/>
                    <w:suppressAutoHyphens/>
                    <w:jc w:val="right"/>
                  </w:pPr>
                  <w:r>
                    <w:t xml:space="preserve">1.600</w:t>
                  </w:r>
                </w:p>
              </w:tc>
              <w:tc>
                <w:tcPr>
                  <w:tcW w:w="852" w:type="dxa"/>
                </w:tcPr>
                <w:p>
                  <w:pPr>
                    <w:pStyle w:val="IsiTabel"/>
                    <w:keepNext/>
                    <w:suppressAutoHyphens/>
                    <w:jc w:val="right"/>
                  </w:pPr>
                  <w:r>
                    <w:t xml:space="preserve">2.200</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489" w:type="dxa"/>
                </w:tcPr>
                <w:p>
                  <w:pPr>
                    <w:pStyle w:val="IsiTabel"/>
                    <w:keepNext/>
                    <w:suppressAutoHyphens/>
                    <w:jc w:val="left"/>
                  </w:pPr>
                  <w:r>
                    <w:t xml:space="preserve">waktu tiba belum diuji terhadap kejadian</w:t>
                  </w:r>
                </w:p>
              </w:tc>
            </w:tr>
            <w:tr>
              <w:trPr>
                <w:cantSplit/>
              </w:trPr>
              <w:tc>
                <w:tcPr>
                  <w:tcW w:w="4049" w:type="dxa"/>
                </w:tcPr>
                <w:p>
                  <w:pPr>
                    <w:pStyle w:val="IsiTabel"/>
                    <w:keepNext/>
                    <w:suppressAutoHyphens/>
                    <w:jc w:val="left"/>
                  </w:pPr>
                  <w:bookmarkStart w:id="280" w:name="_Ekor028a"/>
                  <w:bookmarkEnd w:id="280"/>
                  <w:r>
                    <w:t xml:space="preserve">Ekonomi, kerugian materiil</w:t>
                  </w:r>
                </w:p>
              </w:tc>
              <w:tc>
                <w:tcPr>
                  <w:tcW w:w="1439"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489" w:type="dxa"/>
                </w:tcPr>
                <w:p>
                  <w:pPr>
                    <w:pStyle w:val="IsiTabel"/>
                    <w:keepNext/>
                    <w:suppressAutoHyphens/>
                    <w:jc w:val="left"/>
                  </w:pPr>
                  <w:r>
                    <w:t xml:space="preserve">pita stimulan rumah lebih dari satu orde, hanya di lampiran</w:t>
                  </w:r>
                </w:p>
              </w:tc>
            </w:tr>
            <w:tr>
              <w:trPr>
                <w:cantSplit/>
              </w:trPr>
              <w:tc>
                <w:tcPr>
                  <w:tcW w:w="4049" w:type="dxa"/>
                </w:tcPr>
                <w:p>
                  <w:pPr>
                    <w:pStyle w:val="IsiTabel"/>
                    <w:keepNext/>
                    <w:suppressAutoHyphens/>
                    <w:jc w:val="left"/>
                  </w:pPr>
                  <w:r>
                    <w:t xml:space="preserve">Infrastruktur/fisik, rumah rusak berat</w:t>
                  </w:r>
                </w:p>
              </w:tc>
              <w:tc>
                <w:tcPr>
                  <w:tcW w:w="1439"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489" w:type="dxa"/>
                </w:tcPr>
                <w:p>
                  <w:pPr>
                    <w:pStyle w:val="IsiTabel"/>
                    <w:keepNext/>
                    <w:suppressAutoHyphens/>
                    <w:jc w:val="left"/>
                  </w:pPr>
                  <w:r>
                    <w:t xml:space="preserve">pita lebih dari satu orde; data bangunan tidak ada</w:t>
                  </w:r>
                </w:p>
              </w:tc>
            </w:tr>
            <w:tr>
              <w:trPr>
                <w:cantSplit/>
              </w:trPr>
              <w:tc>
                <w:tcPr>
                  <w:tcW w:w="4049" w:type="dxa"/>
                </w:tcPr>
                <w:p>
                  <w:pPr>
                    <w:pStyle w:val="IsiTabel"/>
                    <w:keepNext/>
                    <w:suppressAutoHyphens/>
                    <w:jc w:val="left"/>
                  </w:pPr>
                  <w:r>
                    <w:t xml:space="preserve">Layanan sipil, sekolah di kelas bahaya tinggi tsunami (nasional)</w:t>
                  </w:r>
                </w:p>
              </w:tc>
              <w:tc>
                <w:tcPr>
                  <w:tcW w:w="1439" w:type="dxa"/>
                </w:tcPr>
                <w:p>
                  <w:pPr>
                    <w:pStyle w:val="IsiTabel"/>
                    <w:keepNext/>
                    <w:suppressAutoHyphens/>
                    <w:jc w:val="right"/>
                  </w:pPr>
                  <w:r>
                    <w:t xml:space="preserve">59.839</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489" w:type="dxa"/>
                </w:tcPr>
                <w:p>
                  <w:pPr>
                    <w:pStyle w:val="IsiTabel"/>
                    <w:keepNext/>
                    <w:suppressAutoHyphens/>
                    <w:jc w:val="left"/>
                  </w:pPr>
                  <w:r>
                    <w:t xml:space="preserve">InaRISK KRB; angka Pulau Jawa saja tidak tersedia</w:t>
                  </w:r>
                </w:p>
              </w:tc>
            </w:tr>
            <w:tr>
              <w:trPr>
                <w:cantSplit/>
              </w:trPr>
              <w:tc>
                <w:tcPr>
                  <w:tcW w:w="4049" w:type="dxa"/>
                </w:tcPr>
                <w:p>
                  <w:pPr>
                    <w:pStyle w:val="IsiTabel"/>
                    <w:keepNext/>
                    <w:suppressAutoHyphens/>
                    <w:jc w:val="left"/>
                  </w:pPr>
                  <w:bookmarkStart w:id="281" w:name="_Ekor028z"/>
                  <w:bookmarkEnd w:id="281"/>
                  <w:r>
                    <w:t xml:space="preserve">Kebutuhan respons, pengungsi</w:t>
                  </w:r>
                </w:p>
              </w:tc>
              <w:tc>
                <w:tcPr>
                  <w:tcW w:w="1439"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489" w:type="dxa"/>
                </w:tcPr>
                <w:p>
                  <w:pPr>
                    <w:pStyle w:val="IsiTabel"/>
                    <w:keepNext/>
                    <w:suppressAutoHyphens/>
                    <w:jc w:val="left"/>
                  </w:pPr>
                  <w:r>
                    <w:t xml:space="preserve">aturan rumah rusak berat dan sedang × </w:t>
                  </w:r>
                  <w:r>
                    <w:t xml:space="preserve">3,9</w:t>
                  </w:r>
                  <w:r>
                    <w:t xml:space="preserve"> diuji pada tiga kejadian; angka skenario di lampiran</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Pada model platform, korban guncangan menjadi </w:t>
                  </w:r>
                  <w:r>
                    <w:t xml:space="preserve">sekitar 0,68</w:t>
                  </w:r>
                  <w:r>
                    <w:t xml:space="preserve"> kali korban dasar bila separuh stok tembok tanpa tulangan diganti beton terkekang, dan </w:t>
                  </w:r>
                  <w:r>
                    <w:t xml:space="preserve">sekitar 0,35</w:t>
                  </w:r>
                  <w:r>
                    <w:t xml:space="preserve"> kali bila seluruhnya diganti. Kurva beton di mesin masih kurva sebelum kode bangunan, sehingga manfaat kepatuhan penuh kemungkinan terlalu kecil.</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956"/>
              <w:gridCol w:w="2462"/>
              <w:gridCol w:w="2462"/>
              <w:gridCol w:w="2462"/>
              <w:gridCol w:w="1012"/>
            </w:tblGrid>
            <w:tr>
              <w:trPr>
                <w:cantSplit/>
                <w:tblHeader/>
              </w:trPr>
              <w:tc>
                <w:tcPr>
                  <w:tcW w:w="956" w:type="dxa"/>
                  <w:shd w:val="clear" w:color="auto" w:fill="051C2C"/>
                  <w:vAlign w:val="center"/>
                </w:tcPr>
                <w:p>
                  <w:pPr>
                    <w:pStyle w:val="KepalaTabel"/>
                    <w:keepNext/>
                    <w:suppressAutoHyphens/>
                  </w:pPr>
                  <w:r>
                    <w:t xml:space="preserve">TUAS</w:t>
                  </w:r>
                </w:p>
              </w:tc>
              <w:tc>
                <w:tcPr>
                  <w:tcW w:w="2462" w:type="dxa"/>
                  <w:shd w:val="clear" w:color="auto" w:fill="051C2C"/>
                  <w:vAlign w:val="center"/>
                </w:tcPr>
                <w:p>
                  <w:pPr>
                    <w:pStyle w:val="KepalaTabel"/>
                    <w:keepNext/>
                    <w:suppressAutoHyphens/>
                  </w:pPr>
                  <w:r>
                    <w:t xml:space="preserve">NILAI DASAR</w:t>
                  </w:r>
                </w:p>
              </w:tc>
              <w:tc>
                <w:tcPr>
                  <w:tcW w:w="2462" w:type="dxa"/>
                  <w:shd w:val="clear" w:color="auto" w:fill="051C2C"/>
                  <w:vAlign w:val="center"/>
                </w:tcPr>
                <w:p>
                  <w:pPr>
                    <w:pStyle w:val="KepalaTabel"/>
                    <w:keepNext/>
                    <w:suppressAutoHyphens/>
                  </w:pPr>
                  <w:r>
                    <w:t xml:space="preserve">NILAI DIGESER</w:t>
                  </w:r>
                </w:p>
              </w:tc>
              <w:tc>
                <w:tcPr>
                  <w:tcW w:w="2462" w:type="dxa"/>
                  <w:shd w:val="clear" w:color="auto" w:fill="051C2C"/>
                  <w:vAlign w:val="center"/>
                </w:tcPr>
                <w:p>
                  <w:pPr>
                    <w:pStyle w:val="KepalaTabel"/>
                    <w:keepNext/>
                    <w:suppressAutoHyphens/>
                  </w:pPr>
                  <w:r>
                    <w:t xml:space="preserve">KORBAN JIWA</w:t>
                  </w:r>
                </w:p>
              </w:tc>
              <w:tc>
                <w:tcPr>
                  <w:tcW w:w="1012" w:type="dxa"/>
                  <w:shd w:val="clear" w:color="auto" w:fill="051C2C"/>
                  <w:vAlign w:val="center"/>
                </w:tcPr>
                <w:p>
                  <w:pPr>
                    <w:pStyle w:val="KepalaTabel"/>
                    <w:keepNext/>
                    <w:suppressAutoHyphens/>
                  </w:pPr>
                  <w:r>
                    <w:t xml:space="preserve">KERUGIAN MATERIIL</w:t>
                  </w:r>
                </w:p>
              </w:tc>
            </w:tr>
            <w:tr>
              <w:trPr>
                <w:cantSplit/>
              </w:trPr>
              <w:tc>
                <w:tcPr>
                  <w:tcW w:w="956" w:type="dxa"/>
                </w:tcPr>
                <w:p>
                  <w:pPr>
                    <w:pStyle w:val="IsiTabel"/>
                    <w:keepNext/>
                    <w:suppressAutoHyphens/>
                    <w:jc w:val="left"/>
                  </w:pPr>
                  <w:r>
                    <w:t xml:space="preserve">Kepatuhan bangunan, sebagian</w:t>
                  </w:r>
                </w:p>
              </w:tc>
              <w:tc>
                <w:tcPr>
                  <w:tcW w:w="2462" w:type="dxa"/>
                </w:tcPr>
                <w:p>
                  <w:pPr>
                    <w:pStyle w:val="IsiTabel"/>
                    <w:keepNext/>
                    <w:suppressAutoHyphens/>
                    <w:jc w:val="right"/>
                  </w:pPr>
                  <w:r>
                    <w:t xml:space="preserve">stok sekarang</w:t>
                  </w:r>
                </w:p>
              </w:tc>
              <w:tc>
                <w:tcPr>
                  <w:tcW w:w="2462" w:type="dxa"/>
                </w:tcPr>
                <w:p>
                  <w:pPr>
                    <w:pStyle w:val="IsiTabel"/>
                    <w:keepNext/>
                    <w:suppressAutoHyphens/>
                    <w:jc w:val="right"/>
                  </w:pPr>
                  <w:r>
                    <w:t xml:space="preserve">separuh tembok tanpa tulangan diganti</w:t>
                  </w:r>
                </w:p>
              </w:tc>
              <w:tc>
                <w:tcPr>
                  <w:tcW w:w="2462" w:type="dxa"/>
                </w:tcPr>
                <w:p>
                  <w:pPr>
                    <w:pStyle w:val="IsiTabel"/>
                    <w:keepNext/>
                    <w:suppressAutoHyphens/>
                    <w:jc w:val="right"/>
                  </w:pPr>
                  <w:r>
                    <w:t xml:space="preserve">sekitar 0,68</w:t>
                  </w:r>
                  <w:r>
                    <w:t xml:space="preserve"> kali dasar</w:t>
                  </w:r>
                </w:p>
              </w:tc>
              <w:tc>
                <w:tcPr>
                  <w:tcW w:w="1012" w:type="dxa"/>
                </w:tcPr>
                <w:p>
                  <w:pPr>
                    <w:pStyle w:val="IsiTabel"/>
                    <w:keepNext/>
                    <w:suppressAutoHyphens/>
                    <w:jc w:val="left"/>
                  </w:pPr>
                  <w:r>
                    <w:t xml:space="preserve">tidak dihitung: rumah rusak model hanya di lampiran</w:t>
                  </w:r>
                </w:p>
              </w:tc>
            </w:tr>
            <w:tr>
              <w:trPr>
                <w:cantSplit/>
              </w:trPr>
              <w:tc>
                <w:tcPr>
                  <w:tcW w:w="956" w:type="dxa"/>
                </w:tcPr>
                <w:p>
                  <w:pPr>
                    <w:pStyle w:val="IsiTabel"/>
                    <w:keepNext/>
                    <w:suppressAutoHyphens/>
                    <w:jc w:val="left"/>
                  </w:pPr>
                  <w:bookmarkStart w:id="282" w:name="_Ekor029a"/>
                  <w:bookmarkEnd w:id="282"/>
                  <w:r>
                    <w:t xml:space="preserve">Kepatuhan bangunan, penuh</w:t>
                  </w:r>
                </w:p>
              </w:tc>
              <w:tc>
                <w:tcPr>
                  <w:tcW w:w="2462" w:type="dxa"/>
                </w:tcPr>
                <w:p>
                  <w:pPr>
                    <w:pStyle w:val="IsiTabel"/>
                    <w:keepNext/>
                    <w:suppressAutoHyphens/>
                    <w:jc w:val="right"/>
                  </w:pPr>
                  <w:r>
                    <w:t xml:space="preserve">stok sekarang</w:t>
                  </w:r>
                </w:p>
              </w:tc>
              <w:tc>
                <w:tcPr>
                  <w:tcW w:w="2462" w:type="dxa"/>
                </w:tcPr>
                <w:p>
                  <w:pPr>
                    <w:pStyle w:val="IsiTabel"/>
                    <w:keepNext/>
                    <w:suppressAutoHyphens/>
                    <w:jc w:val="right"/>
                  </w:pPr>
                  <w:r>
                    <w:t xml:space="preserve">tanpa tembok tanpa tulangan</w:t>
                  </w:r>
                </w:p>
              </w:tc>
              <w:tc>
                <w:tcPr>
                  <w:tcW w:w="2462" w:type="dxa"/>
                </w:tcPr>
                <w:p>
                  <w:pPr>
                    <w:pStyle w:val="IsiTabel"/>
                    <w:keepNext/>
                    <w:suppressAutoHyphens/>
                    <w:jc w:val="right"/>
                  </w:pPr>
                  <w:r>
                    <w:t xml:space="preserve">sekitar 0,35</w:t>
                  </w:r>
                  <w:r>
                    <w:t xml:space="preserve"> kali dasar</w:t>
                  </w:r>
                </w:p>
              </w:tc>
              <w:tc>
                <w:tcPr>
                  <w:tcW w:w="1012" w:type="dxa"/>
                </w:tcPr>
                <w:p>
                  <w:pPr>
                    <w:pStyle w:val="IsiTabel"/>
                    <w:keepNext/>
                    <w:suppressAutoHyphens/>
                    <w:jc w:val="left"/>
                  </w:pPr>
                  <w:r>
                    <w:t xml:space="preserve">tidak dihitung: rumah rusak model hanya di lampiran</w:t>
                  </w:r>
                </w:p>
              </w:tc>
            </w:tr>
            <w:tr>
              <w:trPr>
                <w:cantSplit/>
              </w:trPr>
              <w:tc>
                <w:tcPr>
                  <w:tcW w:w="956" w:type="dxa"/>
                </w:tcPr>
                <w:p>
                  <w:pPr>
                    <w:pStyle w:val="IsiTabel"/>
                    <w:keepNext/>
                    <w:suppressAutoHyphens/>
                    <w:jc w:val="left"/>
                  </w:pPr>
                  <w:r>
                    <w:t xml:space="preserve">Evakuasi segera saat guncangan kuat</w:t>
                  </w:r>
                </w:p>
              </w:tc>
              <w:tc>
                <w:tcPr>
                  <w:tcW w:w="2462" w:type="dxa"/>
                </w:tcPr>
                <w:p>
                  <w:pPr>
                    <w:pStyle w:val="IsiTabel"/>
                    <w:keepNext/>
                    <w:suppressAutoHyphens/>
                    <w:jc w:val="right"/>
                  </w:pPr>
                  <w:r>
                    <w:t xml:space="preserve">20%</w:t>
                  </w:r>
                  <w:r>
                    <w:t xml:space="preserve"> warga</w:t>
                  </w:r>
                </w:p>
              </w:tc>
              <w:tc>
                <w:tcPr>
                  <w:tcW w:w="2462" w:type="dxa"/>
                </w:tcPr>
                <w:p>
                  <w:pPr>
                    <w:pStyle w:val="IsiTabel"/>
                    <w:keepNext/>
                    <w:suppressAutoHyphens/>
                    <w:jc w:val="right"/>
                  </w:pPr>
                  <w:r>
                    <w:t xml:space="preserve">70%</w:t>
                  </w:r>
                  <w:r>
                    <w:t xml:space="preserve"> warga</w:t>
                  </w:r>
                </w:p>
              </w:tc>
              <w:tc>
                <w:tcPr>
                  <w:tcW w:w="2462" w:type="dxa"/>
                </w:tcPr>
                <w:p>
                  <w:pPr>
                    <w:pStyle w:val="IsiTabel"/>
                    <w:keepNext/>
                    <w:suppressAutoHyphens/>
                    <w:jc w:val="right"/>
                  </w:pPr>
                  <w:r>
                    <w:t xml:space="preserve">0,437</w:t>
                  </w:r>
                  <w:r>
                    <w:t xml:space="preserve"> kali kematian tsunami (faktor Jepang, atas paparan)</w:t>
                  </w:r>
                </w:p>
              </w:tc>
              <w:tc>
                <w:tcPr>
                  <w:tcW w:w="1012" w:type="dxa"/>
                </w:tcPr>
                <w:p>
                  <w:pPr>
                    <w:pStyle w:val="IsiTabel"/>
                    <w:keepNext/>
                    <w:suppressAutoHyphens/>
                    <w:jc w:val="left"/>
                  </w:pPr>
                  <w:r>
                    <w:t xml:space="preserve">tidak berubah: evakuasi tidak mengurangi rumah rusak</w:t>
                  </w:r>
                </w:p>
              </w:tc>
            </w:tr>
            <w:tr>
              <w:trPr>
                <w:cantSplit/>
              </w:trPr>
              <w:tc>
                <w:tcPr>
                  <w:tcW w:w="956" w:type="dxa"/>
                </w:tcPr>
                <w:p>
                  <w:pPr>
                    <w:pStyle w:val="IsiTabel"/>
                    <w:keepNext/>
                    <w:suppressAutoHyphens/>
                    <w:jc w:val="left"/>
                  </w:pPr>
                  <w:r>
                    <w:t xml:space="preserve">Jam kejadian (kondisi, bukan tuas)</w:t>
                  </w:r>
                </w:p>
              </w:tc>
              <w:tc>
                <w:tcPr>
                  <w:tcW w:w="2462" w:type="dxa"/>
                </w:tcPr>
                <w:p>
                  <w:pPr>
                    <w:pStyle w:val="IsiTabel"/>
                    <w:keepNext/>
                    <w:suppressAutoHyphens/>
                    <w:jc w:val="right"/>
                  </w:pPr>
                  <w:r>
                    <w:t xml:space="preserve">rata-rata</w:t>
                  </w:r>
                </w:p>
              </w:tc>
              <w:tc>
                <w:tcPr>
                  <w:tcW w:w="2462" w:type="dxa"/>
                </w:tcPr>
                <w:p>
                  <w:pPr>
                    <w:pStyle w:val="IsiTabel"/>
                    <w:keepNext/>
                    <w:suppressAutoHyphens/>
                    <w:jc w:val="right"/>
                  </w:pPr>
                  <w:r>
                    <w:t xml:space="preserve">malam hari</w:t>
                  </w:r>
                </w:p>
              </w:tc>
              <w:tc>
                <w:tcPr>
                  <w:tcW w:w="2462" w:type="dxa"/>
                </w:tcPr>
                <w:p>
                  <w:pPr>
                    <w:pStyle w:val="IsiTabel"/>
                    <w:keepNext/>
                    <w:suppressAutoHyphens/>
                    <w:jc w:val="right"/>
                  </w:pPr>
                  <w:r>
                    <w:t xml:space="preserve">1,16</w:t>
                  </w:r>
                  <w:r>
                    <w:t xml:space="preserve"> kali korban guncangan</w:t>
                  </w:r>
                </w:p>
              </w:tc>
              <w:tc>
                <w:tcPr>
                  <w:tcW w:w="1012" w:type="dxa"/>
                </w:tcPr>
                <w:p>
                  <w:pPr>
                    <w:pStyle w:val="IsiTabel"/>
                    <w:keepNext/>
                    <w:suppressAutoHyphens/>
                    <w:jc w:val="left"/>
                  </w:pPr>
                  <w:r>
                    <w:t xml:space="preserve">tidak berubah</w:t>
                  </w:r>
                </w:p>
              </w:tc>
            </w:tr>
            <w:tr>
              <w:trPr>
                <w:cantSplit/>
              </w:trPr>
              <w:tc>
                <w:tcPr>
                  <w:tcW w:w="956" w:type="dxa"/>
                </w:tcPr>
                <w:p>
                  <w:pPr>
                    <w:pStyle w:val="IsiTabel"/>
                    <w:keepNext/>
                    <w:suppressAutoHyphens/>
                    <w:jc w:val="left"/>
                  </w:pPr>
                  <w:bookmarkStart w:id="283" w:name="_Ekor029z"/>
                  <w:bookmarkEnd w:id="283"/>
                  <w:r>
                    <w:t xml:space="preserve">Magnitudo</w:t>
                  </w:r>
                </w:p>
              </w:tc>
              <w:tc>
                <w:tcPr>
                  <w:tcW w:w="2462" w:type="dxa"/>
                </w:tcPr>
                <w:p>
                  <w:pPr>
                    <w:pStyle w:val="IsiTabel"/>
                    <w:keepNext/>
                    <w:suppressAutoHyphens/>
                    <w:jc w:val="right"/>
                  </w:pPr>
                  <w:r>
                    <w:t xml:space="preserve">Mw </w:t>
                  </w:r>
                  <w:r>
                    <w:t xml:space="preserve">9,1</w:t>
                  </w:r>
                  <w:r>
                    <w:t xml:space="preserve"> gabungan, peluang lima tahun </w:t>
                  </w:r>
                  <w:r>
                    <w:t xml:space="preserve">0,83%</w:t>
                  </w:r>
                </w:p>
              </w:tc>
              <w:tc>
                <w:tcPr>
                  <w:tcW w:w="2462" w:type="dxa"/>
                </w:tcPr>
                <w:p>
                  <w:pPr>
                    <w:pStyle w:val="IsiTabel"/>
                    <w:keepNext/>
                    <w:suppressAutoHyphens/>
                    <w:jc w:val="right"/>
                  </w:pPr>
                  <w:r>
                    <w:t xml:space="preserve">Mw </w:t>
                  </w:r>
                  <w:r>
                    <w:t xml:space="preserve">8,9</w:t>
                  </w:r>
                  <w:r>
                    <w:t xml:space="preserve"> per segmen, peluang lima tahun </w:t>
                  </w:r>
                  <w:r>
                    <w:t xml:space="preserve">1,24%</w:t>
                  </w:r>
                </w:p>
              </w:tc>
              <w:tc>
                <w:tcPr>
                  <w:tcW w:w="2462" w:type="dxa"/>
                </w:tcPr>
                <w:p>
                  <w:pPr>
                    <w:pStyle w:val="IsiTabel"/>
                    <w:keepNext/>
                    <w:suppressAutoHyphens/>
                    <w:jc w:val="right"/>
                  </w:pPr>
                  <w:r>
                    <w:t xml:space="preserve">tidak dihitung: skenario Mw </w:t>
                  </w:r>
                  <w:r>
                    <w:t xml:space="preserve">8,9</w:t>
                  </w:r>
                  <w:r>
                    <w:t xml:space="preserve"> belum dijalankan platform</w:t>
                  </w:r>
                </w:p>
              </w:tc>
              <w:tc>
                <w:tcPr>
                  <w:tcW w:w="1012" w:type="dxa"/>
                </w:tcPr>
                <w:p>
                  <w:pPr>
                    <w:pStyle w:val="IsiTabel"/>
                    <w:keepNext/>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Evakuasi mandiri saat guncangan kuat di pantai yang dicapai tsunami kurang dari </w:t>
                  </w:r>
                  <w:r>
                    <w:t xml:space="preserve">30</w:t>
                  </w:r>
                  <w:r>
                    <w:t xml:space="preserve"> menit.</w:t>
                  </w:r>
                </w:p>
                <w:p>
                  <w:pPr>
                    <w:pStyle w:val="DaftarTabel"/>
                    <w:keepNext/>
                    <w:numPr>
                      <w:ilvl w:val="0"/>
                      <w:numId w:val="1"/>
                    </w:numPr>
                    <w:suppressAutoHyphens/>
                  </w:pPr>
                  <w:r>
                    <w:t xml:space="preserve">Pengungsian disiapkan dari jumlah rumah rusak berat dan sedang yang terdata, bukan dari angka skenario.</w:t>
                  </w:r>
                </w:p>
                <w:p>
                  <w:pPr>
                    <w:pStyle w:val="DaftarTabel"/>
                    <w:keepNext/>
                    <w:numPr>
                      <w:ilvl w:val="0"/>
                      <w:numId w:val="1"/>
                    </w:numPr>
                    <w:suppressAutoHyphens/>
                  </w:pPr>
                  <w:r>
                    <w:t xml:space="preserve">Rencana kontingensi tsunami provinsi memakai Mw </w:t>
                  </w:r>
                  <w:r>
                    <w:t xml:space="preserve">9,1</w:t>
                  </w:r>
                  <w:r>
                    <w:t xml:space="preserve"> dan lantai Pangandaran 2006 (</w:t>
                  </w:r>
                  <w:r>
                    <w:fldChar w:fldCharType="begin"/>
                  </w:r>
                  <w:r>
                    <w:instrText xml:space="preserve"> REF _Ref0090 \h \* CHARFORMAT </w:instrText>
                  </w:r>
                  <w:r>
                    <w:fldChar w:fldCharType="separate"/>
                  </w:r>
                  <w:r>
                    <w:t xml:space="preserve">18</w:t>
                  </w:r>
                  <w:r>
                    <w:fldChar w:fldCharType="end"/>
                  </w:r>
                  <w:r>
                    <w:t xml:space="preserve">).</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Penilaian kerusakan memakai satu instrumen rumah rusak untuk DIBI dan Rencana Rehabilitasi dan Rekonstruksi Pascabencana (R3P)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Stimulan rumah diperlakukan sebagai batas bawah kerugian perumahan.</w:t>
                  </w:r>
                </w:p>
                <w:p>
                  <w:pPr>
                    <w:pStyle w:val="DaftarTabel"/>
                    <w:keepNext/>
                    <w:numPr>
                      <w:ilvl w:val="0"/>
                      <w:numId w:val="1"/>
                    </w:numPr>
                    <w:suppressAutoHyphens/>
                  </w:pPr>
                  <w:r>
                    <w:t xml:space="preserve">Penataan permukiman pesisir mengikuti genangan tsunami resmi saat tersedia.</w:t>
                  </w:r>
                </w:p>
              </w:tc>
            </w:tr>
          </w:tbl>
          <w:p>
            <w:pPr>
              <w:pStyle w:val="IsiTabel"/>
              <w:keepNext/>
              <w:spacing w:before="80"/>
            </w:pPr>
            <w:r>
              <w:rPr>
                <w:i/>
                <w:iCs/>
                <w:color w:val="2E3440"/>
                <w:sz w:val="17"/>
                <w:szCs w:val="17"/>
              </w:rPr>
              <w:t xml:space="preserve">Simulasi skenario Pantau Bencana, belum divalidasi; pita korban, rumah rusak, pengungsi, dan kerugian skenario hanya di lampiran karena lebih dari satu orde.</w:t>
            </w:r>
          </w:p>
          <w:p>
            <w:pPr>
              <w:pStyle w:val="IsiTabel"/>
              <w:keepNext/>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284" w:name="_Kartu001z"/>
      <w:r>
        <w:rPr>
          <w:b/>
          <w:bCs/>
          <w:color w:val="6B7280"/>
          <w:sz w:val="17"/>
          <w:szCs w:val="17"/>
        </w:rPr>
        <w:t xml:space="preserve">Sumber: </w:t>
      </w:r>
      <w:r>
        <w:rPr>
          <w:color w:val="6B7280"/>
          <w:sz w:val="17"/>
          <w:szCs w:val="17"/>
        </w:rPr>
        <w:t xml:space="preserve">PuSGeN 2024 </w:t>
      </w:r>
      <w:r>
        <w:rPr>
          <w:color w:val="6B7280"/>
          <w:sz w:val="17"/>
          <w:szCs w:val="17"/>
        </w:rPr>
        <w:t xml:space="preserve">(PuSGeN, 2024)</w:t>
      </w:r>
      <w:r>
        <w:rPr>
          <w:color w:val="6B7280"/>
          <w:sz w:val="17"/>
          <w:szCs w:val="17"/>
        </w:rPr>
        <w:t xml:space="preserve">; KRB 2022–2026 </w:t>
      </w:r>
      <w:r>
        <w:rPr>
          <w:color w:val="6B7280"/>
          <w:sz w:val="17"/>
          <w:szCs w:val="17"/>
        </w:rPr>
        <w:t xml:space="preserve">(BNPB, 2026i)</w:t>
      </w:r>
      <w:r>
        <w:rPr>
          <w:color w:val="6B7280"/>
          <w:sz w:val="17"/>
          <w:szCs w:val="17"/>
        </w:rPr>
        <w:t xml:space="preserve">; USGS </w:t>
      </w:r>
      <w:r>
        <w:rPr>
          <w:color w:val="6B7280"/>
          <w:sz w:val="17"/>
          <w:szCs w:val="17"/>
        </w:rPr>
        <w:t xml:space="preserve">(USGS, 2006a, 2006b)</w:t>
      </w:r>
      <w:r>
        <w:rPr>
          <w:color w:val="6B7280"/>
          <w:sz w:val="17"/>
          <w:szCs w:val="17"/>
        </w:rPr>
        <w:t xml:space="preserve">; </w:t>
      </w:r>
      <w:r>
        <w:rPr>
          <w:color w:val="6B7280"/>
          <w:sz w:val="17"/>
          <w:szCs w:val="17"/>
        </w:rPr>
        <w:t xml:space="preserve">Widiyantoro dkk. (2020)</w:t>
      </w:r>
      <w:r>
        <w:rPr>
          <w:color w:val="6B7280"/>
          <w:sz w:val="17"/>
          <w:szCs w:val="17"/>
        </w:rPr>
        <w:t xml:space="preserve">;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284"/>
    </w:p>
    <w:p>
      <w:pPr>
        <w:pStyle w:val="Caption"/>
        <w:pageBreakBefore/>
      </w:pPr>
      <w:bookmarkStart w:id="286" w:name="_Toc00109"/>
      <w:bookmarkStart w:id="285" w:name="_Ref029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85"/>
      <w:r>
        <w:rPr>
          <w:b/>
          <w:bCs/>
          <w:color w:val="051C2C"/>
        </w:rPr>
        <w:t xml:space="preserve"> </w:t>
      </w:r>
      <w:r>
        <w:t xml:space="preserve">Megathrust Mentawai dan Enggano Mw </w:t>
      </w:r>
      <w:r>
        <w:t xml:space="preserve">8,9</w:t>
      </w:r>
      <w:r>
        <w:t xml:space="preserve"> PuSGeN 2024</w:t>
      </w:r>
      <w:bookmarkEnd w:id="28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keepNext/>
                    <w:spacing w:after="0"/>
                  </w:pPr>
                  <w:bookmarkStart w:id="288" w:name="_Kartu002a"/>
                  <w:bookmarkStart w:id="287" w:name="_Obj0026"/>
                  <w:r>
                    <w:rPr>
                      <w:position w:val="-10"/>
                    </w:rPr>
                    <w:drawing>
                      <wp:inline distT="0" distB="0" distL="0" distR="0">
                        <wp:extent cx="216000" cy="216000"/>
                        <wp:effectExtent l="0" t="0" r="0" b="0"/>
                        <wp:docPr id="49" name="Gambar 49"/>
                        <wp:cNvGraphicFramePr>
                          <a:graphicFrameLocks noChangeAspect="1"/>
                        </wp:cNvGraphicFramePr>
                        <a:graphic>
                          <a:graphicData uri="http://schemas.openxmlformats.org/drawingml/2006/picture">
                            <pic:pic>
                              <pic:nvPicPr>
                                <pic:cNvPr id="49" name="gempa-deck-gempa-FFFFFF-8A4B2A.png"/>
                                <pic:cNvPicPr/>
                              </pic:nvPicPr>
                              <pic:blipFill>
                                <a:blip r:embed="rId42"/>
                                <a:stretch>
                                  <a:fillRect/>
                                </a:stretch>
                              </pic:blipFill>
                              <pic:spPr>
                                <a:xfrm>
                                  <a:off x="0" y="0"/>
                                  <a:ext cx="216000" cy="216000"/>
                                </a:xfrm>
                                <a:prstGeom prst="rect">
                                  <a:avLst/>
                                </a:prstGeom>
                              </pic:spPr>
                            </pic:pic>
                          </a:graphicData>
                        </a:graphic>
                      </wp:inline>
                    </w:drawing>
                  </w:r>
                  <w:r>
                    <w:t xml:space="preserve"> </w:t>
                  </w:r>
                  <w:r>
                    <w:rPr>
                      <w:b/>
                      <w:bCs/>
                    </w:rPr>
                    <w:t xml:space="preserve">Gempa bumi</w:t>
                  </w:r>
                  <w:r>
                    <w:rPr>
                      <w:color w:val="2E3440"/>
                    </w:rPr>
                    <w:t xml:space="preserve">  Geologi</w:t>
                  </w:r>
                  <w:bookmarkEnd w:id="287"/>
                  <w:bookmarkEnd w:id="288"/>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Magnitudo maksimum dan periode ulang segmen Mentawai-Siberut, Mentawai-Pagai, dan Enggano dari PuSGeN 2024; sebaran guncangan dari mesin platform; korban ditulis sebagai lantai tercatat.</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FFFFFF"/>
                            <w:sz w:val="16"/>
                            <w:szCs w:val="16"/>
                            <w:shd w:val="clear" w:color="auto" w:fill="051C2C"/>
                          </w:rPr>
                          <w:t xml:space="preserve">  1–5%  </w:t>
                        </w:r>
                        <w:r>
                          <w:t xml:space="preserve"> </w:t>
                        </w:r>
                        <w:r>
                          <w:rPr>
                            <w:b/>
                            <w:bCs/>
                            <w:color w:val="1A1A1A"/>
                            <w:sz w:val="16"/>
                            <w:szCs w:val="16"/>
                            <w:bdr w:val="single" w:sz="6" w:space="0" w:color="BFC5C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50" name="Gambar 50"/>
                              <wp:cNvGraphicFramePr>
                                <a:graphicFrameLocks noChangeAspect="1"/>
                              </wp:cNvGraphicFramePr>
                              <a:graphic>
                                <a:graphicData uri="http://schemas.openxmlformats.org/drawingml/2006/picture">
                                  <pic:pic>
                                    <pic:nvPicPr>
                                      <pic:cNvPr id="5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51" name="Gambar 51"/>
                              <wp:cNvGraphicFramePr>
                                <a:graphicFrameLocks noChangeAspect="1"/>
                              </wp:cNvGraphicFramePr>
                              <a:graphic>
                                <a:graphicData uri="http://schemas.openxmlformats.org/drawingml/2006/picture">
                                  <pic:pic>
                                    <pic:nvPicPr>
                                      <pic:cNvPr id="5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2" name="Gambar 52"/>
                              <wp:cNvGraphicFramePr>
                                <a:graphicFrameLocks noChangeAspect="1"/>
                              </wp:cNvGraphicFramePr>
                              <a:graphic>
                                <a:graphicData uri="http://schemas.openxmlformats.org/drawingml/2006/picture">
                                  <pic:pic>
                                    <pic:nvPicPr>
                                      <pic:cNvPr id="5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3" name="Gambar 53"/>
                              <wp:cNvGraphicFramePr>
                                <a:graphicFrameLocks noChangeAspect="1"/>
                              </wp:cNvGraphicFramePr>
                              <a:graphic>
                                <a:graphicData uri="http://schemas.openxmlformats.org/drawingml/2006/picture">
                                  <pic:pic>
                                    <pic:nvPicPr>
                                      <pic:cNvPr id="5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Sumatera Barat dan Bengkulu</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3184639"/>
                        <wp:effectExtent l="0" t="0" r="0" b="0"/>
                        <wp:docPr id="54" name="Gambar 54"/>
                        <wp:cNvGraphicFramePr>
                          <a:graphicFrameLocks noChangeAspect="1"/>
                        </wp:cNvGraphicFramePr>
                        <a:graphic>
                          <a:graphicData uri="http://schemas.openxmlformats.org/drawingml/2006/picture">
                            <pic:pic>
                              <pic:nvPicPr>
                                <pic:cNvPr id="54" name="bab06-kartu-megathrust-mentawai.png"/>
                                <pic:cNvPicPr/>
                              </pic:nvPicPr>
                              <pic:blipFill>
                                <a:blip r:embed="rId45"/>
                                <a:stretch>
                                  <a:fillRect/>
                                </a:stretch>
                              </pic:blipFill>
                              <pic:spPr>
                                <a:xfrm>
                                  <a:off x="0" y="0"/>
                                  <a:ext cx="1882800" cy="3184639"/>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197"/>
              <w:gridCol w:w="1439"/>
              <w:gridCol w:w="852"/>
              <w:gridCol w:w="1525"/>
              <w:gridCol w:w="2341"/>
            </w:tblGrid>
            <w:tr>
              <w:trPr>
                <w:cantSplit/>
                <w:tblHeader/>
              </w:trPr>
              <w:tc>
                <w:tcPr>
                  <w:tcW w:w="3197" w:type="dxa"/>
                  <w:shd w:val="clear" w:color="auto" w:fill="051C2C"/>
                  <w:vAlign w:val="center"/>
                </w:tcPr>
                <w:p>
                  <w:pPr>
                    <w:pStyle w:val="KepalaTabel"/>
                    <w:keepNext/>
                    <w:suppressAutoHyphens/>
                  </w:pPr>
                  <w:r>
                    <w:t xml:space="preserve">BESARAN</w:t>
                  </w:r>
                </w:p>
              </w:tc>
              <w:tc>
                <w:tcPr>
                  <w:tcW w:w="1439"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525" w:type="dxa"/>
                  <w:shd w:val="clear" w:color="auto" w:fill="051C2C"/>
                  <w:vAlign w:val="center"/>
                </w:tcPr>
                <w:p>
                  <w:pPr>
                    <w:pStyle w:val="KepalaTabel"/>
                    <w:keepNext/>
                    <w:suppressAutoHyphens/>
                  </w:pPr>
                  <w:r>
                    <w:t xml:space="preserve">KEYAKINAN</w:t>
                  </w:r>
                </w:p>
              </w:tc>
              <w:tc>
                <w:tcPr>
                  <w:tcW w:w="2341" w:type="dxa"/>
                  <w:shd w:val="clear" w:color="auto" w:fill="051C2C"/>
                  <w:vAlign w:val="center"/>
                </w:tcPr>
                <w:p>
                  <w:pPr>
                    <w:pStyle w:val="KepalaTabel"/>
                    <w:keepNext/>
                    <w:suppressAutoHyphens/>
                  </w:pPr>
                  <w:r>
                    <w:t xml:space="preserve">SUMBER</w:t>
                  </w:r>
                </w:p>
              </w:tc>
            </w:tr>
            <w:tr>
              <w:trPr>
                <w:cantSplit/>
              </w:trPr>
              <w:tc>
                <w:tcPr>
                  <w:tcW w:w="3197" w:type="dxa"/>
                </w:tcPr>
                <w:p>
                  <w:pPr>
                    <w:pStyle w:val="IsiTabel"/>
                    <w:keepNext/>
                    <w:suppressAutoHyphens/>
                    <w:jc w:val="left"/>
                  </w:pPr>
                  <w:r>
                    <w:t xml:space="preserve">Kependudukan, korban jiwa guncangan (lantai Padang 2009)</w:t>
                  </w:r>
                </w:p>
              </w:tc>
              <w:tc>
                <w:tcPr>
                  <w:tcW w:w="1439" w:type="dxa"/>
                </w:tcPr>
                <w:p>
                  <w:pPr>
                    <w:pStyle w:val="IsiTabel"/>
                    <w:keepNext/>
                    <w:suppressAutoHyphens/>
                    <w:jc w:val="right"/>
                  </w:pPr>
                  <w:r>
                    <w:t xml:space="preserve">1.195</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341" w:type="dxa"/>
                </w:tcPr>
                <w:p>
                  <w:pPr>
                    <w:pStyle w:val="IsiTabel"/>
                    <w:keepNext/>
                    <w:suppressAutoHyphens/>
                    <w:jc w:val="left"/>
                  </w:pPr>
                  <w:r>
                    <w:t xml:space="preserve">DIBI BNPB; USGS </w:t>
                  </w:r>
                  <w:r>
                    <w:t xml:space="preserve">1.117</w:t>
                  </w:r>
                </w:p>
              </w:tc>
            </w:tr>
            <w:tr>
              <w:trPr>
                <w:cantSplit/>
              </w:trPr>
              <w:tc>
                <w:tcPr>
                  <w:tcW w:w="3197" w:type="dxa"/>
                </w:tcPr>
                <w:p>
                  <w:pPr>
                    <w:pStyle w:val="IsiTabel"/>
                    <w:keepNext/>
                    <w:suppressAutoHyphens/>
                    <w:jc w:val="left"/>
                  </w:pPr>
                  <w:r>
                    <w:t xml:space="preserve">Kependudukan, korban jiwa tsunami (lantai Mentawai 2010)</w:t>
                  </w:r>
                </w:p>
              </w:tc>
              <w:tc>
                <w:tcPr>
                  <w:tcW w:w="1439" w:type="dxa"/>
                </w:tcPr>
                <w:p>
                  <w:pPr>
                    <w:pStyle w:val="IsiTabel"/>
                    <w:keepNext/>
                    <w:suppressAutoHyphens/>
                    <w:jc w:val="right"/>
                  </w:pPr>
                  <w:r>
                    <w:t xml:space="preserve">447</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341" w:type="dxa"/>
                </w:tcPr>
                <w:p>
                  <w:pPr>
                    <w:pStyle w:val="IsiTabel"/>
                    <w:keepNext/>
                    <w:suppressAutoHyphens/>
                    <w:jc w:val="left"/>
                  </w:pPr>
                  <w:r>
                    <w:t xml:space="preserve">DIBI BNPB, ditambah </w:t>
                  </w:r>
                  <w:r>
                    <w:t xml:space="preserve">56</w:t>
                  </w:r>
                  <w:r>
                    <w:t xml:space="preserve"> hilang; korban tsunami skenario tidak dikuantifikasi</w:t>
                  </w:r>
                </w:p>
              </w:tc>
            </w:tr>
            <w:tr>
              <w:trPr>
                <w:cantSplit/>
              </w:trPr>
              <w:tc>
                <w:tcPr>
                  <w:tcW w:w="3197" w:type="dxa"/>
                </w:tcPr>
                <w:p>
                  <w:pPr>
                    <w:pStyle w:val="IsiTabel"/>
                    <w:keepNext/>
                    <w:suppressAutoHyphens/>
                    <w:jc w:val="left"/>
                  </w:pPr>
                  <w:r>
                    <w:t xml:space="preserve">Kependudukan, jiwa terpapar MMI VII atau lebih</w:t>
                  </w:r>
                </w:p>
              </w:tc>
              <w:tc>
                <w:tcPr>
                  <w:tcW w:w="1439" w:type="dxa"/>
                </w:tcPr>
                <w:p>
                  <w:pPr>
                    <w:pStyle w:val="IsiTabel"/>
                    <w:keepNext/>
                    <w:suppressAutoHyphens/>
                    <w:jc w:val="right"/>
                  </w:pPr>
                  <w:r>
                    <w:t xml:space="preserve">2,2 juta</w:t>
                  </w:r>
                </w:p>
              </w:tc>
              <w:tc>
                <w:tcPr>
                  <w:tcW w:w="852" w:type="dxa"/>
                </w:tcPr>
                <w:p>
                  <w:pPr>
                    <w:pStyle w:val="IsiTabel"/>
                    <w:keepNext/>
                    <w:suppressAutoHyphens/>
                    <w:jc w:val="right"/>
                  </w:pPr>
                  <w:r>
                    <w:t xml:space="preserve">9,7 juta</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2341" w:type="dxa"/>
                </w:tcPr>
                <w:p>
                  <w:pPr>
                    <w:pStyle w:val="IsiTabel"/>
                    <w:keepNext/>
                    <w:suppressAutoHyphens/>
                    <w:jc w:val="left"/>
                  </w:pPr>
                  <w:r>
                    <w:t xml:space="preserve">simulasi Pantau Bencana</w:t>
                  </w:r>
                </w:p>
              </w:tc>
            </w:tr>
            <w:tr>
              <w:trPr>
                <w:cantSplit/>
              </w:trPr>
              <w:tc>
                <w:tcPr>
                  <w:tcW w:w="3197" w:type="dxa"/>
                </w:tcPr>
                <w:p>
                  <w:pPr>
                    <w:pStyle w:val="IsiTabel"/>
                    <w:keepNext/>
                    <w:suppressAutoHyphens/>
                    <w:jc w:val="left"/>
                  </w:pPr>
                  <w:r>
                    <w:t xml:space="preserve">Lingkungan, luas guncangan MMI VI atau lebih (km²)</w:t>
                  </w:r>
                </w:p>
              </w:tc>
              <w:tc>
                <w:tcPr>
                  <w:tcW w:w="1439" w:type="dxa"/>
                </w:tcPr>
                <w:p>
                  <w:pPr>
                    <w:pStyle w:val="IsiTabel"/>
                    <w:keepNext/>
                    <w:suppressAutoHyphens/>
                    <w:jc w:val="right"/>
                  </w:pPr>
                  <w:r>
                    <w:t xml:space="preserve">sekitar 110.000</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2341" w:type="dxa"/>
                </w:tcPr>
                <w:p>
                  <w:pPr>
                    <w:pStyle w:val="IsiTabel"/>
                    <w:keepNext/>
                    <w:suppressAutoHyphens/>
                    <w:jc w:val="left"/>
                  </w:pPr>
                  <w:r>
                    <w:t xml:space="preserve">simulasi Pantau Bencana</w:t>
                  </w:r>
                </w:p>
              </w:tc>
            </w:tr>
            <w:tr>
              <w:trPr>
                <w:cantSplit/>
              </w:trPr>
              <w:tc>
                <w:tcPr>
                  <w:tcW w:w="3197" w:type="dxa"/>
                </w:tcPr>
                <w:p>
                  <w:pPr>
                    <w:pStyle w:val="IsiTabel"/>
                    <w:keepNext/>
                    <w:suppressAutoHyphens/>
                    <w:jc w:val="left"/>
                  </w:pPr>
                  <w:r>
                    <w:t xml:space="preserve">Lingkungan, pantai dicapai tsunami kurang dari </w:t>
                  </w:r>
                  <w:r>
                    <w:t xml:space="preserve">30</w:t>
                  </w:r>
                  <w:r>
                    <w:t xml:space="preserve"> menit (km)</w:t>
                  </w:r>
                </w:p>
              </w:tc>
              <w:tc>
                <w:tcPr>
                  <w:tcW w:w="1439" w:type="dxa"/>
                </w:tcPr>
                <w:p>
                  <w:pPr>
                    <w:pStyle w:val="IsiTabel"/>
                    <w:keepNext/>
                    <w:suppressAutoHyphens/>
                    <w:jc w:val="right"/>
                  </w:pPr>
                  <w:r>
                    <w:t xml:space="preserve">1.600</w:t>
                  </w:r>
                </w:p>
              </w:tc>
              <w:tc>
                <w:tcPr>
                  <w:tcW w:w="852" w:type="dxa"/>
                </w:tcPr>
                <w:p>
                  <w:pPr>
                    <w:pStyle w:val="IsiTabel"/>
                    <w:keepNext/>
                    <w:suppressAutoHyphens/>
                    <w:jc w:val="right"/>
                  </w:pPr>
                  <w:r>
                    <w:t xml:space="preserve">2.200</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2341" w:type="dxa"/>
                </w:tcPr>
                <w:p>
                  <w:pPr>
                    <w:pStyle w:val="IsiTabel"/>
                    <w:keepNext/>
                    <w:suppressAutoHyphens/>
                    <w:jc w:val="left"/>
                  </w:pPr>
                  <w:r>
                    <w:t xml:space="preserve">waktu tiba belum diuji terhadap kejadian</w:t>
                  </w:r>
                </w:p>
              </w:tc>
            </w:tr>
            <w:tr>
              <w:trPr>
                <w:cantSplit/>
              </w:trPr>
              <w:tc>
                <w:tcPr>
                  <w:tcW w:w="3197" w:type="dxa"/>
                </w:tcPr>
                <w:p>
                  <w:pPr>
                    <w:pStyle w:val="IsiTabel"/>
                    <w:keepNext/>
                    <w:suppressAutoHyphens/>
                    <w:jc w:val="left"/>
                  </w:pPr>
                  <w:bookmarkStart w:id="289" w:name="_Ekor030a"/>
                  <w:bookmarkEnd w:id="289"/>
                  <w:r>
                    <w:t xml:space="preserve">Ekonomi, kerugian materiil</w:t>
                  </w:r>
                </w:p>
              </w:tc>
              <w:tc>
                <w:tcPr>
                  <w:tcW w:w="1439"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2341" w:type="dxa"/>
                </w:tcPr>
                <w:p>
                  <w:pPr>
                    <w:pStyle w:val="IsiTabel"/>
                    <w:keepNext/>
                    <w:suppressAutoHyphens/>
                    <w:jc w:val="left"/>
                  </w:pPr>
                  <w:r>
                    <w:t xml:space="preserve">pita lebih dari satu orde, hanya di lampiran</w:t>
                  </w:r>
                </w:p>
              </w:tc>
            </w:tr>
            <w:tr>
              <w:trPr>
                <w:cantSplit/>
              </w:trPr>
              <w:tc>
                <w:tcPr>
                  <w:tcW w:w="3197" w:type="dxa"/>
                </w:tcPr>
                <w:p>
                  <w:pPr>
                    <w:pStyle w:val="IsiTabel"/>
                    <w:keepNext/>
                    <w:suppressAutoHyphens/>
                    <w:jc w:val="left"/>
                  </w:pPr>
                  <w:r>
                    <w:t xml:space="preserve">Infrastruktur/fisik, rumah rusak berat</w:t>
                  </w:r>
                </w:p>
              </w:tc>
              <w:tc>
                <w:tcPr>
                  <w:tcW w:w="1439"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2341" w:type="dxa"/>
                </w:tcPr>
                <w:p>
                  <w:pPr>
                    <w:pStyle w:val="IsiTabel"/>
                    <w:keepNext/>
                    <w:suppressAutoHyphens/>
                    <w:jc w:val="left"/>
                  </w:pPr>
                  <w:r>
                    <w:t xml:space="preserve">pita lebih dari satu orde; data bangunan tidak ada</w:t>
                  </w:r>
                </w:p>
              </w:tc>
            </w:tr>
            <w:tr>
              <w:trPr>
                <w:cantSplit/>
              </w:trPr>
              <w:tc>
                <w:tcPr>
                  <w:tcW w:w="3197" w:type="dxa"/>
                </w:tcPr>
                <w:p>
                  <w:pPr>
                    <w:pStyle w:val="IsiTabel"/>
                    <w:keepNext/>
                    <w:suppressAutoHyphens/>
                    <w:jc w:val="left"/>
                  </w:pPr>
                  <w:r>
                    <w:t xml:space="preserve">Layanan sipil, puskesmas di kelas bahaya tinggi tsunami (nasional)</w:t>
                  </w:r>
                </w:p>
              </w:tc>
              <w:tc>
                <w:tcPr>
                  <w:tcW w:w="1439" w:type="dxa"/>
                </w:tcPr>
                <w:p>
                  <w:pPr>
                    <w:pStyle w:val="IsiTabel"/>
                    <w:keepNext/>
                    <w:suppressAutoHyphens/>
                    <w:jc w:val="right"/>
                  </w:pPr>
                  <w:r>
                    <w:t xml:space="preserve">1.210</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341" w:type="dxa"/>
                </w:tcPr>
                <w:p>
                  <w:pPr>
                    <w:pStyle w:val="IsiTabel"/>
                    <w:keepNext/>
                    <w:suppressAutoHyphens/>
                    <w:jc w:val="left"/>
                  </w:pPr>
                  <w:r>
                    <w:t xml:space="preserve">InaRISK KRB; angka per segmen tidak tersedia</w:t>
                  </w:r>
                </w:p>
              </w:tc>
            </w:tr>
            <w:tr>
              <w:trPr>
                <w:cantSplit/>
              </w:trPr>
              <w:tc>
                <w:tcPr>
                  <w:tcW w:w="3197" w:type="dxa"/>
                </w:tcPr>
                <w:p>
                  <w:pPr>
                    <w:pStyle w:val="IsiTabel"/>
                    <w:keepNext/>
                    <w:suppressAutoHyphens/>
                    <w:jc w:val="left"/>
                  </w:pPr>
                  <w:bookmarkStart w:id="290" w:name="_Ekor030z"/>
                  <w:bookmarkEnd w:id="290"/>
                  <w:r>
                    <w:t xml:space="preserve">Kebutuhan respons, pengungsi tercatat Mentawai 2010</w:t>
                  </w:r>
                </w:p>
              </w:tc>
              <w:tc>
                <w:tcPr>
                  <w:tcW w:w="1439" w:type="dxa"/>
                </w:tcPr>
                <w:p>
                  <w:pPr>
                    <w:pStyle w:val="IsiTabel"/>
                    <w:keepNext/>
                    <w:suppressAutoHyphens/>
                    <w:jc w:val="right"/>
                  </w:pPr>
                  <w:r>
                    <w:t xml:space="preserve">15.353</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341" w:type="dxa"/>
                </w:tcPr>
                <w:p>
                  <w:pPr>
                    <w:pStyle w:val="IsiTabel"/>
                    <w:keepNext/>
                    <w:suppressAutoHyphens/>
                    <w:jc w:val="left"/>
                  </w:pPr>
                  <w:r>
                    <w:t xml:space="preserve">DIBI BNPB; pengungsi skenario di lampiran</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Bila seluruh tembok tanpa tulangan diganti beton terkekang, korban guncangan model menjadi </w:t>
                  </w:r>
                  <w:r>
                    <w:t xml:space="preserve">sekitar 0,38</w:t>
                  </w:r>
                  <w:r>
                    <w:t xml:space="preserve"> kali korban dasar; angka tinggi tsunami terbitan bertinjauan untuk segmen ini tidak tersedia di bahan kajian.</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176"/>
              <w:gridCol w:w="1321"/>
              <w:gridCol w:w="2548"/>
              <w:gridCol w:w="2890"/>
              <w:gridCol w:w="1419"/>
            </w:tblGrid>
            <w:tr>
              <w:trPr>
                <w:cantSplit/>
                <w:tblHeader/>
              </w:trPr>
              <w:tc>
                <w:tcPr>
                  <w:tcW w:w="1176" w:type="dxa"/>
                  <w:shd w:val="clear" w:color="auto" w:fill="051C2C"/>
                  <w:vAlign w:val="center"/>
                </w:tcPr>
                <w:p>
                  <w:pPr>
                    <w:pStyle w:val="KepalaTabel"/>
                    <w:keepNext/>
                    <w:suppressAutoHyphens/>
                  </w:pPr>
                  <w:r>
                    <w:t xml:space="preserve">TUAS</w:t>
                  </w:r>
                </w:p>
              </w:tc>
              <w:tc>
                <w:tcPr>
                  <w:tcW w:w="1321" w:type="dxa"/>
                  <w:shd w:val="clear" w:color="auto" w:fill="051C2C"/>
                  <w:vAlign w:val="center"/>
                </w:tcPr>
                <w:p>
                  <w:pPr>
                    <w:pStyle w:val="KepalaTabel"/>
                    <w:keepNext/>
                    <w:suppressAutoHyphens/>
                  </w:pPr>
                  <w:r>
                    <w:t xml:space="preserve">NILAI DASAR</w:t>
                  </w:r>
                </w:p>
              </w:tc>
              <w:tc>
                <w:tcPr>
                  <w:tcW w:w="2548" w:type="dxa"/>
                  <w:shd w:val="clear" w:color="auto" w:fill="051C2C"/>
                  <w:vAlign w:val="center"/>
                </w:tcPr>
                <w:p>
                  <w:pPr>
                    <w:pStyle w:val="KepalaTabel"/>
                    <w:keepNext/>
                    <w:suppressAutoHyphens/>
                  </w:pPr>
                  <w:r>
                    <w:t xml:space="preserve">NILAI DIGESER</w:t>
                  </w:r>
                </w:p>
              </w:tc>
              <w:tc>
                <w:tcPr>
                  <w:tcW w:w="2890" w:type="dxa"/>
                  <w:shd w:val="clear" w:color="auto" w:fill="051C2C"/>
                  <w:vAlign w:val="center"/>
                </w:tcPr>
                <w:p>
                  <w:pPr>
                    <w:pStyle w:val="KepalaTabel"/>
                    <w:keepNext/>
                    <w:suppressAutoHyphens/>
                  </w:pPr>
                  <w:r>
                    <w:t xml:space="preserve">KORBAN JIWA</w:t>
                  </w:r>
                </w:p>
              </w:tc>
              <w:tc>
                <w:tcPr>
                  <w:tcW w:w="1419" w:type="dxa"/>
                  <w:shd w:val="clear" w:color="auto" w:fill="051C2C"/>
                  <w:vAlign w:val="center"/>
                </w:tcPr>
                <w:p>
                  <w:pPr>
                    <w:pStyle w:val="KepalaTabel"/>
                    <w:keepNext/>
                    <w:suppressAutoHyphens/>
                  </w:pPr>
                  <w:r>
                    <w:t xml:space="preserve">KERUGIAN MATERIIL</w:t>
                  </w:r>
                </w:p>
              </w:tc>
            </w:tr>
            <w:tr>
              <w:trPr>
                <w:cantSplit/>
              </w:trPr>
              <w:tc>
                <w:tcPr>
                  <w:tcW w:w="1176" w:type="dxa"/>
                </w:tcPr>
                <w:p>
                  <w:pPr>
                    <w:pStyle w:val="IsiTabel"/>
                    <w:keepNext/>
                    <w:suppressAutoHyphens/>
                    <w:jc w:val="left"/>
                  </w:pPr>
                  <w:bookmarkStart w:id="291" w:name="_Ekor031a"/>
                  <w:bookmarkEnd w:id="291"/>
                  <w:r>
                    <w:t xml:space="preserve">Kepatuhan bangunan, penuh</w:t>
                  </w:r>
                </w:p>
              </w:tc>
              <w:tc>
                <w:tcPr>
                  <w:tcW w:w="1321" w:type="dxa"/>
                </w:tcPr>
                <w:p>
                  <w:pPr>
                    <w:pStyle w:val="IsiTabel"/>
                    <w:keepNext/>
                    <w:suppressAutoHyphens/>
                    <w:jc w:val="right"/>
                  </w:pPr>
                  <w:r>
                    <w:t xml:space="preserve">stok sekarang</w:t>
                  </w:r>
                </w:p>
              </w:tc>
              <w:tc>
                <w:tcPr>
                  <w:tcW w:w="2548" w:type="dxa"/>
                </w:tcPr>
                <w:p>
                  <w:pPr>
                    <w:pStyle w:val="IsiTabel"/>
                    <w:keepNext/>
                    <w:suppressAutoHyphens/>
                    <w:jc w:val="right"/>
                  </w:pPr>
                  <w:r>
                    <w:t xml:space="preserve">tanpa tembok tanpa tulangan</w:t>
                  </w:r>
                </w:p>
              </w:tc>
              <w:tc>
                <w:tcPr>
                  <w:tcW w:w="2890" w:type="dxa"/>
                </w:tcPr>
                <w:p>
                  <w:pPr>
                    <w:pStyle w:val="IsiTabel"/>
                    <w:keepNext/>
                    <w:suppressAutoHyphens/>
                    <w:jc w:val="right"/>
                  </w:pPr>
                  <w:r>
                    <w:t xml:space="preserve">sekitar 0,38</w:t>
                  </w:r>
                  <w:r>
                    <w:t xml:space="preserve"> kali dasar</w:t>
                  </w:r>
                </w:p>
              </w:tc>
              <w:tc>
                <w:tcPr>
                  <w:tcW w:w="1419" w:type="dxa"/>
                </w:tcPr>
                <w:p>
                  <w:pPr>
                    <w:pStyle w:val="IsiTabel"/>
                    <w:keepNext/>
                    <w:suppressAutoHyphens/>
                    <w:jc w:val="left"/>
                  </w:pPr>
                  <w:r>
                    <w:t xml:space="preserve">tidak dihitung: rumah rusak model hanya di lampiran</w:t>
                  </w:r>
                </w:p>
              </w:tc>
            </w:tr>
            <w:tr>
              <w:trPr>
                <w:cantSplit/>
              </w:trPr>
              <w:tc>
                <w:tcPr>
                  <w:tcW w:w="1176" w:type="dxa"/>
                </w:tcPr>
                <w:p>
                  <w:pPr>
                    <w:pStyle w:val="IsiTabel"/>
                    <w:keepNext/>
                    <w:suppressAutoHyphens/>
                    <w:jc w:val="left"/>
                  </w:pPr>
                  <w:bookmarkStart w:id="292" w:name="_Ekor031z"/>
                  <w:bookmarkEnd w:id="292"/>
                  <w:r>
                    <w:t xml:space="preserve">Evakuasi segera saat guncangan kuat</w:t>
                  </w:r>
                </w:p>
              </w:tc>
              <w:tc>
                <w:tcPr>
                  <w:tcW w:w="1321" w:type="dxa"/>
                </w:tcPr>
                <w:p>
                  <w:pPr>
                    <w:pStyle w:val="IsiTabel"/>
                    <w:keepNext/>
                    <w:suppressAutoHyphens/>
                    <w:jc w:val="right"/>
                  </w:pPr>
                  <w:r>
                    <w:t xml:space="preserve">20%</w:t>
                  </w:r>
                  <w:r>
                    <w:t xml:space="preserve"> warga</w:t>
                  </w:r>
                </w:p>
              </w:tc>
              <w:tc>
                <w:tcPr>
                  <w:tcW w:w="2548" w:type="dxa"/>
                </w:tcPr>
                <w:p>
                  <w:pPr>
                    <w:pStyle w:val="IsiTabel"/>
                    <w:keepNext/>
                    <w:suppressAutoHyphens/>
                    <w:jc w:val="right"/>
                  </w:pPr>
                  <w:r>
                    <w:t xml:space="preserve">survei warga Jepang </w:t>
                  </w:r>
                  <w:r>
                    <w:t xml:space="preserve">53,3%</w:t>
                  </w:r>
                </w:p>
              </w:tc>
              <w:tc>
                <w:tcPr>
                  <w:tcW w:w="2890" w:type="dxa"/>
                </w:tcPr>
                <w:p>
                  <w:pPr>
                    <w:pStyle w:val="IsiTabel"/>
                    <w:keepNext/>
                    <w:suppressAutoHyphens/>
                    <w:jc w:val="right"/>
                  </w:pPr>
                  <w:r>
                    <w:t xml:space="preserve">0,600</w:t>
                  </w:r>
                  <w:r>
                    <w:t xml:space="preserve"> kali kematian tsunami (faktor Jepang, atas paparan)</w:t>
                  </w:r>
                </w:p>
              </w:tc>
              <w:tc>
                <w:tcPr>
                  <w:tcW w:w="1419" w:type="dxa"/>
                </w:tcPr>
                <w:p>
                  <w:pPr>
                    <w:pStyle w:val="IsiTabel"/>
                    <w:keepNext/>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Evakuasi mandiri saat guncangan kuat di pesisir Kota Padang dan Kota Bengkulu.</w:t>
                  </w:r>
                </w:p>
                <w:p>
                  <w:pPr>
                    <w:pStyle w:val="DaftarTabel"/>
                    <w:keepNext/>
                    <w:numPr>
                      <w:ilvl w:val="0"/>
                      <w:numId w:val="1"/>
                    </w:numPr>
                    <w:suppressAutoHyphens/>
                  </w:pPr>
                  <w:r>
                    <w:t xml:space="preserve">Rencana kontingensi tsunami Sumatera Barat dan Bengkulu memakai lantai Mentawai 2010 (</w:t>
                  </w:r>
                  <w:r>
                    <w:fldChar w:fldCharType="begin"/>
                  </w:r>
                  <w:r>
                    <w:instrText xml:space="preserve"> REF _Ref0090 \h \* CHARFORMAT </w:instrText>
                  </w:r>
                  <w:r>
                    <w:fldChar w:fldCharType="separate"/>
                  </w:r>
                  <w:r>
                    <w:t xml:space="preserve">18</w:t>
                  </w:r>
                  <w:r>
                    <w:fldChar w:fldCharType="end"/>
                  </w:r>
                  <w:r>
                    <w:t xml:space="preserve">).</w:t>
                  </w:r>
                </w:p>
                <w:p>
                  <w:pPr>
                    <w:pStyle w:val="DaftarTabel"/>
                    <w:keepNext/>
                    <w:numPr>
                      <w:ilvl w:val="0"/>
                      <w:numId w:val="1"/>
                    </w:numPr>
                    <w:suppressAutoHyphens/>
                  </w:pPr>
                  <w:r>
                    <w:t xml:space="preserve">Pengungsian dihitung dari rumah rusak yang terdata.</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Penilaian kerusakan dengan instrumen rumah rusak yang sama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Pemulihan permukiman pulau kecil dengan rute evakuasi yang tercapai sebelum tsunami tiba.</w:t>
                  </w:r>
                </w:p>
                <w:p>
                  <w:pPr>
                    <w:pStyle w:val="DaftarTabel"/>
                    <w:keepNext/>
                    <w:numPr>
                      <w:ilvl w:val="0"/>
                      <w:numId w:val="1"/>
                    </w:numPr>
                    <w:suppressAutoHyphens/>
                  </w:pPr>
                  <w:r>
                    <w:t xml:space="preserve">Stimulan rumah sebagai batas bawah kerugian perumahan.</w:t>
                  </w:r>
                </w:p>
              </w:tc>
            </w:tr>
          </w:tbl>
          <w:p>
            <w:pPr>
              <w:pStyle w:val="IsiTabel"/>
              <w:keepNext/>
              <w:spacing w:before="80"/>
            </w:pPr>
            <w:r>
              <w:rPr>
                <w:i/>
                <w:iCs/>
                <w:color w:val="2E3440"/>
                <w:sz w:val="17"/>
                <w:szCs w:val="17"/>
              </w:rPr>
              <w:t xml:space="preserve">Simulasi skenario Pantau Bencana, belum divalidasi; pita korban model ditulis utuh di lampiran tanpa dipotong ke lantai.</w:t>
            </w:r>
          </w:p>
          <w:p>
            <w:pPr>
              <w:pStyle w:val="IsiTabel"/>
              <w:keepNext/>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293" w:name="_Kartu002z"/>
      <w:r>
        <w:rPr>
          <w:b/>
          <w:bCs/>
          <w:color w:val="6B7280"/>
          <w:sz w:val="17"/>
          <w:szCs w:val="17"/>
        </w:rPr>
        <w:t xml:space="preserve">Sumber: </w:t>
      </w:r>
      <w:r>
        <w:rPr>
          <w:color w:val="6B7280"/>
          <w:sz w:val="17"/>
          <w:szCs w:val="17"/>
        </w:rPr>
        <w:t xml:space="preserve">PuSGeN 2024 </w:t>
      </w:r>
      <w:r>
        <w:rPr>
          <w:color w:val="6B7280"/>
          <w:sz w:val="17"/>
          <w:szCs w:val="17"/>
        </w:rPr>
        <w:t xml:space="preserve">(PuSGeN, 2024)</w:t>
      </w:r>
      <w:r>
        <w:rPr>
          <w:color w:val="6B7280"/>
          <w:sz w:val="17"/>
          <w:szCs w:val="17"/>
        </w:rPr>
        <w:t xml:space="preserve">; DIBI BNPB </w:t>
      </w:r>
      <w:r>
        <w:rPr>
          <w:color w:val="6B7280"/>
          <w:sz w:val="17"/>
          <w:szCs w:val="17"/>
        </w:rPr>
        <w:t xml:space="preserve">(BNPB, t.t.-a)</w:t>
      </w:r>
      <w:r>
        <w:rPr>
          <w:color w:val="6B7280"/>
          <w:sz w:val="17"/>
          <w:szCs w:val="17"/>
        </w:rPr>
        <w:t xml:space="preserve">;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293"/>
    </w:p>
    <w:p>
      <w:pPr>
        <w:pStyle w:val="Heading2"/>
      </w:pPr>
      <w:bookmarkStart w:id="295" w:name="_Toc00110"/>
      <w:bookmarkStart w:id="294" w:name="_Ref0210"/>
      <w:r>
        <w:t xml:space="preserve">6.2</w:t>
      </w:r>
      <w:bookmarkEnd w:id="294"/>
      <w:r>
        <w:tab/>
      </w:r>
      <w:r>
        <w:t xml:space="preserve">Gempa Bumi Sesar Darat Dekat Permukiman</w:t>
      </w:r>
      <w:bookmarkEnd w:id="295"/>
    </w:p>
    <w:p>
      <w:pPr>
        <w:pStyle w:val="IsiTemuan"/>
      </w:pPr>
      <w:r>
        <w:rPr>
          <w:b/>
          <w:bCs/>
          <w:color w:val="051C2C"/>
        </w:rPr>
        <w:t xml:space="preserve">Gempa sesar darat Yogyakarta 2006 menewaskan </w:t>
      </w:r>
      <w:r>
        <w:rPr>
          <w:b/>
          <w:bCs/>
          <w:color w:val="051C2C"/>
        </w:rPr>
        <w:t xml:space="preserve">5.749</w:t>
      </w:r>
      <w:r>
        <w:rPr>
          <w:b/>
          <w:bCs/>
          <w:color w:val="051C2C"/>
        </w:rPr>
        <w:t xml:space="preserve"> orang menurut USGS, dan penilaian awal pemerintah menaksir kerusakan serta kerugiannya </w:t>
      </w:r>
      <w:r>
        <w:rPr>
          <w:b/>
          <w:bCs/>
          <w:color w:val="051C2C"/>
        </w:rPr>
        <w:t xml:space="preserve">Rp29,1 triliun</w:t>
      </w:r>
      <w:r>
        <w:rPr>
          <w:b/>
          <w:bCs/>
          <w:color w:val="051C2C"/>
        </w:rPr>
        <w:t xml:space="preserve">.</w:t>
      </w:r>
      <w:r>
        <w:t xml:space="preserve"> Penilaian awal Badan Perencanaan Pembangunan Nasional (Bappenas) itu mencatat </w:t>
      </w:r>
      <w:r>
        <w:t xml:space="preserve">5.716</w:t>
      </w:r>
      <w:r>
        <w:t xml:space="preserve"> meninggal. Sektor perumahan menyumbang </w:t>
      </w:r>
      <w:r>
        <w:t xml:space="preserve">Rp15,3 triliun</w:t>
      </w:r>
      <w:r>
        <w:t xml:space="preserve">, lebih dari separuh total, dan rumah hancur tercatat </w:t>
      </w:r>
      <w:r>
        <w:t xml:space="preserve">154.000–157.000</w:t>
      </w:r>
      <w:r>
        <w:t xml:space="preserve"> unit karena dokumen yang sama memuat dua versi </w:t>
      </w:r>
      <w:r>
        <w:t xml:space="preserve">(Badan Perencanaan Pembangunan Nasional [Bappenas], 2006; USGS, 2006a)</w:t>
      </w:r>
      <w:r>
        <w:t xml:space="preserve">. Dokumen itu menilai teknik membangun yang buruk dan bahan bangunan bermutu rendah sebagai penyumbang besar jumlah korban. Gempa ini menjadi lantai kartu sesar darat karena korbannya terbesar di antara gempa darat Jawa sejak 1996, sedangkan dasbor publik DIBI tidak memuat kejadian sebelum 2008.</w:t>
      </w:r>
    </w:p>
    <w:p>
      <w:pPr>
        <w:pStyle w:val="IsiTemuan"/>
      </w:pPr>
      <w:r>
        <w:rPr>
          <w:b/>
          <w:bCs/>
          <w:color w:val="051C2C"/>
        </w:rPr>
        <w:t xml:space="preserve">Gempa Cianjur 2022 tercatat </w:t>
      </w:r>
      <w:r>
        <w:rPr>
          <w:b/>
          <w:bCs/>
          <w:color w:val="051C2C"/>
        </w:rPr>
        <w:t xml:space="preserve">602</w:t>
      </w:r>
      <w:r>
        <w:rPr>
          <w:b/>
          <w:bCs/>
          <w:color w:val="051C2C"/>
        </w:rPr>
        <w:t xml:space="preserve"> meninggal, </w:t>
      </w:r>
      <w:r>
        <w:rPr>
          <w:b/>
          <w:bCs/>
          <w:color w:val="051C2C"/>
        </w:rPr>
        <w:t xml:space="preserve">8</w:t>
      </w:r>
      <w:r>
        <w:rPr>
          <w:b/>
          <w:bCs/>
          <w:color w:val="051C2C"/>
        </w:rPr>
        <w:t xml:space="preserve"> hilang, </w:t>
      </w:r>
      <w:r>
        <w:rPr>
          <w:b/>
          <w:bCs/>
          <w:color w:val="051C2C"/>
        </w:rPr>
        <w:t xml:space="preserve">115.382</w:t>
      </w:r>
      <w:r>
        <w:rPr>
          <w:b/>
          <w:bCs/>
          <w:color w:val="051C2C"/>
        </w:rPr>
        <w:t xml:space="preserve"> pengungsi, dan </w:t>
      </w:r>
      <w:r>
        <w:rPr>
          <w:b/>
          <w:bCs/>
          <w:color w:val="051C2C"/>
        </w:rPr>
        <w:t xml:space="preserve">57.337</w:t>
      </w:r>
      <w:r>
        <w:rPr>
          <w:b/>
          <w:bCs/>
          <w:color w:val="051C2C"/>
        </w:rPr>
        <w:t xml:space="preserve"> rumah rusak di DIBI untuk lima kab/kota.</w:t>
      </w:r>
      <w:r>
        <w:t xml:space="preserve"> R3P Kabupaten Cianjur mencatat </w:t>
      </w:r>
      <w:r>
        <w:t xml:space="preserve">114.315</w:t>
      </w:r>
      <w:r>
        <w:t xml:space="preserve"> rumah rusak menurut surat keputusan bupati tahap II hasil reviu BNPB. Kerusakan dan kerugiannya </w:t>
      </w:r>
      <w:r>
        <w:t xml:space="preserve">Rp4,6 triliun</w:t>
      </w:r>
      <w:r>
        <w:t xml:space="preserve">, termasuk perumahan </w:t>
      </w:r>
      <w:r>
        <w:t xml:space="preserve">Rp3,2 triliun</w:t>
      </w:r>
      <w:r>
        <w:t xml:space="preserve"> </w:t>
      </w:r>
      <w:r>
        <w:t xml:space="preserve">(BNPB, t.t.-a; Pemerintah Kabupaten Cianjur, 2022)</w:t>
      </w:r>
      <w:r>
        <w:t xml:space="preserve">. Baris Kab. Cianjur saja di DIBI memuat </w:t>
      </w:r>
      <w:r>
        <w:t xml:space="preserve">114.683</w:t>
      </w:r>
      <w:r>
        <w:t xml:space="preserve"> pengungsi. Selisih rumah rusak DIBI dan R3P tidak dijelaskan kedua sumber, sehingga keduanya ditulis berdampingan.</w:t>
      </w:r>
    </w:p>
    <w:p>
      <w:pPr>
        <w:pStyle w:val="IsiTemuan"/>
      </w:pPr>
      <w:r>
        <w:rPr>
          <w:b/>
          <w:bCs/>
          <w:color w:val="051C2C"/>
        </w:rPr>
        <w:t xml:space="preserve">R3P Cianjur mengosongkan </w:t>
      </w:r>
      <w:r>
        <w:rPr>
          <w:b/>
          <w:bCs/>
          <w:color w:val="051C2C"/>
        </w:rPr>
        <w:t xml:space="preserve">9 desa</w:t>
      </w:r>
      <w:r>
        <w:rPr>
          <w:b/>
          <w:bCs/>
          <w:color w:val="051C2C"/>
        </w:rPr>
        <w:t xml:space="preserve"> di jalur Sesar Cugenang dari permukiman.</w:t>
      </w:r>
      <w:r>
        <w:t xml:space="preserve"> Evaluasi dampak penataan itu tidak ditemukan </w:t>
      </w:r>
      <w:r>
        <w:t xml:space="preserve">(Pemerintah Kabupaten Cianjur, 2022)</w:t>
      </w:r>
      <w:r>
        <w:t xml:space="preserve">.</w:t>
      </w:r>
    </w:p>
    <w:p>
      <w:pPr>
        <w:pStyle w:val="IsiTemuan"/>
      </w:pPr>
      <w:r>
        <w:rPr>
          <w:b/>
          <w:bCs/>
          <w:color w:val="051C2C"/>
        </w:rPr>
        <w:t xml:space="preserve">PuSGeN 2024 memberi magnitudo maksimum Mw </w:t>
      </w:r>
      <w:r>
        <w:rPr>
          <w:b/>
          <w:bCs/>
          <w:color w:val="051C2C"/>
        </w:rPr>
        <w:t xml:space="preserve">6,6</w:t>
      </w:r>
      <w:r>
        <w:rPr>
          <w:b/>
          <w:bCs/>
          <w:color w:val="051C2C"/>
        </w:rPr>
        <w:t xml:space="preserve"> untuk Sesar Lembang, Mw </w:t>
      </w:r>
      <w:r>
        <w:rPr>
          <w:b/>
          <w:bCs/>
          <w:color w:val="051C2C"/>
        </w:rPr>
        <w:t xml:space="preserve">6,3–6,8</w:t>
      </w:r>
      <w:r>
        <w:rPr>
          <w:b/>
          <w:bCs/>
          <w:color w:val="051C2C"/>
        </w:rPr>
        <w:t xml:space="preserve"> untuk empat segmen Cimandiri, dan Mw </w:t>
      </w:r>
      <w:r>
        <w:rPr>
          <w:b/>
          <w:bCs/>
          <w:color w:val="051C2C"/>
        </w:rPr>
        <w:t xml:space="preserve">6,9</w:t>
      </w:r>
      <w:r>
        <w:rPr>
          <w:b/>
          <w:bCs/>
          <w:color w:val="051C2C"/>
        </w:rPr>
        <w:t xml:space="preserve"> untuk Sesar Opak.</w:t>
      </w:r>
      <w:r>
        <w:t xml:space="preserve"> Segmen Cianjur bermagnitudo maksimum Mw </w:t>
      </w:r>
      <w:r>
        <w:t xml:space="preserve">5,6</w:t>
      </w:r>
      <w:r>
        <w:t xml:space="preserve"> </w:t>
      </w:r>
      <w:r>
        <w:t xml:space="preserve">(PuSGeN, 2024, hlm. 368–371)</w:t>
      </w:r>
      <w:r>
        <w:t xml:space="preserve">. Magnitudo maksimum Sesar Opak di atas magnitudo gempa Yogyakarta 2006, dan magnitudo maksimum Sesar Lembang dan Cimandiri di atas gempa Cianjur 2022 </w:t>
      </w:r>
      <w:r>
        <w:t xml:space="preserve">(USGS, 2006a)</w:t>
      </w:r>
      <w:r>
        <w:t xml:space="preserve">, sehingga kartu sesar darat menulis kedua kejadian sebagai lantai, bukan skenario terburuk. Gempa Cianjur 2022 sudah setara magnitudo maksimum segmennya; kajian ini menilai, tanpa pengujian, bahwa besar korbannya lebih banyak dijelaskan oleh mutu bangunan dan letak permukiman.</w:t>
      </w:r>
    </w:p>
    <w:p>
      <w:pPr>
        <w:pStyle w:val="IsiTemuan"/>
      </w:pPr>
      <w:r>
        <w:rPr>
          <w:b/>
          <w:bCs/>
          <w:color w:val="051C2C"/>
        </w:rPr>
        <w:t xml:space="preserve">Gempa Laut Flores Agustus 2026 menambah analog gempa dan tsunami di Nusa Tenggara Timur, dengan </w:t>
      </w:r>
      <w:r>
        <w:rPr>
          <w:b/>
          <w:bCs/>
          <w:color w:val="051C2C"/>
        </w:rPr>
        <w:t xml:space="preserve">151</w:t>
      </w:r>
      <w:r>
        <w:rPr>
          <w:b/>
          <w:bCs/>
          <w:color w:val="051C2C"/>
        </w:rPr>
        <w:t xml:space="preserve"> meninggal tercatat sementara di DIBI dan sedikitnya </w:t>
      </w:r>
      <w:r>
        <w:rPr>
          <w:b/>
          <w:bCs/>
          <w:color w:val="051C2C"/>
        </w:rPr>
        <w:t xml:space="preserve">136</w:t>
      </w:r>
      <w:r>
        <w:rPr>
          <w:b/>
          <w:bCs/>
          <w:color w:val="051C2C"/>
        </w:rPr>
        <w:t xml:space="preserve"> menurut USGS.</w:t>
      </w:r>
      <w:r>
        <w:t xml:space="preserve"> USGS mencatat </w:t>
      </w:r>
      <w:r>
        <w:t xml:space="preserve">27.414</w:t>
      </w:r>
      <w:r>
        <w:t xml:space="preserve"> rumah hancur dan tsunami tercatat maksimum </w:t>
      </w:r>
      <w:r>
        <w:t xml:space="preserve">169 cm</w:t>
      </w:r>
      <w:r>
        <w:t xml:space="preserve">, dari sesar naik dangkal di dalam lempeng Sunda, bukan dari zona subduksi </w:t>
      </w:r>
      <w:r>
        <w:t xml:space="preserve">(USGS, 2026)</w:t>
      </w:r>
      <w:r>
        <w:t xml:space="preserve">. DIBI mencatat </w:t>
      </w:r>
      <w:r>
        <w:t xml:space="preserve">170.055</w:t>
      </w:r>
      <w:r>
        <w:t xml:space="preserve"> pengungsi di provinsi itu </w:t>
      </w:r>
      <w:r>
        <w:t xml:space="preserve">(BNPB, t.t.-a)</w:t>
      </w:r>
      <w:r>
        <w:t xml:space="preserve">. Kejadian ini di luar periode acuan 1996–2025, sehingga belum dibuatkan kartu.</w:t>
      </w:r>
    </w:p>
    <w:p>
      <w:pPr>
        <w:pStyle w:val="Caption"/>
        <w:pageBreakBefore/>
      </w:pPr>
      <w:bookmarkStart w:id="297" w:name="_Toc00111"/>
      <w:bookmarkStart w:id="296" w:name="_Ref029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296"/>
      <w:r>
        <w:rPr>
          <w:b/>
          <w:bCs/>
          <w:color w:val="051C2C"/>
        </w:rPr>
        <w:t xml:space="preserve"> </w:t>
      </w:r>
      <w:r>
        <w:t xml:space="preserve">Gempa sesar darat dekat permukiman setara Yogyakarta 2006 dan Cianjur 2022</w:t>
      </w:r>
      <w:bookmarkEnd w:id="297"/>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keepNext/>
                    <w:spacing w:after="0"/>
                  </w:pPr>
                  <w:bookmarkStart w:id="299" w:name="_Kartu003a"/>
                  <w:bookmarkStart w:id="298" w:name="_Obj0027"/>
                  <w:r>
                    <w:rPr>
                      <w:position w:val="-10"/>
                    </w:rPr>
                    <w:drawing>
                      <wp:inline distT="0" distB="0" distL="0" distR="0">
                        <wp:extent cx="216000" cy="216000"/>
                        <wp:effectExtent l="0" t="0" r="0" b="0"/>
                        <wp:docPr id="55" name="Gambar 55"/>
                        <wp:cNvGraphicFramePr>
                          <a:graphicFrameLocks noChangeAspect="1"/>
                        </wp:cNvGraphicFramePr>
                        <a:graphic>
                          <a:graphicData uri="http://schemas.openxmlformats.org/drawingml/2006/picture">
                            <pic:pic>
                              <pic:nvPicPr>
                                <pic:cNvPr id="55" name="gempa-deck-gempa-FFFFFF-8A4B2A.png"/>
                                <pic:cNvPicPr/>
                              </pic:nvPicPr>
                              <pic:blipFill>
                                <a:blip r:embed="rId42"/>
                                <a:stretch>
                                  <a:fillRect/>
                                </a:stretch>
                              </pic:blipFill>
                              <pic:spPr>
                                <a:xfrm>
                                  <a:off x="0" y="0"/>
                                  <a:ext cx="216000" cy="216000"/>
                                </a:xfrm>
                                <a:prstGeom prst="rect">
                                  <a:avLst/>
                                </a:prstGeom>
                              </pic:spPr>
                            </pic:pic>
                          </a:graphicData>
                        </a:graphic>
                      </wp:inline>
                    </w:drawing>
                  </w:r>
                  <w:r>
                    <w:t xml:space="preserve"> </w:t>
                  </w:r>
                  <w:r>
                    <w:rPr>
                      <w:b/>
                      <w:bCs/>
                    </w:rPr>
                    <w:t xml:space="preserve">Gempa bumi</w:t>
                  </w:r>
                  <w:r>
                    <w:rPr>
                      <w:color w:val="2E3440"/>
                    </w:rPr>
                    <w:t xml:space="preserve">  Geologi</w:t>
                  </w:r>
                  <w:bookmarkEnd w:id="298"/>
                  <w:bookmarkEnd w:id="299"/>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analog; dua kejadian tercatat dipakai sebagai lantai karena magnitudo maksimum resmi Sesar Opak di atas gempa Yogyakarta 2006 dan Sesar Lembang serta Cimandiri di atas gempa Cianjur 2022; skenario sesar darat dengan magnitudo maksimum resmi belum dijalankan.</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Periode ulang tidak dinilai: PuSGeN 2024 memberi magnitudo maksimum dan laju geser, tetapi periode ulang per sesar belum diturunkan kajian ini</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56" name="Gambar 56"/>
                              <wp:cNvGraphicFramePr>
                                <a:graphicFrameLocks noChangeAspect="1"/>
                              </wp:cNvGraphicFramePr>
                              <a:graphic>
                                <a:graphicData uri="http://schemas.openxmlformats.org/drawingml/2006/picture">
                                  <pic:pic>
                                    <pic:nvPicPr>
                                      <pic:cNvPr id="5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57" name="Gambar 57"/>
                              <wp:cNvGraphicFramePr>
                                <a:graphicFrameLocks noChangeAspect="1"/>
                              </wp:cNvGraphicFramePr>
                              <a:graphic>
                                <a:graphicData uri="http://schemas.openxmlformats.org/drawingml/2006/picture">
                                  <pic:pic>
                                    <pic:nvPicPr>
                                      <pic:cNvPr id="5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8" name="Gambar 58"/>
                              <wp:cNvGraphicFramePr>
                                <a:graphicFrameLocks noChangeAspect="1"/>
                              </wp:cNvGraphicFramePr>
                              <a:graphic>
                                <a:graphicData uri="http://schemas.openxmlformats.org/drawingml/2006/picture">
                                  <pic:pic>
                                    <pic:nvPicPr>
                                      <pic:cNvPr id="5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9" name="Gambar 59"/>
                              <wp:cNvGraphicFramePr>
                                <a:graphicFrameLocks noChangeAspect="1"/>
                              </wp:cNvGraphicFramePr>
                              <a:graphic>
                                <a:graphicData uri="http://schemas.openxmlformats.org/drawingml/2006/picture">
                                  <pic:pic>
                                    <pic:nvPicPr>
                                      <pic:cNvPr id="5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Jawa Barat dan DI Yogyakarta</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1967967"/>
                        <wp:effectExtent l="0" t="0" r="0" b="0"/>
                        <wp:docPr id="60" name="Gambar 60"/>
                        <wp:cNvGraphicFramePr>
                          <a:graphicFrameLocks noChangeAspect="1"/>
                        </wp:cNvGraphicFramePr>
                        <a:graphic>
                          <a:graphicData uri="http://schemas.openxmlformats.org/drawingml/2006/picture">
                            <pic:pic>
                              <pic:nvPicPr>
                                <pic:cNvPr id="60" name="bab06-kartu-sesar-darat.png"/>
                                <pic:cNvPicPr/>
                              </pic:nvPicPr>
                              <pic:blipFill>
                                <a:blip r:embed="rId46"/>
                                <a:stretch>
                                  <a:fillRect/>
                                </a:stretch>
                              </pic:blipFill>
                              <pic:spPr>
                                <a:xfrm>
                                  <a:off x="0" y="0"/>
                                  <a:ext cx="1882800" cy="1967967"/>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726"/>
              <w:gridCol w:w="1244"/>
              <w:gridCol w:w="854"/>
              <w:gridCol w:w="1695"/>
              <w:gridCol w:w="2835"/>
            </w:tblGrid>
            <w:tr>
              <w:trPr>
                <w:cantSplit/>
                <w:tblHeader/>
              </w:trPr>
              <w:tc>
                <w:tcPr>
                  <w:tcW w:w="2726" w:type="dxa"/>
                  <w:shd w:val="clear" w:color="auto" w:fill="051C2C"/>
                  <w:vAlign w:val="center"/>
                </w:tcPr>
                <w:p>
                  <w:pPr>
                    <w:pStyle w:val="KepalaTabel"/>
                    <w:keepNext/>
                    <w:suppressAutoHyphens/>
                  </w:pPr>
                  <w:r>
                    <w:t xml:space="preserve">BESARAN</w:t>
                  </w:r>
                </w:p>
              </w:tc>
              <w:tc>
                <w:tcPr>
                  <w:tcW w:w="1244" w:type="dxa"/>
                  <w:shd w:val="clear" w:color="auto" w:fill="051C2C"/>
                  <w:vAlign w:val="center"/>
                </w:tcPr>
                <w:p>
                  <w:pPr>
                    <w:pStyle w:val="KepalaTabel"/>
                    <w:keepNext/>
                    <w:suppressAutoHyphens/>
                  </w:pPr>
                  <w:r>
                    <w:t xml:space="preserve">RENDAH</w:t>
                  </w:r>
                </w:p>
              </w:tc>
              <w:tc>
                <w:tcPr>
                  <w:tcW w:w="854" w:type="dxa"/>
                  <w:shd w:val="clear" w:color="auto" w:fill="051C2C"/>
                  <w:vAlign w:val="center"/>
                </w:tcPr>
                <w:p>
                  <w:pPr>
                    <w:pStyle w:val="KepalaTabel"/>
                    <w:keepNext/>
                    <w:suppressAutoHyphens/>
                  </w:pPr>
                  <w:r>
                    <w:t xml:space="preserve">TINGGI</w:t>
                  </w:r>
                </w:p>
              </w:tc>
              <w:tc>
                <w:tcPr>
                  <w:tcW w:w="1695" w:type="dxa"/>
                  <w:shd w:val="clear" w:color="auto" w:fill="051C2C"/>
                  <w:vAlign w:val="center"/>
                </w:tcPr>
                <w:p>
                  <w:pPr>
                    <w:pStyle w:val="KepalaTabel"/>
                    <w:keepNext/>
                    <w:suppressAutoHyphens/>
                  </w:pPr>
                  <w:r>
                    <w:t xml:space="preserve">KEYAKINAN</w:t>
                  </w:r>
                </w:p>
              </w:tc>
              <w:tc>
                <w:tcPr>
                  <w:tcW w:w="2835" w:type="dxa"/>
                  <w:shd w:val="clear" w:color="auto" w:fill="051C2C"/>
                  <w:vAlign w:val="center"/>
                </w:tcPr>
                <w:p>
                  <w:pPr>
                    <w:pStyle w:val="KepalaTabel"/>
                    <w:keepNext/>
                    <w:suppressAutoHyphens/>
                  </w:pPr>
                  <w:r>
                    <w:t xml:space="preserve">SUMBER</w:t>
                  </w:r>
                </w:p>
              </w:tc>
            </w:tr>
            <w:tr>
              <w:trPr>
                <w:cantSplit/>
              </w:trPr>
              <w:tc>
                <w:tcPr>
                  <w:tcW w:w="2726" w:type="dxa"/>
                </w:tcPr>
                <w:p>
                  <w:pPr>
                    <w:pStyle w:val="IsiTabel"/>
                    <w:keepNext/>
                    <w:suppressAutoHyphens/>
                    <w:jc w:val="left"/>
                  </w:pPr>
                  <w:r>
                    <w:t xml:space="preserve">Kependudukan, korban jiwa Yogyakarta 2006 (lantai)</w:t>
                  </w:r>
                </w:p>
              </w:tc>
              <w:tc>
                <w:tcPr>
                  <w:tcW w:w="1244" w:type="dxa"/>
                </w:tcPr>
                <w:p>
                  <w:pPr>
                    <w:pStyle w:val="IsiTabel"/>
                    <w:keepNext/>
                    <w:suppressAutoHyphens/>
                    <w:jc w:val="right"/>
                  </w:pPr>
                  <w:r>
                    <w:t xml:space="preserve">5.749</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5B7A99"/>
                    </w:rPr>
                    <w:t xml:space="preserve">  Terverifikasi  </w:t>
                  </w:r>
                </w:p>
              </w:tc>
              <w:tc>
                <w:tcPr>
                  <w:tcW w:w="2835" w:type="dxa"/>
                </w:tcPr>
                <w:p>
                  <w:pPr>
                    <w:pStyle w:val="IsiTabel"/>
                    <w:keepNext/>
                    <w:suppressAutoHyphens/>
                    <w:jc w:val="left"/>
                  </w:pPr>
                  <w:r>
                    <w:t xml:space="preserve">USGS; Bappenas </w:t>
                  </w:r>
                  <w:r>
                    <w:t xml:space="preserve">5.716</w:t>
                  </w:r>
                </w:p>
              </w:tc>
            </w:tr>
            <w:tr>
              <w:trPr>
                <w:cantSplit/>
              </w:trPr>
              <w:tc>
                <w:tcPr>
                  <w:tcW w:w="2726" w:type="dxa"/>
                </w:tcPr>
                <w:p>
                  <w:pPr>
                    <w:pStyle w:val="IsiTabel"/>
                    <w:keepNext/>
                    <w:suppressAutoHyphens/>
                    <w:jc w:val="left"/>
                  </w:pPr>
                  <w:r>
                    <w:t xml:space="preserve">Kependudukan, korban jiwa Cianjur 2022</w:t>
                  </w:r>
                </w:p>
              </w:tc>
              <w:tc>
                <w:tcPr>
                  <w:tcW w:w="1244" w:type="dxa"/>
                </w:tcPr>
                <w:p>
                  <w:pPr>
                    <w:pStyle w:val="IsiTabel"/>
                    <w:keepNext/>
                    <w:suppressAutoHyphens/>
                    <w:jc w:val="right"/>
                  </w:pPr>
                  <w:r>
                    <w:t xml:space="preserve">602</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35" w:type="dxa"/>
                </w:tcPr>
                <w:p>
                  <w:pPr>
                    <w:pStyle w:val="IsiTabel"/>
                    <w:keepNext/>
                    <w:suppressAutoHyphens/>
                    <w:jc w:val="left"/>
                  </w:pPr>
                  <w:r>
                    <w:t xml:space="preserve">DIBI BNPB, ditambah </w:t>
                  </w:r>
                  <w:r>
                    <w:t xml:space="preserve">8</w:t>
                  </w:r>
                  <w:r>
                    <w:t xml:space="preserve"> hilang</w:t>
                  </w:r>
                </w:p>
              </w:tc>
            </w:tr>
            <w:tr>
              <w:trPr>
                <w:cantSplit/>
              </w:trPr>
              <w:tc>
                <w:tcPr>
                  <w:tcW w:w="2726" w:type="dxa"/>
                </w:tcPr>
                <w:p>
                  <w:pPr>
                    <w:pStyle w:val="IsiTabel"/>
                    <w:keepNext/>
                    <w:suppressAutoHyphens/>
                    <w:jc w:val="left"/>
                  </w:pPr>
                  <w:r>
                    <w:t xml:space="preserve">Kependudukan, pengungsi tercatat Cianjur 2022</w:t>
                  </w:r>
                </w:p>
              </w:tc>
              <w:tc>
                <w:tcPr>
                  <w:tcW w:w="1244" w:type="dxa"/>
                </w:tcPr>
                <w:p>
                  <w:pPr>
                    <w:pStyle w:val="IsiTabel"/>
                    <w:keepNext/>
                    <w:suppressAutoHyphens/>
                    <w:jc w:val="right"/>
                  </w:pPr>
                  <w:r>
                    <w:t xml:space="preserve">115.382</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35" w:type="dxa"/>
                </w:tcPr>
                <w:p>
                  <w:pPr>
                    <w:pStyle w:val="IsiTabel"/>
                    <w:keepNext/>
                    <w:suppressAutoHyphens/>
                    <w:jc w:val="left"/>
                  </w:pPr>
                  <w:r>
                    <w:t xml:space="preserve">DIBI BNPB; pengungsi Yogyakarta 2006 tidak tercatat</w:t>
                  </w:r>
                </w:p>
              </w:tc>
            </w:tr>
            <w:tr>
              <w:trPr>
                <w:cantSplit/>
              </w:trPr>
              <w:tc>
                <w:tcPr>
                  <w:tcW w:w="2726" w:type="dxa"/>
                </w:tcPr>
                <w:p>
                  <w:pPr>
                    <w:pStyle w:val="IsiTabel"/>
                    <w:keepNext/>
                    <w:suppressAutoHyphens/>
                    <w:jc w:val="left"/>
                  </w:pPr>
                  <w:r>
                    <w:t xml:space="preserve">Infrastruktur/fisik, rumah rusak Cianjur 2022</w:t>
                  </w:r>
                </w:p>
              </w:tc>
              <w:tc>
                <w:tcPr>
                  <w:tcW w:w="1244" w:type="dxa"/>
                </w:tcPr>
                <w:p>
                  <w:pPr>
                    <w:pStyle w:val="IsiTabel"/>
                    <w:keepNext/>
                    <w:suppressAutoHyphens/>
                    <w:jc w:val="right"/>
                  </w:pPr>
                  <w:r>
                    <w:t xml:space="preserve">57.337</w:t>
                  </w:r>
                </w:p>
              </w:tc>
              <w:tc>
                <w:tcPr>
                  <w:tcW w:w="854" w:type="dxa"/>
                </w:tcPr>
                <w:p>
                  <w:pPr>
                    <w:pStyle w:val="IsiTabel"/>
                    <w:keepNext/>
                    <w:suppressAutoHyphens/>
                    <w:jc w:val="right"/>
                  </w:pPr>
                  <w:r>
                    <w:t xml:space="preserve">114.315</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35" w:type="dxa"/>
                </w:tcPr>
                <w:p>
                  <w:pPr>
                    <w:pStyle w:val="IsiTabel"/>
                    <w:keepNext/>
                    <w:suppressAutoHyphens/>
                    <w:jc w:val="left"/>
                  </w:pPr>
                  <w:r>
                    <w:t xml:space="preserve">rendah DIBI BNPB, tinggi R3P Cianjur</w:t>
                  </w:r>
                </w:p>
              </w:tc>
            </w:tr>
            <w:tr>
              <w:trPr>
                <w:cantSplit/>
              </w:trPr>
              <w:tc>
                <w:tcPr>
                  <w:tcW w:w="2726" w:type="dxa"/>
                </w:tcPr>
                <w:p>
                  <w:pPr>
                    <w:pStyle w:val="IsiTabel"/>
                    <w:keepNext/>
                    <w:suppressAutoHyphens/>
                    <w:jc w:val="left"/>
                  </w:pPr>
                  <w:r>
                    <w:t xml:space="preserve">Infrastruktur/fisik, rumah hancur Yogyakarta 2006</w:t>
                  </w:r>
                </w:p>
              </w:tc>
              <w:tc>
                <w:tcPr>
                  <w:tcW w:w="1244" w:type="dxa"/>
                </w:tcPr>
                <w:p>
                  <w:pPr>
                    <w:pStyle w:val="IsiTabel"/>
                    <w:keepNext/>
                    <w:suppressAutoHyphens/>
                    <w:jc w:val="right"/>
                  </w:pPr>
                  <w:r>
                    <w:t xml:space="preserve">154.000</w:t>
                  </w:r>
                </w:p>
              </w:tc>
              <w:tc>
                <w:tcPr>
                  <w:tcW w:w="854" w:type="dxa"/>
                </w:tcPr>
                <w:p>
                  <w:pPr>
                    <w:pStyle w:val="IsiTabel"/>
                    <w:keepNext/>
                    <w:suppressAutoHyphens/>
                    <w:jc w:val="right"/>
                  </w:pPr>
                  <w:r>
                    <w:t xml:space="preserve">157.000</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35" w:type="dxa"/>
                </w:tcPr>
                <w:p>
                  <w:pPr>
                    <w:pStyle w:val="IsiTabel"/>
                    <w:keepNext/>
                    <w:suppressAutoHyphens/>
                    <w:jc w:val="left"/>
                  </w:pPr>
                  <w:r>
                    <w:t xml:space="preserve">Bappenas, dua versi dalam satu dokumen</w:t>
                  </w:r>
                </w:p>
              </w:tc>
            </w:tr>
            <w:tr>
              <w:trPr>
                <w:cantSplit/>
              </w:trPr>
              <w:tc>
                <w:tcPr>
                  <w:tcW w:w="2726" w:type="dxa"/>
                </w:tcPr>
                <w:p>
                  <w:pPr>
                    <w:pStyle w:val="IsiTabel"/>
                    <w:keepNext/>
                    <w:suppressAutoHyphens/>
                    <w:jc w:val="left"/>
                  </w:pPr>
                  <w:r>
                    <w:t xml:space="preserve">Ekonomi, kerusakan dan kerugian Yogyakarta 2006</w:t>
                  </w:r>
                </w:p>
              </w:tc>
              <w:tc>
                <w:tcPr>
                  <w:tcW w:w="1244" w:type="dxa"/>
                </w:tcPr>
                <w:p>
                  <w:pPr>
                    <w:pStyle w:val="IsiTabel"/>
                    <w:keepNext/>
                    <w:suppressAutoHyphens/>
                    <w:jc w:val="right"/>
                  </w:pPr>
                  <w:r>
                    <w:t xml:space="preserve">Rp29,1 triliun</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35" w:type="dxa"/>
                </w:tcPr>
                <w:p>
                  <w:pPr>
                    <w:pStyle w:val="IsiTabel"/>
                    <w:keepNext/>
                    <w:suppressAutoHyphens/>
                    <w:jc w:val="left"/>
                  </w:pPr>
                  <w:r>
                    <w:t xml:space="preserve">Bappenas, penilaian awal</w:t>
                  </w:r>
                </w:p>
              </w:tc>
            </w:tr>
            <w:tr>
              <w:trPr>
                <w:cantSplit/>
              </w:trPr>
              <w:tc>
                <w:tcPr>
                  <w:tcW w:w="2726" w:type="dxa"/>
                </w:tcPr>
                <w:p>
                  <w:pPr>
                    <w:pStyle w:val="IsiTabel"/>
                    <w:keepNext/>
                    <w:suppressAutoHyphens/>
                    <w:jc w:val="left"/>
                  </w:pPr>
                  <w:bookmarkStart w:id="300" w:name="_Ekor032a"/>
                  <w:bookmarkEnd w:id="300"/>
                  <w:r>
                    <w:t xml:space="preserve">Ekonomi, kerusakan dan kerugian Cianjur 2022</w:t>
                  </w:r>
                </w:p>
              </w:tc>
              <w:tc>
                <w:tcPr>
                  <w:tcW w:w="1244" w:type="dxa"/>
                </w:tcPr>
                <w:p>
                  <w:pPr>
                    <w:pStyle w:val="IsiTabel"/>
                    <w:keepNext/>
                    <w:suppressAutoHyphens/>
                    <w:jc w:val="right"/>
                  </w:pPr>
                  <w:r>
                    <w:t xml:space="preserve">Rp4,6 triliun</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35" w:type="dxa"/>
                </w:tcPr>
                <w:p>
                  <w:pPr>
                    <w:pStyle w:val="IsiTabel"/>
                    <w:keepNext/>
                    <w:suppressAutoHyphens/>
                    <w:jc w:val="left"/>
                  </w:pPr>
                  <w:r>
                    <w:t xml:space="preserve">R3P Cianjur</w:t>
                  </w:r>
                </w:p>
              </w:tc>
            </w:tr>
            <w:tr>
              <w:trPr>
                <w:cantSplit/>
              </w:trPr>
              <w:tc>
                <w:tcPr>
                  <w:tcW w:w="2726" w:type="dxa"/>
                </w:tcPr>
                <w:p>
                  <w:pPr>
                    <w:pStyle w:val="IsiTabel"/>
                    <w:keepNext/>
                    <w:suppressAutoHyphens/>
                    <w:jc w:val="left"/>
                  </w:pPr>
                  <w:r>
                    <w:t xml:space="preserve">Lingkungan, desa dikosongkan di jalur Sesar Cugenang</w:t>
                  </w:r>
                </w:p>
              </w:tc>
              <w:tc>
                <w:tcPr>
                  <w:tcW w:w="1244" w:type="dxa"/>
                </w:tcPr>
                <w:p>
                  <w:pPr>
                    <w:pStyle w:val="IsiTabel"/>
                    <w:keepNext/>
                    <w:suppressAutoHyphens/>
                    <w:jc w:val="right"/>
                  </w:pPr>
                  <w:r>
                    <w:t xml:space="preserve">9</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35" w:type="dxa"/>
                </w:tcPr>
                <w:p>
                  <w:pPr>
                    <w:pStyle w:val="IsiTabel"/>
                    <w:keepNext/>
                    <w:suppressAutoHyphens/>
                    <w:jc w:val="left"/>
                  </w:pPr>
                  <w:r>
                    <w:t xml:space="preserve">R3P Cianjur</w:t>
                  </w:r>
                </w:p>
              </w:tc>
            </w:tr>
            <w:tr>
              <w:trPr>
                <w:cantSplit/>
              </w:trPr>
              <w:tc>
                <w:tcPr>
                  <w:tcW w:w="2726" w:type="dxa"/>
                </w:tcPr>
                <w:p>
                  <w:pPr>
                    <w:pStyle w:val="IsiTabel"/>
                    <w:keepNext/>
                    <w:suppressAutoHyphens/>
                    <w:jc w:val="left"/>
                  </w:pPr>
                  <w:r>
                    <w:t xml:space="preserve">Layanan sipil, fasilitas rusak</w:t>
                  </w:r>
                </w:p>
              </w:tc>
              <w:tc>
                <w:tcPr>
                  <w:tcW w:w="1244"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2835" w:type="dxa"/>
                </w:tcPr>
                <w:p>
                  <w:pPr>
                    <w:pStyle w:val="IsiTabel"/>
                    <w:keepNext/>
                    <w:suppressAutoHyphens/>
                    <w:jc w:val="left"/>
                  </w:pPr>
                  <w:r>
                    <w:t xml:space="preserve">rekap fasilitas rusak per kejadian tidak tersedia di bahan kajian</w:t>
                  </w:r>
                </w:p>
              </w:tc>
            </w:tr>
            <w:tr>
              <w:trPr>
                <w:cantSplit/>
              </w:trPr>
              <w:tc>
                <w:tcPr>
                  <w:tcW w:w="2726" w:type="dxa"/>
                </w:tcPr>
                <w:p>
                  <w:pPr>
                    <w:pStyle w:val="IsiTabel"/>
                    <w:keepNext/>
                    <w:suppressAutoHyphens/>
                    <w:jc w:val="left"/>
                  </w:pPr>
                  <w:bookmarkStart w:id="301" w:name="_Ekor032z"/>
                  <w:bookmarkEnd w:id="301"/>
                  <w:r>
                    <w:t xml:space="preserve">Kebutuhan respons, pengungsi dari rumah rusak Kab. Cianjur</w:t>
                  </w:r>
                </w:p>
              </w:tc>
              <w:tc>
                <w:tcPr>
                  <w:tcW w:w="1244" w:type="dxa"/>
                </w:tcPr>
                <w:p>
                  <w:pPr>
                    <w:pStyle w:val="IsiTabel"/>
                    <w:keepNext/>
                    <w:suppressAutoHyphens/>
                    <w:jc w:val="right"/>
                  </w:pPr>
                  <w:r>
                    <w:t xml:space="preserve">115.799</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835" w:type="dxa"/>
                </w:tcPr>
                <w:p>
                  <w:pPr>
                    <w:pStyle w:val="IsiTabel"/>
                    <w:keepNext/>
                    <w:suppressAutoHyphens/>
                    <w:jc w:val="left"/>
                  </w:pPr>
                  <w:r>
                    <w:t xml:space="preserve">aturan rumah rusak berat dan sedang × </w:t>
                  </w:r>
                  <w:r>
                    <w:t xml:space="preserve">3,9</w:t>
                  </w:r>
                  <w:r>
                    <w:t xml:space="preserve">; tercatat </w:t>
                  </w:r>
                  <w:r>
                    <w:t xml:space="preserve">114.683</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Magnitudo maksimum resmi Sesar Opak Mw </w:t>
                  </w:r>
                  <w:r>
                    <w:t xml:space="preserve">6,9</w:t>
                  </w:r>
                  <w:r>
                    <w:t xml:space="preserve"> dan Sesar Lembang Mw </w:t>
                  </w:r>
                  <w:r>
                    <w:t xml:space="preserve">6,6</w:t>
                  </w:r>
                  <w:r>
                    <w:t xml:space="preserve"> berada di atas kedua kejadian analog, sehingga korban kejadian sesar darat berikutnya di Jawa tidak dibatasi angka lantai ini.</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959"/>
              <w:gridCol w:w="896"/>
              <w:gridCol w:w="1074"/>
              <w:gridCol w:w="1486"/>
              <w:gridCol w:w="2939"/>
            </w:tblGrid>
            <w:tr>
              <w:trPr>
                <w:cantSplit/>
                <w:tblHeader/>
              </w:trPr>
              <w:tc>
                <w:tcPr>
                  <w:tcW w:w="2959" w:type="dxa"/>
                  <w:shd w:val="clear" w:color="auto" w:fill="051C2C"/>
                  <w:vAlign w:val="center"/>
                </w:tcPr>
                <w:p>
                  <w:pPr>
                    <w:pStyle w:val="KepalaTabel"/>
                    <w:keepNext/>
                    <w:suppressAutoHyphens/>
                  </w:pPr>
                  <w:r>
                    <w:t xml:space="preserve">TUAS</w:t>
                  </w:r>
                </w:p>
              </w:tc>
              <w:tc>
                <w:tcPr>
                  <w:tcW w:w="896" w:type="dxa"/>
                  <w:shd w:val="clear" w:color="auto" w:fill="051C2C"/>
                  <w:vAlign w:val="center"/>
                </w:tcPr>
                <w:p>
                  <w:pPr>
                    <w:pStyle w:val="KepalaTabel"/>
                    <w:keepNext/>
                    <w:suppressAutoHyphens/>
                  </w:pPr>
                  <w:r>
                    <w:t xml:space="preserve">NILAI DASAR</w:t>
                  </w:r>
                </w:p>
              </w:tc>
              <w:tc>
                <w:tcPr>
                  <w:tcW w:w="1074" w:type="dxa"/>
                  <w:shd w:val="clear" w:color="auto" w:fill="051C2C"/>
                  <w:vAlign w:val="center"/>
                </w:tcPr>
                <w:p>
                  <w:pPr>
                    <w:pStyle w:val="KepalaTabel"/>
                    <w:keepNext/>
                    <w:suppressAutoHyphens/>
                  </w:pPr>
                  <w:r>
                    <w:t xml:space="preserve">NILAI DIGESER</w:t>
                  </w:r>
                </w:p>
              </w:tc>
              <w:tc>
                <w:tcPr>
                  <w:tcW w:w="1486" w:type="dxa"/>
                  <w:shd w:val="clear" w:color="auto" w:fill="051C2C"/>
                  <w:vAlign w:val="center"/>
                </w:tcPr>
                <w:p>
                  <w:pPr>
                    <w:pStyle w:val="KepalaTabel"/>
                    <w:keepNext/>
                    <w:suppressAutoHyphens/>
                  </w:pPr>
                  <w:r>
                    <w:t xml:space="preserve">KORBAN JIWA</w:t>
                  </w:r>
                </w:p>
              </w:tc>
              <w:tc>
                <w:tcPr>
                  <w:tcW w:w="2939" w:type="dxa"/>
                  <w:shd w:val="clear" w:color="auto" w:fill="051C2C"/>
                  <w:vAlign w:val="center"/>
                </w:tcPr>
                <w:p>
                  <w:pPr>
                    <w:pStyle w:val="KepalaTabel"/>
                    <w:keepNext/>
                    <w:suppressAutoHyphens/>
                  </w:pPr>
                  <w:r>
                    <w:t xml:space="preserve">KERUGIAN MATERIIL</w:t>
                  </w:r>
                </w:p>
              </w:tc>
            </w:tr>
            <w:tr>
              <w:trPr>
                <w:cantSplit/>
              </w:trPr>
              <w:tc>
                <w:tcPr>
                  <w:tcW w:w="2959" w:type="dxa"/>
                </w:tcPr>
                <w:p>
                  <w:pPr>
                    <w:pStyle w:val="IsiTabel"/>
                    <w:keepNext/>
                    <w:suppressAutoHyphens/>
                    <w:jc w:val="left"/>
                  </w:pPr>
                  <w:bookmarkStart w:id="302" w:name="_Ekor033a"/>
                  <w:bookmarkEnd w:id="302"/>
                  <w:r>
                    <w:t xml:space="preserve">Sumber angka Cianjur 2022</w:t>
                  </w:r>
                </w:p>
              </w:tc>
              <w:tc>
                <w:tcPr>
                  <w:tcW w:w="896" w:type="dxa"/>
                </w:tcPr>
                <w:p>
                  <w:pPr>
                    <w:pStyle w:val="IsiTabel"/>
                    <w:keepNext/>
                    <w:suppressAutoHyphens/>
                    <w:jc w:val="right"/>
                  </w:pPr>
                  <w:r>
                    <w:t xml:space="preserve">DIBI</w:t>
                  </w:r>
                </w:p>
              </w:tc>
              <w:tc>
                <w:tcPr>
                  <w:tcW w:w="1074" w:type="dxa"/>
                </w:tcPr>
                <w:p>
                  <w:pPr>
                    <w:pStyle w:val="IsiTabel"/>
                    <w:keepNext/>
                    <w:suppressAutoHyphens/>
                    <w:jc w:val="right"/>
                  </w:pPr>
                  <w:r>
                    <w:t xml:space="preserve">R3P</w:t>
                  </w:r>
                </w:p>
              </w:tc>
              <w:tc>
                <w:tcPr>
                  <w:tcW w:w="1486" w:type="dxa"/>
                </w:tcPr>
                <w:p>
                  <w:pPr>
                    <w:pStyle w:val="IsiTabel"/>
                    <w:keepNext/>
                    <w:suppressAutoHyphens/>
                    <w:jc w:val="right"/>
                  </w:pPr>
                  <w:r>
                    <w:t xml:space="preserve">602</w:t>
                  </w:r>
                  <w:r>
                    <w:t xml:space="preserve"> ke </w:t>
                  </w:r>
                  <w:r>
                    <w:t xml:space="preserve">334</w:t>
                  </w:r>
                </w:p>
              </w:tc>
              <w:tc>
                <w:tcPr>
                  <w:tcW w:w="2939" w:type="dxa"/>
                </w:tcPr>
                <w:p>
                  <w:pPr>
                    <w:pStyle w:val="IsiTabel"/>
                    <w:keepNext/>
                    <w:suppressAutoHyphens/>
                    <w:jc w:val="left"/>
                  </w:pPr>
                  <w:r>
                    <w:t xml:space="preserve">rumah rusak </w:t>
                  </w:r>
                  <w:r>
                    <w:t xml:space="preserve">57.337</w:t>
                  </w:r>
                  <w:r>
                    <w:t xml:space="preserve"> ke </w:t>
                  </w:r>
                  <w:r>
                    <w:t xml:space="preserve">114.315</w:t>
                  </w:r>
                </w:p>
              </w:tc>
            </w:tr>
            <w:tr>
              <w:trPr>
                <w:cantSplit/>
              </w:trPr>
              <w:tc>
                <w:tcPr>
                  <w:tcW w:w="2959" w:type="dxa"/>
                </w:tcPr>
                <w:p>
                  <w:pPr>
                    <w:pStyle w:val="IsiTabel"/>
                    <w:keepNext/>
                    <w:suppressAutoHyphens/>
                    <w:jc w:val="left"/>
                  </w:pPr>
                  <w:bookmarkStart w:id="303" w:name="_Ekor033z"/>
                  <w:bookmarkEnd w:id="303"/>
                  <w:r>
                    <w:t xml:space="preserve">Sumber angka Yogyakarta 2006</w:t>
                  </w:r>
                </w:p>
              </w:tc>
              <w:tc>
                <w:tcPr>
                  <w:tcW w:w="896" w:type="dxa"/>
                </w:tcPr>
                <w:p>
                  <w:pPr>
                    <w:pStyle w:val="IsiTabel"/>
                    <w:keepNext/>
                    <w:suppressAutoHyphens/>
                    <w:jc w:val="right"/>
                  </w:pPr>
                  <w:r>
                    <w:t xml:space="preserve">USGS</w:t>
                  </w:r>
                </w:p>
              </w:tc>
              <w:tc>
                <w:tcPr>
                  <w:tcW w:w="1074" w:type="dxa"/>
                </w:tcPr>
                <w:p>
                  <w:pPr>
                    <w:pStyle w:val="IsiTabel"/>
                    <w:keepNext/>
                    <w:suppressAutoHyphens/>
                    <w:jc w:val="right"/>
                  </w:pPr>
                  <w:r>
                    <w:t xml:space="preserve">Bappenas</w:t>
                  </w:r>
                </w:p>
              </w:tc>
              <w:tc>
                <w:tcPr>
                  <w:tcW w:w="1486" w:type="dxa"/>
                </w:tcPr>
                <w:p>
                  <w:pPr>
                    <w:pStyle w:val="IsiTabel"/>
                    <w:keepNext/>
                    <w:suppressAutoHyphens/>
                    <w:jc w:val="right"/>
                  </w:pPr>
                  <w:r>
                    <w:t xml:space="preserve">5.749</w:t>
                  </w:r>
                  <w:r>
                    <w:t xml:space="preserve"> ke </w:t>
                  </w:r>
                  <w:r>
                    <w:t xml:space="preserve">5.716</w:t>
                  </w:r>
                </w:p>
              </w:tc>
              <w:tc>
                <w:tcPr>
                  <w:tcW w:w="2939" w:type="dxa"/>
                </w:tcPr>
                <w:p>
                  <w:pPr>
                    <w:pStyle w:val="IsiTabel"/>
                    <w:keepNext/>
                    <w:suppressAutoHyphens/>
                    <w:jc w:val="left"/>
                  </w:pPr>
                  <w:r>
                    <w:t xml:space="preserve">tetap </w:t>
                  </w:r>
                  <w:r>
                    <w:t xml:space="preserve">Rp29,1 triliun</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Pencarian dan pertolongan di permukiman padat dengan rumah tembok tanpa tulangan.</w:t>
                  </w:r>
                </w:p>
                <w:p>
                  <w:pPr>
                    <w:pStyle w:val="DaftarTabel"/>
                    <w:keepNext/>
                    <w:numPr>
                      <w:ilvl w:val="0"/>
                      <w:numId w:val="1"/>
                    </w:numPr>
                    <w:suppressAutoHyphens/>
                  </w:pPr>
                  <w:r>
                    <w:t xml:space="preserve">Pengungsian disiapkan dari rumah rusak berat dan sedang yang terdata.</w:t>
                  </w:r>
                </w:p>
                <w:p>
                  <w:pPr>
                    <w:pStyle w:val="DaftarTabel"/>
                    <w:keepNext/>
                    <w:numPr>
                      <w:ilvl w:val="0"/>
                      <w:numId w:val="1"/>
                    </w:numPr>
                    <w:suppressAutoHyphens/>
                  </w:pPr>
                  <w:r>
                    <w:t xml:space="preserve">Pendataan korban dengan tanggal rekap agar angka dinamis dan statis dapat direkonsiliasi.</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Penataan permukiman di jalur sesar seperti desa yang dikosongkan di Cugenang.</w:t>
                  </w:r>
                </w:p>
                <w:p>
                  <w:pPr>
                    <w:pStyle w:val="DaftarTabel"/>
                    <w:keepNext/>
                    <w:numPr>
                      <w:ilvl w:val="0"/>
                      <w:numId w:val="1"/>
                    </w:numPr>
                    <w:suppressAutoHyphens/>
                  </w:pPr>
                  <w:r>
                    <w:t xml:space="preserve">Rekonstruksi rumah dengan pengawasan standar bangunan tahan gempa.</w:t>
                  </w:r>
                </w:p>
                <w:p>
                  <w:pPr>
                    <w:pStyle w:val="DaftarTabel"/>
                    <w:keepNext/>
                    <w:numPr>
                      <w:ilvl w:val="0"/>
                      <w:numId w:val="1"/>
                    </w:numPr>
                    <w:suppressAutoHyphens/>
                  </w:pPr>
                  <w:r>
                    <w:t xml:space="preserve">Seri kerusakan dan kerugian R3P dibuka untuk pembanding kejadian berikutnya (</w:t>
                  </w:r>
                  <w:r>
                    <w:fldChar w:fldCharType="begin"/>
                  </w:r>
                  <w:r>
                    <w:instrText xml:space="preserve"> REF _Ref0102 \h \* CHARFORMAT </w:instrText>
                  </w:r>
                  <w:r>
                    <w:fldChar w:fldCharType="separate"/>
                  </w:r>
                  <w:r>
                    <w:t xml:space="preserve">27</w:t>
                  </w:r>
                  <w:r>
                    <w:fldChar w:fldCharType="end"/>
                  </w:r>
                  <w:r>
                    <w:t xml:space="preserve">).</w:t>
                  </w:r>
                </w:p>
              </w:tc>
            </w:tr>
          </w:tbl>
          <w:p>
            <w:pPr>
              <w:pStyle w:val="IsiTabel"/>
              <w:keepNext/>
              <w:spacing w:before="80"/>
            </w:pPr>
            <w:r>
              <w:rPr>
                <w:i/>
                <w:iCs/>
                <w:color w:val="2E3440"/>
                <w:sz w:val="17"/>
                <w:szCs w:val="17"/>
              </w:rPr>
              <w:t xml:space="preserve">Kejadian analog tercatat, bukan proyeksi model; R3P Cianjur berstatus contoh dokumen di portal BNPB tanpa nomor penetapan.</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04" w:name="_Kartu003z"/>
      <w:r>
        <w:rPr>
          <w:b/>
          <w:bCs/>
          <w:color w:val="6B7280"/>
          <w:sz w:val="17"/>
          <w:szCs w:val="17"/>
        </w:rPr>
        <w:t xml:space="preserve">Sumber: </w:t>
      </w:r>
      <w:r>
        <w:rPr>
          <w:color w:val="6B7280"/>
          <w:sz w:val="17"/>
          <w:szCs w:val="17"/>
        </w:rPr>
        <w:t xml:space="preserve">USGS </w:t>
      </w:r>
      <w:r>
        <w:rPr>
          <w:color w:val="6B7280"/>
          <w:sz w:val="17"/>
          <w:szCs w:val="17"/>
        </w:rPr>
        <w:t xml:space="preserve">(USGS, 2006a)</w:t>
      </w:r>
      <w:r>
        <w:rPr>
          <w:color w:val="6B7280"/>
          <w:sz w:val="17"/>
          <w:szCs w:val="17"/>
        </w:rPr>
        <w:t xml:space="preserve">; </w:t>
      </w:r>
      <w:r>
        <w:rPr>
          <w:color w:val="6B7280"/>
          <w:sz w:val="17"/>
          <w:szCs w:val="17"/>
        </w:rPr>
        <w:t xml:space="preserve">Bappenas (2006)</w:t>
      </w:r>
      <w:r>
        <w:rPr>
          <w:color w:val="6B7280"/>
          <w:sz w:val="17"/>
          <w:szCs w:val="17"/>
        </w:rPr>
        <w:t xml:space="preserve">; DIBI BNPB </w:t>
      </w:r>
      <w:r>
        <w:rPr>
          <w:color w:val="6B7280"/>
          <w:sz w:val="17"/>
          <w:szCs w:val="17"/>
        </w:rPr>
        <w:t xml:space="preserve">(BNPB, t.t.-a)</w:t>
      </w:r>
      <w:r>
        <w:rPr>
          <w:color w:val="6B7280"/>
          <w:sz w:val="17"/>
          <w:szCs w:val="17"/>
        </w:rPr>
        <w:t xml:space="preserve">; R3P Cianjur </w:t>
      </w:r>
      <w:r>
        <w:rPr>
          <w:color w:val="6B7280"/>
          <w:sz w:val="17"/>
          <w:szCs w:val="17"/>
        </w:rPr>
        <w:t xml:space="preserve">(Pemerintah Kabupaten Cianjur, 2022)</w:t>
      </w:r>
      <w:r>
        <w:rPr>
          <w:color w:val="6B7280"/>
          <w:sz w:val="17"/>
          <w:szCs w:val="17"/>
        </w:rPr>
        <w:t xml:space="preserve">; PuSGeN 2024 </w:t>
      </w:r>
      <w:r>
        <w:rPr>
          <w:color w:val="6B7280"/>
          <w:sz w:val="17"/>
          <w:szCs w:val="17"/>
        </w:rPr>
        <w:t xml:space="preserve">(PuSGeN, 2024)</w:t>
      </w:r>
      <w:r>
        <w:rPr>
          <w:color w:val="6B7280"/>
          <w:sz w:val="17"/>
          <w:szCs w:val="17"/>
        </w:rPr>
        <w:t xml:space="preserve">; data per </w:t>
      </w:r>
      <w:r>
        <w:rPr>
          <w:color w:val="6B7280"/>
          <w:sz w:val="17"/>
          <w:szCs w:val="17"/>
        </w:rPr>
        <w:t xml:space="preserve">24 Okt 2026</w:t>
      </w:r>
      <w:bookmarkEnd w:id="304"/>
    </w:p>
    <w:p>
      <w:pPr>
        <w:pStyle w:val="Caption"/>
      </w:pPr>
      <w:bookmarkStart w:id="306" w:name="_Toc00112"/>
      <w:bookmarkStart w:id="305" w:name="_Ref002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305"/>
      <w:r>
        <w:rPr>
          <w:b/>
          <w:bCs/>
          <w:color w:val="051C2C"/>
        </w:rPr>
        <w:t xml:space="preserve"> </w:t>
      </w:r>
      <w:r>
        <w:t xml:space="preserve">Masjid yang tetap berdiri di antara puing setelah tsunami Aceh, Banda Aceh, Januari 2005</w:t>
      </w:r>
      <w:bookmarkEnd w:id="306"/>
    </w:p>
    <w:p xmlns:a="http://schemas.openxmlformats.org/drawingml/2006/main" xmlns:pic="http://schemas.openxmlformats.org/drawingml/2006/picture">
      <w:pPr>
        <w:keepNext/>
        <w:spacing w:after="0" w:line="240" w:lineRule="auto"/>
        <w:jc w:val="center"/>
      </w:pPr>
      <w:bookmarkStart w:id="307" w:name="_Obj0028"/>
      <w:r>
        <w:drawing>
          <wp:inline distT="0" distB="0" distL="0" distR="0">
            <wp:extent cx="2898000" cy="2173500"/>
            <wp:effectExtent l="0" t="0" r="0" b="0"/>
            <wp:docPr id="61" name="Gambar 61"/>
            <wp:cNvGraphicFramePr>
              <a:graphicFrameLocks noChangeAspect="1"/>
            </wp:cNvGraphicFramePr>
            <a:graphic>
              <a:graphicData uri="http://schemas.openxmlformats.org/drawingml/2006/picture">
                <pic:pic>
                  <pic:nvPicPr>
                    <pic:cNvPr id="61" name="mit-b06-aceh.jpg"/>
                    <pic:cNvPicPr/>
                  </pic:nvPicPr>
                  <pic:blipFill>
                    <a:blip r:embed="rId47"/>
                    <a:stretch>
                      <a:fillRect/>
                    </a:stretch>
                  </pic:blipFill>
                  <pic:spPr>
                    <a:xfrm>
                      <a:off x="0" y="0"/>
                      <a:ext cx="2898000" cy="2173500"/>
                    </a:xfrm>
                    <a:prstGeom prst="rect">
                      <a:avLst/>
                    </a:prstGeom>
                  </pic:spPr>
                </pic:pic>
              </a:graphicData>
            </a:graphic>
          </wp:inline>
        </w:drawing>
      </w:r>
      <w:bookmarkEnd w:id="307"/>
    </w:p>
    <w:p>
      <w:pPr>
        <w:pStyle w:val="Sumber"/>
      </w:pPr>
      <w:r>
        <w:rPr>
          <w:b/>
          <w:bCs/>
          <w:color w:val="6B7280"/>
          <w:sz w:val="17"/>
          <w:szCs w:val="17"/>
        </w:rPr>
        <w:t xml:space="preserve">Sumber: </w:t>
      </w:r>
      <w:r>
        <w:rPr>
          <w:color w:val="6B7280"/>
          <w:sz w:val="17"/>
          <w:szCs w:val="17"/>
        </w:rPr>
        <w:t xml:space="preserve">Wikimedia Commons, USGS, PD</w:t>
      </w:r>
    </w:p>
    <w:p>
      <w:pPr>
        <w:pStyle w:val="Heading2"/>
      </w:pPr>
      <w:bookmarkStart w:id="309" w:name="_Toc00113"/>
      <w:bookmarkStart w:id="308" w:name="_Ref0220"/>
      <w:r>
        <w:t xml:space="preserve">6.3</w:t>
      </w:r>
      <w:bookmarkEnd w:id="308"/>
      <w:r>
        <w:tab/>
      </w:r>
      <w:r>
        <w:t xml:space="preserve">Tsunami</w:t>
      </w:r>
      <w:bookmarkEnd w:id="309"/>
    </w:p>
    <w:p>
      <w:pPr>
        <w:pStyle w:val="IsiTemuan"/>
      </w:pPr>
      <w:r>
        <w:rPr>
          <w:b/>
          <w:bCs/>
          <w:color w:val="051C2C"/>
        </w:rPr>
        <w:t xml:space="preserve">KRB 2022–2026 mencatat </w:t>
      </w:r>
      <w:r>
        <w:rPr>
          <w:b/>
          <w:bCs/>
          <w:color w:val="051C2C"/>
        </w:rPr>
        <w:t xml:space="preserve">5.341.282</w:t>
      </w:r>
      <w:r>
        <w:rPr>
          <w:b/>
          <w:bCs/>
          <w:color w:val="051C2C"/>
        </w:rPr>
        <w:t xml:space="preserve"> jiwa terpapar tsunami dan </w:t>
      </w:r>
      <w:r>
        <w:rPr>
          <w:b/>
          <w:bCs/>
          <w:color w:val="051C2C"/>
        </w:rPr>
        <w:t xml:space="preserve">740.906 ha</w:t>
      </w:r>
      <w:r>
        <w:rPr>
          <w:b/>
          <w:bCs/>
          <w:color w:val="051C2C"/>
        </w:rPr>
        <w:t xml:space="preserve"> kelas bahaya tinggi, termasuk </w:t>
      </w:r>
      <w:r>
        <w:rPr>
          <w:b/>
          <w:bCs/>
          <w:color w:val="051C2C"/>
        </w:rPr>
        <w:t xml:space="preserve">543.028</w:t>
      </w:r>
      <w:r>
        <w:rPr>
          <w:b/>
          <w:bCs/>
          <w:color w:val="051C2C"/>
        </w:rPr>
        <w:t xml:space="preserve"> jiwa umur rentan dan </w:t>
      </w:r>
      <w:r>
        <w:rPr>
          <w:b/>
          <w:bCs/>
          <w:color w:val="051C2C"/>
        </w:rPr>
        <w:t xml:space="preserve">27.354</w:t>
      </w:r>
      <w:r>
        <w:rPr>
          <w:b/>
          <w:bCs/>
          <w:color w:val="051C2C"/>
        </w:rPr>
        <w:t xml:space="preserve"> penyandang disabilitas.</w:t>
      </w:r>
      <w:r>
        <w:t xml:space="preserve"> Di kelas bahaya tinggi tsunami tercatat </w:t>
      </w:r>
      <w:r>
        <w:t xml:space="preserve">59.839</w:t>
      </w:r>
      <w:r>
        <w:t xml:space="preserve"> sekolah, </w:t>
      </w:r>
      <w:r>
        <w:t xml:space="preserve">1.210</w:t>
      </w:r>
      <w:r>
        <w:t xml:space="preserve"> puskesmas, dan </w:t>
      </w:r>
      <w:r>
        <w:t xml:space="preserve">232</w:t>
      </w:r>
      <w:r>
        <w:t xml:space="preserve"> rumah sakit secara nasional </w:t>
      </w:r>
      <w:r>
        <w:t xml:space="preserve">(BNPB, 2025c, hlm. 22, 24, 2026i)</w:t>
      </w:r>
      <w:r>
        <w:t xml:space="preserve">. Angka aset itu dibaca dari nama medan data KRB karena dokumentasinya tidak dibuka.</w:t>
      </w:r>
    </w:p>
    <w:p>
      <w:pPr>
        <w:pStyle w:val="IsiTemuan"/>
      </w:pPr>
      <w:r>
        <w:rPr>
          <w:b/>
          <w:bCs/>
          <w:color w:val="051C2C"/>
        </w:rPr>
        <w:t xml:space="preserve">IRBI 2025 memberi nilai tsunami untuk </w:t>
      </w:r>
      <w:r>
        <w:rPr>
          <w:b/>
          <w:bCs/>
          <w:color w:val="051C2C"/>
        </w:rPr>
        <w:t xml:space="preserve">273</w:t>
      </w:r>
      <w:r>
        <w:rPr>
          <w:b/>
          <w:bCs/>
          <w:color w:val="051C2C"/>
        </w:rPr>
        <w:t xml:space="preserve"> kab/kota, dan tidak satu pun dari </w:t>
      </w:r>
      <w:r>
        <w:rPr>
          <w:b/>
          <w:bCs/>
          <w:color w:val="051C2C"/>
        </w:rPr>
        <w:t xml:space="preserve">56</w:t>
      </w:r>
      <w:r>
        <w:rPr>
          <w:b/>
          <w:bCs/>
          <w:color w:val="051C2C"/>
        </w:rPr>
        <w:t xml:space="preserve"> kab/kota kelas nilai teratasnya berada di Pulau Jawa.</w:t>
      </w:r>
      <w:r>
        <w:t xml:space="preserve"> Kab. Sukabumi dan Kab. Pangandaran memiliki nilai tsunami tertinggi di Jawa, tetapi di bawah batas kelas teratas </w:t>
      </w:r>
      <w:r>
        <w:t xml:space="preserve">(BNPB, t.t.-b)</w:t>
      </w:r>
      <w:r>
        <w:t xml:space="preserve">. Dari Pulau Jawa, daftar perhatian tsunami kajian ini (</w:t>
      </w:r>
      <w:r>
        <w:t xml:space="preserve">16 kab/kota</w:t>
      </w:r>
      <w:r>
        <w:t xml:space="preserve">) hanya memuat Kab. Pandeglang. Kab/kota pantai selatan Jawa Tengah, DI Yogyakarta, dan Jawa Timur hanya memenuhi syarat proksi pesisir rendah. Lima kab pantai selatan Jawa Barat tidak memenuhi satu pun syarat: tidak ada yang di kelas IRBI teratas, proksi luput di sana, dan Pangandaran 2006 berada di luar jendela kejadian sejak 2008. Daftar itu dibaca dengan keterbatasan tersebut sampai genangan resmi tersedia.</w:t>
      </w:r>
    </w:p>
    <w:p>
      <w:pPr>
        <w:pStyle w:val="IsiTemuan"/>
      </w:pPr>
      <w:r>
        <w:rPr>
          <w:b/>
          <w:bCs/>
          <w:color w:val="051C2C"/>
        </w:rPr>
        <w:t xml:space="preserve">Tinggi tsunami model terbitan bertinjauan untuk Mw </w:t>
      </w:r>
      <w:r>
        <w:rPr>
          <w:b/>
          <w:bCs/>
          <w:color w:val="051C2C"/>
        </w:rPr>
        <w:t xml:space="preserve">9,1</w:t>
      </w:r>
      <w:r>
        <w:rPr>
          <w:b/>
          <w:bCs/>
          <w:color w:val="051C2C"/>
        </w:rPr>
        <w:t xml:space="preserve"> di selatan Jawa mencapai sekitar </w:t>
      </w:r>
      <w:r>
        <w:rPr>
          <w:b/>
          <w:bCs/>
          <w:color w:val="051C2C"/>
        </w:rPr>
        <w:t xml:space="preserve">20 m</w:t>
      </w:r>
      <w:r>
        <w:rPr>
          <w:b/>
          <w:bCs/>
          <w:color w:val="051C2C"/>
        </w:rPr>
        <w:t xml:space="preserve"> di pulau-pulau kecil selatan Banten dan sekitar </w:t>
      </w:r>
      <w:r>
        <w:rPr>
          <w:b/>
          <w:bCs/>
          <w:color w:val="051C2C"/>
        </w:rPr>
        <w:t xml:space="preserve">12 m</w:t>
      </w:r>
      <w:r>
        <w:rPr>
          <w:b/>
          <w:bCs/>
          <w:color w:val="051C2C"/>
        </w:rPr>
        <w:t xml:space="preserve"> di Jawa Timur.</w:t>
      </w:r>
      <w:r>
        <w:t xml:space="preserve"> Rata-rata tinggi maksimum sepanjang pantai selatan Jawa </w:t>
      </w:r>
      <w:r>
        <w:t xml:space="preserve">4,5 m</w:t>
      </w:r>
      <w:r>
        <w:t xml:space="preserve">; ketiganya keluaran model, bukan </w:t>
      </w:r>
      <w:r>
        <w:rPr>
          <w:i/>
          <w:iCs/>
        </w:rPr>
        <w:t xml:space="preserve">run-up</w:t>
      </w:r>
      <w:r>
        <w:t xml:space="preserve"> terukur </w:t>
      </w:r>
      <w:r>
        <w:t xml:space="preserve">(Widiyantoro dkk., 2020)</w:t>
      </w:r>
      <w:r>
        <w:t xml:space="preserve">. Skenario dengan sesar naik belakang memberi hingga </w:t>
      </w:r>
      <w:r>
        <w:t xml:space="preserve">34 m</w:t>
      </w:r>
      <w:r>
        <w:t xml:space="preserve"> dekat Ujung Kulon, tidak berlaku untuk segmen Mentawai dan Enggano </w:t>
      </w:r>
      <w:r>
        <w:t xml:space="preserve">(Supendi dkk., 2022)</w:t>
      </w:r>
      <w:r>
        <w:t xml:space="preserve">.</w:t>
      </w:r>
    </w:p>
    <w:p>
      <w:pPr>
        <w:pStyle w:val="IsiTemuan"/>
      </w:pPr>
      <w:r>
        <w:rPr>
          <w:b/>
          <w:bCs/>
          <w:color w:val="051C2C"/>
        </w:rPr>
        <w:t xml:space="preserve">Korban tsunami skenario tidak dikuantifikasi karena genangan resmi InaRISK belum dipakai; proksi platform memberi </w:t>
      </w:r>
      <w:r>
        <w:rPr>
          <w:b/>
          <w:bCs/>
          <w:color w:val="051C2C"/>
        </w:rPr>
        <w:t xml:space="preserve">sekitar 2,6 juta</w:t>
      </w:r>
      <w:r>
        <w:rPr>
          <w:b/>
          <w:bCs/>
          <w:color w:val="051C2C"/>
        </w:rPr>
        <w:t xml:space="preserve"> jiwa pesisir rendah Pulau Jawa.</w:t>
      </w:r>
      <w:r>
        <w:t xml:space="preserve"> Angka itu jiwa kecamatan pesisir rendah dengan tiba tsunami </w:t>
      </w:r>
      <w:r>
        <w:t xml:space="preserve">30</w:t>
      </w:r>
      <w:r>
        <w:t xml:space="preserve"> menit atau kurang pada Mw </w:t>
      </w:r>
      <w:r>
        <w:t xml:space="preserve">9,1</w:t>
      </w:r>
      <w:r>
        <w:t xml:space="preserve">. Untuk skenario megathrust Jawa termasuk Bali dan Nusa Tenggara Barat, angkanya </w:t>
      </w:r>
      <w:r>
        <w:t xml:space="preserve">sekitar 3,4 juta</w:t>
      </w:r>
      <w:r>
        <w:t xml:space="preserve"> jiwa, dan untuk Mentawai </w:t>
      </w:r>
      <w:r>
        <w:t xml:space="preserve">sekitar 930.000</w:t>
      </w:r>
      <w:r>
        <w:t xml:space="preserve"> jiwa </w:t>
      </w:r>
      <w:r>
        <w:t xml:space="preserve">(Pantau Bencana, 2026e)</w:t>
      </w:r>
      <w:r>
        <w:t xml:space="preserve">. Proksi menghitung seluruh penduduk kecamatan berpusat rendah dan luput di </w:t>
      </w:r>
      <w:r>
        <w:t xml:space="preserve">sekitar 20 kab/kota</w:t>
      </w:r>
      <w:r>
        <w:t xml:space="preserve"> yang tiba tsunaminya kurang dari </w:t>
      </w:r>
      <w:r>
        <w:t xml:space="preserve">30</w:t>
      </w:r>
      <w:r>
        <w:t xml:space="preserve"> menit, termasuk Kab. Malang, Kab. Tasikmalaya, Kab. Garut, Kab. Cianjur, dan Kab. Sukabumi (</w:t>
      </w:r>
      <w:r>
        <w:fldChar w:fldCharType="begin"/>
      </w:r>
      <w:r>
        <w:instrText xml:space="preserve"> REF _Ref0060 \h \* CHARFORMAT </w:instrText>
      </w:r>
      <w:r>
        <w:fldChar w:fldCharType="separate"/>
      </w:r>
      <w:r>
        <w:t xml:space="preserve">Gambar 6.4</w:t>
      </w:r>
      <w:r>
        <w:fldChar w:fldCharType="end"/>
      </w:r>
      <w:r>
        <w:t xml:space="preserve">). Pembandingnya contoh renkon Jawa Timur 2021 yang mencatat </w:t>
      </w:r>
      <w:r>
        <w:t xml:space="preserve">165.202</w:t>
      </w:r>
      <w:r>
        <w:t xml:space="preserve"> jiwa terpapar di Banyuwangi tanpa batas waktu tiba, dengan definisi yang berbeda dari proksi </w:t>
      </w:r>
      <w:r>
        <w:t xml:space="preserve">(BNPB, 2023c, hlm. 17)</w:t>
      </w:r>
      <w:r>
        <w:t xml:space="preserve">.</w:t>
      </w:r>
    </w:p>
    <w:p>
      <w:pPr>
        <w:pStyle w:val="Caption"/>
      </w:pPr>
      <w:bookmarkStart w:id="311" w:name="_Toc00114"/>
      <w:bookmarkStart w:id="310" w:name="_Ref006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310"/>
      <w:r>
        <w:rPr>
          <w:b/>
          <w:bCs/>
          <w:color w:val="051C2C"/>
        </w:rPr>
        <w:t xml:space="preserve"> </w:t>
      </w:r>
      <w:r>
        <w:t xml:space="preserve">Jiwa kecamatan pesisir rendah dengan tiba tsunami </w:t>
      </w:r>
      <w:r>
        <w:t xml:space="preserve">30</w:t>
      </w:r>
      <w:r>
        <w:t xml:space="preserve"> menit atau kurang dan panjang pantai tiba kurang dari </w:t>
      </w:r>
      <w:r>
        <w:t xml:space="preserve">30</w:t>
      </w:r>
      <w:r>
        <w:t xml:space="preserve"> menit, skenario megathrust Jawa Mw 9,1 dan Mentawai Mw 8,9, 2026 (jiwa)</w:t>
      </w:r>
      <w:bookmarkEnd w:id="311"/>
    </w:p>
    <w:p xmlns:a="http://schemas.openxmlformats.org/drawingml/2006/main" xmlns:pic="http://schemas.openxmlformats.org/drawingml/2006/picture">
      <w:pPr>
        <w:keepNext/>
        <w:spacing w:after="0" w:line="240" w:lineRule="auto"/>
        <w:jc w:val="center"/>
      </w:pPr>
      <w:bookmarkStart w:id="312" w:name="_Obj0029"/>
      <w:r>
        <w:drawing>
          <wp:inline distT="0" distB="0" distL="0" distR="0">
            <wp:extent cx="5940000" cy="4532677"/>
            <wp:effectExtent l="0" t="0" r="0" b="0"/>
            <wp:docPr id="62" name="Gambar 62"/>
            <wp:cNvGraphicFramePr>
              <a:graphicFrameLocks noChangeAspect="1"/>
            </wp:cNvGraphicFramePr>
            <a:graphic>
              <a:graphicData uri="http://schemas.openxmlformats.org/drawingml/2006/picture">
                <pic:pic>
                  <pic:nvPicPr>
                    <pic:cNvPr id="62" name="bab06-peta-tsunami-30mnt.png"/>
                    <pic:cNvPicPr/>
                  </pic:nvPicPr>
                  <pic:blipFill>
                    <a:blip r:embed="rId48"/>
                    <a:stretch>
                      <a:fillRect/>
                    </a:stretch>
                  </pic:blipFill>
                  <pic:spPr>
                    <a:xfrm>
                      <a:off x="0" y="0"/>
                      <a:ext cx="5940000" cy="4532677"/>
                    </a:xfrm>
                    <a:prstGeom prst="rect">
                      <a:avLst/>
                    </a:prstGeom>
                  </pic:spPr>
                </pic:pic>
              </a:graphicData>
            </a:graphic>
          </wp:inline>
        </w:drawing>
      </w:r>
      <w:bookmarkEnd w:id="312"/>
    </w:p>
    <w:p>
      <w:pPr>
        <w:pStyle w:val="Sumber"/>
        <w:spacing w:after="40"/>
      </w:pPr>
      <w:r>
        <w:rPr>
          <w:b/>
          <w:bCs/>
          <w:color w:val="6B7280"/>
          <w:sz w:val="17"/>
          <w:szCs w:val="17"/>
        </w:rPr>
        <w:t xml:space="preserve">Sumber: </w:t>
      </w:r>
      <w:r>
        <w:rPr>
          <w:color w:val="6B7280"/>
          <w:sz w:val="17"/>
          <w:szCs w:val="17"/>
        </w:rPr>
        <w:t xml:space="preserve">Simulasi skenario Pantau Bencana, belum divalidasi; magnitudo maksimum dari PuSGeN 2024</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Paparan, bukan genangan; skenario Jawa termasuk Bali dan Nusa Tenggara Barat; kab/kota bertiba kurang dari 30 menit yang luput dari proksi diberi garis sorot; tinggi indikatif tidak ditampilkan.</w:t>
      </w:r>
    </w:p>
    <w:p>
      <w:pPr>
        <w:pStyle w:val="IsiTemuan"/>
      </w:pPr>
      <w:r>
        <w:rPr>
          <w:b/>
          <w:bCs/>
          <w:color w:val="051C2C"/>
        </w:rPr>
        <w:t xml:space="preserve">Kejadian tsunami tercatat menunjukkan waktu tiba yang pendek: tsunami Palu 2018 tiba </w:t>
      </w:r>
      <w:r>
        <w:rPr>
          <w:b/>
          <w:bCs/>
          <w:color w:val="051C2C"/>
        </w:rPr>
        <w:t xml:space="preserve">3–8 menit</w:t>
      </w:r>
      <w:r>
        <w:rPr>
          <w:b/>
          <w:bCs/>
          <w:color w:val="051C2C"/>
        </w:rPr>
        <w:t xml:space="preserve"> setelah guncangan dengan </w:t>
      </w:r>
      <w:r>
        <w:rPr>
          <w:b/>
          <w:bCs/>
          <w:i/>
          <w:iCs/>
          <w:color w:val="051C2C"/>
        </w:rPr>
        <w:t xml:space="preserve">run-up</w:t>
      </w:r>
      <w:r>
        <w:rPr>
          <w:b/>
          <w:bCs/>
          <w:color w:val="051C2C"/>
        </w:rPr>
        <w:t xml:space="preserve"> terukur tertinggi </w:t>
      </w:r>
      <w:r>
        <w:rPr>
          <w:b/>
          <w:bCs/>
          <w:color w:val="051C2C"/>
        </w:rPr>
        <w:t xml:space="preserve">10,73 m</w:t>
      </w:r>
      <w:r>
        <w:rPr>
          <w:b/>
          <w:bCs/>
          <w:color w:val="051C2C"/>
        </w:rPr>
        <w:t xml:space="preserve">.</w:t>
      </w:r>
      <w:r>
        <w:t xml:space="preserve"> Stasiun pasang surut Pantoloan di dalam Teluk Palu tetap merekam, tetapi pengiriman datanya terhenti karena jaringan komunikasi putus </w:t>
      </w:r>
      <w:r>
        <w:t xml:space="preserve">(Widiyanto dkk., 2019)</w:t>
      </w:r>
      <w:r>
        <w:t xml:space="preserve">. Survei warga Donggala dan Palu mencatat </w:t>
      </w:r>
      <w:r>
        <w:t xml:space="preserve">82,5%</w:t>
      </w:r>
      <w:r>
        <w:t xml:space="preserve"> responden mengungsi setelah melihat orang lain mengungsi, dan tidak ada peringatan resmi yang diterima sebelum tsunami tiba </w:t>
      </w:r>
      <w:r>
        <w:t xml:space="preserve">(Harnantyari dkk., 2020)</w:t>
      </w:r>
      <w:r>
        <w:t xml:space="preserve">. Lantai tsunami Selat Sunda adalah kejadian 2018 dengan </w:t>
      </w:r>
      <w:r>
        <w:t xml:space="preserve">437</w:t>
      </w:r>
      <w:r>
        <w:t xml:space="preserve"> meninggal dan </w:t>
      </w:r>
      <w:r>
        <w:t xml:space="preserve">16</w:t>
      </w:r>
      <w:r>
        <w:t xml:space="preserve"> hilang </w:t>
      </w:r>
      <w:r>
        <w:t xml:space="preserve">(BNPB, t.t.-a)</w:t>
      </w:r>
      <w:r>
        <w:t xml:space="preserve">, dan lantai nasional adalah Aceh 2004 dengan </w:t>
      </w:r>
      <w:r>
        <w:t xml:space="preserve">127.720</w:t>
      </w:r>
      <w:r>
        <w:t xml:space="preserve"> meninggal dan </w:t>
      </w:r>
      <w:r>
        <w:t xml:space="preserve">93.285</w:t>
      </w:r>
      <w:r>
        <w:t xml:space="preserve"> hilang menurut Badan Rehabilitasi dan Rekonstruksi (BRR) Aceh dan Nias </w:t>
      </w:r>
      <w:r>
        <w:t xml:space="preserve">(BRR NAD–Nias, 2009b)</w:t>
      </w:r>
      <w:r>
        <w:t xml:space="preserve">. Kartu tsunami (</w:t>
      </w:r>
      <w:r>
        <w:fldChar w:fldCharType="begin"/>
      </w:r>
      <w:r>
        <w:instrText xml:space="preserve"> REF _Ref0295 \h \* CHARFORMAT </w:instrText>
      </w:r>
      <w:r>
        <w:fldChar w:fldCharType="separate"/>
      </w:r>
      <w:r>
        <w:t xml:space="preserve">Tabel 6.5</w:t>
      </w:r>
      <w:r>
        <w:fldChar w:fldCharType="end"/>
      </w:r>
      <w:r>
        <w:t xml:space="preserve">) memakai lantai per wilayah itu.</w:t>
      </w:r>
    </w:p>
    <w:p>
      <w:pPr>
        <w:pStyle w:val="IsiTemuan"/>
      </w:pPr>
      <w:r>
        <w:rPr>
          <w:b/>
          <w:bCs/>
          <w:color w:val="051C2C"/>
        </w:rPr>
        <w:t xml:space="preserve">Renas PB menargetkan sarana diseminasi informasi gempa dan tsunami naik dari </w:t>
      </w:r>
      <w:r>
        <w:rPr>
          <w:b/>
          <w:bCs/>
          <w:color w:val="051C2C"/>
        </w:rPr>
        <w:t xml:space="preserve">480 unit</w:t>
      </w:r>
      <w:r>
        <w:rPr>
          <w:b/>
          <w:bCs/>
          <w:color w:val="051C2C"/>
        </w:rPr>
        <w:t xml:space="preserve"> pada 2024 menjadi </w:t>
      </w:r>
      <w:r>
        <w:rPr>
          <w:b/>
          <w:bCs/>
          <w:color w:val="051C2C"/>
        </w:rPr>
        <w:t xml:space="preserve">530 unit</w:t>
      </w:r>
      <w:r>
        <w:rPr>
          <w:b/>
          <w:bCs/>
          <w:color w:val="051C2C"/>
        </w:rPr>
        <w:t xml:space="preserve"> pada 2029, dengan BMKG sebagai penanggung jawab.</w:t>
      </w:r>
      <w:r>
        <w:t xml:space="preserve"> Stasiun pasang surut ditargetkan naik dari </w:t>
      </w:r>
      <w:r>
        <w:t xml:space="preserve">171</w:t>
      </w:r>
      <w:r>
        <w:t xml:space="preserve"> menjadi </w:t>
      </w:r>
      <w:r>
        <w:t xml:space="preserve">200</w:t>
      </w:r>
      <w:r>
        <w:t xml:space="preserve"> unit </w:t>
      </w:r>
      <w:r>
        <w:t xml:space="preserve">(BNPB, 2025c, hlm. 52–53)</w:t>
      </w:r>
      <w:r>
        <w:t xml:space="preserve">. Rencana Strategis (Renstra) BNPB mencatat keterpenuhan peringatan dini </w:t>
      </w:r>
      <w:r>
        <w:t xml:space="preserve">6%</w:t>
      </w:r>
      <w:r>
        <w:t xml:space="preserve"> dari masyarakat terpapar di kawasan berisiko tinggi </w:t>
      </w:r>
      <w:r>
        <w:t xml:space="preserve">(BNPB, 2025e, hlm. 70)</w:t>
      </w:r>
      <w:r>
        <w:t xml:space="preserve">. Target Renas mengukur alat dan keluaran. Untuk pantai yang dicapai tsunami dalam hitungan menit, data kajian ini tidak menunjukkan bahwa penambahan alat saja menekan korban; waktu terbit peringatan </w:t>
      </w:r>
      <w:r>
        <w:rPr>
          <w:i/>
          <w:iCs/>
        </w:rPr>
        <w:t xml:space="preserve">Indonesia Tsunami Early Warning System</w:t>
      </w:r>
      <w:r>
        <w:t xml:space="preserve"> (InaTEWS) pada tsunami Palu 2018 belum dapat dikutip dari sumber primer.</w:t>
      </w:r>
    </w:p>
    <w:p>
      <w:pPr>
        <w:pStyle w:val="Caption"/>
        <w:pageBreakBefore/>
      </w:pPr>
      <w:bookmarkStart w:id="314" w:name="_Toc00115"/>
      <w:bookmarkStart w:id="313" w:name="_Ref029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313"/>
      <w:r>
        <w:rPr>
          <w:b/>
          <w:bCs/>
          <w:color w:val="051C2C"/>
        </w:rPr>
        <w:t xml:space="preserve"> </w:t>
      </w:r>
      <w:r>
        <w:t xml:space="preserve">Tsunami dekat sumber dari megathrust selatan Jawa dan barat Sumatra, 2026</w:t>
      </w:r>
      <w:bookmarkEnd w:id="314"/>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keepNext/>
                    <w:spacing w:after="0"/>
                  </w:pPr>
                  <w:bookmarkStart w:id="316" w:name="_Kartu004a"/>
                  <w:bookmarkStart w:id="315" w:name="_Obj0030"/>
                  <w:r>
                    <w:rPr>
                      <w:position w:val="-10"/>
                    </w:rPr>
                    <w:drawing>
                      <wp:inline distT="0" distB="0" distL="0" distR="0">
                        <wp:extent cx="216000" cy="216000"/>
                        <wp:effectExtent l="0" t="0" r="0" b="0"/>
                        <wp:docPr id="63" name="Gambar 63"/>
                        <wp:cNvGraphicFramePr>
                          <a:graphicFrameLocks noChangeAspect="1"/>
                        </wp:cNvGraphicFramePr>
                        <a:graphic>
                          <a:graphicData uri="http://schemas.openxmlformats.org/drawingml/2006/picture">
                            <pic:pic>
                              <pic:nvPicPr>
                                <pic:cNvPr id="63" name="tsunami-khusus-tsunami-FFFFFF-8A4B2A.png"/>
                                <pic:cNvPicPr/>
                              </pic:nvPicPr>
                              <pic:blipFill>
                                <a:blip r:embed="rId49"/>
                                <a:stretch>
                                  <a:fillRect/>
                                </a:stretch>
                              </pic:blipFill>
                              <pic:spPr>
                                <a:xfrm>
                                  <a:off x="0" y="0"/>
                                  <a:ext cx="216000" cy="216000"/>
                                </a:xfrm>
                                <a:prstGeom prst="rect">
                                  <a:avLst/>
                                </a:prstGeom>
                              </pic:spPr>
                            </pic:pic>
                          </a:graphicData>
                        </a:graphic>
                      </wp:inline>
                    </w:drawing>
                  </w:r>
                  <w:r>
                    <w:t xml:space="preserve"> </w:t>
                  </w:r>
                  <w:r>
                    <w:rPr>
                      <w:b/>
                      <w:bCs/>
                    </w:rPr>
                    <w:t xml:space="preserve">Tsunami</w:t>
                  </w:r>
                  <w:r>
                    <w:rPr>
                      <w:color w:val="2E3440"/>
                    </w:rPr>
                    <w:t xml:space="preserve">  Geologi</w:t>
                  </w:r>
                  <w:bookmarkEnd w:id="315"/>
                  <w:bookmarkEnd w:id="316"/>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per jenis; paparan resmi KRB 2022–2026, tinggi tsunami model terbitan bertinjauan, dan lantai tercatat per wilayah; korban tsunami skenario tidak dikuantifikasi sampai genangan resmi InaRISK dipakai.</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rPr>
                            <w:b/>
                            <w:bCs/>
                            <w:color w:val="1A1A1A"/>
                            <w:sz w:val="16"/>
                            <w:szCs w:val="16"/>
                            <w:bdr w:val="single" w:sz="6" w:space="0" w:color="BFC5CC"/>
                          </w:rPr>
                          <w:t xml:space="preserve">  &lt; 0,2%  </w:t>
                        </w:r>
                        <w:r>
                          <w:t xml:space="preserve"> </w:t>
                        </w:r>
                        <w:r>
                          <w:rPr>
                            <w:b/>
                            <w:bCs/>
                            <w:color w:val="FFFFFF"/>
                            <w:sz w:val="16"/>
                            <w:szCs w:val="16"/>
                            <w:shd w:val="clear" w:color="auto" w:fill="051C2C"/>
                          </w:rPr>
                          <w:t xml:space="preserve">  0,2–1%  </w:t>
                        </w:r>
                        <w:r>
                          <w:t xml:space="preserve"> </w:t>
                        </w:r>
                        <w:r>
                          <w:rPr>
                            <w:b/>
                            <w:bCs/>
                            <w:color w:val="1A1A1A"/>
                            <w:sz w:val="16"/>
                            <w:szCs w:val="16"/>
                            <w:bdr w:val="single" w:sz="6" w:space="0" w:color="BFC5CC"/>
                          </w:rPr>
                          <w:t xml:space="preserve">  1–5%  </w:t>
                        </w:r>
                        <w:r>
                          <w:t xml:space="preserve"> </w:t>
                        </w:r>
                        <w:r>
                          <w:rPr>
                            <w:b/>
                            <w:bCs/>
                            <w:color w:val="1A1A1A"/>
                            <w:sz w:val="16"/>
                            <w:szCs w:val="16"/>
                            <w:bdr w:val="single" w:sz="6" w:space="0" w:color="BFC5C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64" name="Gambar 64"/>
                              <wp:cNvGraphicFramePr>
                                <a:graphicFrameLocks noChangeAspect="1"/>
                              </wp:cNvGraphicFramePr>
                              <a:graphic>
                                <a:graphicData uri="http://schemas.openxmlformats.org/drawingml/2006/picture">
                                  <pic:pic>
                                    <pic:nvPicPr>
                                      <pic:cNvPr id="6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BMKG</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65" name="Gambar 65"/>
                              <wp:cNvGraphicFramePr>
                                <a:graphicFrameLocks noChangeAspect="1"/>
                              </wp:cNvGraphicFramePr>
                              <a:graphic>
                                <a:graphicData uri="http://schemas.openxmlformats.org/drawingml/2006/picture">
                                  <pic:pic>
                                    <pic:nvPicPr>
                                      <pic:cNvPr id="6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6" name="Gambar 66"/>
                              <wp:cNvGraphicFramePr>
                                <a:graphicFrameLocks noChangeAspect="1"/>
                              </wp:cNvGraphicFramePr>
                              <a:graphic>
                                <a:graphicData uri="http://schemas.openxmlformats.org/drawingml/2006/picture">
                                  <pic:pic>
                                    <pic:nvPicPr>
                                      <pic:cNvPr id="6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7" name="Gambar 67"/>
                              <wp:cNvGraphicFramePr>
                                <a:graphicFrameLocks noChangeAspect="1"/>
                              </wp:cNvGraphicFramePr>
                              <a:graphic>
                                <a:graphicData uri="http://schemas.openxmlformats.org/drawingml/2006/picture">
                                  <pic:pic>
                                    <pic:nvPicPr>
                                      <pic:cNvPr id="6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 pesisir</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129176"/>
                        <wp:effectExtent l="0" t="0" r="0" b="0"/>
                        <wp:docPr id="68" name="Gambar 68"/>
                        <wp:cNvGraphicFramePr>
                          <a:graphicFrameLocks noChangeAspect="1"/>
                        </wp:cNvGraphicFramePr>
                        <a:graphic>
                          <a:graphicData uri="http://schemas.openxmlformats.org/drawingml/2006/picture">
                            <pic:pic>
                              <pic:nvPicPr>
                                <pic:cNvPr id="68" name="bab06-kartu-tsunami.png"/>
                                <pic:cNvPicPr/>
                              </pic:nvPicPr>
                              <pic:blipFill>
                                <a:blip r:embed="rId50"/>
                                <a:stretch>
                                  <a:fillRect/>
                                </a:stretch>
                              </pic:blipFill>
                              <pic:spPr>
                                <a:xfrm>
                                  <a:off x="0" y="0"/>
                                  <a:ext cx="1882800" cy="2129176"/>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790"/>
              <w:gridCol w:w="1366"/>
              <w:gridCol w:w="852"/>
              <w:gridCol w:w="1525"/>
              <w:gridCol w:w="2821"/>
            </w:tblGrid>
            <w:tr>
              <w:trPr>
                <w:cantSplit/>
                <w:tblHeader/>
              </w:trPr>
              <w:tc>
                <w:tcPr>
                  <w:tcW w:w="2790" w:type="dxa"/>
                  <w:shd w:val="clear" w:color="auto" w:fill="051C2C"/>
                  <w:vAlign w:val="center"/>
                </w:tcPr>
                <w:p>
                  <w:pPr>
                    <w:pStyle w:val="KepalaTabel"/>
                    <w:keepNext/>
                    <w:suppressAutoHyphens/>
                  </w:pPr>
                  <w:r>
                    <w:t xml:space="preserve">BESARAN</w:t>
                  </w:r>
                </w:p>
              </w:tc>
              <w:tc>
                <w:tcPr>
                  <w:tcW w:w="1366"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525" w:type="dxa"/>
                  <w:shd w:val="clear" w:color="auto" w:fill="051C2C"/>
                  <w:vAlign w:val="center"/>
                </w:tcPr>
                <w:p>
                  <w:pPr>
                    <w:pStyle w:val="KepalaTabel"/>
                    <w:keepNext/>
                    <w:suppressAutoHyphens/>
                  </w:pPr>
                  <w:r>
                    <w:t xml:space="preserve">KEYAKINAN</w:t>
                  </w:r>
                </w:p>
              </w:tc>
              <w:tc>
                <w:tcPr>
                  <w:tcW w:w="2821" w:type="dxa"/>
                  <w:shd w:val="clear" w:color="auto" w:fill="051C2C"/>
                  <w:vAlign w:val="center"/>
                </w:tcPr>
                <w:p>
                  <w:pPr>
                    <w:pStyle w:val="KepalaTabel"/>
                    <w:keepNext/>
                    <w:suppressAutoHyphens/>
                  </w:pPr>
                  <w:r>
                    <w:t xml:space="preserve">SUMBER</w:t>
                  </w:r>
                </w:p>
              </w:tc>
            </w:tr>
            <w:tr>
              <w:trPr>
                <w:cantSplit/>
              </w:trPr>
              <w:tc>
                <w:tcPr>
                  <w:tcW w:w="2790" w:type="dxa"/>
                </w:tcPr>
                <w:p>
                  <w:pPr>
                    <w:pStyle w:val="IsiTabel"/>
                    <w:keepNext/>
                    <w:suppressAutoHyphens/>
                    <w:jc w:val="left"/>
                  </w:pPr>
                  <w:r>
                    <w:t xml:space="preserve">Kependudukan, jiwa terpapar tsunami (nasional)</w:t>
                  </w:r>
                </w:p>
              </w:tc>
              <w:tc>
                <w:tcPr>
                  <w:tcW w:w="1366" w:type="dxa"/>
                </w:tcPr>
                <w:p>
                  <w:pPr>
                    <w:pStyle w:val="IsiTabel"/>
                    <w:keepNext/>
                    <w:suppressAutoHyphens/>
                    <w:jc w:val="right"/>
                  </w:pPr>
                  <w:r>
                    <w:t xml:space="preserve">5.341.282</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821" w:type="dxa"/>
                </w:tcPr>
                <w:p>
                  <w:pPr>
                    <w:pStyle w:val="IsiTabel"/>
                    <w:keepNext/>
                    <w:suppressAutoHyphens/>
                    <w:jc w:val="left"/>
                  </w:pPr>
                  <w:r>
                    <w:t xml:space="preserve">KRB 2022–2026</w:t>
                  </w:r>
                </w:p>
              </w:tc>
            </w:tr>
            <w:tr>
              <w:trPr>
                <w:cantSplit/>
              </w:trPr>
              <w:tc>
                <w:tcPr>
                  <w:tcW w:w="2790" w:type="dxa"/>
                </w:tcPr>
                <w:p>
                  <w:pPr>
                    <w:pStyle w:val="IsiTabel"/>
                    <w:keepNext/>
                    <w:suppressAutoHyphens/>
                    <w:jc w:val="left"/>
                  </w:pPr>
                  <w:r>
                    <w:t xml:space="preserve">Kependudukan, korban jiwa selatan Jawa (lantai Pangandaran 2006)</w:t>
                  </w:r>
                </w:p>
              </w:tc>
              <w:tc>
                <w:tcPr>
                  <w:tcW w:w="1366" w:type="dxa"/>
                </w:tcPr>
                <w:p>
                  <w:pPr>
                    <w:pStyle w:val="IsiTabel"/>
                    <w:keepNext/>
                    <w:suppressAutoHyphens/>
                    <w:jc w:val="right"/>
                  </w:pPr>
                  <w:r>
                    <w:t xml:space="preserve">665</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2821" w:type="dxa"/>
                </w:tcPr>
                <w:p>
                  <w:pPr>
                    <w:pStyle w:val="IsiTabel"/>
                    <w:keepNext/>
                    <w:suppressAutoHyphens/>
                    <w:jc w:val="left"/>
                  </w:pPr>
                  <w:r>
                    <w:t xml:space="preserve">USGS, ditambah </w:t>
                  </w:r>
                  <w:r>
                    <w:t xml:space="preserve">65</w:t>
                  </w:r>
                  <w:r>
                    <w:t xml:space="preserve"> hilang</w:t>
                  </w:r>
                </w:p>
              </w:tc>
            </w:tr>
            <w:tr>
              <w:trPr>
                <w:cantSplit/>
              </w:trPr>
              <w:tc>
                <w:tcPr>
                  <w:tcW w:w="2790" w:type="dxa"/>
                </w:tcPr>
                <w:p>
                  <w:pPr>
                    <w:pStyle w:val="IsiTabel"/>
                    <w:keepNext/>
                    <w:suppressAutoHyphens/>
                    <w:jc w:val="left"/>
                  </w:pPr>
                  <w:r>
                    <w:t xml:space="preserve">Kependudukan, korban jiwa barat Sumatra (lantai Mentawai 2010)</w:t>
                  </w:r>
                </w:p>
              </w:tc>
              <w:tc>
                <w:tcPr>
                  <w:tcW w:w="1366" w:type="dxa"/>
                </w:tcPr>
                <w:p>
                  <w:pPr>
                    <w:pStyle w:val="IsiTabel"/>
                    <w:keepNext/>
                    <w:suppressAutoHyphens/>
                    <w:jc w:val="right"/>
                  </w:pPr>
                  <w:r>
                    <w:t xml:space="preserve">447</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821" w:type="dxa"/>
                </w:tcPr>
                <w:p>
                  <w:pPr>
                    <w:pStyle w:val="IsiTabel"/>
                    <w:keepNext/>
                    <w:suppressAutoHyphens/>
                    <w:jc w:val="left"/>
                  </w:pPr>
                  <w:r>
                    <w:t xml:space="preserve">DIBI BNPB, ditambah </w:t>
                  </w:r>
                  <w:r>
                    <w:t xml:space="preserve">56</w:t>
                  </w:r>
                  <w:r>
                    <w:t xml:space="preserve"> hilang</w:t>
                  </w:r>
                </w:p>
              </w:tc>
            </w:tr>
            <w:tr>
              <w:trPr>
                <w:cantSplit/>
              </w:trPr>
              <w:tc>
                <w:tcPr>
                  <w:tcW w:w="2790" w:type="dxa"/>
                </w:tcPr>
                <w:p>
                  <w:pPr>
                    <w:pStyle w:val="IsiTabel"/>
                    <w:keepNext/>
                    <w:suppressAutoHyphens/>
                    <w:jc w:val="left"/>
                  </w:pPr>
                  <w:r>
                    <w:t xml:space="preserve">Kependudukan, korban jiwa Selat Sunda (lantai 2018)</w:t>
                  </w:r>
                </w:p>
              </w:tc>
              <w:tc>
                <w:tcPr>
                  <w:tcW w:w="1366" w:type="dxa"/>
                </w:tcPr>
                <w:p>
                  <w:pPr>
                    <w:pStyle w:val="IsiTabel"/>
                    <w:keepNext/>
                    <w:suppressAutoHyphens/>
                    <w:jc w:val="right"/>
                  </w:pPr>
                  <w:r>
                    <w:t xml:space="preserve">437</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821" w:type="dxa"/>
                </w:tcPr>
                <w:p>
                  <w:pPr>
                    <w:pStyle w:val="IsiTabel"/>
                    <w:keepNext/>
                    <w:suppressAutoHyphens/>
                    <w:jc w:val="left"/>
                  </w:pPr>
                  <w:r>
                    <w:t xml:space="preserve">DIBI BNPB, ditambah </w:t>
                  </w:r>
                  <w:r>
                    <w:t xml:space="preserve">16</w:t>
                  </w:r>
                  <w:r>
                    <w:t xml:space="preserve"> hilang</w:t>
                  </w:r>
                </w:p>
              </w:tc>
            </w:tr>
            <w:tr>
              <w:trPr>
                <w:cantSplit/>
              </w:trPr>
              <w:tc>
                <w:tcPr>
                  <w:tcW w:w="2790" w:type="dxa"/>
                </w:tcPr>
                <w:p>
                  <w:pPr>
                    <w:pStyle w:val="IsiTabel"/>
                    <w:keepNext/>
                    <w:suppressAutoHyphens/>
                    <w:jc w:val="left"/>
                  </w:pPr>
                  <w:r>
                    <w:t xml:space="preserve">Kependudukan, korban jiwa nasional (lantai Aceh 2004)</w:t>
                  </w:r>
                </w:p>
              </w:tc>
              <w:tc>
                <w:tcPr>
                  <w:tcW w:w="1366" w:type="dxa"/>
                </w:tcPr>
                <w:p>
                  <w:pPr>
                    <w:pStyle w:val="IsiTabel"/>
                    <w:keepNext/>
                    <w:suppressAutoHyphens/>
                    <w:jc w:val="right"/>
                  </w:pPr>
                  <w:r>
                    <w:t xml:space="preserve">127.720</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821" w:type="dxa"/>
                </w:tcPr>
                <w:p>
                  <w:pPr>
                    <w:pStyle w:val="IsiTabel"/>
                    <w:keepNext/>
                    <w:suppressAutoHyphens/>
                    <w:jc w:val="left"/>
                  </w:pPr>
                  <w:r>
                    <w:t xml:space="preserve">BRR, ditambah </w:t>
                  </w:r>
                  <w:r>
                    <w:t xml:space="preserve">93.285</w:t>
                  </w:r>
                  <w:r>
                    <w:t xml:space="preserve"> hilang</w:t>
                  </w:r>
                </w:p>
              </w:tc>
            </w:tr>
            <w:tr>
              <w:trPr>
                <w:cantSplit/>
              </w:trPr>
              <w:tc>
                <w:tcPr>
                  <w:tcW w:w="2790" w:type="dxa"/>
                </w:tcPr>
                <w:p>
                  <w:pPr>
                    <w:pStyle w:val="IsiTabel"/>
                    <w:keepNext/>
                    <w:suppressAutoHyphens/>
                    <w:jc w:val="left"/>
                  </w:pPr>
                  <w:r>
                    <w:t xml:space="preserve">Lingkungan, tinggi tsunami model selatan Jawa (m)</w:t>
                  </w:r>
                </w:p>
              </w:tc>
              <w:tc>
                <w:tcPr>
                  <w:tcW w:w="1366" w:type="dxa"/>
                </w:tcPr>
                <w:p>
                  <w:pPr>
                    <w:pStyle w:val="IsiTabel"/>
                    <w:keepNext/>
                    <w:suppressAutoHyphens/>
                    <w:jc w:val="right"/>
                  </w:pPr>
                  <w:r>
                    <w:t xml:space="preserve">4,5</w:t>
                  </w:r>
                </w:p>
              </w:tc>
              <w:tc>
                <w:tcPr>
                  <w:tcW w:w="852" w:type="dxa"/>
                </w:tcPr>
                <w:p>
                  <w:pPr>
                    <w:pStyle w:val="IsiTabel"/>
                    <w:keepNext/>
                    <w:suppressAutoHyphens/>
                    <w:jc w:val="right"/>
                  </w:pPr>
                  <w:r>
                    <w:t xml:space="preserve">20</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2821" w:type="dxa"/>
                </w:tcPr>
                <w:p>
                  <w:pPr>
                    <w:pStyle w:val="IsiTabel"/>
                    <w:keepNext/>
                    <w:suppressAutoHyphens/>
                    <w:jc w:val="left"/>
                  </w:pPr>
                  <w:r>
                    <w:t xml:space="preserve">Widiyantoro dkk. (2020): rendah rata-rata maksimum, tinggi pulau kecil selatan Banten; bukan </w:t>
                  </w:r>
                  <w:r>
                    <w:rPr>
                      <w:i/>
                      <w:iCs/>
                    </w:rPr>
                    <w:t xml:space="preserve">run-up</w:t>
                  </w:r>
                  <w:r>
                    <w:t xml:space="preserve"> terukur</w:t>
                  </w:r>
                </w:p>
              </w:tc>
            </w:tr>
            <w:tr>
              <w:trPr>
                <w:cantSplit/>
              </w:trPr>
              <w:tc>
                <w:tcPr>
                  <w:tcW w:w="2790" w:type="dxa"/>
                </w:tcPr>
                <w:p>
                  <w:pPr>
                    <w:pStyle w:val="IsiTabel"/>
                    <w:keepNext/>
                    <w:suppressAutoHyphens/>
                    <w:jc w:val="left"/>
                  </w:pPr>
                  <w:r>
                    <w:t xml:space="preserve">Lingkungan, luas kelas bahaya tinggi tsunami (ha)</w:t>
                  </w:r>
                </w:p>
              </w:tc>
              <w:tc>
                <w:tcPr>
                  <w:tcW w:w="1366" w:type="dxa"/>
                </w:tcPr>
                <w:p>
                  <w:pPr>
                    <w:pStyle w:val="IsiTabel"/>
                    <w:keepNext/>
                    <w:suppressAutoHyphens/>
                    <w:jc w:val="right"/>
                  </w:pPr>
                  <w:r>
                    <w:t xml:space="preserve">740.906</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821" w:type="dxa"/>
                </w:tcPr>
                <w:p>
                  <w:pPr>
                    <w:pStyle w:val="IsiTabel"/>
                    <w:keepNext/>
                    <w:suppressAutoHyphens/>
                    <w:jc w:val="left"/>
                  </w:pPr>
                  <w:r>
                    <w:t xml:space="preserve">KRB 2022–2026</w:t>
                  </w:r>
                </w:p>
              </w:tc>
            </w:tr>
            <w:tr>
              <w:trPr>
                <w:cantSplit/>
              </w:trPr>
              <w:tc>
                <w:tcPr>
                  <w:tcW w:w="2790" w:type="dxa"/>
                </w:tcPr>
                <w:p>
                  <w:pPr>
                    <w:pStyle w:val="IsiTabel"/>
                    <w:keepNext/>
                    <w:suppressAutoHyphens/>
                    <w:jc w:val="left"/>
                  </w:pPr>
                  <w:bookmarkStart w:id="317" w:name="_Ekor034a"/>
                  <w:bookmarkEnd w:id="317"/>
                  <w:r>
                    <w:t xml:space="preserve">Ekonomi, potensi kerugian fisik dan ekonomi</w:t>
                  </w:r>
                </w:p>
              </w:tc>
              <w:tc>
                <w:tcPr>
                  <w:tcW w:w="1366" w:type="dxa"/>
                </w:tcPr>
                <w:p>
                  <w:pPr>
                    <w:pStyle w:val="IsiTabel"/>
                    <w:keepNext/>
                    <w:suppressAutoHyphens/>
                    <w:jc w:val="right"/>
                  </w:pPr>
                  <w:r>
                    <w:t xml:space="preserve">Rp43 triliun</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821" w:type="dxa"/>
                </w:tcPr>
                <w:p>
                  <w:pPr>
                    <w:pStyle w:val="IsiTabel"/>
                    <w:keepNext/>
                    <w:suppressAutoHyphens/>
                    <w:jc w:val="left"/>
                  </w:pPr>
                  <w:r>
                    <w:t xml:space="preserve">KRB 2022–2026; nilai aset terpapar, bukan kerugian kejadian</w:t>
                  </w:r>
                </w:p>
              </w:tc>
            </w:tr>
            <w:tr>
              <w:trPr>
                <w:cantSplit/>
              </w:trPr>
              <w:tc>
                <w:tcPr>
                  <w:tcW w:w="2790" w:type="dxa"/>
                </w:tcPr>
                <w:p>
                  <w:pPr>
                    <w:pStyle w:val="IsiTabel"/>
                    <w:keepNext/>
                    <w:suppressAutoHyphens/>
                    <w:jc w:val="left"/>
                  </w:pPr>
                  <w:r>
                    <w:t xml:space="preserve">Infrastruktur/fisik, rumah rusak</w:t>
                  </w:r>
                </w:p>
              </w:tc>
              <w:tc>
                <w:tcPr>
                  <w:tcW w:w="1366"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2821" w:type="dxa"/>
                </w:tcPr>
                <w:p>
                  <w:pPr>
                    <w:pStyle w:val="IsiTabel"/>
                    <w:keepNext/>
                    <w:suppressAutoHyphens/>
                    <w:jc w:val="left"/>
                  </w:pPr>
                  <w:r>
                    <w:t xml:space="preserve">genangan resmi belum dipakai dan data bangunan tidak ada</w:t>
                  </w:r>
                </w:p>
              </w:tc>
            </w:tr>
            <w:tr>
              <w:trPr>
                <w:cantSplit/>
              </w:trPr>
              <w:tc>
                <w:tcPr>
                  <w:tcW w:w="2790" w:type="dxa"/>
                </w:tcPr>
                <w:p>
                  <w:pPr>
                    <w:pStyle w:val="IsiTabel"/>
                    <w:keepNext/>
                    <w:suppressAutoHyphens/>
                    <w:jc w:val="left"/>
                  </w:pPr>
                  <w:r>
                    <w:t xml:space="preserve">Layanan sipil, sekolah, puskesmas, dan rumah sakit di kelas bahaya tinggi (nasional)</w:t>
                  </w:r>
                </w:p>
              </w:tc>
              <w:tc>
                <w:tcPr>
                  <w:tcW w:w="1366" w:type="dxa"/>
                </w:tcPr>
                <w:p>
                  <w:pPr>
                    <w:pStyle w:val="IsiTabel"/>
                    <w:keepNext/>
                    <w:suppressAutoHyphens/>
                    <w:jc w:val="right"/>
                  </w:pPr>
                  <w:r>
                    <w:t xml:space="preserve">59.839</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821" w:type="dxa"/>
                </w:tcPr>
                <w:p>
                  <w:pPr>
                    <w:pStyle w:val="IsiTabel"/>
                    <w:keepNext/>
                    <w:suppressAutoHyphens/>
                    <w:jc w:val="left"/>
                  </w:pPr>
                  <w:r>
                    <w:t xml:space="preserve">InaRISK KRB; </w:t>
                  </w:r>
                  <w:r>
                    <w:t xml:space="preserve">1.210</w:t>
                  </w:r>
                  <w:r>
                    <w:t xml:space="preserve"> puskesmas dan </w:t>
                  </w:r>
                  <w:r>
                    <w:t xml:space="preserve">232</w:t>
                  </w:r>
                  <w:r>
                    <w:t xml:space="preserve"> rumah sakit</w:t>
                  </w:r>
                </w:p>
              </w:tc>
            </w:tr>
            <w:tr>
              <w:trPr>
                <w:cantSplit/>
              </w:trPr>
              <w:tc>
                <w:tcPr>
                  <w:tcW w:w="2790" w:type="dxa"/>
                </w:tcPr>
                <w:p>
                  <w:pPr>
                    <w:pStyle w:val="IsiTabel"/>
                    <w:keepNext/>
                    <w:suppressAutoHyphens/>
                    <w:jc w:val="left"/>
                  </w:pPr>
                  <w:bookmarkStart w:id="318" w:name="_Ekor034z"/>
                  <w:bookmarkEnd w:id="318"/>
                  <w:r>
                    <w:t xml:space="preserve">Kebutuhan respons, jiwa pesisir rendah Pulau Jawa dengan tiba </w:t>
                  </w:r>
                  <w:r>
                    <w:t xml:space="preserve">30</w:t>
                  </w:r>
                  <w:r>
                    <w:t xml:space="preserve"> menit atau kurang</w:t>
                  </w:r>
                </w:p>
              </w:tc>
              <w:tc>
                <w:tcPr>
                  <w:tcW w:w="1366" w:type="dxa"/>
                </w:tcPr>
                <w:p>
                  <w:pPr>
                    <w:pStyle w:val="IsiTabel"/>
                    <w:keepNext/>
                    <w:suppressAutoHyphens/>
                    <w:jc w:val="right"/>
                  </w:pPr>
                  <w:r>
                    <w:t xml:space="preserve">sekitar 2,6 juta</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2821" w:type="dxa"/>
                </w:tcPr>
                <w:p>
                  <w:pPr>
                    <w:pStyle w:val="IsiTabel"/>
                    <w:keepNext/>
                    <w:suppressAutoHyphens/>
                    <w:jc w:val="left"/>
                  </w:pPr>
                  <w:r>
                    <w:t xml:space="preserve">proksi kecamatan pada Mw </w:t>
                  </w:r>
                  <w:r>
                    <w:t xml:space="preserve">9,1</w:t>
                  </w:r>
                  <w:r>
                    <w:t xml:space="preserve">, bukan genangan; luput di </w:t>
                  </w:r>
                  <w:r>
                    <w:t xml:space="preserve">sekitar 20 kab/kota</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Faktor evakuasi dari estimasi model Cabinet Office Jepang 2025 diterapkan pada paparan, bukan pada korban tsunami: kematian tsunami menjadi </w:t>
                  </w:r>
                  <w:r>
                    <w:t xml:space="preserve">0,437</w:t>
                  </w:r>
                  <w:r>
                    <w:t xml:space="preserve"> kali bila evakuasi segera naik dari </w:t>
                  </w:r>
                  <w:r>
                    <w:t xml:space="preserve">20%</w:t>
                  </w:r>
                  <w:r>
                    <w:t xml:space="preserve"> ke </w:t>
                  </w:r>
                  <w:r>
                    <w:t xml:space="preserve">70%</w:t>
                  </w:r>
                  <w:r>
                    <w:t xml:space="preserve"> warga. Padanan faktor itu di Indonesia belum ada.</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039"/>
              <w:gridCol w:w="1862"/>
              <w:gridCol w:w="2677"/>
              <w:gridCol w:w="2677"/>
              <w:gridCol w:w="1099"/>
            </w:tblGrid>
            <w:tr>
              <w:trPr>
                <w:cantSplit/>
                <w:tblHeader/>
              </w:trPr>
              <w:tc>
                <w:tcPr>
                  <w:tcW w:w="1039" w:type="dxa"/>
                  <w:shd w:val="clear" w:color="auto" w:fill="051C2C"/>
                  <w:vAlign w:val="center"/>
                </w:tcPr>
                <w:p>
                  <w:pPr>
                    <w:pStyle w:val="KepalaTabel"/>
                    <w:keepNext/>
                    <w:suppressAutoHyphens/>
                  </w:pPr>
                  <w:r>
                    <w:t xml:space="preserve">TUAS</w:t>
                  </w:r>
                </w:p>
              </w:tc>
              <w:tc>
                <w:tcPr>
                  <w:tcW w:w="1862" w:type="dxa"/>
                  <w:shd w:val="clear" w:color="auto" w:fill="051C2C"/>
                  <w:vAlign w:val="center"/>
                </w:tcPr>
                <w:p>
                  <w:pPr>
                    <w:pStyle w:val="KepalaTabel"/>
                    <w:keepNext/>
                    <w:suppressAutoHyphens/>
                  </w:pPr>
                  <w:r>
                    <w:t xml:space="preserve">NILAI DASAR</w:t>
                  </w:r>
                </w:p>
              </w:tc>
              <w:tc>
                <w:tcPr>
                  <w:tcW w:w="2677" w:type="dxa"/>
                  <w:shd w:val="clear" w:color="auto" w:fill="051C2C"/>
                  <w:vAlign w:val="center"/>
                </w:tcPr>
                <w:p>
                  <w:pPr>
                    <w:pStyle w:val="KepalaTabel"/>
                    <w:keepNext/>
                    <w:suppressAutoHyphens/>
                  </w:pPr>
                  <w:r>
                    <w:t xml:space="preserve">NILAI DIGESER</w:t>
                  </w:r>
                </w:p>
              </w:tc>
              <w:tc>
                <w:tcPr>
                  <w:tcW w:w="2677" w:type="dxa"/>
                  <w:shd w:val="clear" w:color="auto" w:fill="051C2C"/>
                  <w:vAlign w:val="center"/>
                </w:tcPr>
                <w:p>
                  <w:pPr>
                    <w:pStyle w:val="KepalaTabel"/>
                    <w:keepNext/>
                    <w:suppressAutoHyphens/>
                  </w:pPr>
                  <w:r>
                    <w:t xml:space="preserve">KORBAN JIWA</w:t>
                  </w:r>
                </w:p>
              </w:tc>
              <w:tc>
                <w:tcPr>
                  <w:tcW w:w="1099" w:type="dxa"/>
                  <w:shd w:val="clear" w:color="auto" w:fill="051C2C"/>
                  <w:vAlign w:val="center"/>
                </w:tcPr>
                <w:p>
                  <w:pPr>
                    <w:pStyle w:val="KepalaTabel"/>
                    <w:keepNext/>
                    <w:suppressAutoHyphens/>
                  </w:pPr>
                  <w:r>
                    <w:t xml:space="preserve">KERUGIAN MATERIIL</w:t>
                  </w:r>
                </w:p>
              </w:tc>
            </w:tr>
            <w:tr>
              <w:trPr>
                <w:cantSplit/>
              </w:trPr>
              <w:tc>
                <w:tcPr>
                  <w:tcW w:w="1039" w:type="dxa"/>
                </w:tcPr>
                <w:p>
                  <w:pPr>
                    <w:pStyle w:val="IsiTabel"/>
                    <w:keepNext/>
                    <w:suppressAutoHyphens/>
                    <w:jc w:val="left"/>
                  </w:pPr>
                  <w:bookmarkStart w:id="319" w:name="_Ekor035a"/>
                  <w:bookmarkEnd w:id="319"/>
                  <w:r>
                    <w:t xml:space="preserve">Evakuasi segera saat guncangan kuat</w:t>
                  </w:r>
                </w:p>
              </w:tc>
              <w:tc>
                <w:tcPr>
                  <w:tcW w:w="1862" w:type="dxa"/>
                </w:tcPr>
                <w:p>
                  <w:pPr>
                    <w:pStyle w:val="IsiTabel"/>
                    <w:keepNext/>
                    <w:suppressAutoHyphens/>
                    <w:jc w:val="right"/>
                  </w:pPr>
                  <w:r>
                    <w:t xml:space="preserve">20%</w:t>
                  </w:r>
                  <w:r>
                    <w:t xml:space="preserve"> warga</w:t>
                  </w:r>
                </w:p>
              </w:tc>
              <w:tc>
                <w:tcPr>
                  <w:tcW w:w="2677" w:type="dxa"/>
                </w:tcPr>
                <w:p>
                  <w:pPr>
                    <w:pStyle w:val="IsiTabel"/>
                    <w:keepNext/>
                    <w:suppressAutoHyphens/>
                    <w:jc w:val="right"/>
                  </w:pPr>
                  <w:r>
                    <w:t xml:space="preserve">70%</w:t>
                  </w:r>
                  <w:r>
                    <w:t xml:space="preserve"> warga</w:t>
                  </w:r>
                </w:p>
              </w:tc>
              <w:tc>
                <w:tcPr>
                  <w:tcW w:w="2677" w:type="dxa"/>
                </w:tcPr>
                <w:p>
                  <w:pPr>
                    <w:pStyle w:val="IsiTabel"/>
                    <w:keepNext/>
                    <w:suppressAutoHyphens/>
                    <w:jc w:val="right"/>
                  </w:pPr>
                  <w:r>
                    <w:t xml:space="preserve">0,437</w:t>
                  </w:r>
                  <w:r>
                    <w:t xml:space="preserve"> kali kematian tsunami (faktor Jepang, atas paparan)</w:t>
                  </w:r>
                </w:p>
              </w:tc>
              <w:tc>
                <w:tcPr>
                  <w:tcW w:w="1099" w:type="dxa"/>
                </w:tcPr>
                <w:p>
                  <w:pPr>
                    <w:pStyle w:val="IsiTabel"/>
                    <w:keepNext/>
                    <w:suppressAutoHyphens/>
                    <w:jc w:val="left"/>
                  </w:pPr>
                  <w:r>
                    <w:t xml:space="preserve">tidak berubah: evakuasi tidak mengurangi rumah rusak</w:t>
                  </w:r>
                </w:p>
              </w:tc>
            </w:tr>
            <w:tr>
              <w:trPr>
                <w:cantSplit/>
              </w:trPr>
              <w:tc>
                <w:tcPr>
                  <w:tcW w:w="1039" w:type="dxa"/>
                </w:tcPr>
                <w:p>
                  <w:pPr>
                    <w:pStyle w:val="IsiTabel"/>
                    <w:keepNext/>
                    <w:suppressAutoHyphens/>
                    <w:jc w:val="left"/>
                  </w:pPr>
                  <w:r>
                    <w:t xml:space="preserve">Evakuasi segera menurut survei warga Jepang</w:t>
                  </w:r>
                </w:p>
              </w:tc>
              <w:tc>
                <w:tcPr>
                  <w:tcW w:w="1862" w:type="dxa"/>
                </w:tcPr>
                <w:p>
                  <w:pPr>
                    <w:pStyle w:val="IsiTabel"/>
                    <w:keepNext/>
                    <w:suppressAutoHyphens/>
                    <w:jc w:val="right"/>
                  </w:pPr>
                  <w:r>
                    <w:t xml:space="preserve">20%</w:t>
                  </w:r>
                  <w:r>
                    <w:t xml:space="preserve"> warga</w:t>
                  </w:r>
                </w:p>
              </w:tc>
              <w:tc>
                <w:tcPr>
                  <w:tcW w:w="2677" w:type="dxa"/>
                </w:tcPr>
                <w:p>
                  <w:pPr>
                    <w:pStyle w:val="IsiTabel"/>
                    <w:keepNext/>
                    <w:suppressAutoHyphens/>
                    <w:jc w:val="right"/>
                  </w:pPr>
                  <w:r>
                    <w:t xml:space="preserve">53,3%</w:t>
                  </w:r>
                  <w:r>
                    <w:t xml:space="preserve"> warga</w:t>
                  </w:r>
                </w:p>
              </w:tc>
              <w:tc>
                <w:tcPr>
                  <w:tcW w:w="2677" w:type="dxa"/>
                </w:tcPr>
                <w:p>
                  <w:pPr>
                    <w:pStyle w:val="IsiTabel"/>
                    <w:keepNext/>
                    <w:suppressAutoHyphens/>
                    <w:jc w:val="right"/>
                  </w:pPr>
                  <w:r>
                    <w:t xml:space="preserve">0,600</w:t>
                  </w:r>
                  <w:r>
                    <w:t xml:space="preserve"> kali kematian tsunami (faktor Jepang, atas paparan)</w:t>
                  </w:r>
                </w:p>
              </w:tc>
              <w:tc>
                <w:tcPr>
                  <w:tcW w:w="1099" w:type="dxa"/>
                </w:tcPr>
                <w:p>
                  <w:pPr>
                    <w:pStyle w:val="IsiTabel"/>
                    <w:keepNext/>
                    <w:suppressAutoHyphens/>
                    <w:jc w:val="left"/>
                  </w:pPr>
                  <w:r>
                    <w:t xml:space="preserve">tidak berubah</w:t>
                  </w:r>
                </w:p>
              </w:tc>
            </w:tr>
            <w:tr>
              <w:trPr>
                <w:cantSplit/>
              </w:trPr>
              <w:tc>
                <w:tcPr>
                  <w:tcW w:w="1039" w:type="dxa"/>
                </w:tcPr>
                <w:p>
                  <w:pPr>
                    <w:pStyle w:val="IsiTabel"/>
                    <w:keepNext/>
                    <w:suppressAutoHyphens/>
                    <w:jc w:val="left"/>
                  </w:pPr>
                  <w:bookmarkStart w:id="320" w:name="_Ekor035z"/>
                  <w:bookmarkEnd w:id="320"/>
                  <w:r>
                    <w:t xml:space="preserve">Ukuran paparan</w:t>
                  </w:r>
                </w:p>
              </w:tc>
              <w:tc>
                <w:tcPr>
                  <w:tcW w:w="1862" w:type="dxa"/>
                </w:tcPr>
                <w:p>
                  <w:pPr>
                    <w:pStyle w:val="IsiTabel"/>
                    <w:keepNext/>
                    <w:suppressAutoHyphens/>
                    <w:jc w:val="right"/>
                  </w:pPr>
                  <w:r>
                    <w:t xml:space="preserve">KRB tsunami nasional</w:t>
                  </w:r>
                </w:p>
              </w:tc>
              <w:tc>
                <w:tcPr>
                  <w:tcW w:w="2677" w:type="dxa"/>
                </w:tcPr>
                <w:p>
                  <w:pPr>
                    <w:pStyle w:val="IsiTabel"/>
                    <w:keepNext/>
                    <w:suppressAutoHyphens/>
                    <w:jc w:val="right"/>
                  </w:pPr>
                  <w:r>
                    <w:t xml:space="preserve">proksi pesisir rendah Pulau Jawa pada Mw </w:t>
                  </w:r>
                  <w:r>
                    <w:t xml:space="preserve">9,1</w:t>
                  </w:r>
                </w:p>
              </w:tc>
              <w:tc>
                <w:tcPr>
                  <w:tcW w:w="2677" w:type="dxa"/>
                </w:tcPr>
                <w:p>
                  <w:pPr>
                    <w:pStyle w:val="IsiTabel"/>
                    <w:keepNext/>
                    <w:suppressAutoHyphens/>
                    <w:jc w:val="right"/>
                  </w:pPr>
                  <w:r>
                    <w:t xml:space="preserve">5.341.282</w:t>
                  </w:r>
                  <w:r>
                    <w:t xml:space="preserve"> ke </w:t>
                  </w:r>
                  <w:r>
                    <w:t xml:space="preserve">sekitar 2,6 juta</w:t>
                  </w:r>
                  <w:r>
                    <w:t xml:space="preserve"> jiwa terpapar, ukuran berbeda</w:t>
                  </w:r>
                </w:p>
              </w:tc>
              <w:tc>
                <w:tcPr>
                  <w:tcW w:w="1099" w:type="dxa"/>
                </w:tcPr>
                <w:p>
                  <w:pPr>
                    <w:pStyle w:val="IsiTabel"/>
                    <w:keepNext/>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Evakuasi mandiri saat guncangan kuat di pantai yang dicapai tsunami kurang dari </w:t>
                  </w:r>
                  <w:r>
                    <w:t xml:space="preserve">30</w:t>
                  </w:r>
                  <w:r>
                    <w:t xml:space="preserve"> menit.</w:t>
                  </w:r>
                </w:p>
                <w:p>
                  <w:pPr>
                    <w:pStyle w:val="DaftarTabel"/>
                    <w:keepNext/>
                    <w:numPr>
                      <w:ilvl w:val="0"/>
                      <w:numId w:val="1"/>
                    </w:numPr>
                    <w:suppressAutoHyphens/>
                  </w:pPr>
                  <w:r>
                    <w:t xml:space="preserve">Sensor muka laut di dalam teluk tetap mengirim data saat jaringan komunikasi terganggu, belajar dari Palu 2018.</w:t>
                  </w:r>
                </w:p>
                <w:p>
                  <w:pPr>
                    <w:pStyle w:val="DaftarTabel"/>
                    <w:keepNext/>
                    <w:numPr>
                      <w:ilvl w:val="0"/>
                      <w:numId w:val="1"/>
                    </w:numPr>
                    <w:suppressAutoHyphens/>
                  </w:pPr>
                  <w:r>
                    <w:t xml:space="preserve">Pesan peringatan sampai ke rumah tangga pesisir, dan renkon tsunami provinsi memuat lantai per wilayah (</w:t>
                  </w:r>
                  <w:r>
                    <w:fldChar w:fldCharType="begin"/>
                  </w:r>
                  <w:r>
                    <w:instrText xml:space="preserve"> REF _Ref0090 \h \* CHARFORMAT </w:instrText>
                  </w:r>
                  <w:r>
                    <w:fldChar w:fldCharType="separate"/>
                  </w:r>
                  <w:r>
                    <w:t xml:space="preserve">18</w:t>
                  </w:r>
                  <w:r>
                    <w:fldChar w:fldCharType="end"/>
                  </w:r>
                  <w:r>
                    <w:t xml:space="preserve">).</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Penataan permukiman pesisir mengikuti genangan tsunami resmi saat tersedia.</w:t>
                  </w:r>
                </w:p>
                <w:p>
                  <w:pPr>
                    <w:pStyle w:val="DaftarTabel"/>
                    <w:keepNext/>
                    <w:numPr>
                      <w:ilvl w:val="0"/>
                      <w:numId w:val="1"/>
                    </w:numPr>
                    <w:suppressAutoHyphens/>
                  </w:pPr>
                  <w:r>
                    <w:t xml:space="preserve">Penilaian kerusakan dengan instrumen rumah rusak yang sama untuk DIBI dan R3P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Pemulihan layanan pesisir yang berada di kelas bahaya tinggi tsunami.</w:t>
                  </w:r>
                </w:p>
              </w:tc>
            </w:tr>
          </w:tbl>
          <w:p>
            <w:pPr>
              <w:pStyle w:val="IsiTabel"/>
              <w:keepNext/>
              <w:spacing w:before="80"/>
            </w:pPr>
            <w:r>
              <w:rPr>
                <w:i/>
                <w:iCs/>
                <w:color w:val="2E3440"/>
                <w:sz w:val="17"/>
                <w:szCs w:val="17"/>
              </w:rPr>
              <w:t xml:space="preserve">Kelas kemungkinan mengikuti sumber gempa Mw </w:t>
            </w:r>
            <w:r>
              <w:rPr>
                <w:i/>
                <w:iCs/>
                <w:color w:val="2E3440"/>
                <w:sz w:val="17"/>
                <w:szCs w:val="17"/>
              </w:rPr>
              <w:t xml:space="preserve">9,1</w:t>
            </w:r>
            <w:r>
              <w:rPr>
                <w:i/>
                <w:iCs/>
                <w:color w:val="2E3440"/>
                <w:sz w:val="17"/>
                <w:szCs w:val="17"/>
              </w:rPr>
              <w:t xml:space="preserve"> selatan Jawa (</w:t>
            </w:r>
            <w:r>
              <w:rPr>
                <w:i/>
                <w:iCs/>
                <w:color w:val="2E3440"/>
                <w:sz w:val="17"/>
                <w:szCs w:val="17"/>
              </w:rPr>
              <w:t xml:space="preserve">0,83%</w:t>
            </w:r>
            <w:r>
              <w:rPr>
                <w:i/>
                <w:iCs/>
                <w:color w:val="2E3440"/>
                <w:sz w:val="17"/>
                <w:szCs w:val="17"/>
              </w:rPr>
              <w:t xml:space="preserve"> dalam lima tahun); segmen Mentawai dan Enggano </w:t>
            </w:r>
            <w:r>
              <w:rPr>
                <w:i/>
                <w:iCs/>
                <w:color w:val="2E3440"/>
                <w:sz w:val="17"/>
                <w:szCs w:val="17"/>
              </w:rPr>
              <w:t xml:space="preserve">1,50%</w:t>
            </w:r>
            <w:r>
              <w:rPr>
                <w:i/>
                <w:iCs/>
                <w:color w:val="2E3440"/>
                <w:sz w:val="17"/>
                <w:szCs w:val="17"/>
              </w:rPr>
              <w:t xml:space="preserve">. Jiwa pesisir rendah adalah simulasi skenario Pantau Bencana, belum divalidasi.</w:t>
            </w:r>
          </w:p>
          <w:p>
            <w:pPr>
              <w:pStyle w:val="IsiTabel"/>
              <w:keepNext/>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21" w:name="_Kartu004z"/>
      <w:r>
        <w:rPr>
          <w:b/>
          <w:bCs/>
          <w:color w:val="6B7280"/>
          <w:sz w:val="17"/>
          <w:szCs w:val="17"/>
        </w:rPr>
        <w:t xml:space="preserve">Sumber: </w:t>
      </w:r>
      <w:r>
        <w:rPr>
          <w:color w:val="6B7280"/>
          <w:sz w:val="17"/>
          <w:szCs w:val="17"/>
        </w:rPr>
        <w:t xml:space="preserve">KRB 2022–2026 </w:t>
      </w:r>
      <w:r>
        <w:rPr>
          <w:color w:val="6B7280"/>
          <w:sz w:val="17"/>
          <w:szCs w:val="17"/>
        </w:rPr>
        <w:t xml:space="preserve">(BNPB, 2025c, 2026i)</w:t>
      </w:r>
      <w:r>
        <w:rPr>
          <w:color w:val="6B7280"/>
          <w:sz w:val="17"/>
          <w:szCs w:val="17"/>
        </w:rPr>
        <w:t xml:space="preserve">; </w:t>
      </w:r>
      <w:r>
        <w:rPr>
          <w:color w:val="6B7280"/>
          <w:sz w:val="17"/>
          <w:szCs w:val="17"/>
        </w:rPr>
        <w:t xml:space="preserve">Widiyantoro dkk. (2020)</w:t>
      </w:r>
      <w:r>
        <w:rPr>
          <w:color w:val="6B7280"/>
          <w:sz w:val="17"/>
          <w:szCs w:val="17"/>
        </w:rPr>
        <w:t xml:space="preserve">; USGS </w:t>
      </w:r>
      <w:r>
        <w:rPr>
          <w:color w:val="6B7280"/>
          <w:sz w:val="17"/>
          <w:szCs w:val="17"/>
        </w:rPr>
        <w:t xml:space="preserve">(USGS, 2006b)</w:t>
      </w:r>
      <w:r>
        <w:rPr>
          <w:color w:val="6B7280"/>
          <w:sz w:val="17"/>
          <w:szCs w:val="17"/>
        </w:rPr>
        <w:t xml:space="preserve">; DIBI BNPB </w:t>
      </w:r>
      <w:r>
        <w:rPr>
          <w:color w:val="6B7280"/>
          <w:sz w:val="17"/>
          <w:szCs w:val="17"/>
        </w:rPr>
        <w:t xml:space="preserve">(BNPB, t.t.-a)</w:t>
      </w:r>
      <w:r>
        <w:rPr>
          <w:color w:val="6B7280"/>
          <w:sz w:val="17"/>
          <w:szCs w:val="17"/>
        </w:rPr>
        <w:t xml:space="preserve">; BRR </w:t>
      </w:r>
      <w:r>
        <w:rPr>
          <w:color w:val="6B7280"/>
          <w:sz w:val="17"/>
          <w:szCs w:val="17"/>
        </w:rPr>
        <w:t xml:space="preserve">(BRR NAD–Nias, 2009b)</w:t>
      </w:r>
      <w:r>
        <w:rPr>
          <w:color w:val="6B7280"/>
          <w:sz w:val="17"/>
          <w:szCs w:val="17"/>
        </w:rPr>
        <w:t xml:space="preserve">; Cabinet Office Jepang </w:t>
      </w:r>
      <w:r>
        <w:rPr>
          <w:color w:val="6B7280"/>
          <w:sz w:val="17"/>
          <w:szCs w:val="17"/>
        </w:rPr>
        <w:t xml:space="preserve">(中央防災会議 防災対策実行会議 南海トラフ巨大地震対策検討ワーキンググループ (Central Disaster Management Council, Japan), 2025)</w:t>
      </w:r>
      <w:r>
        <w:rPr>
          <w:color w:val="6B7280"/>
          <w:sz w:val="17"/>
          <w:szCs w:val="17"/>
        </w:rPr>
        <w:t xml:space="preserve">;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321"/>
    </w:p>
    <w:p>
      <w:pPr>
        <w:pStyle w:val="Heading2"/>
      </w:pPr>
      <w:bookmarkStart w:id="323" w:name="_Toc00116"/>
      <w:bookmarkStart w:id="322" w:name="_Ref0136"/>
      <w:r>
        <w:t xml:space="preserve">6.4</w:t>
      </w:r>
      <w:bookmarkEnd w:id="322"/>
      <w:r>
        <w:tab/>
      </w:r>
      <w:r>
        <w:t xml:space="preserve">Gunung Api</w:t>
      </w:r>
      <w:bookmarkEnd w:id="323"/>
    </w:p>
    <w:p>
      <w:pPr>
        <w:pStyle w:val="IsiTemuan"/>
      </w:pPr>
      <w:r>
        <w:rPr>
          <w:b/>
          <w:bCs/>
          <w:color w:val="051C2C"/>
        </w:rPr>
        <w:t xml:space="preserve">KRB 2022–2026 mencatat </w:t>
      </w:r>
      <w:r>
        <w:rPr>
          <w:b/>
          <w:bCs/>
          <w:color w:val="051C2C"/>
        </w:rPr>
        <w:t xml:space="preserve">5.864.711</w:t>
      </w:r>
      <w:r>
        <w:rPr>
          <w:b/>
          <w:bCs/>
          <w:color w:val="051C2C"/>
        </w:rPr>
        <w:t xml:space="preserve"> jiwa terpapar letusan gunung api, sedangkan zona Kawasan Rawan Bencana III tahun 2018 untuk tiga puluh gunung memuat </w:t>
      </w:r>
      <w:r>
        <w:rPr>
          <w:b/>
          <w:bCs/>
          <w:color w:val="051C2C"/>
        </w:rPr>
        <w:t xml:space="preserve">86.615</w:t>
      </w:r>
      <w:r>
        <w:rPr>
          <w:b/>
          <w:bCs/>
          <w:color w:val="051C2C"/>
        </w:rPr>
        <w:t xml:space="preserve"> jiwa.</w:t>
      </w:r>
      <w:r>
        <w:t xml:space="preserve"> Zona itu ditetapkan Pusat Vulkanologi dan Mitigasi Bencana Geologi (PVMBG) dan selanjutnya disebut zona KRB III. Merapi dan Agung memuat </w:t>
      </w:r>
      <w:r>
        <w:t xml:space="preserve">75,0%</w:t>
      </w:r>
      <w:r>
        <w:t xml:space="preserve"> jiwa zona KRB III itu, sedangkan zona KRB II dan KRB I masing-masing memuat </w:t>
      </w:r>
      <w:r>
        <w:t xml:space="preserve">297.012</w:t>
      </w:r>
      <w:r>
        <w:t xml:space="preserve"> dan </w:t>
      </w:r>
      <w:r>
        <w:t xml:space="preserve">482.762</w:t>
      </w:r>
      <w:r>
        <w:t xml:space="preserve"> jiwa dengan penduduk WorldPop 2026 </w:t>
      </w:r>
      <w:r>
        <w:t xml:space="preserve">(Pantau Bencana, 2026e)</w:t>
      </w:r>
      <w:r>
        <w:t xml:space="preserve">. Cakupan zona PVMBG itu lebih sempit daripada paparan KRB nasional, sehingga kedua angka tidak dibandingkan langsung. IRBI 2025 memberi nilai gunung api untuk </w:t>
      </w:r>
      <w:r>
        <w:t xml:space="preserve">132</w:t>
      </w:r>
      <w:r>
        <w:t xml:space="preserve"> kab/kota, dengan </w:t>
      </w:r>
      <w:r>
        <w:t xml:space="preserve">31</w:t>
      </w:r>
      <w:r>
        <w:t xml:space="preserve"> di kelas nilai teratas </w:t>
      </w:r>
      <w:r>
        <w:t xml:space="preserve">(BNPB, t.t.-b)</w:t>
      </w:r>
      <w:r>
        <w:t xml:space="preserve">. Pemutakhiran zona per gunung sesudah 2018 belum diperiksa kajian ini.</w:t>
      </w:r>
    </w:p>
    <w:p>
      <w:pPr>
        <w:pStyle w:val="IsiTemuan"/>
      </w:pPr>
      <w:r>
        <w:rPr>
          <w:b/>
          <w:bCs/>
          <w:color w:val="051C2C"/>
        </w:rPr>
        <w:t xml:space="preserve">Erupsi Merapi 2010 tercatat </w:t>
      </w:r>
      <w:r>
        <w:rPr>
          <w:b/>
          <w:bCs/>
          <w:color w:val="051C2C"/>
        </w:rPr>
        <w:t xml:space="preserve">386</w:t>
      </w:r>
      <w:r>
        <w:rPr>
          <w:b/>
          <w:bCs/>
          <w:color w:val="051C2C"/>
        </w:rPr>
        <w:t xml:space="preserve"> meninggal, </w:t>
      </w:r>
      <w:r>
        <w:rPr>
          <w:b/>
          <w:bCs/>
          <w:color w:val="051C2C"/>
        </w:rPr>
        <w:t xml:space="preserve">447.982</w:t>
      </w:r>
      <w:r>
        <w:rPr>
          <w:b/>
          <w:bCs/>
          <w:color w:val="051C2C"/>
        </w:rPr>
        <w:t xml:space="preserve"> pengungsi, dan </w:t>
      </w:r>
      <w:r>
        <w:rPr>
          <w:b/>
          <w:bCs/>
          <w:color w:val="051C2C"/>
        </w:rPr>
        <w:t xml:space="preserve">2.919</w:t>
      </w:r>
      <w:r>
        <w:rPr>
          <w:b/>
          <w:bCs/>
          <w:color w:val="051C2C"/>
        </w:rPr>
        <w:t xml:space="preserve"> rumah rusak di DIBI, korban erupsi terbesar di DIBI sejak 2008.</w:t>
      </w:r>
      <w:r>
        <w:t xml:space="preserve"> Surono dkk. memperkirakan bahwa prakiraan PVMBG yang tepat waktu menyelamatkan </w:t>
      </w:r>
      <w:r>
        <w:t xml:space="preserve">10.000–20.000</w:t>
      </w:r>
      <w:r>
        <w:t xml:space="preserve"> jiwa; angka itu perkiraan penulis, bukan hasil evaluasi berpembanding </w:t>
      </w:r>
      <w:r>
        <w:t xml:space="preserve">(Surono dkk., 2012; BNPB, t.t.-a)</w:t>
      </w:r>
      <w:r>
        <w:t xml:space="preserve">. Erupsi Semeru 2021 tercatat </w:t>
      </w:r>
      <w:r>
        <w:t xml:space="preserve">64</w:t>
      </w:r>
      <w:r>
        <w:t xml:space="preserve"> meninggal dan </w:t>
      </w:r>
      <w:r>
        <w:t xml:space="preserve">9</w:t>
      </w:r>
      <w:r>
        <w:t xml:space="preserve"> hilang. Penilaian kerusakan dan kerugian Merapi 2010 tidak ditemukan.</w:t>
      </w:r>
    </w:p>
    <w:p>
      <w:pPr>
        <w:pStyle w:val="IsiTemuan"/>
      </w:pPr>
      <w:r>
        <w:rPr>
          <w:b/>
          <w:bCs/>
          <w:color w:val="051C2C"/>
        </w:rPr>
        <w:t xml:space="preserve">Model sapuan awan panas dan lahar setara Merapi 2010 memberi </w:t>
      </w:r>
      <w:r>
        <w:rPr>
          <w:b/>
          <w:bCs/>
          <w:color w:val="051C2C"/>
        </w:rPr>
        <w:t xml:space="preserve">sekitar 90.000</w:t>
      </w:r>
      <w:r>
        <w:rPr>
          <w:b/>
          <w:bCs/>
          <w:color w:val="051C2C"/>
        </w:rPr>
        <w:t xml:space="preserve"> jiwa di area sapuan tanpa evakuasi dan </w:t>
      </w:r>
      <w:r>
        <w:rPr>
          <w:b/>
          <w:bCs/>
          <w:color w:val="051C2C"/>
        </w:rPr>
        <w:t xml:space="preserve">sekitar 1,6 juta</w:t>
      </w:r>
      <w:r>
        <w:rPr>
          <w:b/>
          <w:bCs/>
          <w:color w:val="051C2C"/>
        </w:rPr>
        <w:t xml:space="preserve"> pengungsi pada radius 2010.</w:t>
      </w:r>
      <w:r>
        <w:t xml:space="preserve"> Sebaran model tidak cocok dengan kejadian, karena paparan sapuan model terbesar jatuh di Magelang, sedangkan korban nyata terbanyak berada di Sleman </w:t>
      </w:r>
      <w:r>
        <w:t xml:space="preserve">(Pantau Bencana, 2026e)</w:t>
      </w:r>
      <w:r>
        <w:t xml:space="preserve">. Oleh sebab itu, angka sapuan hanya menjadi konteks paparan dan tidak dibagi dengan korban tercatat. Kartu gunung api memakai Merapi 2010 sebagai analog dan menyebut Agung sebagai paparan zona KRB III terbesar kedua tanpa skenario.</w:t>
      </w:r>
    </w:p>
    <w:p>
      <w:pPr>
        <w:pStyle w:val="Caption"/>
        <w:pageBreakBefore/>
      </w:pPr>
      <w:bookmarkStart w:id="325" w:name="_Toc00117"/>
      <w:bookmarkStart w:id="324" w:name="_Ref028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324"/>
      <w:r>
        <w:rPr>
          <w:b/>
          <w:bCs/>
          <w:color w:val="051C2C"/>
        </w:rPr>
        <w:t xml:space="preserve"> </w:t>
      </w:r>
      <w:r>
        <w:t xml:space="preserve">Erupsi gunung api setara Merapi 2010</w:t>
      </w:r>
      <w:bookmarkEnd w:id="325"/>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keepNext/>
                    <w:spacing w:after="0"/>
                  </w:pPr>
                  <w:bookmarkStart w:id="327" w:name="_Kartu005a"/>
                  <w:bookmarkStart w:id="326" w:name="_Obj0031"/>
                  <w:r>
                    <w:rPr>
                      <w:position w:val="-10"/>
                    </w:rPr>
                    <w:drawing>
                      <wp:inline distT="0" distB="0" distL="0" distR="0">
                        <wp:extent cx="216000" cy="216000"/>
                        <wp:effectExtent l="0" t="0" r="0" b="0"/>
                        <wp:docPr id="69" name="Gambar 69"/>
                        <wp:cNvGraphicFramePr>
                          <a:graphicFrameLocks noChangeAspect="1"/>
                        </wp:cNvGraphicFramePr>
                        <a:graphic>
                          <a:graphicData uri="http://schemas.openxmlformats.org/drawingml/2006/picture">
                            <pic:pic>
                              <pic:nvPicPr>
                                <pic:cNvPr id="69" name="gunungapi-lucide-mountain-FFFFFF-8A4B2A.png"/>
                                <pic:cNvPicPr/>
                              </pic:nvPicPr>
                              <pic:blipFill>
                                <a:blip r:embed="rId51"/>
                                <a:stretch>
                                  <a:fillRect/>
                                </a:stretch>
                              </pic:blipFill>
                              <pic:spPr>
                                <a:xfrm>
                                  <a:off x="0" y="0"/>
                                  <a:ext cx="216000" cy="216000"/>
                                </a:xfrm>
                                <a:prstGeom prst="rect">
                                  <a:avLst/>
                                </a:prstGeom>
                              </pic:spPr>
                            </pic:pic>
                          </a:graphicData>
                        </a:graphic>
                      </wp:inline>
                    </w:drawing>
                  </w:r>
                  <w:r>
                    <w:t xml:space="preserve"> </w:t>
                  </w:r>
                  <w:r>
                    <w:rPr>
                      <w:b/>
                      <w:bCs/>
                    </w:rPr>
                    <w:t xml:space="preserve">Letusan gunung api</w:t>
                  </w:r>
                  <w:r>
                    <w:rPr>
                      <w:color w:val="2E3440"/>
                    </w:rPr>
                    <w:t xml:space="preserve">  Geologi</w:t>
                  </w:r>
                  <w:bookmarkEnd w:id="326"/>
                  <w:bookmarkEnd w:id="327"/>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analog; Merapi dan Agung memuat </w:t>
                        </w:r>
                        <w:r>
                          <w:t xml:space="preserve">75,0%</w:t>
                        </w:r>
                        <w:r>
                          <w:t xml:space="preserve"> jiwa zona KRB III tiga puluh gunung; korban dan pengungsi dari catatan DIBI musim erupsi 2010, model sapuan hanya pembanding paparan.</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Periode ulang tidak dinilai: kelas peluang letusan setara 2010 tidak tersedia di bahan kajian</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70" name="Gambar 70"/>
                              <wp:cNvGraphicFramePr>
                                <a:graphicFrameLocks noChangeAspect="1"/>
                              </wp:cNvGraphicFramePr>
                              <a:graphic>
                                <a:graphicData uri="http://schemas.openxmlformats.org/drawingml/2006/picture">
                                  <pic:pic>
                                    <pic:nvPicPr>
                                      <pic:cNvPr id="7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Kementerian ESDM (Badan Geologi)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71" name="Gambar 71"/>
                              <wp:cNvGraphicFramePr>
                                <a:graphicFrameLocks noChangeAspect="1"/>
                              </wp:cNvGraphicFramePr>
                              <a:graphic>
                                <a:graphicData uri="http://schemas.openxmlformats.org/drawingml/2006/picture">
                                  <pic:pic>
                                    <pic:nvPicPr>
                                      <pic:cNvPr id="7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2" name="Gambar 72"/>
                              <wp:cNvGraphicFramePr>
                                <a:graphicFrameLocks noChangeAspect="1"/>
                              </wp:cNvGraphicFramePr>
                              <a:graphic>
                                <a:graphicData uri="http://schemas.openxmlformats.org/drawingml/2006/picture">
                                  <pic:pic>
                                    <pic:nvPicPr>
                                      <pic:cNvPr id="7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DI Yogyakarta dan Jawa Tengah</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129176"/>
                        <wp:effectExtent l="0" t="0" r="0" b="0"/>
                        <wp:docPr id="73" name="Gambar 73"/>
                        <wp:cNvGraphicFramePr>
                          <a:graphicFrameLocks noChangeAspect="1"/>
                        </wp:cNvGraphicFramePr>
                        <a:graphic>
                          <a:graphicData uri="http://schemas.openxmlformats.org/drawingml/2006/picture">
                            <pic:pic>
                              <pic:nvPicPr>
                                <pic:cNvPr id="73" name="bab06-kartu-gunungapi.png"/>
                                <pic:cNvPicPr/>
                              </pic:nvPicPr>
                              <pic:blipFill>
                                <a:blip r:embed="rId52"/>
                                <a:stretch>
                                  <a:fillRect/>
                                </a:stretch>
                              </pic:blipFill>
                              <pic:spPr>
                                <a:xfrm>
                                  <a:off x="0" y="0"/>
                                  <a:ext cx="1882800" cy="2129176"/>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948"/>
              <w:gridCol w:w="1366"/>
              <w:gridCol w:w="852"/>
              <w:gridCol w:w="1695"/>
              <w:gridCol w:w="2493"/>
            </w:tblGrid>
            <w:tr>
              <w:trPr>
                <w:cantSplit/>
                <w:tblHeader/>
              </w:trPr>
              <w:tc>
                <w:tcPr>
                  <w:tcW w:w="2948" w:type="dxa"/>
                  <w:shd w:val="clear" w:color="auto" w:fill="051C2C"/>
                  <w:vAlign w:val="center"/>
                </w:tcPr>
                <w:p>
                  <w:pPr>
                    <w:pStyle w:val="KepalaTabel"/>
                    <w:keepNext/>
                    <w:suppressAutoHyphens/>
                  </w:pPr>
                  <w:r>
                    <w:t xml:space="preserve">BESARAN</w:t>
                  </w:r>
                </w:p>
              </w:tc>
              <w:tc>
                <w:tcPr>
                  <w:tcW w:w="1366"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695" w:type="dxa"/>
                  <w:shd w:val="clear" w:color="auto" w:fill="051C2C"/>
                  <w:vAlign w:val="center"/>
                </w:tcPr>
                <w:p>
                  <w:pPr>
                    <w:pStyle w:val="KepalaTabel"/>
                    <w:keepNext/>
                    <w:suppressAutoHyphens/>
                  </w:pPr>
                  <w:r>
                    <w:t xml:space="preserve">KEYAKINAN</w:t>
                  </w:r>
                </w:p>
              </w:tc>
              <w:tc>
                <w:tcPr>
                  <w:tcW w:w="2493" w:type="dxa"/>
                  <w:shd w:val="clear" w:color="auto" w:fill="051C2C"/>
                  <w:vAlign w:val="center"/>
                </w:tcPr>
                <w:p>
                  <w:pPr>
                    <w:pStyle w:val="KepalaTabel"/>
                    <w:keepNext/>
                    <w:suppressAutoHyphens/>
                  </w:pPr>
                  <w:r>
                    <w:t xml:space="preserve">SUMBER</w:t>
                  </w:r>
                </w:p>
              </w:tc>
            </w:tr>
            <w:tr>
              <w:trPr>
                <w:cantSplit/>
              </w:trPr>
              <w:tc>
                <w:tcPr>
                  <w:tcW w:w="2948" w:type="dxa"/>
                </w:tcPr>
                <w:p>
                  <w:pPr>
                    <w:pStyle w:val="IsiTabel"/>
                    <w:keepNext/>
                    <w:suppressAutoHyphens/>
                    <w:jc w:val="left"/>
                  </w:pPr>
                  <w:r>
                    <w:t xml:space="preserve">Kependudukan, korban jiwa tercatat Merapi 2010</w:t>
                  </w:r>
                </w:p>
              </w:tc>
              <w:tc>
                <w:tcPr>
                  <w:tcW w:w="1366" w:type="dxa"/>
                </w:tcPr>
                <w:p>
                  <w:pPr>
                    <w:pStyle w:val="IsiTabel"/>
                    <w:keepNext/>
                    <w:suppressAutoHyphens/>
                    <w:jc w:val="right"/>
                  </w:pPr>
                  <w:r>
                    <w:t xml:space="preserve">386</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493" w:type="dxa"/>
                </w:tcPr>
                <w:p>
                  <w:pPr>
                    <w:pStyle w:val="IsiTabel"/>
                    <w:keepNext/>
                    <w:suppressAutoHyphens/>
                    <w:jc w:val="left"/>
                  </w:pPr>
                  <w:r>
                    <w:t xml:space="preserve">DIBI BNPB</w:t>
                  </w:r>
                </w:p>
              </w:tc>
            </w:tr>
            <w:tr>
              <w:trPr>
                <w:cantSplit/>
              </w:trPr>
              <w:tc>
                <w:tcPr>
                  <w:tcW w:w="2948" w:type="dxa"/>
                </w:tcPr>
                <w:p>
                  <w:pPr>
                    <w:pStyle w:val="IsiTabel"/>
                    <w:keepNext/>
                    <w:suppressAutoHyphens/>
                    <w:jc w:val="left"/>
                  </w:pPr>
                  <w:r>
                    <w:t xml:space="preserve">Kependudukan, jiwa di area sapuan tanpa evakuasi</w:t>
                  </w:r>
                </w:p>
              </w:tc>
              <w:tc>
                <w:tcPr>
                  <w:tcW w:w="1366" w:type="dxa"/>
                </w:tcPr>
                <w:p>
                  <w:pPr>
                    <w:pStyle w:val="IsiTabel"/>
                    <w:keepNext/>
                    <w:suppressAutoHyphens/>
                    <w:jc w:val="right"/>
                  </w:pPr>
                  <w:r>
                    <w:t xml:space="preserve">sekitar 90.000</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D9600B"/>
                    </w:rPr>
                    <w:t xml:space="preserve">  Estimasi model  </w:t>
                  </w:r>
                </w:p>
              </w:tc>
              <w:tc>
                <w:tcPr>
                  <w:tcW w:w="2493" w:type="dxa"/>
                </w:tcPr>
                <w:p>
                  <w:pPr>
                    <w:pStyle w:val="IsiTabel"/>
                    <w:keepNext/>
                    <w:suppressAutoHyphens/>
                    <w:jc w:val="left"/>
                  </w:pPr>
                  <w:r>
                    <w:t xml:space="preserve">simulasi Pantau Bencana; sebaran tidak cocok dengan kejadian</w:t>
                  </w:r>
                </w:p>
              </w:tc>
            </w:tr>
            <w:tr>
              <w:trPr>
                <w:cantSplit/>
              </w:trPr>
              <w:tc>
                <w:tcPr>
                  <w:tcW w:w="2948" w:type="dxa"/>
                </w:tcPr>
                <w:p>
                  <w:pPr>
                    <w:pStyle w:val="IsiTabel"/>
                    <w:keepNext/>
                    <w:suppressAutoHyphens/>
                    <w:jc w:val="left"/>
                  </w:pPr>
                  <w:r>
                    <w:t xml:space="preserve">Kependudukan, jiwa di zona KRB III tiga puluh gunung</w:t>
                  </w:r>
                </w:p>
              </w:tc>
              <w:tc>
                <w:tcPr>
                  <w:tcW w:w="1366" w:type="dxa"/>
                </w:tcPr>
                <w:p>
                  <w:pPr>
                    <w:pStyle w:val="IsiTabel"/>
                    <w:keepNext/>
                    <w:suppressAutoHyphens/>
                    <w:jc w:val="right"/>
                  </w:pPr>
                  <w:r>
                    <w:t xml:space="preserve">86.615</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493" w:type="dxa"/>
                </w:tcPr>
                <w:p>
                  <w:pPr>
                    <w:pStyle w:val="IsiTabel"/>
                    <w:keepNext/>
                    <w:suppressAutoHyphens/>
                    <w:jc w:val="left"/>
                  </w:pPr>
                  <w:r>
                    <w:t xml:space="preserve">zona PVMBG 2018 dengan penduduk WorldPop 2026</w:t>
                  </w:r>
                </w:p>
              </w:tc>
            </w:tr>
            <w:tr>
              <w:trPr>
                <w:cantSplit/>
              </w:trPr>
              <w:tc>
                <w:tcPr>
                  <w:tcW w:w="2948" w:type="dxa"/>
                </w:tcPr>
                <w:p>
                  <w:pPr>
                    <w:pStyle w:val="IsiTabel"/>
                    <w:keepNext/>
                    <w:suppressAutoHyphens/>
                    <w:jc w:val="left"/>
                  </w:pPr>
                  <w:r>
                    <w:t xml:space="preserve">Lingkungan, luas sapuan awan panas dan lahar (ha)</w:t>
                  </w:r>
                </w:p>
              </w:tc>
              <w:tc>
                <w:tcPr>
                  <w:tcW w:w="1366" w:type="dxa"/>
                </w:tcPr>
                <w:p>
                  <w:pPr>
                    <w:pStyle w:val="IsiTabel"/>
                    <w:keepNext/>
                    <w:suppressAutoHyphens/>
                    <w:jc w:val="right"/>
                  </w:pPr>
                  <w:r>
                    <w:t xml:space="preserve">sekitar 8.000</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D9600B"/>
                    </w:rPr>
                    <w:t xml:space="preserve">  Estimasi model  </w:t>
                  </w:r>
                </w:p>
              </w:tc>
              <w:tc>
                <w:tcPr>
                  <w:tcW w:w="2493" w:type="dxa"/>
                </w:tcPr>
                <w:p>
                  <w:pPr>
                    <w:pStyle w:val="IsiTabel"/>
                    <w:keepNext/>
                    <w:suppressAutoHyphens/>
                    <w:jc w:val="left"/>
                  </w:pPr>
                  <w:r>
                    <w:t xml:space="preserve">simulasi Pantau Bencana</w:t>
                  </w:r>
                </w:p>
              </w:tc>
            </w:tr>
            <w:tr>
              <w:trPr>
                <w:cantSplit/>
              </w:trPr>
              <w:tc>
                <w:tcPr>
                  <w:tcW w:w="2948" w:type="dxa"/>
                </w:tcPr>
                <w:p>
                  <w:pPr>
                    <w:pStyle w:val="IsiTabel"/>
                    <w:keepNext/>
                    <w:suppressAutoHyphens/>
                    <w:jc w:val="left"/>
                  </w:pPr>
                  <w:r>
                    <w:t xml:space="preserve">Ekonomi, stimulan rumah (batas bawah)</w:t>
                  </w:r>
                </w:p>
              </w:tc>
              <w:tc>
                <w:tcPr>
                  <w:tcW w:w="1366" w:type="dxa"/>
                </w:tcPr>
                <w:p>
                  <w:pPr>
                    <w:pStyle w:val="IsiTabel"/>
                    <w:keepNext/>
                    <w:suppressAutoHyphens/>
                    <w:jc w:val="right"/>
                  </w:pPr>
                  <w:r>
                    <w:t xml:space="preserve">Rp157,1 miliar</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493" w:type="dxa"/>
                </w:tcPr>
                <w:p>
                  <w:pPr>
                    <w:pStyle w:val="IsiTabel"/>
                    <w:keepNext/>
                    <w:suppressAutoHyphens/>
                    <w:jc w:val="left"/>
                  </w:pPr>
                  <w:r>
                    <w:t xml:space="preserve">rumah rusak DIBI; penilaian kerugian tidak ditemukan</w:t>
                  </w:r>
                </w:p>
              </w:tc>
            </w:tr>
            <w:tr>
              <w:trPr>
                <w:cantSplit/>
              </w:trPr>
              <w:tc>
                <w:tcPr>
                  <w:tcW w:w="2948" w:type="dxa"/>
                </w:tcPr>
                <w:p>
                  <w:pPr>
                    <w:pStyle w:val="IsiTabel"/>
                    <w:keepNext/>
                    <w:suppressAutoHyphens/>
                    <w:jc w:val="left"/>
                  </w:pPr>
                  <w:bookmarkStart w:id="328" w:name="_Ekor036a"/>
                  <w:bookmarkEnd w:id="328"/>
                  <w:r>
                    <w:t xml:space="preserve">Infrastruktur/fisik, rumah rusak</w:t>
                  </w:r>
                </w:p>
              </w:tc>
              <w:tc>
                <w:tcPr>
                  <w:tcW w:w="1366" w:type="dxa"/>
                </w:tcPr>
                <w:p>
                  <w:pPr>
                    <w:pStyle w:val="IsiTabel"/>
                    <w:keepNext/>
                    <w:suppressAutoHyphens/>
                    <w:jc w:val="right"/>
                  </w:pPr>
                  <w:r>
                    <w:t xml:space="preserve">2.919</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493" w:type="dxa"/>
                </w:tcPr>
                <w:p>
                  <w:pPr>
                    <w:pStyle w:val="IsiTabel"/>
                    <w:keepNext/>
                    <w:suppressAutoHyphens/>
                    <w:jc w:val="left"/>
                  </w:pPr>
                  <w:r>
                    <w:t xml:space="preserve">DIBI BNPB</w:t>
                  </w:r>
                </w:p>
              </w:tc>
            </w:tr>
            <w:tr>
              <w:trPr>
                <w:cantSplit/>
              </w:trPr>
              <w:tc>
                <w:tcPr>
                  <w:tcW w:w="2948" w:type="dxa"/>
                </w:tcPr>
                <w:p>
                  <w:pPr>
                    <w:pStyle w:val="IsiTabel"/>
                    <w:keepNext/>
                    <w:suppressAutoHyphens/>
                    <w:jc w:val="left"/>
                  </w:pPr>
                  <w:r>
                    <w:t xml:space="preserve">Layanan sipil, puskesmas di kelas bahaya tinggi gunung api (nasional)</w:t>
                  </w:r>
                </w:p>
              </w:tc>
              <w:tc>
                <w:tcPr>
                  <w:tcW w:w="1366" w:type="dxa"/>
                </w:tcPr>
                <w:p>
                  <w:pPr>
                    <w:pStyle w:val="IsiTabel"/>
                    <w:keepNext/>
                    <w:suppressAutoHyphens/>
                    <w:jc w:val="right"/>
                  </w:pPr>
                  <w:r>
                    <w:t xml:space="preserve">378</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493" w:type="dxa"/>
                </w:tcPr>
                <w:p>
                  <w:pPr>
                    <w:pStyle w:val="IsiTabel"/>
                    <w:keepNext/>
                    <w:suppressAutoHyphens/>
                    <w:jc w:val="left"/>
                  </w:pPr>
                  <w:r>
                    <w:t xml:space="preserve">InaRISK KRB</w:t>
                  </w:r>
                </w:p>
              </w:tc>
            </w:tr>
            <w:tr>
              <w:trPr>
                <w:cantSplit/>
              </w:trPr>
              <w:tc>
                <w:tcPr>
                  <w:tcW w:w="2948" w:type="dxa"/>
                </w:tcPr>
                <w:p>
                  <w:pPr>
                    <w:pStyle w:val="IsiTabel"/>
                    <w:keepNext/>
                    <w:suppressAutoHyphens/>
                    <w:jc w:val="left"/>
                  </w:pPr>
                  <w:r>
                    <w:t xml:space="preserve">Kebutuhan respons, pengungsi tercatat 2010</w:t>
                  </w:r>
                </w:p>
              </w:tc>
              <w:tc>
                <w:tcPr>
                  <w:tcW w:w="1366" w:type="dxa"/>
                </w:tcPr>
                <w:p>
                  <w:pPr>
                    <w:pStyle w:val="IsiTabel"/>
                    <w:keepNext/>
                    <w:suppressAutoHyphens/>
                    <w:jc w:val="right"/>
                  </w:pPr>
                  <w:r>
                    <w:t xml:space="preserve">447.982</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493" w:type="dxa"/>
                </w:tcPr>
                <w:p>
                  <w:pPr>
                    <w:pStyle w:val="IsiTabel"/>
                    <w:keepNext/>
                    <w:suppressAutoHyphens/>
                    <w:jc w:val="left"/>
                  </w:pPr>
                  <w:r>
                    <w:t xml:space="preserve">DIBI BNPB</w:t>
                  </w:r>
                </w:p>
              </w:tc>
            </w:tr>
            <w:tr>
              <w:trPr>
                <w:cantSplit/>
              </w:trPr>
              <w:tc>
                <w:tcPr>
                  <w:tcW w:w="2948" w:type="dxa"/>
                </w:tcPr>
                <w:p>
                  <w:pPr>
                    <w:pStyle w:val="IsiTabel"/>
                    <w:keepNext/>
                    <w:suppressAutoHyphens/>
                    <w:jc w:val="left"/>
                  </w:pPr>
                  <w:bookmarkStart w:id="329" w:name="_Ekor036z"/>
                  <w:bookmarkEnd w:id="329"/>
                  <w:r>
                    <w:t xml:space="preserve">Kebutuhan respons, pengungsi model pada radius 2010</w:t>
                  </w:r>
                </w:p>
              </w:tc>
              <w:tc>
                <w:tcPr>
                  <w:tcW w:w="1366" w:type="dxa"/>
                </w:tcPr>
                <w:p>
                  <w:pPr>
                    <w:pStyle w:val="IsiTabel"/>
                    <w:keepNext/>
                    <w:suppressAutoHyphens/>
                    <w:jc w:val="right"/>
                  </w:pPr>
                  <w:r>
                    <w:t xml:space="preserve">sekitar 1,6 juta</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D9600B"/>
                    </w:rPr>
                    <w:t xml:space="preserve">  Estimasi model  </w:t>
                  </w:r>
                </w:p>
              </w:tc>
              <w:tc>
                <w:tcPr>
                  <w:tcW w:w="2493" w:type="dxa"/>
                </w:tcPr>
                <w:p>
                  <w:pPr>
                    <w:pStyle w:val="IsiTabel"/>
                    <w:keepNext/>
                    <w:suppressAutoHyphens/>
                    <w:jc w:val="left"/>
                  </w:pPr>
                  <w:r>
                    <w:t xml:space="preserve">simulasi Pantau Bencana, penduduk 2026</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Prakiraan PVMBG pada 2010 diperkirakan penulisnya menyelamatkan </w:t>
                  </w:r>
                  <w:r>
                    <w:t xml:space="preserve">10.000–20.000</w:t>
                  </w:r>
                  <w:r>
                    <w:t xml:space="preserve"> jiwa; tidak ada evaluasi berpembanding yang mengukur efek evakuasi itu.</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104"/>
              <w:gridCol w:w="2178"/>
              <w:gridCol w:w="2519"/>
              <w:gridCol w:w="2519"/>
              <w:gridCol w:w="1034"/>
            </w:tblGrid>
            <w:tr>
              <w:trPr>
                <w:cantSplit/>
                <w:tblHeader/>
              </w:trPr>
              <w:tc>
                <w:tcPr>
                  <w:tcW w:w="1104" w:type="dxa"/>
                  <w:shd w:val="clear" w:color="auto" w:fill="051C2C"/>
                  <w:vAlign w:val="center"/>
                </w:tcPr>
                <w:p>
                  <w:pPr>
                    <w:pStyle w:val="KepalaTabel"/>
                    <w:keepNext/>
                    <w:suppressAutoHyphens/>
                  </w:pPr>
                  <w:r>
                    <w:t xml:space="preserve">TUAS</w:t>
                  </w:r>
                </w:p>
              </w:tc>
              <w:tc>
                <w:tcPr>
                  <w:tcW w:w="2178" w:type="dxa"/>
                  <w:shd w:val="clear" w:color="auto" w:fill="051C2C"/>
                  <w:vAlign w:val="center"/>
                </w:tcPr>
                <w:p>
                  <w:pPr>
                    <w:pStyle w:val="KepalaTabel"/>
                    <w:keepNext/>
                    <w:suppressAutoHyphens/>
                  </w:pPr>
                  <w:r>
                    <w:t xml:space="preserve">NILAI DASAR</w:t>
                  </w:r>
                </w:p>
              </w:tc>
              <w:tc>
                <w:tcPr>
                  <w:tcW w:w="2519" w:type="dxa"/>
                  <w:shd w:val="clear" w:color="auto" w:fill="051C2C"/>
                  <w:vAlign w:val="center"/>
                </w:tcPr>
                <w:p>
                  <w:pPr>
                    <w:pStyle w:val="KepalaTabel"/>
                    <w:keepNext/>
                    <w:suppressAutoHyphens/>
                  </w:pPr>
                  <w:r>
                    <w:t xml:space="preserve">NILAI DIGESER</w:t>
                  </w:r>
                </w:p>
              </w:tc>
              <w:tc>
                <w:tcPr>
                  <w:tcW w:w="2519" w:type="dxa"/>
                  <w:shd w:val="clear" w:color="auto" w:fill="051C2C"/>
                  <w:vAlign w:val="center"/>
                </w:tcPr>
                <w:p>
                  <w:pPr>
                    <w:pStyle w:val="KepalaTabel"/>
                    <w:keepNext/>
                    <w:suppressAutoHyphens/>
                  </w:pPr>
                  <w:r>
                    <w:t xml:space="preserve">KORBAN JIWA</w:t>
                  </w:r>
                </w:p>
              </w:tc>
              <w:tc>
                <w:tcPr>
                  <w:tcW w:w="1034" w:type="dxa"/>
                  <w:shd w:val="clear" w:color="auto" w:fill="051C2C"/>
                  <w:vAlign w:val="center"/>
                </w:tcPr>
                <w:p>
                  <w:pPr>
                    <w:pStyle w:val="KepalaTabel"/>
                    <w:keepNext/>
                    <w:suppressAutoHyphens/>
                  </w:pPr>
                  <w:r>
                    <w:t xml:space="preserve">KERUGIAN MATERIIL</w:t>
                  </w:r>
                </w:p>
              </w:tc>
            </w:tr>
            <w:tr>
              <w:trPr>
                <w:cantSplit/>
              </w:trPr>
              <w:tc>
                <w:tcPr>
                  <w:tcW w:w="1104" w:type="dxa"/>
                </w:tcPr>
                <w:p>
                  <w:pPr>
                    <w:pStyle w:val="IsiTabel"/>
                    <w:keepNext/>
                    <w:suppressAutoHyphens/>
                    <w:jc w:val="left"/>
                  </w:pPr>
                  <w:bookmarkStart w:id="330" w:name="_Ekor037a"/>
                  <w:bookmarkEnd w:id="330"/>
                  <w:r>
                    <w:t xml:space="preserve">Evakuasi berbasis prakiraan PVMBG</w:t>
                  </w:r>
                </w:p>
              </w:tc>
              <w:tc>
                <w:tcPr>
                  <w:tcW w:w="2178" w:type="dxa"/>
                </w:tcPr>
                <w:p>
                  <w:pPr>
                    <w:pStyle w:val="IsiTabel"/>
                    <w:keepNext/>
                    <w:suppressAutoHyphens/>
                    <w:jc w:val="right"/>
                  </w:pPr>
                  <w:r>
                    <w:t xml:space="preserve">tanpa prakiraan tepat waktu</w:t>
                  </w:r>
                </w:p>
              </w:tc>
              <w:tc>
                <w:tcPr>
                  <w:tcW w:w="2519" w:type="dxa"/>
                </w:tcPr>
                <w:p>
                  <w:pPr>
                    <w:pStyle w:val="IsiTabel"/>
                    <w:keepNext/>
                    <w:suppressAutoHyphens/>
                    <w:jc w:val="right"/>
                  </w:pPr>
                  <w:r>
                    <w:t xml:space="preserve">prakiraan 2010</w:t>
                  </w:r>
                </w:p>
              </w:tc>
              <w:tc>
                <w:tcPr>
                  <w:tcW w:w="2519" w:type="dxa"/>
                </w:tcPr>
                <w:p>
                  <w:pPr>
                    <w:pStyle w:val="IsiTabel"/>
                    <w:keepNext/>
                    <w:suppressAutoHyphens/>
                    <w:jc w:val="right"/>
                  </w:pPr>
                  <w:r>
                    <w:t xml:space="preserve">10.000–20.000</w:t>
                  </w:r>
                  <w:r>
                    <w:t xml:space="preserve"> terselamatkan (perkiraan penulis)</w:t>
                  </w:r>
                </w:p>
              </w:tc>
              <w:tc>
                <w:tcPr>
                  <w:tcW w:w="1034" w:type="dxa"/>
                </w:tcPr>
                <w:p>
                  <w:pPr>
                    <w:pStyle w:val="IsiTabel"/>
                    <w:keepNext/>
                    <w:suppressAutoHyphens/>
                    <w:jc w:val="left"/>
                  </w:pPr>
                  <w:r>
                    <w:t xml:space="preserve">tidak berubah: evakuasi tidak mengurangi rumah rusak</w:t>
                  </w:r>
                </w:p>
              </w:tc>
            </w:tr>
            <w:tr>
              <w:trPr>
                <w:cantSplit/>
              </w:trPr>
              <w:tc>
                <w:tcPr>
                  <w:tcW w:w="1104" w:type="dxa"/>
                </w:tcPr>
                <w:p>
                  <w:pPr>
                    <w:pStyle w:val="IsiTabel"/>
                    <w:keepNext/>
                    <w:suppressAutoHyphens/>
                    <w:jc w:val="left"/>
                  </w:pPr>
                  <w:bookmarkStart w:id="331" w:name="_Ekor037z"/>
                  <w:bookmarkEnd w:id="331"/>
                  <w:r>
                    <w:t xml:space="preserve">Radius pengungsian</w:t>
                  </w:r>
                </w:p>
              </w:tc>
              <w:tc>
                <w:tcPr>
                  <w:tcW w:w="2178" w:type="dxa"/>
                </w:tcPr>
                <w:p>
                  <w:pPr>
                    <w:pStyle w:val="IsiTabel"/>
                    <w:keepNext/>
                    <w:suppressAutoHyphens/>
                    <w:jc w:val="right"/>
                  </w:pPr>
                  <w:r>
                    <w:t xml:space="preserve">tercatat 2010</w:t>
                  </w:r>
                </w:p>
              </w:tc>
              <w:tc>
                <w:tcPr>
                  <w:tcW w:w="2519" w:type="dxa"/>
                </w:tcPr>
                <w:p>
                  <w:pPr>
                    <w:pStyle w:val="IsiTabel"/>
                    <w:keepNext/>
                    <w:suppressAutoHyphens/>
                    <w:jc w:val="right"/>
                  </w:pPr>
                  <w:r>
                    <w:t xml:space="preserve">radius 2010 pada penduduk 2026</w:t>
                  </w:r>
                </w:p>
              </w:tc>
              <w:tc>
                <w:tcPr>
                  <w:tcW w:w="2519" w:type="dxa"/>
                </w:tcPr>
                <w:p>
                  <w:pPr>
                    <w:pStyle w:val="IsiTabel"/>
                    <w:keepNext/>
                    <w:suppressAutoHyphens/>
                    <w:jc w:val="right"/>
                  </w:pPr>
                  <w:r>
                    <w:t xml:space="preserve">tidak dihitung</w:t>
                  </w:r>
                </w:p>
              </w:tc>
              <w:tc>
                <w:tcPr>
                  <w:tcW w:w="1034" w:type="dxa"/>
                </w:tcPr>
                <w:p>
                  <w:pPr>
                    <w:pStyle w:val="IsiTabel"/>
                    <w:keepNext/>
                    <w:suppressAutoHyphens/>
                    <w:jc w:val="left"/>
                  </w:pPr>
                  <w:r>
                    <w:t xml:space="preserve">pengungsi </w:t>
                  </w:r>
                  <w:r>
                    <w:t xml:space="preserve">447.982</w:t>
                  </w:r>
                  <w:r>
                    <w:t xml:space="preserve"> ke </w:t>
                  </w:r>
                  <w:r>
                    <w:t xml:space="preserve">sekitar 1,6 juta</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Evakuasi bertahap mengikuti status gunung api dari PVMBG.</w:t>
                  </w:r>
                </w:p>
                <w:p>
                  <w:pPr>
                    <w:pStyle w:val="DaftarTabel"/>
                    <w:keepNext/>
                    <w:numPr>
                      <w:ilvl w:val="0"/>
                      <w:numId w:val="1"/>
                    </w:numPr>
                    <w:suppressAutoHyphens/>
                  </w:pPr>
                  <w:r>
                    <w:t xml:space="preserve">Pengungsian untuk penduduk zona KRB III Merapi dan Agung.</w:t>
                  </w:r>
                </w:p>
                <w:p>
                  <w:pPr>
                    <w:pStyle w:val="DaftarTabel"/>
                    <w:keepNext/>
                    <w:numPr>
                      <w:ilvl w:val="0"/>
                      <w:numId w:val="1"/>
                    </w:numPr>
                    <w:suppressAutoHyphens/>
                  </w:pPr>
                  <w:r>
                    <w:t xml:space="preserve">Logistik pengungsian untuk masa erupsi yang dapat berlangsung berminggu-minggu, seperti Oktober sampai Desember 2010.</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Penilaian kerusakan dan kerugian erupsi disimpan sebagai seri R3P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Relokasi permukiman di zona KRB III mengikuti zona PVMBG terbaru.</w:t>
                  </w:r>
                </w:p>
                <w:p>
                  <w:pPr>
                    <w:pStyle w:val="DaftarTabel"/>
                    <w:keepNext/>
                    <w:numPr>
                      <w:ilvl w:val="0"/>
                      <w:numId w:val="1"/>
                    </w:numPr>
                    <w:suppressAutoHyphens/>
                  </w:pPr>
                  <w:r>
                    <w:t xml:space="preserve">Pemulihan penghidupan pengungsi yang lahannya tertimbun material erupsi.</w:t>
                  </w:r>
                </w:p>
              </w:tc>
            </w:tr>
          </w:tbl>
          <w:p>
            <w:pPr>
              <w:pStyle w:val="IsiTabel"/>
              <w:keepNext/>
              <w:spacing w:before="80"/>
            </w:pPr>
            <w:r>
              <w:rPr>
                <w:i/>
                <w:iCs/>
                <w:color w:val="2E3440"/>
                <w:sz w:val="17"/>
                <w:szCs w:val="17"/>
              </w:rPr>
              <w:t xml:space="preserve">Kejadian analog tercatat; model sapuan adalah simulasi skenario Pantau Bencana, belum divalidasi.</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32" w:name="_Kartu005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w:t>
      </w:r>
      <w:r>
        <w:rPr>
          <w:color w:val="6B7280"/>
          <w:sz w:val="17"/>
          <w:szCs w:val="17"/>
        </w:rPr>
        <w:t xml:space="preserve">Surono dkk. (2012)</w:t>
      </w:r>
      <w:r>
        <w:rPr>
          <w:color w:val="6B7280"/>
          <w:sz w:val="17"/>
          <w:szCs w:val="17"/>
        </w:rPr>
        <w:t xml:space="preserve">; KRB PVMBG 2018 dan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332"/>
    </w:p>
    <w:p>
      <w:pPr>
        <w:pStyle w:val="Heading2"/>
      </w:pPr>
      <w:bookmarkStart w:id="334" w:name="_Toc00118"/>
      <w:bookmarkStart w:id="333" w:name="_Ref0179"/>
      <w:r>
        <w:t xml:space="preserve">6.5</w:t>
      </w:r>
      <w:bookmarkEnd w:id="333"/>
      <w:r>
        <w:tab/>
      </w:r>
      <w:r>
        <w:t xml:space="preserve">Gempa, Tsunami, dan Likuefaksi Majemuk</w:t>
      </w:r>
      <w:bookmarkEnd w:id="334"/>
    </w:p>
    <w:p>
      <w:pPr>
        <w:pStyle w:val="IsiTemuan"/>
      </w:pPr>
      <w:r>
        <w:rPr>
          <w:b/>
          <w:bCs/>
          <w:color w:val="051C2C"/>
        </w:rPr>
        <w:t xml:space="preserve">Gempa majemuk Sulawesi Tengah 2018, yang memicu tsunami dan likuefaksi, tercatat </w:t>
      </w:r>
      <w:r>
        <w:rPr>
          <w:b/>
          <w:bCs/>
          <w:color w:val="051C2C"/>
        </w:rPr>
        <w:t xml:space="preserve">4.140</w:t>
      </w:r>
      <w:r>
        <w:rPr>
          <w:b/>
          <w:bCs/>
          <w:color w:val="051C2C"/>
        </w:rPr>
        <w:t xml:space="preserve"> meninggal, </w:t>
      </w:r>
      <w:r>
        <w:rPr>
          <w:b/>
          <w:bCs/>
          <w:color w:val="051C2C"/>
        </w:rPr>
        <w:t xml:space="preserve">705</w:t>
      </w:r>
      <w:r>
        <w:rPr>
          <w:b/>
          <w:bCs/>
          <w:color w:val="051C2C"/>
        </w:rPr>
        <w:t xml:space="preserve"> hilang, </w:t>
      </w:r>
      <w:r>
        <w:rPr>
          <w:b/>
          <w:bCs/>
          <w:color w:val="051C2C"/>
        </w:rPr>
        <w:t xml:space="preserve">212.719</w:t>
      </w:r>
      <w:r>
        <w:rPr>
          <w:b/>
          <w:bCs/>
          <w:color w:val="051C2C"/>
        </w:rPr>
        <w:t xml:space="preserve"> pengungsi, dan </w:t>
      </w:r>
      <w:r>
        <w:rPr>
          <w:b/>
          <w:bCs/>
          <w:color w:val="051C2C"/>
        </w:rPr>
        <w:t xml:space="preserve">110.214</w:t>
      </w:r>
      <w:r>
        <w:rPr>
          <w:b/>
          <w:bCs/>
          <w:color w:val="051C2C"/>
        </w:rPr>
        <w:t xml:space="preserve"> rumah rusak di DIBI untuk empat kab/kota.</w:t>
      </w:r>
      <w:r>
        <w:t xml:space="preserve"> BNPB mencatat kerusakan dan kerugian sementara per 20 Oktober 2018 lebih dari </w:t>
      </w:r>
      <w:r>
        <w:t xml:space="preserve">Rp13,8 triliun</w:t>
      </w:r>
      <w:r>
        <w:t xml:space="preserve">, termasuk perumahan </w:t>
      </w:r>
      <w:r>
        <w:t xml:space="preserve">Rp8 triliun</w:t>
      </w:r>
      <w:r>
        <w:t xml:space="preserve">, dengan likuefaksi menimbun permukiman Petobo, Jono Oge, dan Sibalaya </w:t>
      </w:r>
      <w:r>
        <w:t xml:space="preserve">(BNPB, t.t.-a, 2018b)</w:t>
      </w:r>
      <w:r>
        <w:t xml:space="preserve">. USGS mencatat sedikitnya </w:t>
      </w:r>
      <w:r>
        <w:t xml:space="preserve">2.077</w:t>
      </w:r>
      <w:r>
        <w:t xml:space="preserve"> meninggal dan </w:t>
      </w:r>
      <w:r>
        <w:t xml:space="preserve">1.075</w:t>
      </w:r>
      <w:r>
        <w:t xml:space="preserve"> hilang </w:t>
      </w:r>
      <w:r>
        <w:t xml:space="preserve">(USGS, 2018b)</w:t>
      </w:r>
      <w:r>
        <w:t xml:space="preserve">. Sebab angka DIBI hampir dua kali USGS tidak dapat dibuktikan dari data publik, sehingga keduanya ditulis berdampingan dan DIBI menjadi angka utama.</w:t>
      </w:r>
    </w:p>
    <w:p>
      <w:pPr>
        <w:pStyle w:val="IsiTemuan"/>
      </w:pPr>
      <w:r>
        <w:rPr>
          <w:b/>
          <w:bCs/>
          <w:color w:val="051C2C"/>
        </w:rPr>
        <w:t xml:space="preserve">KRB 2022–2026 mencatat </w:t>
      </w:r>
      <w:r>
        <w:rPr>
          <w:b/>
          <w:bCs/>
          <w:color w:val="051C2C"/>
        </w:rPr>
        <w:t xml:space="preserve">86.689.779</w:t>
      </w:r>
      <w:r>
        <w:rPr>
          <w:b/>
          <w:bCs/>
          <w:color w:val="051C2C"/>
        </w:rPr>
        <w:t xml:space="preserve"> jiwa terpapar likuefaksi, tetapi DIBI tidak memisahkan korban likuefaksi Sulawesi Tengah 2018 dari korban gempa dan tsunaminya.</w:t>
      </w:r>
      <w:r>
        <w:t xml:space="preserve"> Potensi kerugian likuefaksi menurut KRB yang sama </w:t>
      </w:r>
      <w:r>
        <w:t xml:space="preserve">Rp351,9 triliun</w:t>
      </w:r>
      <w:r>
        <w:t xml:space="preserve">, dan kelas bahaya tinggi likuefaksi memuat </w:t>
      </w:r>
      <w:r>
        <w:t xml:space="preserve">73.208</w:t>
      </w:r>
      <w:r>
        <w:t xml:space="preserve"> sekolah secara nasional </w:t>
      </w:r>
      <w:r>
        <w:t xml:space="preserve">(BNPB, 2025c, hlm. 24–25, 2026i)</w:t>
      </w:r>
      <w:r>
        <w:t xml:space="preserve">. Akibatnya, kartu majemuk menulis korban gabungan. Penilaian kerusakan dan kerugian akhir atau R3P final Sulawesi Tengah tidak ditemukan, sehingga angka kerugian di kartu adalah angka sementara resmi.</w:t>
      </w:r>
    </w:p>
    <w:p>
      <w:pPr>
        <w:pStyle w:val="IsiTemuan"/>
      </w:pPr>
      <w:r>
        <w:rPr>
          <w:b/>
          <w:bCs/>
          <w:color w:val="051C2C"/>
        </w:rPr>
        <w:t xml:space="preserve">Kerusakan dan kerugian Sulawesi Tengah 2018 setara </w:t>
      </w:r>
      <w:r>
        <w:rPr>
          <w:b/>
          <w:bCs/>
          <w:color w:val="051C2C"/>
        </w:rPr>
        <w:t xml:space="preserve">3,81</w:t>
      </w:r>
      <w:r>
        <w:rPr>
          <w:b/>
          <w:bCs/>
          <w:color w:val="051C2C"/>
        </w:rPr>
        <w:t xml:space="preserve"> kali stimulan rumah BNPB, dan Cianjur 2022 </w:t>
      </w:r>
      <w:r>
        <w:rPr>
          <w:b/>
          <w:bCs/>
          <w:color w:val="051C2C"/>
        </w:rPr>
        <w:t xml:space="preserve">2,68</w:t>
      </w:r>
      <w:r>
        <w:rPr>
          <w:b/>
          <w:bCs/>
          <w:color w:val="051C2C"/>
        </w:rPr>
        <w:t xml:space="preserve"> kali bila jumlah rumah diambil dari DIBI.</w:t>
      </w:r>
      <w:r>
        <w:t xml:space="preserve"> Bila jumlah rumah Cianjur diambil dari R3P, stimulan mendekati nilai kerusakan perumahan R3P dengan rasio </w:t>
      </w:r>
      <w:r>
        <w:t xml:space="preserve">1,06</w:t>
      </w:r>
      <w:r>
        <w:t xml:space="preserve"> (</w:t>
      </w:r>
      <w:r>
        <w:fldChar w:fldCharType="begin"/>
      </w:r>
      <w:r>
        <w:instrText xml:space="preserve"> REF _Ref0311 \h \* CHARFORMAT </w:instrText>
      </w:r>
      <w:r>
        <w:fldChar w:fldCharType="separate"/>
      </w:r>
      <w:r>
        <w:t xml:space="preserve">Tabel 6.7</w:t>
      </w:r>
      <w:r>
        <w:fldChar w:fldCharType="end"/>
      </w:r>
      <w:r>
        <w:t xml:space="preserve">). Pembanding ini menguatkan aturan kajian bahwa stimulan rumah hanya batas bawah kerugian perumahan. Rasio itu tidak dikalikan ke skenario, karena hanya bersandar pada tiga kejadian dengan instrumen penilaian yang berbeda </w:t>
      </w:r>
      <w:r>
        <w:t xml:space="preserve">(Pemerintah Kabupaten Cianjur, 2022; BNPB, 2018b; Kemenko PMK, 2024)</w:t>
      </w:r>
      <w:r>
        <w:t xml:space="preserve">.</w:t>
      </w:r>
    </w:p>
    <w:p>
      <w:pPr>
        <w:pStyle w:val="Caption"/>
      </w:pPr>
      <w:bookmarkStart w:id="336" w:name="_Toc00119"/>
      <w:bookmarkStart w:id="335" w:name="_Ref031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335"/>
      <w:r>
        <w:rPr>
          <w:b/>
          <w:bCs/>
          <w:color w:val="051C2C"/>
        </w:rPr>
        <w:t xml:space="preserve"> </w:t>
      </w:r>
      <w:r>
        <w:t xml:space="preserve">Angka kerugian resmi kejadian gempa dibanding stimulan rumah BNPB, 2006–2022 (rupiah)</w:t>
      </w:r>
      <w:bookmarkEnd w:id="3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140"/>
        <w:gridCol w:w="1283"/>
        <w:gridCol w:w="1386"/>
        <w:gridCol w:w="798"/>
        <w:gridCol w:w="1747"/>
      </w:tblGrid>
      <w:tr>
        <w:trPr>
          <w:cantSplit/>
          <w:tblHeader/>
        </w:trPr>
        <w:tc>
          <w:tcPr>
            <w:tcW w:w="4140" w:type="dxa"/>
            <w:shd w:val="clear" w:color="auto" w:fill="051C2C"/>
            <w:vAlign w:val="center"/>
          </w:tcPr>
          <w:p>
            <w:pPr>
              <w:pStyle w:val="KepalaTabel"/>
              <w:suppressAutoHyphens/>
            </w:pPr>
            <w:r>
              <w:t xml:space="preserve">KEJADIAN</w:t>
            </w:r>
          </w:p>
        </w:tc>
        <w:tc>
          <w:tcPr>
            <w:tcW w:w="1283" w:type="dxa"/>
            <w:shd w:val="clear" w:color="auto" w:fill="051C2C"/>
            <w:vAlign w:val="center"/>
          </w:tcPr>
          <w:p>
            <w:pPr>
              <w:pStyle w:val="KepalaTabel"/>
              <w:suppressAutoHyphens/>
            </w:pPr>
            <w:r>
              <w:t xml:space="preserve">ANGKA KERUGIAN RESMI</w:t>
            </w:r>
          </w:p>
        </w:tc>
        <w:tc>
          <w:tcPr>
            <w:tcW w:w="1386" w:type="dxa"/>
            <w:shd w:val="clear" w:color="auto" w:fill="051C2C"/>
            <w:vAlign w:val="center"/>
          </w:tcPr>
          <w:p>
            <w:pPr>
              <w:pStyle w:val="KepalaTabel"/>
              <w:suppressAutoHyphens/>
            </w:pPr>
            <w:r>
              <w:t xml:space="preserve">STIMULAN RUMAH</w:t>
            </w:r>
          </w:p>
        </w:tc>
        <w:tc>
          <w:tcPr>
            <w:tcW w:w="798" w:type="dxa"/>
            <w:shd w:val="clear" w:color="auto" w:fill="051C2C"/>
            <w:vAlign w:val="center"/>
          </w:tcPr>
          <w:p>
            <w:pPr>
              <w:pStyle w:val="KepalaTabel"/>
              <w:suppressAutoHyphens/>
            </w:pPr>
            <w:r>
              <w:t xml:space="preserve">RASIO</w:t>
            </w:r>
          </w:p>
        </w:tc>
        <w:tc>
          <w:tcPr>
            <w:tcW w:w="1747" w:type="dxa"/>
            <w:shd w:val="clear" w:color="auto" w:fill="051C2C"/>
            <w:vAlign w:val="center"/>
          </w:tcPr>
          <w:p>
            <w:pPr>
              <w:pStyle w:val="KepalaTabel"/>
              <w:suppressAutoHyphens/>
            </w:pPr>
            <w:r>
              <w:t xml:space="preserve">KEYAKINAN</w:t>
            </w:r>
          </w:p>
        </w:tc>
      </w:tr>
      <w:tr>
        <w:trPr>
          <w:cantSplit/>
        </w:trPr>
        <w:tc>
          <w:tcPr>
            <w:tcW w:w="4140" w:type="dxa"/>
          </w:tcPr>
          <w:p>
            <w:pPr>
              <w:pStyle w:val="IsiTabel"/>
              <w:suppressAutoHyphens/>
              <w:jc w:val="left"/>
            </w:pPr>
            <w:r>
              <w:t xml:space="preserve">Cianjur 2022, perumahan (rumah R3P)</w:t>
            </w:r>
          </w:p>
        </w:tc>
        <w:tc>
          <w:tcPr>
            <w:tcW w:w="1283" w:type="dxa"/>
          </w:tcPr>
          <w:p>
            <w:pPr>
              <w:pStyle w:val="IsiTabel"/>
              <w:suppressAutoHyphens/>
              <w:jc w:val="right"/>
            </w:pPr>
            <w:r>
              <w:t xml:space="preserve">Rp3,2 triliun</w:t>
            </w:r>
          </w:p>
        </w:tc>
        <w:tc>
          <w:tcPr>
            <w:tcW w:w="1386" w:type="dxa"/>
          </w:tcPr>
          <w:p>
            <w:pPr>
              <w:pStyle w:val="IsiTabel"/>
              <w:suppressAutoHyphens/>
              <w:jc w:val="right"/>
            </w:pPr>
            <w:r>
              <w:t xml:space="preserve">Rp3 triliun</w:t>
            </w:r>
          </w:p>
        </w:tc>
        <w:tc>
          <w:tcPr>
            <w:tcW w:w="798" w:type="dxa"/>
          </w:tcPr>
          <w:p>
            <w:pPr>
              <w:pStyle w:val="IsiTabel"/>
              <w:suppressAutoHyphens/>
              <w:jc w:val="right"/>
            </w:pPr>
            <w:r>
              <w:t xml:space="preserve">1,06</w:t>
            </w:r>
          </w:p>
        </w:tc>
        <w:tc>
          <w:tcPr>
            <w:tcW w:w="1747" w:type="dxa"/>
          </w:tcPr>
          <w:p>
            <w:pPr>
              <w:pStyle w:val="IsiTabel"/>
              <w:suppressAutoHyphens/>
              <w:jc w:val="left"/>
            </w:pPr>
            <w:r>
              <w:rPr>
                <w:b/>
                <w:bCs/>
                <w:color w:val="FFFFFF"/>
                <w:sz w:val="16"/>
                <w:szCs w:val="16"/>
                <w:shd w:val="clear" w:color="auto" w:fill="051C2C"/>
              </w:rPr>
              <w:t xml:space="preserve">  Resmi  </w:t>
            </w:r>
          </w:p>
        </w:tc>
      </w:tr>
      <w:tr>
        <w:trPr>
          <w:cantSplit/>
        </w:trPr>
        <w:tc>
          <w:tcPr>
            <w:tcW w:w="4140" w:type="dxa"/>
          </w:tcPr>
          <w:p>
            <w:pPr>
              <w:pStyle w:val="IsiTabel"/>
              <w:suppressAutoHyphens/>
              <w:jc w:val="left"/>
            </w:pPr>
            <w:r>
              <w:t xml:space="preserve">Cianjur 2022, total (rumah DIBI)</w:t>
            </w:r>
          </w:p>
        </w:tc>
        <w:tc>
          <w:tcPr>
            <w:tcW w:w="1283" w:type="dxa"/>
          </w:tcPr>
          <w:p>
            <w:pPr>
              <w:pStyle w:val="IsiTabel"/>
              <w:suppressAutoHyphens/>
              <w:jc w:val="right"/>
            </w:pPr>
            <w:r>
              <w:t xml:space="preserve">Rp4,6 triliun</w:t>
            </w:r>
          </w:p>
        </w:tc>
        <w:tc>
          <w:tcPr>
            <w:tcW w:w="1386" w:type="dxa"/>
          </w:tcPr>
          <w:p>
            <w:pPr>
              <w:pStyle w:val="IsiTabel"/>
              <w:suppressAutoHyphens/>
              <w:jc w:val="right"/>
            </w:pPr>
            <w:r>
              <w:t xml:space="preserve">Rp1,7 triliun</w:t>
            </w:r>
          </w:p>
        </w:tc>
        <w:tc>
          <w:tcPr>
            <w:tcW w:w="798" w:type="dxa"/>
          </w:tcPr>
          <w:p>
            <w:pPr>
              <w:pStyle w:val="IsiTabel"/>
              <w:suppressAutoHyphens/>
              <w:jc w:val="right"/>
            </w:pPr>
            <w:r>
              <w:t xml:space="preserve">2,68</w:t>
            </w:r>
          </w:p>
        </w:tc>
        <w:tc>
          <w:tcPr>
            <w:tcW w:w="1747" w:type="dxa"/>
          </w:tcPr>
          <w:p>
            <w:pPr>
              <w:pStyle w:val="IsiTabel"/>
              <w:suppressAutoHyphens/>
              <w:jc w:val="left"/>
            </w:pPr>
            <w:r>
              <w:rPr>
                <w:b/>
                <w:bCs/>
                <w:color w:val="FFFFFF"/>
                <w:sz w:val="16"/>
                <w:szCs w:val="16"/>
                <w:shd w:val="clear" w:color="auto" w:fill="051C2C"/>
              </w:rPr>
              <w:t xml:space="preserve">  Resmi  </w:t>
            </w:r>
          </w:p>
        </w:tc>
      </w:tr>
      <w:tr>
        <w:trPr>
          <w:cantSplit/>
        </w:trPr>
        <w:tc>
          <w:tcPr>
            <w:tcW w:w="4140" w:type="dxa"/>
          </w:tcPr>
          <w:p>
            <w:pPr>
              <w:pStyle w:val="IsiTabel"/>
              <w:suppressAutoHyphens/>
              <w:jc w:val="left"/>
            </w:pPr>
            <w:r>
              <w:t xml:space="preserve">Sulawesi Tengah 2018, perumahan (sementara)</w:t>
            </w:r>
          </w:p>
        </w:tc>
        <w:tc>
          <w:tcPr>
            <w:tcW w:w="1283" w:type="dxa"/>
          </w:tcPr>
          <w:p>
            <w:pPr>
              <w:pStyle w:val="IsiTabel"/>
              <w:suppressAutoHyphens/>
              <w:jc w:val="right"/>
            </w:pPr>
            <w:r>
              <w:t xml:space="preserve">Rp8 triliun</w:t>
            </w:r>
          </w:p>
        </w:tc>
        <w:tc>
          <w:tcPr>
            <w:tcW w:w="1386" w:type="dxa"/>
          </w:tcPr>
          <w:p>
            <w:pPr>
              <w:pStyle w:val="IsiTabel"/>
              <w:suppressAutoHyphens/>
              <w:jc w:val="right"/>
            </w:pPr>
            <w:r>
              <w:t xml:space="preserve">Rp3,6 triliun</w:t>
            </w:r>
          </w:p>
        </w:tc>
        <w:tc>
          <w:tcPr>
            <w:tcW w:w="798" w:type="dxa"/>
          </w:tcPr>
          <w:p>
            <w:pPr>
              <w:pStyle w:val="IsiTabel"/>
              <w:suppressAutoHyphens/>
              <w:jc w:val="right"/>
            </w:pPr>
            <w:r>
              <w:t xml:space="preserve">2,19</w:t>
            </w:r>
          </w:p>
        </w:tc>
        <w:tc>
          <w:tcPr>
            <w:tcW w:w="1747" w:type="dxa"/>
          </w:tcPr>
          <w:p>
            <w:pPr>
              <w:pStyle w:val="IsiTabel"/>
              <w:suppressAutoHyphens/>
              <w:jc w:val="left"/>
            </w:pPr>
            <w:r>
              <w:rPr>
                <w:b/>
                <w:bCs/>
                <w:color w:val="FFFFFF"/>
                <w:sz w:val="16"/>
                <w:szCs w:val="16"/>
                <w:shd w:val="clear" w:color="auto" w:fill="051C2C"/>
              </w:rPr>
              <w:t xml:space="preserve">  Resmi  </w:t>
            </w:r>
          </w:p>
        </w:tc>
      </w:tr>
      <w:tr>
        <w:trPr>
          <w:cantSplit/>
        </w:trPr>
        <w:tc>
          <w:tcPr>
            <w:tcW w:w="4140" w:type="dxa"/>
          </w:tcPr>
          <w:p>
            <w:pPr>
              <w:pStyle w:val="IsiTabel"/>
              <w:keepNext/>
              <w:suppressAutoHyphens/>
              <w:jc w:val="left"/>
            </w:pPr>
            <w:bookmarkStart w:id="337" w:name="_Ekor038a"/>
            <w:bookmarkEnd w:id="337"/>
            <w:r>
              <w:t xml:space="preserve">Sulawesi Tengah 2018, total (sementara)</w:t>
            </w:r>
          </w:p>
        </w:tc>
        <w:tc>
          <w:tcPr>
            <w:tcW w:w="1283" w:type="dxa"/>
          </w:tcPr>
          <w:p>
            <w:pPr>
              <w:pStyle w:val="IsiTabel"/>
              <w:keepNext/>
              <w:suppressAutoHyphens/>
              <w:jc w:val="right"/>
            </w:pPr>
            <w:r>
              <w:t xml:space="preserve">Rp13,8 triliun</w:t>
            </w:r>
          </w:p>
        </w:tc>
        <w:tc>
          <w:tcPr>
            <w:tcW w:w="1386" w:type="dxa"/>
          </w:tcPr>
          <w:p>
            <w:pPr>
              <w:pStyle w:val="IsiTabel"/>
              <w:keepNext/>
              <w:suppressAutoHyphens/>
              <w:jc w:val="right"/>
            </w:pPr>
            <w:r>
              <w:t xml:space="preserve">Rp3,6 triliun</w:t>
            </w:r>
          </w:p>
        </w:tc>
        <w:tc>
          <w:tcPr>
            <w:tcW w:w="798" w:type="dxa"/>
          </w:tcPr>
          <w:p>
            <w:pPr>
              <w:pStyle w:val="IsiTabel"/>
              <w:keepNext/>
              <w:suppressAutoHyphens/>
              <w:jc w:val="right"/>
            </w:pPr>
            <w:r>
              <w:t xml:space="preserve">3,81</w:t>
            </w:r>
          </w:p>
        </w:tc>
        <w:tc>
          <w:tcPr>
            <w:tcW w:w="174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140" w:type="dxa"/>
          </w:tcPr>
          <w:p>
            <w:pPr>
              <w:pStyle w:val="IsiTabel"/>
              <w:keepNext/>
              <w:suppressAutoHyphens/>
              <w:jc w:val="left"/>
            </w:pPr>
            <w:r>
              <w:t xml:space="preserve">Lombok 2018, kebutuhan R3P</w:t>
            </w:r>
          </w:p>
        </w:tc>
        <w:tc>
          <w:tcPr>
            <w:tcW w:w="1283" w:type="dxa"/>
          </w:tcPr>
          <w:p>
            <w:pPr>
              <w:pStyle w:val="IsiTabel"/>
              <w:keepNext/>
              <w:suppressAutoHyphens/>
              <w:jc w:val="right"/>
            </w:pPr>
            <w:r>
              <w:t xml:space="preserve">Rp11,4 triliun</w:t>
            </w:r>
          </w:p>
        </w:tc>
        <w:tc>
          <w:tcPr>
            <w:tcW w:w="1386" w:type="dxa"/>
          </w:tcPr>
          <w:p>
            <w:pPr>
              <w:pStyle w:val="IsiTabel"/>
              <w:keepNext/>
              <w:suppressAutoHyphens/>
              <w:jc w:val="right"/>
            </w:pPr>
            <w:r>
              <w:t xml:space="preserve">Rp7,2 triliun</w:t>
            </w:r>
          </w:p>
        </w:tc>
        <w:tc>
          <w:tcPr>
            <w:tcW w:w="798" w:type="dxa"/>
          </w:tcPr>
          <w:p>
            <w:pPr>
              <w:pStyle w:val="IsiTabel"/>
              <w:keepNext/>
              <w:suppressAutoHyphens/>
              <w:jc w:val="right"/>
            </w:pPr>
            <w:r>
              <w:t xml:space="preserve">1,60</w:t>
            </w:r>
          </w:p>
        </w:tc>
        <w:tc>
          <w:tcPr>
            <w:tcW w:w="174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140" w:type="dxa"/>
          </w:tcPr>
          <w:p>
            <w:pPr>
              <w:pStyle w:val="IsiTabel"/>
              <w:keepNext/>
              <w:suppressAutoHyphens/>
              <w:jc w:val="left"/>
            </w:pPr>
            <w:r>
              <w:t xml:space="preserve">Yogyakarta 2006, total (penilaian awal)</w:t>
            </w:r>
          </w:p>
        </w:tc>
        <w:tc>
          <w:tcPr>
            <w:tcW w:w="1283" w:type="dxa"/>
          </w:tcPr>
          <w:p>
            <w:pPr>
              <w:pStyle w:val="IsiTabel"/>
              <w:keepNext/>
              <w:suppressAutoHyphens/>
              <w:jc w:val="right"/>
            </w:pPr>
            <w:r>
              <w:t xml:space="preserve">Rp29,1 triliun</w:t>
            </w:r>
          </w:p>
        </w:tc>
        <w:tc>
          <w:tcPr>
            <w:tcW w:w="1386" w:type="dxa"/>
          </w:tcPr>
          <w:p>
            <w:pPr>
              <w:pStyle w:val="IsiTabel"/>
              <w:keepNext/>
              <w:suppressAutoHyphens/>
              <w:jc w:val="right"/>
            </w:pPr>
            <w:r>
              <w:t xml:space="preserve">–</w:t>
            </w:r>
          </w:p>
        </w:tc>
        <w:tc>
          <w:tcPr>
            <w:tcW w:w="798" w:type="dxa"/>
          </w:tcPr>
          <w:p>
            <w:pPr>
              <w:pStyle w:val="IsiTabel"/>
              <w:keepNext/>
              <w:suppressAutoHyphens/>
              <w:jc w:val="right"/>
            </w:pPr>
            <w:r>
              <w:t xml:space="preserve">–</w:t>
            </w:r>
          </w:p>
        </w:tc>
        <w:tc>
          <w:tcPr>
            <w:tcW w:w="174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140" w:type="dxa"/>
          </w:tcPr>
          <w:p>
            <w:pPr>
              <w:pStyle w:val="IsiTabel"/>
              <w:keepNext/>
              <w:suppressAutoHyphens/>
              <w:jc w:val="left"/>
            </w:pPr>
            <w:bookmarkStart w:id="338" w:name="_Ekor038z"/>
            <w:bookmarkEnd w:id="338"/>
            <w:r>
              <w:t xml:space="preserve">Merapi 2010</w:t>
            </w:r>
          </w:p>
        </w:tc>
        <w:tc>
          <w:tcPr>
            <w:tcW w:w="1283" w:type="dxa"/>
          </w:tcPr>
          <w:p>
            <w:pPr>
              <w:pStyle w:val="IsiTabel"/>
              <w:keepNext/>
              <w:suppressAutoHyphens/>
              <w:jc w:val="right"/>
            </w:pPr>
            <w:r>
              <w:t xml:space="preserve">–</w:t>
            </w:r>
          </w:p>
        </w:tc>
        <w:tc>
          <w:tcPr>
            <w:tcW w:w="1386" w:type="dxa"/>
          </w:tcPr>
          <w:p>
            <w:pPr>
              <w:pStyle w:val="IsiTabel"/>
              <w:keepNext/>
              <w:suppressAutoHyphens/>
              <w:jc w:val="right"/>
            </w:pPr>
            <w:r>
              <w:t xml:space="preserve">Rp157,1 miliar</w:t>
            </w:r>
          </w:p>
        </w:tc>
        <w:tc>
          <w:tcPr>
            <w:tcW w:w="798" w:type="dxa"/>
          </w:tcPr>
          <w:p>
            <w:pPr>
              <w:pStyle w:val="IsiTabel"/>
              <w:keepNext/>
              <w:suppressAutoHyphens/>
              <w:jc w:val="right"/>
            </w:pPr>
            <w:r>
              <w:t xml:space="preserve">–</w:t>
            </w:r>
          </w:p>
        </w:tc>
        <w:tc>
          <w:tcPr>
            <w:tcW w:w="1747"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R3P Cianjur </w:t>
      </w:r>
      <w:r>
        <w:rPr>
          <w:color w:val="6B7280"/>
          <w:sz w:val="17"/>
          <w:szCs w:val="17"/>
        </w:rPr>
        <w:t xml:space="preserve">(Pemerintah Kabupaten Cianjur, 2022)</w:t>
      </w:r>
      <w:r>
        <w:rPr>
          <w:color w:val="6B7280"/>
          <w:sz w:val="17"/>
          <w:szCs w:val="17"/>
        </w:rPr>
        <w:t xml:space="preserve">; BNPB 22 Oktober 2018 </w:t>
      </w:r>
      <w:r>
        <w:rPr>
          <w:color w:val="6B7280"/>
          <w:sz w:val="17"/>
          <w:szCs w:val="17"/>
        </w:rPr>
        <w:t xml:space="preserve">(BNPB, 2018b)</w:t>
      </w:r>
      <w:r>
        <w:rPr>
          <w:color w:val="6B7280"/>
          <w:sz w:val="17"/>
          <w:szCs w:val="17"/>
        </w:rPr>
        <w:t xml:space="preserve">; Kemenko PMK 20 Mei 2024 </w:t>
      </w:r>
      <w:r>
        <w:rPr>
          <w:color w:val="6B7280"/>
          <w:sz w:val="17"/>
          <w:szCs w:val="17"/>
        </w:rPr>
        <w:t xml:space="preserve">(Kemenko PMK, 2024)</w:t>
      </w:r>
      <w:r>
        <w:rPr>
          <w:color w:val="6B7280"/>
          <w:sz w:val="17"/>
          <w:szCs w:val="17"/>
        </w:rPr>
        <w:t xml:space="preserve">; </w:t>
      </w:r>
      <w:r>
        <w:rPr>
          <w:color w:val="6B7280"/>
          <w:sz w:val="17"/>
          <w:szCs w:val="17"/>
        </w:rPr>
        <w:t xml:space="preserve">Bappenas (2006)</w:t>
      </w:r>
      <w:r>
        <w:rPr>
          <w:color w:val="6B7280"/>
          <w:sz w:val="17"/>
          <w:szCs w:val="17"/>
        </w:rPr>
        <w:t xml:space="preserve">; pengolahan stimulan dari DIBI BNPB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Stimulan adalah rumah rusak berat, sedang, dan ringan dikali nilai stimulan per unit skema BNPB terbaru; stimulan dan rasio hitungan kajian ini (asumsi kebijakan). Angka Lombok berupa kebutuhan R3P, bukan kerusakan dan kerugian. Sel "–" karena rumah tercatat Yogyakarta 2006 tidak ada di DIBI dan penilaian kerugian Merapi 2010 tidak ditemukan.</w:t>
      </w:r>
    </w:p>
    <w:p>
      <w:pPr>
        <w:pStyle w:val="Caption"/>
        <w:pageBreakBefore/>
      </w:pPr>
      <w:bookmarkStart w:id="340" w:name="_Toc00120"/>
      <w:bookmarkStart w:id="339" w:name="_Ref028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339"/>
      <w:r>
        <w:rPr>
          <w:b/>
          <w:bCs/>
          <w:color w:val="051C2C"/>
        </w:rPr>
        <w:t xml:space="preserve"> </w:t>
      </w:r>
      <w:r>
        <w:t xml:space="preserve">Gempa, tsunami, dan likuefaksi majemuk setara Sulawesi Tengah 2018</w:t>
      </w:r>
      <w:bookmarkEnd w:id="340"/>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keepNext/>
                    <w:spacing w:after="0"/>
                  </w:pPr>
                  <w:bookmarkStart w:id="342" w:name="_Kartu006a"/>
                  <w:bookmarkStart w:id="341" w:name="_Obj0032"/>
                  <w:r>
                    <w:rPr>
                      <w:position w:val="-10"/>
                    </w:rPr>
                    <w:drawing>
                      <wp:inline distT="0" distB="0" distL="0" distR="0">
                        <wp:extent cx="216000" cy="216000"/>
                        <wp:effectExtent l="0" t="0" r="0" b="0"/>
                        <wp:docPr id="74" name="Gambar 74"/>
                        <wp:cNvGraphicFramePr>
                          <a:graphicFrameLocks noChangeAspect="1"/>
                        </wp:cNvGraphicFramePr>
                        <a:graphic>
                          <a:graphicData uri="http://schemas.openxmlformats.org/drawingml/2006/picture">
                            <pic:pic>
                              <pic:nvPicPr>
                                <pic:cNvPr id="74" name="likuefaksi-khusus-likuefaksi-FFFFFF-8A4B2A.png"/>
                                <pic:cNvPicPr/>
                              </pic:nvPicPr>
                              <pic:blipFill>
                                <a:blip r:embed="rId53"/>
                                <a:stretch>
                                  <a:fillRect/>
                                </a:stretch>
                              </pic:blipFill>
                              <pic:spPr>
                                <a:xfrm>
                                  <a:off x="0" y="0"/>
                                  <a:ext cx="216000" cy="216000"/>
                                </a:xfrm>
                                <a:prstGeom prst="rect">
                                  <a:avLst/>
                                </a:prstGeom>
                              </pic:spPr>
                            </pic:pic>
                          </a:graphicData>
                        </a:graphic>
                      </wp:inline>
                    </w:drawing>
                  </w:r>
                  <w:r>
                    <w:t xml:space="preserve"> </w:t>
                  </w:r>
                  <w:r>
                    <w:rPr>
                      <w:b/>
                      <w:bCs/>
                    </w:rPr>
                    <w:t xml:space="preserve">Likuefaksi</w:t>
                  </w:r>
                  <w:r>
                    <w:rPr>
                      <w:color w:val="2E3440"/>
                    </w:rPr>
                    <w:t xml:space="preserve">  Geologi</w:t>
                  </w:r>
                  <w:bookmarkEnd w:id="341"/>
                  <w:bookmarkEnd w:id="342"/>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analog; kejadian majemuk tercatat terbesar sejak DIBI dimulai, dipadukan dengan paparan resmi KRB likuefaksi; korban likuefaksi tidak terpisah dari korban gempa dan tsunami.</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Periode ulang tidak dinilai: kejadian majemuk tidak punya model peluang di bahan kajian</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75" name="Gambar 75"/>
                              <wp:cNvGraphicFramePr>
                                <a:graphicFrameLocks noChangeAspect="1"/>
                              </wp:cNvGraphicFramePr>
                              <a:graphic>
                                <a:graphicData uri="http://schemas.openxmlformats.org/drawingml/2006/picture">
                                  <pic:pic>
                                    <pic:nvPicPr>
                                      <pic:cNvPr id="7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76" name="Gambar 76"/>
                              <wp:cNvGraphicFramePr>
                                <a:graphicFrameLocks noChangeAspect="1"/>
                              </wp:cNvGraphicFramePr>
                              <a:graphic>
                                <a:graphicData uri="http://schemas.openxmlformats.org/drawingml/2006/picture">
                                  <pic:pic>
                                    <pic:nvPicPr>
                                      <pic:cNvPr id="7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7" name="Gambar 77"/>
                              <wp:cNvGraphicFramePr>
                                <a:graphicFrameLocks noChangeAspect="1"/>
                              </wp:cNvGraphicFramePr>
                              <a:graphic>
                                <a:graphicData uri="http://schemas.openxmlformats.org/drawingml/2006/picture">
                                  <pic:pic>
                                    <pic:nvPicPr>
                                      <pic:cNvPr id="7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8" name="Gambar 78"/>
                              <wp:cNvGraphicFramePr>
                                <a:graphicFrameLocks noChangeAspect="1"/>
                              </wp:cNvGraphicFramePr>
                              <a:graphic>
                                <a:graphicData uri="http://schemas.openxmlformats.org/drawingml/2006/picture">
                                  <pic:pic>
                                    <pic:nvPicPr>
                                      <pic:cNvPr id="7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9" name="Gambar 79"/>
                              <wp:cNvGraphicFramePr>
                                <a:graphicFrameLocks noChangeAspect="1"/>
                              </wp:cNvGraphicFramePr>
                              <a:graphic>
                                <a:graphicData uri="http://schemas.openxmlformats.org/drawingml/2006/picture">
                                  <pic:pic>
                                    <pic:nvPicPr>
                                      <pic:cNvPr id="7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Sulawesi Tengah</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3297181"/>
                        <wp:effectExtent l="0" t="0" r="0" b="0"/>
                        <wp:docPr id="80" name="Gambar 80"/>
                        <wp:cNvGraphicFramePr>
                          <a:graphicFrameLocks noChangeAspect="1"/>
                        </wp:cNvGraphicFramePr>
                        <a:graphic>
                          <a:graphicData uri="http://schemas.openxmlformats.org/drawingml/2006/picture">
                            <pic:pic>
                              <pic:nvPicPr>
                                <pic:cNvPr id="80" name="bab06-kartu-majemuk.png"/>
                                <pic:cNvPicPr/>
                              </pic:nvPicPr>
                              <pic:blipFill>
                                <a:blip r:embed="rId54"/>
                                <a:stretch>
                                  <a:fillRect/>
                                </a:stretch>
                              </pic:blipFill>
                              <pic:spPr>
                                <a:xfrm>
                                  <a:off x="0" y="0"/>
                                  <a:ext cx="1882800" cy="3297181"/>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747"/>
              <w:gridCol w:w="1244"/>
              <w:gridCol w:w="852"/>
              <w:gridCol w:w="1695"/>
              <w:gridCol w:w="2816"/>
            </w:tblGrid>
            <w:tr>
              <w:trPr>
                <w:cantSplit/>
                <w:tblHeader/>
              </w:trPr>
              <w:tc>
                <w:tcPr>
                  <w:tcW w:w="2747" w:type="dxa"/>
                  <w:shd w:val="clear" w:color="auto" w:fill="051C2C"/>
                  <w:vAlign w:val="center"/>
                </w:tcPr>
                <w:p>
                  <w:pPr>
                    <w:pStyle w:val="KepalaTabel"/>
                    <w:keepNext/>
                    <w:suppressAutoHyphens/>
                  </w:pPr>
                  <w:r>
                    <w:t xml:space="preserve">BESARAN</w:t>
                  </w:r>
                </w:p>
              </w:tc>
              <w:tc>
                <w:tcPr>
                  <w:tcW w:w="1244"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695" w:type="dxa"/>
                  <w:shd w:val="clear" w:color="auto" w:fill="051C2C"/>
                  <w:vAlign w:val="center"/>
                </w:tcPr>
                <w:p>
                  <w:pPr>
                    <w:pStyle w:val="KepalaTabel"/>
                    <w:keepNext/>
                    <w:suppressAutoHyphens/>
                  </w:pPr>
                  <w:r>
                    <w:t xml:space="preserve">KEYAKINAN</w:t>
                  </w:r>
                </w:p>
              </w:tc>
              <w:tc>
                <w:tcPr>
                  <w:tcW w:w="2816" w:type="dxa"/>
                  <w:shd w:val="clear" w:color="auto" w:fill="051C2C"/>
                  <w:vAlign w:val="center"/>
                </w:tcPr>
                <w:p>
                  <w:pPr>
                    <w:pStyle w:val="KepalaTabel"/>
                    <w:keepNext/>
                    <w:suppressAutoHyphens/>
                  </w:pPr>
                  <w:r>
                    <w:t xml:space="preserve">SUMBER</w:t>
                  </w:r>
                </w:p>
              </w:tc>
            </w:tr>
            <w:tr>
              <w:trPr>
                <w:cantSplit/>
              </w:trPr>
              <w:tc>
                <w:tcPr>
                  <w:tcW w:w="2747" w:type="dxa"/>
                </w:tcPr>
                <w:p>
                  <w:pPr>
                    <w:pStyle w:val="IsiTabel"/>
                    <w:keepNext/>
                    <w:suppressAutoHyphens/>
                    <w:jc w:val="left"/>
                  </w:pPr>
                  <w:r>
                    <w:t xml:space="preserve">Kependudukan, korban jiwa tercatat DIBI</w:t>
                  </w:r>
                </w:p>
              </w:tc>
              <w:tc>
                <w:tcPr>
                  <w:tcW w:w="1244" w:type="dxa"/>
                </w:tcPr>
                <w:p>
                  <w:pPr>
                    <w:pStyle w:val="IsiTabel"/>
                    <w:keepNext/>
                    <w:suppressAutoHyphens/>
                    <w:jc w:val="right"/>
                  </w:pPr>
                  <w:r>
                    <w:t xml:space="preserve">4.140</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6" w:type="dxa"/>
                </w:tcPr>
                <w:p>
                  <w:pPr>
                    <w:pStyle w:val="IsiTabel"/>
                    <w:keepNext/>
                    <w:suppressAutoHyphens/>
                    <w:jc w:val="left"/>
                  </w:pPr>
                  <w:r>
                    <w:t xml:space="preserve">DIBI BNPB, ditambah </w:t>
                  </w:r>
                  <w:r>
                    <w:t xml:space="preserve">705</w:t>
                  </w:r>
                  <w:r>
                    <w:t xml:space="preserve"> hilang</w:t>
                  </w:r>
                </w:p>
              </w:tc>
            </w:tr>
            <w:tr>
              <w:trPr>
                <w:cantSplit/>
              </w:trPr>
              <w:tc>
                <w:tcPr>
                  <w:tcW w:w="2747" w:type="dxa"/>
                </w:tcPr>
                <w:p>
                  <w:pPr>
                    <w:pStyle w:val="IsiTabel"/>
                    <w:keepNext/>
                    <w:suppressAutoHyphens/>
                    <w:jc w:val="left"/>
                  </w:pPr>
                  <w:r>
                    <w:t xml:space="preserve">Kependudukan, korban jiwa menurut USGS</w:t>
                  </w:r>
                </w:p>
              </w:tc>
              <w:tc>
                <w:tcPr>
                  <w:tcW w:w="1244" w:type="dxa"/>
                </w:tcPr>
                <w:p>
                  <w:pPr>
                    <w:pStyle w:val="IsiTabel"/>
                    <w:keepNext/>
                    <w:suppressAutoHyphens/>
                    <w:jc w:val="right"/>
                  </w:pPr>
                  <w:r>
                    <w:t xml:space="preserve">2.077</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5B7A99"/>
                    </w:rPr>
                    <w:t xml:space="preserve">  Terverifikasi  </w:t>
                  </w:r>
                </w:p>
              </w:tc>
              <w:tc>
                <w:tcPr>
                  <w:tcW w:w="2816" w:type="dxa"/>
                </w:tcPr>
                <w:p>
                  <w:pPr>
                    <w:pStyle w:val="IsiTabel"/>
                    <w:keepNext/>
                    <w:suppressAutoHyphens/>
                    <w:jc w:val="left"/>
                  </w:pPr>
                  <w:r>
                    <w:t xml:space="preserve">USGS, ditambah </w:t>
                  </w:r>
                  <w:r>
                    <w:t xml:space="preserve">1.075</w:t>
                  </w:r>
                  <w:r>
                    <w:t xml:space="preserve"> hilang</w:t>
                  </w:r>
                </w:p>
              </w:tc>
            </w:tr>
            <w:tr>
              <w:trPr>
                <w:cantSplit/>
              </w:trPr>
              <w:tc>
                <w:tcPr>
                  <w:tcW w:w="2747" w:type="dxa"/>
                </w:tcPr>
                <w:p>
                  <w:pPr>
                    <w:pStyle w:val="IsiTabel"/>
                    <w:keepNext/>
                    <w:suppressAutoHyphens/>
                    <w:jc w:val="left"/>
                  </w:pPr>
                  <w:r>
                    <w:t xml:space="preserve">Kependudukan, pengungsi tercatat</w:t>
                  </w:r>
                </w:p>
              </w:tc>
              <w:tc>
                <w:tcPr>
                  <w:tcW w:w="1244" w:type="dxa"/>
                </w:tcPr>
                <w:p>
                  <w:pPr>
                    <w:pStyle w:val="IsiTabel"/>
                    <w:keepNext/>
                    <w:suppressAutoHyphens/>
                    <w:jc w:val="right"/>
                  </w:pPr>
                  <w:r>
                    <w:t xml:space="preserve">212.719</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6" w:type="dxa"/>
                </w:tcPr>
                <w:p>
                  <w:pPr>
                    <w:pStyle w:val="IsiTabel"/>
                    <w:keepNext/>
                    <w:suppressAutoHyphens/>
                    <w:jc w:val="left"/>
                  </w:pPr>
                  <w:r>
                    <w:t xml:space="preserve">DIBI BNPB</w:t>
                  </w:r>
                </w:p>
              </w:tc>
            </w:tr>
            <w:tr>
              <w:trPr>
                <w:cantSplit/>
              </w:trPr>
              <w:tc>
                <w:tcPr>
                  <w:tcW w:w="2747" w:type="dxa"/>
                </w:tcPr>
                <w:p>
                  <w:pPr>
                    <w:pStyle w:val="IsiTabel"/>
                    <w:keepNext/>
                    <w:suppressAutoHyphens/>
                    <w:jc w:val="left"/>
                  </w:pPr>
                  <w:r>
                    <w:t xml:space="preserve">Kependudukan, jiwa terpapar likuefaksi (nasional)</w:t>
                  </w:r>
                </w:p>
              </w:tc>
              <w:tc>
                <w:tcPr>
                  <w:tcW w:w="1244" w:type="dxa"/>
                </w:tcPr>
                <w:p>
                  <w:pPr>
                    <w:pStyle w:val="IsiTabel"/>
                    <w:keepNext/>
                    <w:suppressAutoHyphens/>
                    <w:jc w:val="right"/>
                  </w:pPr>
                  <w:r>
                    <w:t xml:space="preserve">86,7 juta</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6" w:type="dxa"/>
                </w:tcPr>
                <w:p>
                  <w:pPr>
                    <w:pStyle w:val="IsiTabel"/>
                    <w:keepNext/>
                    <w:suppressAutoHyphens/>
                    <w:jc w:val="left"/>
                  </w:pPr>
                  <w:r>
                    <w:t xml:space="preserve">KRB 2022–2026</w:t>
                  </w:r>
                </w:p>
              </w:tc>
            </w:tr>
            <w:tr>
              <w:trPr>
                <w:cantSplit/>
              </w:trPr>
              <w:tc>
                <w:tcPr>
                  <w:tcW w:w="2747" w:type="dxa"/>
                </w:tcPr>
                <w:p>
                  <w:pPr>
                    <w:pStyle w:val="IsiTabel"/>
                    <w:keepNext/>
                    <w:suppressAutoHyphens/>
                    <w:jc w:val="left"/>
                  </w:pPr>
                  <w:r>
                    <w:t xml:space="preserve">Lingkungan, </w:t>
                  </w:r>
                  <w:r>
                    <w:rPr>
                      <w:i/>
                      <w:iCs/>
                    </w:rPr>
                    <w:t xml:space="preserve">run-up</w:t>
                  </w:r>
                  <w:r>
                    <w:t xml:space="preserve"> tsunami terukur tertinggi (m)</w:t>
                  </w:r>
                </w:p>
              </w:tc>
              <w:tc>
                <w:tcPr>
                  <w:tcW w:w="1244" w:type="dxa"/>
                </w:tcPr>
                <w:p>
                  <w:pPr>
                    <w:pStyle w:val="IsiTabel"/>
                    <w:keepNext/>
                    <w:suppressAutoHyphens/>
                    <w:jc w:val="right"/>
                  </w:pPr>
                  <w:r>
                    <w:t xml:space="preserve">10,73</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5B7A99"/>
                    </w:rPr>
                    <w:t xml:space="preserve">  Terverifikasi  </w:t>
                  </w:r>
                </w:p>
              </w:tc>
              <w:tc>
                <w:tcPr>
                  <w:tcW w:w="2816" w:type="dxa"/>
                </w:tcPr>
                <w:p>
                  <w:pPr>
                    <w:pStyle w:val="IsiTabel"/>
                    <w:keepNext/>
                    <w:suppressAutoHyphens/>
                    <w:jc w:val="left"/>
                  </w:pPr>
                  <w:r>
                    <w:t xml:space="preserve">Widiyanto dkk. (2019), Tondo</w:t>
                  </w:r>
                </w:p>
              </w:tc>
            </w:tr>
            <w:tr>
              <w:trPr>
                <w:cantSplit/>
              </w:trPr>
              <w:tc>
                <w:tcPr>
                  <w:tcW w:w="2747" w:type="dxa"/>
                </w:tcPr>
                <w:p>
                  <w:pPr>
                    <w:pStyle w:val="IsiTabel"/>
                    <w:keepNext/>
                    <w:suppressAutoHyphens/>
                    <w:jc w:val="left"/>
                  </w:pPr>
                  <w:bookmarkStart w:id="343" w:name="_Ekor039a"/>
                  <w:bookmarkEnd w:id="343"/>
                  <w:r>
                    <w:t xml:space="preserve">Ekonomi, kerusakan dan kerugian sementara</w:t>
                  </w:r>
                </w:p>
              </w:tc>
              <w:tc>
                <w:tcPr>
                  <w:tcW w:w="1244" w:type="dxa"/>
                </w:tcPr>
                <w:p>
                  <w:pPr>
                    <w:pStyle w:val="IsiTabel"/>
                    <w:keepNext/>
                    <w:suppressAutoHyphens/>
                    <w:jc w:val="right"/>
                  </w:pPr>
                  <w:r>
                    <w:t xml:space="preserve">Rp13,8 triliun</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6" w:type="dxa"/>
                </w:tcPr>
                <w:p>
                  <w:pPr>
                    <w:pStyle w:val="IsiTabel"/>
                    <w:keepNext/>
                    <w:suppressAutoHyphens/>
                    <w:jc w:val="left"/>
                  </w:pPr>
                  <w:r>
                    <w:t xml:space="preserve">BNPB, per 20 Oktober 2018</w:t>
                  </w:r>
                </w:p>
              </w:tc>
            </w:tr>
            <w:tr>
              <w:trPr>
                <w:cantSplit/>
              </w:trPr>
              <w:tc>
                <w:tcPr>
                  <w:tcW w:w="2747" w:type="dxa"/>
                </w:tcPr>
                <w:p>
                  <w:pPr>
                    <w:pStyle w:val="IsiTabel"/>
                    <w:keepNext/>
                    <w:suppressAutoHyphens/>
                    <w:jc w:val="left"/>
                  </w:pPr>
                  <w:r>
                    <w:t xml:space="preserve">Infrastruktur/fisik, rumah rusak</w:t>
                  </w:r>
                </w:p>
              </w:tc>
              <w:tc>
                <w:tcPr>
                  <w:tcW w:w="1244" w:type="dxa"/>
                </w:tcPr>
                <w:p>
                  <w:pPr>
                    <w:pStyle w:val="IsiTabel"/>
                    <w:keepNext/>
                    <w:suppressAutoHyphens/>
                    <w:jc w:val="right"/>
                  </w:pPr>
                  <w:r>
                    <w:t xml:space="preserve">110.214</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6" w:type="dxa"/>
                </w:tcPr>
                <w:p>
                  <w:pPr>
                    <w:pStyle w:val="IsiTabel"/>
                    <w:keepNext/>
                    <w:suppressAutoHyphens/>
                    <w:jc w:val="left"/>
                  </w:pPr>
                  <w:r>
                    <w:t xml:space="preserve">DIBI BNPB</w:t>
                  </w:r>
                </w:p>
              </w:tc>
            </w:tr>
            <w:tr>
              <w:trPr>
                <w:cantSplit/>
              </w:trPr>
              <w:tc>
                <w:tcPr>
                  <w:tcW w:w="2747" w:type="dxa"/>
                </w:tcPr>
                <w:p>
                  <w:pPr>
                    <w:pStyle w:val="IsiTabel"/>
                    <w:keepNext/>
                    <w:suppressAutoHyphens/>
                    <w:jc w:val="left"/>
                  </w:pPr>
                  <w:r>
                    <w:t xml:space="preserve">Layanan sipil, sekolah di kelas bahaya tinggi likuefaksi (nasional)</w:t>
                  </w:r>
                </w:p>
              </w:tc>
              <w:tc>
                <w:tcPr>
                  <w:tcW w:w="1244" w:type="dxa"/>
                </w:tcPr>
                <w:p>
                  <w:pPr>
                    <w:pStyle w:val="IsiTabel"/>
                    <w:keepNext/>
                    <w:suppressAutoHyphens/>
                    <w:jc w:val="right"/>
                  </w:pPr>
                  <w:r>
                    <w:t xml:space="preserve">73.208</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6" w:type="dxa"/>
                </w:tcPr>
                <w:p>
                  <w:pPr>
                    <w:pStyle w:val="IsiTabel"/>
                    <w:keepNext/>
                    <w:suppressAutoHyphens/>
                    <w:jc w:val="left"/>
                  </w:pPr>
                  <w:r>
                    <w:t xml:space="preserve">InaRISK KRB</w:t>
                  </w:r>
                </w:p>
              </w:tc>
            </w:tr>
            <w:tr>
              <w:trPr>
                <w:cantSplit/>
              </w:trPr>
              <w:tc>
                <w:tcPr>
                  <w:tcW w:w="2747" w:type="dxa"/>
                </w:tcPr>
                <w:p>
                  <w:pPr>
                    <w:pStyle w:val="IsiTabel"/>
                    <w:keepNext/>
                    <w:suppressAutoHyphens/>
                    <w:jc w:val="left"/>
                  </w:pPr>
                  <w:bookmarkStart w:id="344" w:name="_Ekor039z"/>
                  <w:bookmarkEnd w:id="344"/>
                  <w:r>
                    <w:t xml:space="preserve">Kebutuhan respons, pengungsi dari rumah rusak</w:t>
                  </w:r>
                </w:p>
              </w:tc>
              <w:tc>
                <w:tcPr>
                  <w:tcW w:w="1244" w:type="dxa"/>
                </w:tcPr>
                <w:p>
                  <w:pPr>
                    <w:pStyle w:val="IsiTabel"/>
                    <w:keepNext/>
                    <w:suppressAutoHyphens/>
                    <w:jc w:val="right"/>
                  </w:pPr>
                  <w:r>
                    <w:t xml:space="preserve">245.954</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816" w:type="dxa"/>
                </w:tcPr>
                <w:p>
                  <w:pPr>
                    <w:pStyle w:val="IsiTabel"/>
                    <w:keepNext/>
                    <w:suppressAutoHyphens/>
                    <w:jc w:val="left"/>
                  </w:pPr>
                  <w:r>
                    <w:t xml:space="preserve">aturan rumah rusak berat dan sedang × </w:t>
                  </w:r>
                  <w:r>
                    <w:t xml:space="preserve">3,9</w:t>
                  </w:r>
                  <w:r>
                    <w:t xml:space="preserve">; tercatat </w:t>
                  </w:r>
                  <w:r>
                    <w:t xml:space="preserve">212.719</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Kerusakan dan kerugian sementara Sulawesi Tengah </w:t>
                  </w:r>
                  <w:r>
                    <w:t xml:space="preserve">3,81</w:t>
                  </w:r>
                  <w:r>
                    <w:t xml:space="preserve"> kali stimulan rumah, sehingga stimulan tidak dipakai sebagai kerugian materiil penuh kejadian majemuk.</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951"/>
              <w:gridCol w:w="3000"/>
              <w:gridCol w:w="1453"/>
              <w:gridCol w:w="1379"/>
              <w:gridCol w:w="1571"/>
            </w:tblGrid>
            <w:tr>
              <w:trPr>
                <w:cantSplit/>
                <w:tblHeader/>
              </w:trPr>
              <w:tc>
                <w:tcPr>
                  <w:tcW w:w="1951" w:type="dxa"/>
                  <w:shd w:val="clear" w:color="auto" w:fill="051C2C"/>
                  <w:vAlign w:val="center"/>
                </w:tcPr>
                <w:p>
                  <w:pPr>
                    <w:pStyle w:val="KepalaTabel"/>
                    <w:keepNext/>
                    <w:suppressAutoHyphens/>
                  </w:pPr>
                  <w:r>
                    <w:t xml:space="preserve">TUAS</w:t>
                  </w:r>
                </w:p>
              </w:tc>
              <w:tc>
                <w:tcPr>
                  <w:tcW w:w="3000" w:type="dxa"/>
                  <w:shd w:val="clear" w:color="auto" w:fill="051C2C"/>
                  <w:vAlign w:val="center"/>
                </w:tcPr>
                <w:p>
                  <w:pPr>
                    <w:pStyle w:val="KepalaTabel"/>
                    <w:keepNext/>
                    <w:suppressAutoHyphens/>
                  </w:pPr>
                  <w:r>
                    <w:t xml:space="preserve">NILAI DASAR</w:t>
                  </w:r>
                </w:p>
              </w:tc>
              <w:tc>
                <w:tcPr>
                  <w:tcW w:w="1453" w:type="dxa"/>
                  <w:shd w:val="clear" w:color="auto" w:fill="051C2C"/>
                  <w:vAlign w:val="center"/>
                </w:tcPr>
                <w:p>
                  <w:pPr>
                    <w:pStyle w:val="KepalaTabel"/>
                    <w:keepNext/>
                    <w:suppressAutoHyphens/>
                  </w:pPr>
                  <w:r>
                    <w:t xml:space="preserve">NILAI DIGESER</w:t>
                  </w:r>
                </w:p>
              </w:tc>
              <w:tc>
                <w:tcPr>
                  <w:tcW w:w="1379" w:type="dxa"/>
                  <w:shd w:val="clear" w:color="auto" w:fill="051C2C"/>
                  <w:vAlign w:val="center"/>
                </w:tcPr>
                <w:p>
                  <w:pPr>
                    <w:pStyle w:val="KepalaTabel"/>
                    <w:keepNext/>
                    <w:suppressAutoHyphens/>
                  </w:pPr>
                  <w:r>
                    <w:t xml:space="preserve">KORBAN JIWA</w:t>
                  </w:r>
                </w:p>
              </w:tc>
              <w:tc>
                <w:tcPr>
                  <w:tcW w:w="1571" w:type="dxa"/>
                  <w:shd w:val="clear" w:color="auto" w:fill="051C2C"/>
                  <w:vAlign w:val="center"/>
                </w:tcPr>
                <w:p>
                  <w:pPr>
                    <w:pStyle w:val="KepalaTabel"/>
                    <w:keepNext/>
                    <w:suppressAutoHyphens/>
                  </w:pPr>
                  <w:r>
                    <w:t xml:space="preserve">KERUGIAN MATERIIL</w:t>
                  </w:r>
                </w:p>
              </w:tc>
            </w:tr>
            <w:tr>
              <w:trPr>
                <w:cantSplit/>
              </w:trPr>
              <w:tc>
                <w:tcPr>
                  <w:tcW w:w="1951" w:type="dxa"/>
                </w:tcPr>
                <w:p>
                  <w:pPr>
                    <w:pStyle w:val="IsiTabel"/>
                    <w:keepNext/>
                    <w:suppressAutoHyphens/>
                    <w:jc w:val="left"/>
                  </w:pPr>
                  <w:bookmarkStart w:id="345" w:name="_Ekor040a"/>
                  <w:bookmarkEnd w:id="345"/>
                  <w:r>
                    <w:t xml:space="preserve">Sumber angka korban</w:t>
                  </w:r>
                </w:p>
              </w:tc>
              <w:tc>
                <w:tcPr>
                  <w:tcW w:w="3000" w:type="dxa"/>
                </w:tcPr>
                <w:p>
                  <w:pPr>
                    <w:pStyle w:val="IsiTabel"/>
                    <w:keepNext/>
                    <w:suppressAutoHyphens/>
                    <w:jc w:val="right"/>
                  </w:pPr>
                  <w:r>
                    <w:t xml:space="preserve">DIBI</w:t>
                  </w:r>
                </w:p>
              </w:tc>
              <w:tc>
                <w:tcPr>
                  <w:tcW w:w="1453" w:type="dxa"/>
                </w:tcPr>
                <w:p>
                  <w:pPr>
                    <w:pStyle w:val="IsiTabel"/>
                    <w:keepNext/>
                    <w:suppressAutoHyphens/>
                    <w:jc w:val="right"/>
                  </w:pPr>
                  <w:r>
                    <w:t xml:space="preserve">USGS</w:t>
                  </w:r>
                </w:p>
              </w:tc>
              <w:tc>
                <w:tcPr>
                  <w:tcW w:w="1379" w:type="dxa"/>
                </w:tcPr>
                <w:p>
                  <w:pPr>
                    <w:pStyle w:val="IsiTabel"/>
                    <w:keepNext/>
                    <w:suppressAutoHyphens/>
                    <w:jc w:val="right"/>
                  </w:pPr>
                  <w:r>
                    <w:t xml:space="preserve">4.140</w:t>
                  </w:r>
                  <w:r>
                    <w:t xml:space="preserve"> ke </w:t>
                  </w:r>
                  <w:r>
                    <w:t xml:space="preserve">2.077</w:t>
                  </w:r>
                </w:p>
              </w:tc>
              <w:tc>
                <w:tcPr>
                  <w:tcW w:w="1571" w:type="dxa"/>
                </w:tcPr>
                <w:p>
                  <w:pPr>
                    <w:pStyle w:val="IsiTabel"/>
                    <w:keepNext/>
                    <w:suppressAutoHyphens/>
                    <w:jc w:val="left"/>
                  </w:pPr>
                  <w:r>
                    <w:t xml:space="preserve">tidak berubah</w:t>
                  </w:r>
                </w:p>
              </w:tc>
            </w:tr>
            <w:tr>
              <w:trPr>
                <w:cantSplit/>
              </w:trPr>
              <w:tc>
                <w:tcPr>
                  <w:tcW w:w="1951" w:type="dxa"/>
                </w:tcPr>
                <w:p>
                  <w:pPr>
                    <w:pStyle w:val="IsiTabel"/>
                    <w:keepNext/>
                    <w:suppressAutoHyphens/>
                    <w:jc w:val="left"/>
                  </w:pPr>
                  <w:bookmarkStart w:id="346" w:name="_Ekor040z"/>
                  <w:bookmarkEnd w:id="346"/>
                  <w:r>
                    <w:t xml:space="preserve">Ukuran kerugian</w:t>
                  </w:r>
                </w:p>
              </w:tc>
              <w:tc>
                <w:tcPr>
                  <w:tcW w:w="3000" w:type="dxa"/>
                </w:tcPr>
                <w:p>
                  <w:pPr>
                    <w:pStyle w:val="IsiTabel"/>
                    <w:keepNext/>
                    <w:suppressAutoHyphens/>
                    <w:jc w:val="right"/>
                  </w:pPr>
                  <w:r>
                    <w:t xml:space="preserve">kerusakan dan kerugian sementara</w:t>
                  </w:r>
                </w:p>
              </w:tc>
              <w:tc>
                <w:tcPr>
                  <w:tcW w:w="1453" w:type="dxa"/>
                </w:tcPr>
                <w:p>
                  <w:pPr>
                    <w:pStyle w:val="IsiTabel"/>
                    <w:keepNext/>
                    <w:suppressAutoHyphens/>
                    <w:jc w:val="right"/>
                  </w:pPr>
                  <w:r>
                    <w:t xml:space="preserve">stimulan rumah</w:t>
                  </w:r>
                </w:p>
              </w:tc>
              <w:tc>
                <w:tcPr>
                  <w:tcW w:w="1379" w:type="dxa"/>
                </w:tcPr>
                <w:p>
                  <w:pPr>
                    <w:pStyle w:val="IsiTabel"/>
                    <w:keepNext/>
                    <w:suppressAutoHyphens/>
                    <w:jc w:val="right"/>
                  </w:pPr>
                  <w:r>
                    <w:t xml:space="preserve">tidak berubah</w:t>
                  </w:r>
                </w:p>
              </w:tc>
              <w:tc>
                <w:tcPr>
                  <w:tcW w:w="1571" w:type="dxa"/>
                </w:tcPr>
                <w:p>
                  <w:pPr>
                    <w:pStyle w:val="IsiTabel"/>
                    <w:keepNext/>
                    <w:suppressAutoHyphens/>
                    <w:jc w:val="left"/>
                  </w:pPr>
                  <w:r>
                    <w:t xml:space="preserve">Rp13,8 triliun</w:t>
                  </w:r>
                  <w:r>
                    <w:t xml:space="preserve"> ke </w:t>
                  </w:r>
                  <w:r>
                    <w:t xml:space="preserve">Rp3,6 triliun</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Evakuasi mandiri saat guncangan kuat, karena tsunami tiba dalam hitungan menit.</w:t>
                  </w:r>
                </w:p>
                <w:p>
                  <w:pPr>
                    <w:pStyle w:val="DaftarTabel"/>
                    <w:keepNext/>
                    <w:numPr>
                      <w:ilvl w:val="0"/>
                      <w:numId w:val="1"/>
                    </w:numPr>
                    <w:suppressAutoHyphens/>
                  </w:pPr>
                  <w:r>
                    <w:t xml:space="preserve">Pencarian dan pertolongan di permukiman yang tertimbun likuefaksi.</w:t>
                  </w:r>
                </w:p>
                <w:p>
                  <w:pPr>
                    <w:pStyle w:val="DaftarTabel"/>
                    <w:keepNext/>
                    <w:numPr>
                      <w:ilvl w:val="0"/>
                      <w:numId w:val="1"/>
                    </w:numPr>
                    <w:suppressAutoHyphens/>
                  </w:pPr>
                  <w:r>
                    <w:t xml:space="preserve">Pengungsian dihitung dari rumah rusak yang terdata.</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Penataan ulang permukiman di zona likuefaksi.</w:t>
                  </w:r>
                </w:p>
                <w:p>
                  <w:pPr>
                    <w:pStyle w:val="DaftarTabel"/>
                    <w:keepNext/>
                    <w:numPr>
                      <w:ilvl w:val="0"/>
                      <w:numId w:val="1"/>
                    </w:numPr>
                    <w:suppressAutoHyphens/>
                  </w:pPr>
                  <w:r>
                    <w:t xml:space="preserve">Penilaian kerusakan dan kerugian akhir dibuka sebagai seri R3P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Pemulihan layanan pesisir Teluk Palu.</w:t>
                  </w:r>
                </w:p>
              </w:tc>
            </w:tr>
          </w:tbl>
          <w:p>
            <w:pPr>
              <w:pStyle w:val="IsiTabel"/>
              <w:keepNext/>
              <w:spacing w:before="80"/>
            </w:pPr>
            <w:r>
              <w:rPr>
                <w:i/>
                <w:iCs/>
                <w:color w:val="2E3440"/>
                <w:sz w:val="17"/>
                <w:szCs w:val="17"/>
              </w:rPr>
              <w:t xml:space="preserve">Kejadian analog tercatat; kerusakan dan kerugian adalah angka sementara resmi per 20 Oktober 2018.</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47" w:name="_Kartu006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BNPB 22 Oktober 2018 </w:t>
      </w:r>
      <w:r>
        <w:rPr>
          <w:color w:val="6B7280"/>
          <w:sz w:val="17"/>
          <w:szCs w:val="17"/>
        </w:rPr>
        <w:t xml:space="preserve">(BNPB, 2018b)</w:t>
      </w:r>
      <w:r>
        <w:rPr>
          <w:color w:val="6B7280"/>
          <w:sz w:val="17"/>
          <w:szCs w:val="17"/>
        </w:rPr>
        <w:t xml:space="preserve">; USGS </w:t>
      </w:r>
      <w:r>
        <w:rPr>
          <w:color w:val="6B7280"/>
          <w:sz w:val="17"/>
          <w:szCs w:val="17"/>
        </w:rPr>
        <w:t xml:space="preserve">(USGS, 2018b)</w:t>
      </w:r>
      <w:r>
        <w:rPr>
          <w:color w:val="6B7280"/>
          <w:sz w:val="17"/>
          <w:szCs w:val="17"/>
        </w:rPr>
        <w:t xml:space="preserve">; </w:t>
      </w:r>
      <w:r>
        <w:rPr>
          <w:color w:val="6B7280"/>
          <w:sz w:val="17"/>
          <w:szCs w:val="17"/>
        </w:rPr>
        <w:t xml:space="preserve">Widiyanto dkk. (2019)</w:t>
      </w:r>
      <w:r>
        <w:rPr>
          <w:color w:val="6B7280"/>
          <w:sz w:val="17"/>
          <w:szCs w:val="17"/>
        </w:rPr>
        <w:t xml:space="preserve">; KRB 2022–2026 </w:t>
      </w:r>
      <w:r>
        <w:rPr>
          <w:color w:val="6B7280"/>
          <w:sz w:val="17"/>
          <w:szCs w:val="17"/>
        </w:rPr>
        <w:t xml:space="preserve">(BNPB, 2025c)</w:t>
      </w:r>
      <w:r>
        <w:rPr>
          <w:color w:val="6B7280"/>
          <w:sz w:val="17"/>
          <w:szCs w:val="17"/>
        </w:rPr>
        <w:t xml:space="preserve">; data per </w:t>
      </w:r>
      <w:r>
        <w:rPr>
          <w:color w:val="6B7280"/>
          <w:sz w:val="17"/>
          <w:szCs w:val="17"/>
        </w:rPr>
        <w:t xml:space="preserve">24 Okt 2026</w:t>
      </w:r>
      <w:bookmarkEnd w:id="347"/>
    </w:p>
    <w:p>
      <w:pPr>
        <w:pStyle w:val="Heading2"/>
      </w:pPr>
      <w:bookmarkStart w:id="349" w:name="_Toc00121"/>
      <w:bookmarkStart w:id="348" w:name="_Ref0161"/>
      <w:r>
        <w:t xml:space="preserve">6.6</w:t>
      </w:r>
      <w:bookmarkEnd w:id="348"/>
      <w:r>
        <w:tab/>
      </w:r>
      <w:r>
        <w:t xml:space="preserve">Kesenjangan Spesifik dan Implikasi</w:t>
      </w:r>
      <w:bookmarkEnd w:id="349"/>
    </w:p>
    <w:p>
      <w:pPr>
        <w:pStyle w:val="Heading3"/>
      </w:pPr>
      <w:bookmarkStart w:id="351" w:name="_Toc00122"/>
      <w:bookmarkStart w:id="350" w:name="_Ref0221"/>
      <w:r>
        <w:t xml:space="preserve">6.6.1</w:t>
      </w:r>
      <w:bookmarkEnd w:id="350"/>
      <w:r>
        <w:tab/>
      </w:r>
      <w:r>
        <w:t xml:space="preserve">Tuas Penekan Korban</w:t>
      </w:r>
      <w:bookmarkEnd w:id="351"/>
    </w:p>
    <w:p>
      <w:pPr>
        <w:pStyle w:val="IsiTemuan"/>
      </w:pPr>
      <w:r>
        <w:rPr>
          <w:b/>
          <w:bCs/>
          <w:color w:val="051C2C"/>
        </w:rPr>
        <w:t xml:space="preserve">Data yang ada menunjuk dua tuas menurut jenis bahaya pada empat skenario megathrust platform: mutu bangunan untuk korban guncangan dan evakuasi segera untuk kematian tsunami.</w:t>
      </w:r>
      <w:r>
        <w:t xml:space="preserve"> Pada model platform yang belum diuji balik, korban guncangan turun bila kepatuhan bangunan naik. Pada estimasi model Cabinet Office Jepang 2025, kematian tsunami turun bila porsi evakuasi segera naik, dan faktor yang dipakai kajian ini adalah yang paling hati-hati dari delapan kombinasi kasusnya </w:t>
      </w:r>
      <w:r>
        <w:t xml:space="preserve">(中央防災会議 防災対策実行会議 南海トラフ巨大地震対策検討ワーキンググループ (Central Disaster Management Council, Japan), 2025; Pantau Bencana, 2026e)</w:t>
      </w:r>
      <w:r>
        <w:t xml:space="preserve">. Besar kedua faktor hanya tampil di kartu dan </w:t>
      </w:r>
      <w:r>
        <w:fldChar w:fldCharType="begin"/>
      </w:r>
      <w:r>
        <w:instrText xml:space="preserve"> REF _Ref0061 \h \* CHARFORMAT </w:instrText>
      </w:r>
      <w:r>
        <w:fldChar w:fldCharType="separate"/>
      </w:r>
      <w:r>
        <w:t xml:space="preserve">Gambar 6.5</w:t>
      </w:r>
      <w:r>
        <w:fldChar w:fldCharType="end"/>
      </w:r>
      <w:r>
        <w:t xml:space="preserve"> dengan labelnya masing-masing. Kedua tuas tidak diperingkat dengan satu angka nasional, karena paparan guncangan Jawa jauh lebih besar daripada proksi pesisir rendah, sedangkan kematian per jiwa terpapar tsunami pada Mentawai 2010 sekitar dua orde lebih tinggi daripada guncangan.</w:t>
      </w:r>
    </w:p>
    <w:p>
      <w:pPr>
        <w:pStyle w:val="Caption"/>
      </w:pPr>
      <w:bookmarkStart w:id="353" w:name="_Toc00123"/>
      <w:bookmarkStart w:id="352" w:name="_Ref006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352"/>
      <w:r>
        <w:rPr>
          <w:b/>
          <w:bCs/>
          <w:color w:val="051C2C"/>
        </w:rPr>
        <w:t xml:space="preserve"> </w:t>
      </w:r>
      <w:r>
        <w:t xml:space="preserve">Faktor kematian tsunami menurut porsi evakuasi segera dan faktor korban guncangan menurut kepatuhan bangunan, empat skenario megathrust, 2026 (kali dasar)</w:t>
      </w:r>
      <w:bookmarkEnd w:id="353"/>
    </w:p>
    <w:p xmlns:a="http://schemas.openxmlformats.org/drawingml/2006/main" xmlns:pic="http://schemas.openxmlformats.org/drawingml/2006/picture">
      <w:pPr>
        <w:keepNext/>
        <w:spacing w:after="0" w:line="240" w:lineRule="auto"/>
        <w:jc w:val="center"/>
      </w:pPr>
      <w:bookmarkStart w:id="354" w:name="_Obj0033"/>
      <w:r>
        <w:drawing>
          <wp:inline distT="0" distB="0" distL="0" distR="0">
            <wp:extent cx="5940000" cy="1800277"/>
            <wp:effectExtent l="0" t="0" r="0" b="0"/>
            <wp:docPr id="81" name="Gambar 81"/>
            <wp:cNvGraphicFramePr>
              <a:graphicFrameLocks noChangeAspect="1"/>
            </wp:cNvGraphicFramePr>
            <a:graphic>
              <a:graphicData uri="http://schemas.openxmlformats.org/drawingml/2006/picture">
                <pic:pic>
                  <pic:nvPicPr>
                    <pic:cNvPr id="81" name="bab06-tuas-evakuasi-bangunan.png"/>
                    <pic:cNvPicPr/>
                  </pic:nvPicPr>
                  <pic:blipFill>
                    <a:blip r:embed="rId55"/>
                    <a:stretch>
                      <a:fillRect/>
                    </a:stretch>
                  </pic:blipFill>
                  <pic:spPr>
                    <a:xfrm>
                      <a:off x="0" y="0"/>
                      <a:ext cx="5940000" cy="1800277"/>
                    </a:xfrm>
                    <a:prstGeom prst="rect">
                      <a:avLst/>
                    </a:prstGeom>
                  </pic:spPr>
                </pic:pic>
              </a:graphicData>
            </a:graphic>
          </wp:inline>
        </w:drawing>
      </w:r>
      <w:bookmarkEnd w:id="354"/>
    </w:p>
    <w:p>
      <w:pPr>
        <w:pStyle w:val="Sumber"/>
        <w:spacing w:after="40"/>
      </w:pPr>
      <w:r>
        <w:rPr>
          <w:b/>
          <w:bCs/>
          <w:color w:val="6B7280"/>
          <w:sz w:val="17"/>
          <w:szCs w:val="17"/>
        </w:rPr>
        <w:t xml:space="preserve">Sumber: </w:t>
      </w:r>
      <w:r>
        <w:rPr>
          <w:color w:val="6B7280"/>
          <w:sz w:val="17"/>
          <w:szCs w:val="17"/>
        </w:rPr>
        <w:t xml:space="preserve">Cabinet Office Jepang 2025 </w:t>
      </w:r>
      <w:r>
        <w:rPr>
          <w:color w:val="6B7280"/>
          <w:sz w:val="17"/>
          <w:szCs w:val="17"/>
        </w:rPr>
        <w:t xml:space="preserve">(中央防災会議 防災対策実行会議 南海トラフ巨大地震対策検討ワーキンググループ (Central Disaster Management Council, Japan), 2025)</w:t>
      </w:r>
      <w:r>
        <w:rPr>
          <w:color w:val="6B7280"/>
          <w:sz w:val="17"/>
          <w:szCs w:val="17"/>
        </w:rPr>
        <w:t xml:space="preserve">; simulasi skenario Pantau Bencana, belum divalidasi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Tabel peta panas. Faktor evakuasi adalah asumsi kebijakan dan diterapkan pada paparan, bukan pada korban tsunami; faktor bangunan adalah estimasi model.</w:t>
      </w:r>
    </w:p>
    <w:p>
      <w:pPr>
        <w:pStyle w:val="IsiTemuan"/>
      </w:pPr>
      <w:r>
        <w:rPr>
          <w:b/>
          <w:bCs/>
          <w:color w:val="051C2C"/>
        </w:rPr>
        <w:t xml:space="preserve">Dari delapan program terkait geologi di kompendium kajian ini, tidak satu pun berbukti kuat, dan keterpenuhan peringatan dini menurut Renstra 2025–2029 baru </w:t>
      </w:r>
      <w:r>
        <w:rPr>
          <w:b/>
          <w:bCs/>
          <w:color w:val="051C2C"/>
        </w:rPr>
        <w:t xml:space="preserve">6%</w:t>
      </w:r>
      <w:r>
        <w:rPr>
          <w:b/>
          <w:bCs/>
          <w:color w:val="051C2C"/>
        </w:rPr>
        <w:t xml:space="preserve">.</w:t>
      </w:r>
      <w:r>
        <w:t xml:space="preserve"> InaTEWS terukur di hulu, yaitu kecepatan terbit peringatan, tetapi dampaknya terhadap korban belum dievaluasi, dan pada Palu 2018 rantai hilirnya gagal </w:t>
      </w:r>
      <w:r>
        <w:t xml:space="preserve">(Pantau Bencana, 2026d; Harnantyari dkk., 2020)</w:t>
      </w:r>
      <w:r>
        <w:t xml:space="preserve">. Desa dan Kelurahan Tangguh Bencana (Destana) dan Satuan Pendidikan Aman Bencana (SPAB) belum terbukti, artinya bukti dampaknya tidak ditemukan, sedangkan tiga program rehabilitasi pascabencana berbukti lemah, termasuk Rehabilitasi dan Rekonstruksi Masyarakat dan Permukiman Berbasis Komunitas (Rekompak) Yogyakarta dan Jawa Tengah 2006 (</w:t>
      </w:r>
      <w:r>
        <w:fldChar w:fldCharType="begin"/>
      </w:r>
      <w:r>
        <w:instrText xml:space="preserve"> REF _Ref0315 \h \* CHARFORMAT </w:instrText>
      </w:r>
      <w:r>
        <w:fldChar w:fldCharType="separate"/>
      </w:r>
      <w:r>
        <w:t xml:space="preserve">Tabel 6.9</w:t>
      </w:r>
      <w:r>
        <w:fldChar w:fldCharType="end"/>
      </w:r>
      <w:r>
        <w:t xml:space="preserve">). Bukti luar negeri berkekuatan sedang hanya dipakai lewat padanannya di Indonesia: kode bangunan Chile mencatat kegagalan </w:t>
      </w:r>
      <w:r>
        <w:t xml:space="preserve">0,5%</w:t>
      </w:r>
      <w:r>
        <w:t xml:space="preserve"> pada </w:t>
      </w:r>
      <w:r>
        <w:t xml:space="preserve">9.974</w:t>
      </w:r>
      <w:r>
        <w:t xml:space="preserve"> bangunan tiga lantai atau lebih pada gempa Maule 2010, dengan padanan pengawasan standar bangunan Renas PB 2.3.4.a.</w:t>
      </w:r>
    </w:p>
    <w:p>
      <w:pPr>
        <w:pStyle w:val="Caption"/>
      </w:pPr>
      <w:bookmarkStart w:id="356" w:name="_Toc00124"/>
      <w:bookmarkStart w:id="355" w:name="_Ref031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355"/>
      <w:r>
        <w:rPr>
          <w:b/>
          <w:bCs/>
          <w:color w:val="051C2C"/>
        </w:rPr>
        <w:t xml:space="preserve"> </w:t>
      </w:r>
      <w:r>
        <w:t xml:space="preserve">Posisi bukti delapan program terkait bencana geologi dalam kompendium program kajian ini, 2026</w:t>
      </w:r>
      <w:bookmarkEnd w:id="35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39"/>
        <w:gridCol w:w="1487"/>
        <w:gridCol w:w="3453"/>
        <w:gridCol w:w="1249"/>
        <w:gridCol w:w="1326"/>
      </w:tblGrid>
      <w:tr>
        <w:trPr>
          <w:cantSplit/>
          <w:tblHeader/>
        </w:trPr>
        <w:tc>
          <w:tcPr>
            <w:tcW w:w="1839" w:type="dxa"/>
            <w:shd w:val="clear" w:color="auto" w:fill="051C2C"/>
            <w:vAlign w:val="center"/>
          </w:tcPr>
          <w:p>
            <w:pPr>
              <w:pStyle w:val="KepalaTabel"/>
              <w:suppressAutoHyphens/>
            </w:pPr>
            <w:r>
              <w:t xml:space="preserve">PROGRAM</w:t>
            </w:r>
          </w:p>
        </w:tc>
        <w:tc>
          <w:tcPr>
            <w:tcW w:w="1487" w:type="dxa"/>
            <w:shd w:val="clear" w:color="auto" w:fill="051C2C"/>
            <w:vAlign w:val="center"/>
          </w:tcPr>
          <w:p>
            <w:pPr>
              <w:pStyle w:val="KepalaTabel"/>
              <w:suppressAutoHyphens/>
            </w:pPr>
            <w:r>
              <w:t xml:space="preserve">KEKUATAN BUKTI</w:t>
            </w:r>
          </w:p>
        </w:tc>
        <w:tc>
          <w:tcPr>
            <w:tcW w:w="3453" w:type="dxa"/>
            <w:shd w:val="clear" w:color="auto" w:fill="051C2C"/>
            <w:vAlign w:val="center"/>
          </w:tcPr>
          <w:p>
            <w:pPr>
              <w:pStyle w:val="KepalaTabel"/>
              <w:suppressAutoHyphens/>
            </w:pPr>
            <w:r>
              <w:t xml:space="preserve">POSISI</w:t>
            </w:r>
          </w:p>
        </w:tc>
        <w:tc>
          <w:tcPr>
            <w:tcW w:w="1249" w:type="dxa"/>
            <w:shd w:val="clear" w:color="auto" w:fill="051C2C"/>
            <w:vAlign w:val="center"/>
          </w:tcPr>
          <w:p>
            <w:pPr>
              <w:pStyle w:val="KepalaTabel"/>
              <w:suppressAutoHyphens/>
            </w:pPr>
            <w:r>
              <w:t xml:space="preserve">CATATAN</w:t>
            </w:r>
          </w:p>
        </w:tc>
        <w:tc>
          <w:tcPr>
            <w:tcW w:w="1326" w:type="dxa"/>
            <w:shd w:val="clear" w:color="auto" w:fill="051C2C"/>
            <w:vAlign w:val="center"/>
          </w:tcPr>
          <w:p>
            <w:pPr>
              <w:pStyle w:val="KepalaTabel"/>
              <w:suppressAutoHyphens/>
            </w:pPr>
            <w:r>
              <w:t xml:space="preserve">KEYAKINAN</w:t>
            </w:r>
          </w:p>
        </w:tc>
      </w:tr>
      <w:tr>
        <w:trPr>
          <w:cantSplit/>
        </w:trPr>
        <w:tc>
          <w:tcPr>
            <w:tcW w:w="1839" w:type="dxa"/>
          </w:tcPr>
          <w:p>
            <w:pPr>
              <w:pStyle w:val="IsiTabel"/>
              <w:suppressAutoHyphens/>
              <w:jc w:val="left"/>
            </w:pPr>
            <w:r>
              <w:t xml:space="preserve">Destana</w:t>
            </w:r>
          </w:p>
        </w:tc>
        <w:tc>
          <w:tcPr>
            <w:tcW w:w="1487" w:type="dxa"/>
          </w:tcPr>
          <w:p>
            <w:pPr>
              <w:pStyle w:val="IsiTabel"/>
              <w:suppressAutoHyphens/>
              <w:jc w:val="left"/>
            </w:pPr>
            <w:r>
              <w:t xml:space="preserve">belum terbukti</w:t>
            </w:r>
          </w:p>
        </w:tc>
        <w:tc>
          <w:tcPr>
            <w:tcW w:w="3453" w:type="dxa"/>
          </w:tcPr>
          <w:p>
            <w:pPr>
              <w:pStyle w:val="IsiTabel"/>
              <w:suppressAutoHyphens/>
              <w:jc w:val="left"/>
            </w:pPr>
            <w:r>
              <w:t xml:space="preserve">program berjalan, wajib evaluasi dampak</w:t>
            </w:r>
          </w:p>
        </w:tc>
        <w:tc>
          <w:tcPr>
            <w:tcW w:w="1249" w:type="dxa"/>
          </w:tcPr>
          <w:p>
            <w:pPr>
              <w:pStyle w:val="IsiTabel"/>
              <w:suppressAutoHyphens/>
              <w:jc w:val="left"/>
            </w:pPr>
            <w:r>
              <w:t xml:space="preserve">indikator berupa cakupan desa dibina</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839" w:type="dxa"/>
          </w:tcPr>
          <w:p>
            <w:pPr>
              <w:pStyle w:val="IsiTabel"/>
              <w:suppressAutoHyphens/>
              <w:jc w:val="left"/>
            </w:pPr>
            <w:r>
              <w:t xml:space="preserve">SPAB</w:t>
            </w:r>
          </w:p>
        </w:tc>
        <w:tc>
          <w:tcPr>
            <w:tcW w:w="1487" w:type="dxa"/>
          </w:tcPr>
          <w:p>
            <w:pPr>
              <w:pStyle w:val="IsiTabel"/>
              <w:suppressAutoHyphens/>
              <w:jc w:val="left"/>
            </w:pPr>
            <w:r>
              <w:t xml:space="preserve">belum terbukti</w:t>
            </w:r>
          </w:p>
        </w:tc>
        <w:tc>
          <w:tcPr>
            <w:tcW w:w="3453" w:type="dxa"/>
          </w:tcPr>
          <w:p>
            <w:pPr>
              <w:pStyle w:val="IsiTabel"/>
              <w:suppressAutoHyphens/>
              <w:jc w:val="left"/>
            </w:pPr>
            <w:r>
              <w:t xml:space="preserve">program berjalan, wajib evaluasi dampak</w:t>
            </w:r>
          </w:p>
        </w:tc>
        <w:tc>
          <w:tcPr>
            <w:tcW w:w="1249" w:type="dxa"/>
          </w:tcPr>
          <w:p>
            <w:pPr>
              <w:pStyle w:val="IsiTabel"/>
              <w:suppressAutoHyphens/>
              <w:jc w:val="left"/>
            </w:pPr>
            <w:r>
              <w:t xml:space="preserve">indikator berupa jumlah peserta dibina</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839" w:type="dxa"/>
          </w:tcPr>
          <w:p>
            <w:pPr>
              <w:pStyle w:val="IsiTabel"/>
              <w:suppressAutoHyphens/>
              <w:jc w:val="left"/>
            </w:pPr>
            <w:r>
              <w:t xml:space="preserve">InaTEWS</w:t>
            </w:r>
          </w:p>
        </w:tc>
        <w:tc>
          <w:tcPr>
            <w:tcW w:w="1487" w:type="dxa"/>
          </w:tcPr>
          <w:p>
            <w:pPr>
              <w:pStyle w:val="IsiTabel"/>
              <w:suppressAutoHyphens/>
              <w:jc w:val="left"/>
            </w:pPr>
            <w:r>
              <w:t xml:space="preserve">hulu terukur, dampak terhadap korban belum dievaluasi</w:t>
            </w:r>
          </w:p>
        </w:tc>
        <w:tc>
          <w:tcPr>
            <w:tcW w:w="3453" w:type="dxa"/>
          </w:tcPr>
          <w:p>
            <w:pPr>
              <w:pStyle w:val="IsiTabel"/>
              <w:suppressAutoHyphens/>
              <w:jc w:val="left"/>
            </w:pPr>
            <w:r>
              <w:t xml:space="preserve">program berjalan, wajib evaluasi dampak</w:t>
            </w:r>
          </w:p>
        </w:tc>
        <w:tc>
          <w:tcPr>
            <w:tcW w:w="1249" w:type="dxa"/>
          </w:tcPr>
          <w:p>
            <w:pPr>
              <w:pStyle w:val="IsiTabel"/>
              <w:suppressAutoHyphens/>
              <w:jc w:val="left"/>
            </w:pPr>
            <w:r>
              <w:t xml:space="preserve">peringatan resmi tidak sampai sebelum tsunami Palu 2018</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839" w:type="dxa"/>
          </w:tcPr>
          <w:p>
            <w:pPr>
              <w:pStyle w:val="IsiTabel"/>
              <w:suppressAutoHyphens/>
              <w:jc w:val="left"/>
            </w:pPr>
            <w:r>
              <w:t xml:space="preserve">Rekompak Yogyakarta dan Jawa Tengah 2006</w:t>
            </w:r>
          </w:p>
        </w:tc>
        <w:tc>
          <w:tcPr>
            <w:tcW w:w="1487" w:type="dxa"/>
          </w:tcPr>
          <w:p>
            <w:pPr>
              <w:pStyle w:val="IsiTabel"/>
              <w:suppressAutoHyphens/>
              <w:jc w:val="left"/>
            </w:pPr>
            <w:r>
              <w:t xml:space="preserve">lemah</w:t>
            </w:r>
          </w:p>
        </w:tc>
        <w:tc>
          <w:tcPr>
            <w:tcW w:w="3453" w:type="dxa"/>
          </w:tcPr>
          <w:p>
            <w:pPr>
              <w:pStyle w:val="IsiTabel"/>
              <w:suppressAutoHyphens/>
              <w:jc w:val="left"/>
            </w:pPr>
            <w:r>
              <w:t xml:space="preserve">rujukan tata kelola</w:t>
            </w:r>
          </w:p>
        </w:tc>
        <w:tc>
          <w:tcPr>
            <w:tcW w:w="1249" w:type="dxa"/>
          </w:tcPr>
          <w:p>
            <w:pPr>
              <w:pStyle w:val="IsiTabel"/>
              <w:suppressAutoHyphens/>
              <w:jc w:val="left"/>
            </w:pPr>
            <w:r>
              <w:t xml:space="preserve">laporan pelaksana dan donor sendiri</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839" w:type="dxa"/>
          </w:tcPr>
          <w:p>
            <w:pPr>
              <w:pStyle w:val="IsiTabel"/>
              <w:keepNext/>
              <w:suppressAutoHyphens/>
              <w:jc w:val="left"/>
            </w:pPr>
            <w:bookmarkStart w:id="357" w:name="_Ekor041a"/>
            <w:bookmarkEnd w:id="357"/>
            <w:r>
              <w:t xml:space="preserve">BRR Aceh dan Nias</w:t>
            </w:r>
          </w:p>
        </w:tc>
        <w:tc>
          <w:tcPr>
            <w:tcW w:w="1487" w:type="dxa"/>
          </w:tcPr>
          <w:p>
            <w:pPr>
              <w:pStyle w:val="IsiTabel"/>
              <w:keepNext/>
              <w:suppressAutoHyphens/>
              <w:jc w:val="left"/>
            </w:pPr>
            <w:r>
              <w:t xml:space="preserve">lemah</w:t>
            </w:r>
          </w:p>
        </w:tc>
        <w:tc>
          <w:tcPr>
            <w:tcW w:w="3453" w:type="dxa"/>
          </w:tcPr>
          <w:p>
            <w:pPr>
              <w:pStyle w:val="IsiTabel"/>
              <w:keepNext/>
              <w:suppressAutoHyphens/>
              <w:jc w:val="left"/>
            </w:pPr>
            <w:r>
              <w:t xml:space="preserve">rujukan tata kelola</w:t>
            </w:r>
          </w:p>
        </w:tc>
        <w:tc>
          <w:tcPr>
            <w:tcW w:w="1249" w:type="dxa"/>
          </w:tcPr>
          <w:p>
            <w:pPr>
              <w:pStyle w:val="IsiTabel"/>
              <w:keepNext/>
              <w:suppressAutoHyphens/>
              <w:jc w:val="left"/>
            </w:pPr>
            <w:r>
              <w:t xml:space="preserve">angka keluaran laporan sendiri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39" w:type="dxa"/>
          </w:tcPr>
          <w:p>
            <w:pPr>
              <w:pStyle w:val="IsiTabel"/>
              <w:keepNext/>
              <w:suppressAutoHyphens/>
              <w:jc w:val="left"/>
            </w:pPr>
            <w:r>
              <w:t xml:space="preserve">Rehabilitasi dan rekonstruksi rumah Lombok 2018</w:t>
            </w:r>
          </w:p>
        </w:tc>
        <w:tc>
          <w:tcPr>
            <w:tcW w:w="1487" w:type="dxa"/>
          </w:tcPr>
          <w:p>
            <w:pPr>
              <w:pStyle w:val="IsiTabel"/>
              <w:keepNext/>
              <w:suppressAutoHyphens/>
              <w:jc w:val="left"/>
            </w:pPr>
            <w:r>
              <w:t xml:space="preserve">lemah</w:t>
            </w:r>
          </w:p>
        </w:tc>
        <w:tc>
          <w:tcPr>
            <w:tcW w:w="3453" w:type="dxa"/>
          </w:tcPr>
          <w:p>
            <w:pPr>
              <w:pStyle w:val="IsiTabel"/>
              <w:keepNext/>
              <w:suppressAutoHyphens/>
              <w:jc w:val="left"/>
            </w:pPr>
            <w:r>
              <w:t xml:space="preserve">pelajaran, bukan teladan</w:t>
            </w:r>
          </w:p>
        </w:tc>
        <w:tc>
          <w:tcPr>
            <w:tcW w:w="1249" w:type="dxa"/>
          </w:tcPr>
          <w:p>
            <w:pPr>
              <w:pStyle w:val="IsiTabel"/>
              <w:keepNext/>
              <w:suppressAutoHyphens/>
              <w:jc w:val="left"/>
            </w:pPr>
            <w:r>
              <w:t xml:space="preserve">mutu rumah terhadap guncangan belum diuji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39" w:type="dxa"/>
          </w:tcPr>
          <w:p>
            <w:pPr>
              <w:pStyle w:val="IsiTabel"/>
              <w:keepNext/>
              <w:suppressAutoHyphens/>
              <w:jc w:val="left"/>
            </w:pPr>
            <w:r>
              <w:t xml:space="preserve">Pendidikan kebencanaan Kamaishi, Jepang</w:t>
            </w:r>
          </w:p>
        </w:tc>
        <w:tc>
          <w:tcPr>
            <w:tcW w:w="1487" w:type="dxa"/>
          </w:tcPr>
          <w:p>
            <w:pPr>
              <w:pStyle w:val="IsiTabel"/>
              <w:keepNext/>
              <w:suppressAutoHyphens/>
              <w:jc w:val="left"/>
            </w:pPr>
            <w:r>
              <w:t xml:space="preserve">sedang</w:t>
            </w:r>
          </w:p>
        </w:tc>
        <w:tc>
          <w:tcPr>
            <w:tcW w:w="3453" w:type="dxa"/>
          </w:tcPr>
          <w:p>
            <w:pPr>
              <w:pStyle w:val="IsiTabel"/>
              <w:keepNext/>
              <w:suppressAutoHyphens/>
              <w:jc w:val="left"/>
            </w:pPr>
            <w:r>
              <w:t xml:space="preserve">program dengan syarat</w:t>
            </w:r>
          </w:p>
        </w:tc>
        <w:tc>
          <w:tcPr>
            <w:tcW w:w="1249" w:type="dxa"/>
          </w:tcPr>
          <w:p>
            <w:pPr>
              <w:pStyle w:val="IsiTabel"/>
              <w:keepNext/>
              <w:suppressAutoHyphens/>
              <w:jc w:val="left"/>
            </w:pPr>
            <w:r>
              <w:t xml:space="preserve">padanan di Indonesia: SPAB</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839" w:type="dxa"/>
          </w:tcPr>
          <w:p>
            <w:pPr>
              <w:pStyle w:val="IsiTabel"/>
              <w:keepNext/>
              <w:suppressAutoHyphens/>
              <w:jc w:val="left"/>
            </w:pPr>
            <w:bookmarkStart w:id="358" w:name="_Ekor041z"/>
            <w:bookmarkEnd w:id="358"/>
            <w:r>
              <w:t xml:space="preserve">Kode bangunan Chile NCh433</w:t>
            </w:r>
          </w:p>
        </w:tc>
        <w:tc>
          <w:tcPr>
            <w:tcW w:w="1487" w:type="dxa"/>
          </w:tcPr>
          <w:p>
            <w:pPr>
              <w:pStyle w:val="IsiTabel"/>
              <w:keepNext/>
              <w:suppressAutoHyphens/>
              <w:jc w:val="left"/>
            </w:pPr>
            <w:r>
              <w:t xml:space="preserve">sedang</w:t>
            </w:r>
          </w:p>
        </w:tc>
        <w:tc>
          <w:tcPr>
            <w:tcW w:w="3453" w:type="dxa"/>
          </w:tcPr>
          <w:p>
            <w:pPr>
              <w:pStyle w:val="IsiTabel"/>
              <w:keepNext/>
              <w:suppressAutoHyphens/>
              <w:jc w:val="left"/>
            </w:pPr>
            <w:r>
              <w:t xml:space="preserve">program dengan syarat</w:t>
            </w:r>
          </w:p>
        </w:tc>
        <w:tc>
          <w:tcPr>
            <w:tcW w:w="1249" w:type="dxa"/>
          </w:tcPr>
          <w:p>
            <w:pPr>
              <w:pStyle w:val="IsiTabel"/>
              <w:keepNext/>
              <w:suppressAutoHyphens/>
              <w:jc w:val="left"/>
            </w:pPr>
            <w:r>
              <w:t xml:space="preserve">padanan di Indonesia: Renas PB 2.3.4.a</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Kompendium program kajian ini </w:t>
      </w:r>
      <w:r>
        <w:rPr>
          <w:color w:val="6B7280"/>
          <w:sz w:val="17"/>
          <w:szCs w:val="17"/>
        </w:rPr>
        <w:t xml:space="preserve">(Pantau Bencana, 2026d)</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Belum terbukti berarti bukti dampak tidak ditemukan, bukan program tidak bermanfaat; program luar negeri hanya dipakai lewat padanannya di Indonesia.</w:t>
      </w:r>
    </w:p>
    <w:p>
      <w:pPr>
        <w:pStyle w:val="IsiTemuan"/>
      </w:pPr>
      <w:r>
        <w:rPr>
          <w:b/>
          <w:bCs/>
          <w:color w:val="051C2C"/>
        </w:rPr>
        <w:t xml:space="preserve">Model platform memberi </w:t>
      </w:r>
      <w:r>
        <w:rPr>
          <w:b/>
          <w:bCs/>
          <w:color w:val="051C2C"/>
        </w:rPr>
        <w:t xml:space="preserve">1.600–2.200 km</w:t>
      </w:r>
      <w:r>
        <w:rPr>
          <w:b/>
          <w:bCs/>
          <w:color w:val="051C2C"/>
        </w:rPr>
        <w:t xml:space="preserve"> pantai selatan Jawa yang dicapai tsunami kurang dari </w:t>
      </w:r>
      <w:r>
        <w:rPr>
          <w:b/>
          <w:bCs/>
          <w:color w:val="051C2C"/>
        </w:rPr>
        <w:t xml:space="preserve">30</w:t>
      </w:r>
      <w:r>
        <w:rPr>
          <w:b/>
          <w:bCs/>
          <w:color w:val="051C2C"/>
        </w:rPr>
        <w:t xml:space="preserve"> menit pada Mw </w:t>
      </w:r>
      <w:r>
        <w:rPr>
          <w:b/>
          <w:bCs/>
          <w:color w:val="051C2C"/>
        </w:rPr>
        <w:t xml:space="preserve">9,1</w:t>
      </w:r>
      <w:r>
        <w:rPr>
          <w:b/>
          <w:bCs/>
          <w:color w:val="051C2C"/>
        </w:rPr>
        <w:t xml:space="preserve">, sedangkan tsunami Palu 2018 tiba </w:t>
      </w:r>
      <w:r>
        <w:rPr>
          <w:b/>
          <w:bCs/>
          <w:color w:val="051C2C"/>
        </w:rPr>
        <w:t xml:space="preserve">3–8 menit</w:t>
      </w:r>
      <w:r>
        <w:rPr>
          <w:b/>
          <w:bCs/>
          <w:color w:val="051C2C"/>
        </w:rPr>
        <w:t xml:space="preserve"> setelah guncangan.</w:t>
      </w:r>
      <w:r>
        <w:t xml:space="preserve"> Pada waktu tiba sependek itu, cakupan peringatan dini dalam Renas PB dan Renstra BNPB tidak cukup sebagai tuas tunggal. Syarat yang tercatat dari Palu 2018 adalah sensor muka laut di dalam teluk yang tetap mengirim data, pesan yang sampai ke rumah tangga, dan warga yang mengungsi mandiri saat guncangan kuat </w:t>
      </w:r>
      <w:r>
        <w:t xml:space="preserve">(Widiyanto dkk., 2019; Harnantyari dkk., 2020)</w:t>
      </w:r>
      <w:r>
        <w:t xml:space="preserve">. Rasio korban tetap </w:t>
      </w:r>
      <w:r>
        <w:t xml:space="preserve">1%</w:t>
      </w:r>
      <w:r>
        <w:t xml:space="preserve"> dalam contoh renkon Jawa Timur dan rasio korban tsunami per jiwa terpapar Mentawai 2010 tidak dipakai untuk korban tsunami skenario, karena yang pertama asumsi tetap tanpa dasar terbaca dan yang kedua berasal dari satu kejadian di pulau kecil.</w:t>
      </w:r>
    </w:p>
    <w:p>
      <w:pPr>
        <w:pStyle w:val="Heading3"/>
      </w:pPr>
      <w:bookmarkStart w:id="360" w:name="_Toc00125"/>
      <w:bookmarkStart w:id="359" w:name="_Ref0162"/>
      <w:r>
        <w:t xml:space="preserve">6.6.2</w:t>
      </w:r>
      <w:bookmarkEnd w:id="359"/>
      <w:r>
        <w:tab/>
      </w:r>
      <w:r>
        <w:t xml:space="preserve">Kesenjangan Data</w:t>
      </w:r>
      <w:bookmarkEnd w:id="360"/>
    </w:p>
    <w:p>
      <w:pPr>
        <w:pStyle w:val="IsiTemuan"/>
      </w:pPr>
      <w:r>
        <w:rPr>
          <w:b/>
          <w:bCs/>
          <w:color w:val="051C2C"/>
        </w:rPr>
        <w:t xml:space="preserve">Delapan kesenjangan data menahan kuantifikasi skenario geologi, dan yang paling menentukan adalah genangan tsunami resmi InaRISK yang belum dipakai.</w:t>
      </w:r>
      <w:r>
        <w:t xml:space="preserve"> Akibatnya korban tsunami skenario di kartu megathrust dan kartu tsunami tidak dikuantifikasi. Kesenjangan lain berupa skenario korban resmi pusat yang tidak ada, mesin korban gempa yang meleset </w:t>
      </w:r>
      <w:r>
        <w:t xml:space="preserve">sekitar 5,3</w:t>
      </w:r>
      <w:r>
        <w:t xml:space="preserve"> kali pada uji silang, dan evaluasi dampak program yang tidak ditemukan (</w:t>
      </w:r>
      <w:r>
        <w:fldChar w:fldCharType="begin"/>
      </w:r>
      <w:r>
        <w:instrText xml:space="preserve"> REF _Ref0301 \h \* CHARFORMAT </w:instrText>
      </w:r>
      <w:r>
        <w:fldChar w:fldCharType="separate"/>
      </w:r>
      <w:r>
        <w:t xml:space="preserve">Tabel 6.10</w:t>
      </w:r>
      <w:r>
        <w:fldChar w:fldCharType="end"/>
      </w:r>
      <w:r>
        <w:t xml:space="preserve">). Tiap kesenjangan ditulis sebagai kebutuhan data dengan pemegang datanya, dan strateginya diuraikan di Bab 11 dan Bab 13 </w:t>
      </w:r>
      <w:r>
        <w:t xml:space="preserve">(Pantau Bencana, 2026e; BNPB, 2023c)</w:t>
      </w:r>
      <w:r>
        <w:t xml:space="preserve">.</w:t>
      </w:r>
    </w:p>
    <w:p>
      <w:pPr>
        <w:pStyle w:val="Caption"/>
      </w:pPr>
      <w:bookmarkStart w:id="362" w:name="_Toc00126"/>
      <w:bookmarkStart w:id="361" w:name="_Ref030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361"/>
      <w:r>
        <w:rPr>
          <w:b/>
          <w:bCs/>
          <w:color w:val="051C2C"/>
        </w:rPr>
        <w:t xml:space="preserve"> </w:t>
      </w:r>
      <w:r>
        <w:t xml:space="preserve">Kesenjangan data bencana geologi, kebutuhan datanya, dan pemegang data, 2026</w:t>
      </w:r>
      <w:bookmarkEnd w:id="36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25"/>
        <w:gridCol w:w="4468"/>
        <w:gridCol w:w="3261"/>
      </w:tblGrid>
      <w:tr>
        <w:trPr>
          <w:cantSplit/>
          <w:tblHeader/>
        </w:trPr>
        <w:tc>
          <w:tcPr>
            <w:tcW w:w="1625" w:type="dxa"/>
            <w:shd w:val="clear" w:color="auto" w:fill="051C2C"/>
            <w:vAlign w:val="center"/>
          </w:tcPr>
          <w:p>
            <w:pPr>
              <w:pStyle w:val="KepalaTabel"/>
              <w:suppressAutoHyphens/>
            </w:pPr>
            <w:r>
              <w:t xml:space="preserve">KESENJANGAN</w:t>
            </w:r>
          </w:p>
        </w:tc>
        <w:tc>
          <w:tcPr>
            <w:tcW w:w="4468" w:type="dxa"/>
            <w:shd w:val="clear" w:color="auto" w:fill="051C2C"/>
            <w:vAlign w:val="center"/>
          </w:tcPr>
          <w:p>
            <w:pPr>
              <w:pStyle w:val="KepalaTabel"/>
              <w:suppressAutoHyphens/>
            </w:pPr>
            <w:r>
              <w:t xml:space="preserve">KEBUTUHAN DATA</w:t>
            </w:r>
          </w:p>
        </w:tc>
        <w:tc>
          <w:tcPr>
            <w:tcW w:w="3261" w:type="dxa"/>
            <w:shd w:val="clear" w:color="auto" w:fill="051C2C"/>
            <w:vAlign w:val="center"/>
          </w:tcPr>
          <w:p>
            <w:pPr>
              <w:pStyle w:val="KepalaTabel"/>
              <w:suppressAutoHyphens/>
            </w:pPr>
            <w:r>
              <w:t xml:space="preserve">PEMEGANG DATA</w:t>
            </w:r>
          </w:p>
        </w:tc>
      </w:tr>
      <w:tr>
        <w:trPr>
          <w:cantSplit/>
        </w:trPr>
        <w:tc>
          <w:tcPr>
            <w:tcW w:w="1625" w:type="dxa"/>
          </w:tcPr>
          <w:p>
            <w:pPr>
              <w:pStyle w:val="IsiTabel"/>
              <w:suppressAutoHyphens/>
              <w:jc w:val="left"/>
            </w:pPr>
            <w:r>
              <w:t xml:space="preserve">Skenario korban resmi pusat tidak ada; renkon megathrust Jawa Timur 2021 hanya terbaca sebagai contoh di Perban BNPB 2/2023</w:t>
            </w:r>
          </w:p>
        </w:tc>
        <w:tc>
          <w:tcPr>
            <w:tcW w:w="4468" w:type="dxa"/>
          </w:tcPr>
          <w:p>
            <w:pPr>
              <w:pStyle w:val="IsiTabel"/>
              <w:suppressAutoHyphens/>
              <w:jc w:val="left"/>
            </w:pPr>
            <w:r>
              <w:t xml:space="preserve">dokumen renkon megathrust provinsi</w:t>
            </w:r>
          </w:p>
        </w:tc>
        <w:tc>
          <w:tcPr>
            <w:tcW w:w="3261" w:type="dxa"/>
          </w:tcPr>
          <w:p>
            <w:pPr>
              <w:pStyle w:val="IsiTabel"/>
              <w:suppressAutoHyphens/>
              <w:jc w:val="left"/>
            </w:pPr>
            <w:r>
              <w:t xml:space="preserve">BPBD provinsi; Direktorat Kesiapsiagaan</w:t>
            </w:r>
          </w:p>
        </w:tc>
      </w:tr>
      <w:tr>
        <w:trPr>
          <w:cantSplit/>
        </w:trPr>
        <w:tc>
          <w:tcPr>
            <w:tcW w:w="1625" w:type="dxa"/>
          </w:tcPr>
          <w:p>
            <w:pPr>
              <w:pStyle w:val="IsiTabel"/>
              <w:suppressAutoHyphens/>
              <w:jc w:val="left"/>
            </w:pPr>
            <w:r>
              <w:t xml:space="preserve">Genangan tsunami InaRISK belum dipakai; proksi luput di pantai selatan Jawa Barat</w:t>
            </w:r>
          </w:p>
        </w:tc>
        <w:tc>
          <w:tcPr>
            <w:tcW w:w="4468" w:type="dxa"/>
          </w:tcPr>
          <w:p>
            <w:pPr>
              <w:pStyle w:val="IsiTabel"/>
              <w:suppressAutoHyphens/>
              <w:jc w:val="left"/>
            </w:pPr>
            <w:r>
              <w:t xml:space="preserve">penduduk dalam genangan per skenario per kab/kota</w:t>
            </w:r>
          </w:p>
        </w:tc>
        <w:tc>
          <w:tcPr>
            <w:tcW w:w="3261" w:type="dxa"/>
          </w:tcPr>
          <w:p>
            <w:pPr>
              <w:pStyle w:val="IsiTabel"/>
              <w:suppressAutoHyphens/>
              <w:jc w:val="left"/>
            </w:pPr>
            <w:r>
              <w:t xml:space="preserve">Direktorat Pemetaan dan Evaluasi Risiko Bencana</w:t>
            </w:r>
          </w:p>
        </w:tc>
      </w:tr>
      <w:tr>
        <w:trPr>
          <w:cantSplit/>
        </w:trPr>
        <w:tc>
          <w:tcPr>
            <w:tcW w:w="1625" w:type="dxa"/>
          </w:tcPr>
          <w:p>
            <w:pPr>
              <w:pStyle w:val="IsiTabel"/>
              <w:suppressAutoHyphens/>
              <w:jc w:val="left"/>
            </w:pPr>
            <w:r>
              <w:t xml:space="preserve">IRBI 2025 tsunami tanpa kab/kota Jawa di kelas teratas</w:t>
            </w:r>
          </w:p>
        </w:tc>
        <w:tc>
          <w:tcPr>
            <w:tcW w:w="4468" w:type="dxa"/>
          </w:tcPr>
          <w:p>
            <w:pPr>
              <w:pStyle w:val="IsiTabel"/>
              <w:suppressAutoHyphens/>
              <w:jc w:val="left"/>
            </w:pPr>
            <w:r>
              <w:t xml:space="preserve">catatan metode IRBI 2025</w:t>
            </w:r>
          </w:p>
        </w:tc>
        <w:tc>
          <w:tcPr>
            <w:tcW w:w="3261" w:type="dxa"/>
          </w:tcPr>
          <w:p>
            <w:pPr>
              <w:pStyle w:val="IsiTabel"/>
              <w:suppressAutoHyphens/>
              <w:jc w:val="left"/>
            </w:pPr>
            <w:r>
              <w:t xml:space="preserve">Direktorat Pemetaan dan Evaluasi Risiko Bencana</w:t>
            </w:r>
          </w:p>
        </w:tc>
      </w:tr>
      <w:tr>
        <w:trPr>
          <w:cantSplit/>
        </w:trPr>
        <w:tc>
          <w:tcPr>
            <w:tcW w:w="1625" w:type="dxa"/>
          </w:tcPr>
          <w:p>
            <w:pPr>
              <w:pStyle w:val="IsiTabel"/>
              <w:suppressAutoHyphens/>
              <w:jc w:val="left"/>
            </w:pPr>
            <w:r>
              <w:t xml:space="preserve">Periode ulang segmen Sumba tidak tersedia; sesar naik busur belakang Flores belum dibaca dari PuSGeN 2024; geometri segmen resmi belum dipakai mesin platform</w:t>
            </w:r>
          </w:p>
        </w:tc>
        <w:tc>
          <w:tcPr>
            <w:tcW w:w="4468" w:type="dxa"/>
          </w:tcPr>
          <w:p>
            <w:pPr>
              <w:pStyle w:val="IsiTabel"/>
              <w:suppressAutoHyphens/>
              <w:jc w:val="left"/>
            </w:pPr>
            <w:r>
              <w:t xml:space="preserve">periode ulang Sumba, parameter sesar busur belakang Flores, dan geometri segmen</w:t>
            </w:r>
          </w:p>
        </w:tc>
        <w:tc>
          <w:tcPr>
            <w:tcW w:w="3261" w:type="dxa"/>
          </w:tcPr>
          <w:p>
            <w:pPr>
              <w:pStyle w:val="IsiTabel"/>
              <w:suppressAutoHyphens/>
              <w:jc w:val="left"/>
            </w:pPr>
            <w:r>
              <w:t xml:space="preserve">PuSGeN; Kementerian Pekerjaan Umum</w:t>
            </w:r>
          </w:p>
        </w:tc>
      </w:tr>
      <w:tr>
        <w:trPr>
          <w:cantSplit/>
        </w:trPr>
        <w:tc>
          <w:tcPr>
            <w:tcW w:w="1625" w:type="dxa"/>
          </w:tcPr>
          <w:p>
            <w:pPr>
              <w:pStyle w:val="IsiTabel"/>
              <w:keepNext/>
              <w:suppressAutoHyphens/>
              <w:jc w:val="left"/>
            </w:pPr>
            <w:bookmarkStart w:id="363" w:name="_Ekor042a"/>
            <w:bookmarkEnd w:id="363"/>
            <w:r>
              <w:t xml:space="preserve">Penilaian akhir Merapi 2010, Sulawesi Tengah 2018, dan Lombok 2018 tidak ditemukan</w:t>
            </w:r>
          </w:p>
        </w:tc>
        <w:tc>
          <w:tcPr>
            <w:tcW w:w="4468" w:type="dxa"/>
          </w:tcPr>
          <w:p>
            <w:pPr>
              <w:pStyle w:val="IsiTabel"/>
              <w:keepNext/>
              <w:suppressAutoHyphens/>
              <w:jc w:val="left"/>
            </w:pPr>
            <w:r>
              <w:t xml:space="preserve">seri kerusakan dan kerugian R3P</w:t>
            </w:r>
          </w:p>
        </w:tc>
        <w:tc>
          <w:tcPr>
            <w:tcW w:w="3261" w:type="dxa"/>
          </w:tcPr>
          <w:p>
            <w:pPr>
              <w:pStyle w:val="IsiTabel"/>
              <w:keepNext/>
              <w:suppressAutoHyphens/>
              <w:jc w:val="left"/>
            </w:pPr>
            <w:r>
              <w:t xml:space="preserve">Deputi Bidang Rehabilitasi dan Rekonstruksi</w:t>
            </w:r>
          </w:p>
        </w:tc>
      </w:tr>
      <w:tr>
        <w:trPr>
          <w:cantSplit/>
        </w:trPr>
        <w:tc>
          <w:tcPr>
            <w:tcW w:w="1625" w:type="dxa"/>
          </w:tcPr>
          <w:p>
            <w:pPr>
              <w:pStyle w:val="IsiTabel"/>
              <w:keepNext/>
              <w:suppressAutoHyphens/>
              <w:jc w:val="left"/>
            </w:pPr>
            <w:r>
              <w:t xml:space="preserve">Mesin korban gempa meleset pada Yogyakarta 2006; persamaan guncangan belum diuji</w:t>
            </w:r>
          </w:p>
        </w:tc>
        <w:tc>
          <w:tcPr>
            <w:tcW w:w="4468" w:type="dxa"/>
          </w:tcPr>
          <w:p>
            <w:pPr>
              <w:pStyle w:val="IsiTabel"/>
              <w:keepNext/>
              <w:suppressAutoHyphens/>
              <w:jc w:val="left"/>
            </w:pPr>
            <w:r>
              <w:t xml:space="preserve">arsip intensitas dirasakan</w:t>
            </w:r>
          </w:p>
        </w:tc>
        <w:tc>
          <w:tcPr>
            <w:tcW w:w="3261" w:type="dxa"/>
          </w:tcPr>
          <w:p>
            <w:pPr>
              <w:pStyle w:val="IsiTabel"/>
              <w:keepNext/>
              <w:suppressAutoHyphens/>
              <w:jc w:val="left"/>
            </w:pPr>
            <w:r>
              <w:t xml:space="preserve">BMKG</w:t>
            </w:r>
          </w:p>
        </w:tc>
      </w:tr>
      <w:tr>
        <w:trPr>
          <w:cantSplit/>
        </w:trPr>
        <w:tc>
          <w:tcPr>
            <w:tcW w:w="1625" w:type="dxa"/>
          </w:tcPr>
          <w:p>
            <w:pPr>
              <w:pStyle w:val="IsiTabel"/>
              <w:keepNext/>
              <w:suppressAutoHyphens/>
              <w:jc w:val="left"/>
            </w:pPr>
            <w:r>
              <w:t xml:space="preserve">Data bangunan, sekolah, dan fasilitas kesehatan per kab/kota di zona skenario tidak ada</w:t>
            </w:r>
          </w:p>
        </w:tc>
        <w:tc>
          <w:tcPr>
            <w:tcW w:w="4468" w:type="dxa"/>
          </w:tcPr>
          <w:p>
            <w:pPr>
              <w:pStyle w:val="IsiTabel"/>
              <w:keepNext/>
              <w:suppressAutoHyphens/>
              <w:jc w:val="left"/>
            </w:pPr>
            <w:r>
              <w:t xml:space="preserve">inventaris bangunan dan aset per kab/kota</w:t>
            </w:r>
          </w:p>
        </w:tc>
        <w:tc>
          <w:tcPr>
            <w:tcW w:w="3261" w:type="dxa"/>
          </w:tcPr>
          <w:p>
            <w:pPr>
              <w:pStyle w:val="IsiTabel"/>
              <w:keepNext/>
              <w:suppressAutoHyphens/>
              <w:jc w:val="left"/>
            </w:pPr>
            <w:r>
              <w:t xml:space="preserve">Kementerian Pekerjaan Umum; Pusat Data, Informasi, dan Komunikasi Kebencanaan</w:t>
            </w:r>
          </w:p>
        </w:tc>
      </w:tr>
      <w:tr>
        <w:trPr>
          <w:cantSplit/>
        </w:trPr>
        <w:tc>
          <w:tcPr>
            <w:tcW w:w="1625" w:type="dxa"/>
          </w:tcPr>
          <w:p>
            <w:pPr>
              <w:pStyle w:val="IsiTabel"/>
              <w:suppressAutoHyphens/>
              <w:jc w:val="left"/>
            </w:pPr>
            <w:bookmarkStart w:id="364" w:name="_Ekor042z"/>
            <w:bookmarkEnd w:id="364"/>
            <w:r>
              <w:t xml:space="preserve">Evaluasi dampak program geologi di Indonesia tidak ditemukan</w:t>
            </w:r>
          </w:p>
        </w:tc>
        <w:tc>
          <w:tcPr>
            <w:tcW w:w="4468" w:type="dxa"/>
          </w:tcPr>
          <w:p>
            <w:pPr>
              <w:pStyle w:val="IsiTabel"/>
              <w:suppressAutoHyphens/>
              <w:jc w:val="left"/>
            </w:pPr>
            <w:r>
              <w:t xml:space="preserve">evaluasi dampak berpembanding</w:t>
            </w:r>
          </w:p>
        </w:tc>
        <w:tc>
          <w:tcPr>
            <w:tcW w:w="3261" w:type="dxa"/>
          </w:tcPr>
          <w:p>
            <w:pPr>
              <w:pStyle w:val="IsiTabel"/>
              <w:suppressAutoHyphens/>
              <w:jc w:val="left"/>
            </w:pPr>
            <w:r>
              <w:t xml:space="preserve">pemimpin program menurut Renas PB</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Analisis kajian ini</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07"/>
        </w:numPr>
      </w:pPr>
      <w:bookmarkStart w:id="366" w:name="_Toc00127"/>
      <w:r>
        <w:rPr>
          <w:sz w:val="18"/>
          <w:szCs w:val="18"/>
        </w:rPr>
        <w:br/>
      </w:r>
      <w:bookmarkStart w:id="365" w:name="_Ref0002"/>
      <w:r>
        <w:t xml:space="preserve">BENCANA HIDROMETEOROLOGI</w:t>
      </w:r>
      <w:bookmarkEnd w:id="365"/>
      <w:bookmarkEnd w:id="366"/>
    </w:p>
    <w:p>
      <w:pPr>
        <w:pStyle w:val="Pertanyaan"/>
      </w:pPr>
      <w:r>
        <w:t xml:space="preserve">Seberapa berat musim hujan dan kejadian tunggal hidrometeorologi tercatat terburuk, dan apa yang diharapkan pada musim hujan 2026/2027 dan kemarau 2027? Berapa korban yang dapat ditekan cakupan peringatan dini menurut target Renstra BNPB dan Renas PB? Beban karhutla apa yang dapat dinyatakan dengan data yang ada?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82" name="Gambar 82"/>
                  <wp:cNvGraphicFramePr>
                    <a:graphicFrameLocks noChangeAspect="1"/>
                  </wp:cNvGraphicFramePr>
                  <a:graphic>
                    <a:graphicData uri="http://schemas.openxmlformats.org/drawingml/2006/picture">
                      <pic:pic>
                        <pic:nvPicPr>
                          <pic:cNvPr id="82"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Musim hujan 2025/2026 mencatat </w:t>
            </w:r>
            <w:r>
              <w:t xml:space="preserve">1.692</w:t>
            </w:r>
            <w:r>
              <w:t xml:space="preserve"> meninggal dan hilang, </w:t>
            </w:r>
            <w:r>
              <w:t xml:space="preserve">2,8 kali</w:t>
            </w:r>
            <w:r>
              <w:t xml:space="preserve"> musim terberat kedua, dan </w:t>
            </w:r>
            <w:r>
              <w:t xml:space="preserve">79,3%</w:t>
            </w:r>
            <w:r>
              <w:t xml:space="preserve"> di antaranya berasal dari banjir dan longsor Sumatra November 2025; angka tercatat itu menjadi lantai skenario hidrometeorologi nasional.</w:t>
            </w:r>
          </w:p>
          <w:p>
            <w:pPr>
              <w:pStyle w:val="DaftarKotak"/>
              <w:numPr>
                <w:ilvl w:val="0"/>
                <w:numId w:val="1"/>
              </w:numPr>
            </w:pPr>
            <w:r>
              <w:t xml:space="preserve">Musim hujan 2026/2027 dimulai di bawah El Niño dengan </w:t>
            </w:r>
            <w:r>
              <w:rPr>
                <w:i/>
                <w:iCs/>
              </w:rPr>
              <w:t xml:space="preserve">Oceanic Niño Index</w:t>
            </w:r>
            <w:r>
              <w:t xml:space="preserve"> (ONI) Juli–September </w:t>
            </w:r>
            <w:r>
              <w:t xml:space="preserve">2,16</w:t>
            </w:r>
            <w:r>
              <w:t xml:space="preserve">, tertinggi sejak 1950; tiga musim El Niño kuat sebelumnya mencatat </w:t>
            </w:r>
            <w:r>
              <w:t xml:space="preserve">199</w:t>
            </w:r>
            <w:r>
              <w:t xml:space="preserve"> sampai </w:t>
            </w:r>
            <w:r>
              <w:t xml:space="preserve">373</w:t>
            </w:r>
            <w:r>
              <w:t xml:space="preserve"> meninggal dan hilang, angka ekspektasi yang tetap di bawah lantai.</w:t>
            </w:r>
          </w:p>
          <w:p>
            <w:pPr>
              <w:pStyle w:val="DaftarKotak"/>
              <w:numPr>
                <w:ilvl w:val="0"/>
                <w:numId w:val="1"/>
              </w:numPr>
            </w:pPr>
            <w:r>
              <w:t xml:space="preserve">Karhutla 2015 membakar </w:t>
            </w:r>
            <w:r>
              <w:t xml:space="preserve">2.611.411 ha</w:t>
            </w:r>
            <w:r>
              <w:t xml:space="preserve"> dengan kerugian US$</w:t>
            </w:r>
            <w:r>
              <w:t xml:space="preserve">16,1 miliar</w:t>
            </w:r>
            <w:r>
              <w:t xml:space="preserve">; Data dan Informasi Bencana Indonesia (DIBI) mencatat </w:t>
            </w:r>
            <w:r>
              <w:t xml:space="preserve">12</w:t>
            </w:r>
            <w:r>
              <w:t xml:space="preserve"> meninggal di provinsi asap, sedangkan model Koplitz dkk. memperkirakan </w:t>
            </w:r>
            <w:r>
              <w:t xml:space="preserve">sekitar 92.000</w:t>
            </w:r>
            <w:r>
              <w:t xml:space="preserve"> kematian dewasa berlebih akibat asap (estimasi model, belum diuji balik terhadap data kematian Indonesia).</w:t>
            </w:r>
          </w:p>
          <w:p>
            <w:pPr>
              <w:pStyle w:val="IsiKotak"/>
            </w:pPr>
            <w:r>
              <w:rPr>
                <w:b/>
                <w:bCs/>
                <w:color w:val="1A1A1A"/>
              </w:rPr>
              <w:t xml:space="preserve">Angka kunci: </w:t>
            </w:r>
          </w:p>
          <w:p>
            <w:pPr>
              <w:pStyle w:val="DaftarKotak"/>
              <w:numPr>
                <w:ilvl w:val="0"/>
                <w:numId w:val="1"/>
              </w:numPr>
            </w:pPr>
            <w:r>
              <w:t xml:space="preserve">1.043.740</w:t>
            </w:r>
            <w:r>
              <w:t xml:space="preserve"> jiwa mengungsi tercatat sepanjang musim hujan 2025/2026, jumlah semusim dan bukan pengungsi serentak </w:t>
            </w:r>
            <w:r>
              <w:t xml:space="preserve">(BNPB, t.t.-a)</w:t>
            </w:r>
            <w:r>
              <w:t xml:space="preserve">.</w:t>
            </w:r>
          </w:p>
          <w:p>
            <w:pPr>
              <w:pStyle w:val="DaftarKotak"/>
              <w:numPr>
                <w:ilvl w:val="0"/>
                <w:numId w:val="1"/>
              </w:numPr>
            </w:pPr>
            <w:r>
              <w:t xml:space="preserve">529</w:t>
            </w:r>
            <w:r>
              <w:t xml:space="preserve"> zona musim dengan awal musim hujan 2026/2027 mundur, meliputi </w:t>
            </w:r>
            <w:r>
              <w:t xml:space="preserve">61,08%</w:t>
            </w:r>
            <w:r>
              <w:t xml:space="preserve"> luas wilayah </w:t>
            </w:r>
            <w:r>
              <w:t xml:space="preserve">(BMKG, 2026c)</w:t>
            </w:r>
            <w:r>
              <w:t xml:space="preserve">.</w:t>
            </w:r>
          </w:p>
          <w:p>
            <w:pPr>
              <w:pStyle w:val="DaftarKotak"/>
              <w:numPr>
                <w:ilvl w:val="0"/>
                <w:numId w:val="1"/>
              </w:numPr>
            </w:pPr>
            <w:r>
              <w:t xml:space="preserve">11,06%</w:t>
            </w:r>
            <w:r>
              <w:t xml:space="preserve"> penduduk daerah berisiko tercakup peringatan dini pada proyeksi 2025, lawan target </w:t>
            </w:r>
            <w:r>
              <w:t xml:space="preserve">52%</w:t>
            </w:r>
            <w:r>
              <w:t xml:space="preserve"> pada 2029 </w:t>
            </w:r>
            <w:r>
              <w:t xml:space="preserve">(BNPB, 2025c, hlm. 32)</w:t>
            </w:r>
            <w:r>
              <w:t xml:space="preserve">.</w:t>
            </w:r>
          </w:p>
          <w:p>
            <w:pPr>
              <w:pStyle w:val="IsiKotak"/>
            </w:pPr>
            <w:r>
              <w:rPr>
                <w:b/>
                <w:bCs/>
                <w:color w:val="1A1A1A"/>
              </w:rPr>
              <w:t xml:space="preserve">Rekomendasi: </w:t>
            </w:r>
            <w:r>
              <w:fldChar w:fldCharType="begin"/>
            </w:r>
            <w:r>
              <w:instrText xml:space="preserve"> REF _Ref0074 \h \* CHARFORMAT </w:instrText>
            </w:r>
            <w:r>
              <w:fldChar w:fldCharType="separate"/>
            </w:r>
            <w:r>
              <w:t xml:space="preserve">06</w:t>
            </w:r>
            <w:r>
              <w:fldChar w:fldCharType="end"/>
            </w:r>
            <w:r>
              <w:t xml:space="preserve">, </w:t>
            </w:r>
            <w:r>
              <w:fldChar w:fldCharType="begin"/>
            </w:r>
            <w:r>
              <w:instrText xml:space="preserve"> REF _Ref0076 \h \* CHARFORMAT </w:instrText>
            </w:r>
            <w:r>
              <w:fldChar w:fldCharType="separate"/>
            </w:r>
            <w:r>
              <w:t xml:space="preserve">08</w:t>
            </w:r>
            <w:r>
              <w:fldChar w:fldCharType="end"/>
            </w:r>
            <w:r>
              <w:t xml:space="preserve">, </w:t>
            </w:r>
            <w:r>
              <w:fldChar w:fldCharType="begin"/>
            </w:r>
            <w:r>
              <w:instrText xml:space="preserve"> REF _Ref0079 \h \* CHARFORMAT </w:instrText>
            </w:r>
            <w:r>
              <w:fldChar w:fldCharType="separate"/>
            </w:r>
            <w:r>
              <w:t xml:space="preserve">13</w:t>
            </w:r>
            <w:r>
              <w:fldChar w:fldCharType="end"/>
            </w:r>
            <w:r>
              <w:t xml:space="preserve">, </w:t>
            </w:r>
            <w:r>
              <w:fldChar w:fldCharType="begin"/>
            </w:r>
            <w:r>
              <w:instrText xml:space="preserve"> REF _Ref0080 \h \* CHARFORMAT </w:instrText>
            </w:r>
            <w:r>
              <w:fldChar w:fldCharType="separate"/>
            </w:r>
            <w:r>
              <w:t xml:space="preserve">32</w:t>
            </w:r>
            <w:r>
              <w:fldChar w:fldCharType="end"/>
            </w:r>
            <w:r>
              <w:t xml:space="preserve">, </w:t>
            </w:r>
            <w:r>
              <w:fldChar w:fldCharType="begin"/>
            </w:r>
            <w:r>
              <w:instrText xml:space="preserve"> REF _Ref0082 \h \* CHARFORMAT </w:instrText>
            </w:r>
            <w:r>
              <w:fldChar w:fldCharType="separate"/>
            </w:r>
            <w:r>
              <w:t xml:space="preserve">16</w:t>
            </w:r>
            <w:r>
              <w:fldChar w:fldCharType="end"/>
            </w:r>
          </w:p>
        </w:tc>
      </w:tr>
    </w:tbl>
    <w:p>
      <w:pPr>
        <w:pStyle w:val="Jarak"/>
      </w:pPr>
    </w:p>
    <w:p>
      <w:pPr>
        <w:pStyle w:val="Caption"/>
      </w:pPr>
      <w:bookmarkStart w:id="368" w:name="_Toc00128"/>
      <w:bookmarkStart w:id="367" w:name="_Ref002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67"/>
      <w:r>
        <w:rPr>
          <w:b/>
          <w:bCs/>
          <w:color w:val="051C2C"/>
        </w:rPr>
        <w:t xml:space="preserve"> </w:t>
      </w:r>
      <w:r>
        <w:t xml:space="preserve">Evakuasi warga terdampak tanah longsor di Kabupaten Pekalongan, Januari 2025</w:t>
      </w:r>
      <w:bookmarkEnd w:id="368"/>
    </w:p>
    <w:p xmlns:a="http://schemas.openxmlformats.org/drawingml/2006/main" xmlns:pic="http://schemas.openxmlformats.org/drawingml/2006/picture">
      <w:pPr>
        <w:keepNext/>
        <w:spacing w:after="0" w:line="240" w:lineRule="auto"/>
        <w:jc w:val="center"/>
      </w:pPr>
      <w:bookmarkStart w:id="369" w:name="_Obj0034"/>
      <w:r>
        <w:drawing>
          <wp:inline distT="0" distB="0" distL="0" distR="0">
            <wp:extent cx="2898000" cy="2174137"/>
            <wp:effectExtent l="0" t="0" r="0" b="0"/>
            <wp:docPr id="83" name="Gambar 83"/>
            <wp:cNvGraphicFramePr>
              <a:graphicFrameLocks noChangeAspect="1"/>
            </wp:cNvGraphicFramePr>
            <a:graphic>
              <a:graphicData uri="http://schemas.openxmlformats.org/drawingml/2006/picture">
                <pic:pic>
                  <pic:nvPicPr>
                    <pic:cNvPr id="83" name="air-pekalongan-longsor.jpg"/>
                    <pic:cNvPicPr/>
                  </pic:nvPicPr>
                  <pic:blipFill>
                    <a:blip r:embed="rId56"/>
                    <a:stretch>
                      <a:fillRect/>
                    </a:stretch>
                  </pic:blipFill>
                  <pic:spPr>
                    <a:xfrm>
                      <a:off x="0" y="0"/>
                      <a:ext cx="2898000" cy="2174137"/>
                    </a:xfrm>
                    <a:prstGeom prst="rect">
                      <a:avLst/>
                    </a:prstGeom>
                  </pic:spPr>
                </pic:pic>
              </a:graphicData>
            </a:graphic>
          </wp:inline>
        </w:drawing>
      </w:r>
      <w:bookmarkEnd w:id="369"/>
    </w:p>
    <w:p>
      <w:pPr>
        <w:pStyle w:val="Sumber"/>
      </w:pPr>
      <w:r>
        <w:rPr>
          <w:b/>
          <w:bCs/>
          <w:color w:val="6B7280"/>
          <w:sz w:val="17"/>
          <w:szCs w:val="17"/>
        </w:rPr>
        <w:t xml:space="preserve">Sumber: </w:t>
      </w:r>
      <w:r>
        <w:rPr>
          <w:color w:val="6B7280"/>
          <w:sz w:val="17"/>
          <w:szCs w:val="17"/>
        </w:rPr>
        <w:t xml:space="preserve">Wikimedia Commons, Social Ministry of Indonesia, PD</w:t>
      </w:r>
    </w:p>
    <w:p>
      <w:pPr>
        <w:pStyle w:val="Heading2"/>
      </w:pPr>
      <w:bookmarkStart w:id="371" w:name="_Toc00129"/>
      <w:bookmarkStart w:id="370" w:name="_Ref0137"/>
      <w:r>
        <w:t xml:space="preserve">7.1</w:t>
      </w:r>
      <w:bookmarkEnd w:id="370"/>
      <w:r>
        <w:tab/>
      </w:r>
      <w:r>
        <w:t xml:space="preserve">Banjir dan Banjir Bandang</w:t>
      </w:r>
      <w:bookmarkEnd w:id="371"/>
    </w:p>
    <w:p>
      <w:pPr>
        <w:pStyle w:val="IsiTemuan"/>
      </w:pPr>
      <w:r>
        <w:rPr>
          <w:b/>
          <w:bCs/>
          <w:color w:val="051C2C"/>
        </w:rPr>
        <w:t xml:space="preserve">Indeks Risiko Bencana Indonesia (IRBI) 2025 tidak menilai banjir di </w:t>
      </w:r>
      <w:r>
        <w:rPr>
          <w:b/>
          <w:bCs/>
          <w:color w:val="051C2C"/>
        </w:rPr>
        <w:t xml:space="preserve">4</w:t>
      </w:r>
      <w:r>
        <w:rPr>
          <w:b/>
          <w:bCs/>
          <w:color w:val="051C2C"/>
        </w:rPr>
        <w:t xml:space="preserve"> kab/kota, tanah longsor di </w:t>
      </w:r>
      <w:r>
        <w:rPr>
          <w:b/>
          <w:bCs/>
          <w:color w:val="051C2C"/>
        </w:rPr>
        <w:t xml:space="preserve">59</w:t>
      </w:r>
      <w:r>
        <w:rPr>
          <w:b/>
          <w:bCs/>
          <w:color w:val="051C2C"/>
        </w:rPr>
        <w:t xml:space="preserve">, dan karhutla di </w:t>
      </w:r>
      <w:r>
        <w:rPr>
          <w:b/>
          <w:bCs/>
          <w:color w:val="051C2C"/>
        </w:rPr>
        <w:t xml:space="preserve">47</w:t>
      </w:r>
      <w:r>
        <w:rPr>
          <w:b/>
          <w:bCs/>
          <w:color w:val="051C2C"/>
        </w:rPr>
        <w:t xml:space="preserve">.</w:t>
      </w:r>
      <w:r>
        <w:t xml:space="preserve"> Kekeringan dinilai di semua kab/kota </w:t>
      </w:r>
      <w:r>
        <w:t xml:space="preserve">(BNPB, t.t.-b)</w:t>
      </w:r>
      <w:r>
        <w:t xml:space="preserve">. Kab/kota tanpa nilai pada </w:t>
      </w:r>
      <w:r>
        <w:fldChar w:fldCharType="begin"/>
      </w:r>
      <w:r>
        <w:instrText xml:space="preserve"> REF _Ref0037 \h \* CHARFORMAT </w:instrText>
      </w:r>
      <w:r>
        <w:fldChar w:fldCharType="separate"/>
      </w:r>
      <w:r>
        <w:t xml:space="preserve">Gambar 7.2</w:t>
      </w:r>
      <w:r>
        <w:fldChar w:fldCharType="end"/>
      </w:r>
      <w:r>
        <w:t xml:space="preserve"> diberi arsir Belum terdata, artinya tidak dinilai, dan tidak dibaca sebagai risiko rendah. Nilai IRBI 2025 per bahaya tidak sebanding dengan seri 2015–2024, sehingga peta memakai lima kelas nilai tanpa peringkat kab/kota (Bab 3). Kajian Risiko Bencana (KRB) 2022–2026 dalam Rencana Nasional Penanggulangan Bencana (Renas PB) 2025–2029 mencatat </w:t>
      </w:r>
      <w:r>
        <w:t xml:space="preserve">113.829.496</w:t>
      </w:r>
      <w:r>
        <w:t xml:space="preserve"> jiwa terpapar bahaya banjir </w:t>
      </w:r>
      <w:r>
        <w:t xml:space="preserve">(BNPB, 2025c)</w:t>
      </w:r>
      <w:r>
        <w:t xml:space="preserve">. Angka itu batas atas paparan, bukan jejak kejadian, karena luas genangan per kejadian dan debit sungai tidak tersedia secara nasional.</w:t>
      </w:r>
    </w:p>
    <w:p>
      <w:pPr>
        <w:pStyle w:val="Caption"/>
      </w:pPr>
      <w:bookmarkStart w:id="373" w:name="_Toc00130"/>
      <w:bookmarkStart w:id="372" w:name="_Ref003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372"/>
      <w:r>
        <w:rPr>
          <w:b/>
          <w:bCs/>
          <w:color w:val="051C2C"/>
        </w:rPr>
        <w:t xml:space="preserve"> </w:t>
      </w:r>
      <w:r>
        <w:t xml:space="preserve">Kelas nilai IRBI 2025 untuk banjir, tanah longsor, kekeringan, dan karhutla per kab/kota di Indonesia</w:t>
      </w:r>
      <w:bookmarkEnd w:id="373"/>
    </w:p>
    <w:p xmlns:a="http://schemas.openxmlformats.org/drawingml/2006/main" xmlns:pic="http://schemas.openxmlformats.org/drawingml/2006/picture">
      <w:pPr>
        <w:keepNext/>
        <w:spacing w:after="0" w:line="240" w:lineRule="auto"/>
        <w:jc w:val="center"/>
      </w:pPr>
      <w:bookmarkStart w:id="374" w:name="_Obj0035"/>
      <w:r>
        <w:drawing>
          <wp:inline distT="0" distB="0" distL="0" distR="0">
            <wp:extent cx="5940000" cy="4327275"/>
            <wp:effectExtent l="0" t="0" r="0" b="0"/>
            <wp:docPr id="84" name="Gambar 84"/>
            <wp:cNvGraphicFramePr>
              <a:graphicFrameLocks noChangeAspect="1"/>
            </wp:cNvGraphicFramePr>
            <a:graphic>
              <a:graphicData uri="http://schemas.openxmlformats.org/drawingml/2006/picture">
                <pic:pic>
                  <pic:nvPicPr>
                    <pic:cNvPr id="84" name="bab07-g19-irbi-hidromet.png"/>
                    <pic:cNvPicPr/>
                  </pic:nvPicPr>
                  <pic:blipFill>
                    <a:blip r:embed="rId57"/>
                    <a:stretch>
                      <a:fillRect/>
                    </a:stretch>
                  </pic:blipFill>
                  <pic:spPr>
                    <a:xfrm>
                      <a:off x="0" y="0"/>
                      <a:ext cx="5940000" cy="4327275"/>
                    </a:xfrm>
                    <a:prstGeom prst="rect">
                      <a:avLst/>
                    </a:prstGeom>
                  </pic:spPr>
                </pic:pic>
              </a:graphicData>
            </a:graphic>
          </wp:inline>
        </w:drawing>
      </w:r>
      <w:bookmarkEnd w:id="374"/>
    </w:p>
    <w:p>
      <w:pPr>
        <w:pStyle w:val="Sumber"/>
        <w:spacing w:after="40"/>
      </w:pPr>
      <w:r>
        <w:rPr>
          <w:b/>
          <w:bCs/>
          <w:color w:val="6B7280"/>
          <w:sz w:val="17"/>
          <w:szCs w:val="17"/>
        </w:rPr>
        <w:t xml:space="preserve">Sumber: </w:t>
      </w:r>
      <w:r>
        <w:rPr>
          <w:color w:val="6B7280"/>
          <w:sz w:val="17"/>
          <w:szCs w:val="17"/>
        </w:rPr>
        <w:t xml:space="preserve">BNPB, IRBI kab/kota 2025;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Arsir Belum terdata berarti bahaya itu tidak dinilai IRBI di kab/kota tersebut. Kelas kuintil per panel; skala 2025 tidak sebanding dengan IRBI 2015–2024 dan tidak dipakai untuk memeringkat kab/kota.</w:t>
      </w:r>
    </w:p>
    <w:p>
      <w:pPr>
        <w:pStyle w:val="IsiTemuan"/>
      </w:pPr>
      <w:r>
        <w:rPr>
          <w:b/>
          <w:bCs/>
          <w:color w:val="051C2C"/>
        </w:rPr>
        <w:t xml:space="preserve">Banjir menyumbang </w:t>
      </w:r>
      <w:r>
        <w:rPr>
          <w:b/>
          <w:bCs/>
          <w:color w:val="051C2C"/>
        </w:rPr>
        <w:t xml:space="preserve">1.421</w:t>
      </w:r>
      <w:r>
        <w:rPr>
          <w:b/>
          <w:bCs/>
          <w:color w:val="051C2C"/>
        </w:rPr>
        <w:t xml:space="preserve"> dari </w:t>
      </w:r>
      <w:r>
        <w:rPr>
          <w:b/>
          <w:bCs/>
          <w:color w:val="051C2C"/>
        </w:rPr>
        <w:t xml:space="preserve">1.692</w:t>
      </w:r>
      <w:r>
        <w:rPr>
          <w:b/>
          <w:bCs/>
          <w:color w:val="051C2C"/>
        </w:rPr>
        <w:t xml:space="preserve"> meninggal dan hilang pada musim hujan 2025/2026, musim terberat dalam DIBI sejak 2008/2009.</w:t>
      </w:r>
      <w:r>
        <w:t xml:space="preserve"> Sisanya terbagi atas tanah longsor </w:t>
      </w:r>
      <w:r>
        <w:t xml:space="preserve">202</w:t>
      </w:r>
      <w:r>
        <w:t xml:space="preserve">, cuaca ekstrem </w:t>
      </w:r>
      <w:r>
        <w:t xml:space="preserve">40</w:t>
      </w:r>
      <w:r>
        <w:t xml:space="preserve">, banjir bandang </w:t>
      </w:r>
      <w:r>
        <w:t xml:space="preserve">26</w:t>
      </w:r>
      <w:r>
        <w:t xml:space="preserve">, serta gabungan banjir dan tanah longsor </w:t>
      </w:r>
      <w:r>
        <w:t xml:space="preserve">3</w:t>
      </w:r>
      <w:r>
        <w:t xml:space="preserve"> </w:t>
      </w:r>
      <w:r>
        <w:t xml:space="preserve">(BNPB, t.t.-a)</w:t>
      </w:r>
      <w:r>
        <w:t xml:space="preserve">. Musim hujan dihitung dari 1 Oktober sampai 30 April. Banjir bandang dan gabungan banjir dan tanah longsor baru menjadi kategori DIBI pada 2018 dan kosong pada 2024, sehingga kedua jenis itu tidak sebanding antartahun.</w:t>
      </w:r>
    </w:p>
    <w:p>
      <w:pPr>
        <w:pStyle w:val="IsiTemuan"/>
      </w:pPr>
      <w:r>
        <w:rPr>
          <w:b/>
          <w:bCs/>
          <w:color w:val="051C2C"/>
        </w:rPr>
        <w:t xml:space="preserve">Banjir dan longsor di Aceh, Sumatera Utara, dan Sumatera Barat pada 15 November sampai 31 Desember 2025 tercatat </w:t>
      </w:r>
      <w:r>
        <w:rPr>
          <w:b/>
          <w:bCs/>
          <w:color w:val="051C2C"/>
        </w:rPr>
        <w:t xml:space="preserve">1.202</w:t>
      </w:r>
      <w:r>
        <w:rPr>
          <w:b/>
          <w:bCs/>
          <w:color w:val="051C2C"/>
        </w:rPr>
        <w:t xml:space="preserve"> meninggal dan </w:t>
      </w:r>
      <w:r>
        <w:rPr>
          <w:b/>
          <w:bCs/>
          <w:color w:val="051C2C"/>
        </w:rPr>
        <w:t xml:space="preserve">140</w:t>
      </w:r>
      <w:r>
        <w:rPr>
          <w:b/>
          <w:bCs/>
          <w:color w:val="051C2C"/>
        </w:rPr>
        <w:t xml:space="preserve"> hilang.</w:t>
      </w:r>
      <w:r>
        <w:t xml:space="preserve"> Kejadian itu terberat dalam daftar kejadian hidrometeorologi besar DIBI yang dihimpun paket data, dengan </w:t>
      </w:r>
      <w:r>
        <w:t xml:space="preserve">970.876</w:t>
      </w:r>
      <w:r>
        <w:t xml:space="preserve"> jiwa mengungsi, </w:t>
      </w:r>
      <w:r>
        <w:t xml:space="preserve">4.679.735</w:t>
      </w:r>
      <w:r>
        <w:t xml:space="preserve"> jiwa menderita, dan </w:t>
      </w:r>
      <w:r>
        <w:t xml:space="preserve">63.019</w:t>
      </w:r>
      <w:r>
        <w:t xml:space="preserve"> rumah rusak berat </w:t>
      </w:r>
      <w:r>
        <w:t xml:space="preserve">(BNPB, t.t.-a)</w:t>
      </w:r>
      <w:r>
        <w:t xml:space="preserve">. Angka pengungsi itu jumlah lintas laporan kab/kota, sehingga tidak sama dengan pengungsi serentak. Daftar kejadian besar DIBI dengan jendela 22 November sampai 31 Desember mencatat </w:t>
      </w:r>
      <w:r>
        <w:t xml:space="preserve">62.956</w:t>
      </w:r>
      <w:r>
        <w:t xml:space="preserve"> rumah rusak berat di </w:t>
      </w:r>
      <w:r>
        <w:t xml:space="preserve">55</w:t>
      </w:r>
      <w:r>
        <w:t xml:space="preserve"> kab/kota; kedua jendela pilihan penyusun paket data dan ditulis berdampingan. Paket data tidak memisahkan korban banjir dari korban longsor pada kejadian ini, sehingga kejadian itu masuk ke kedua kartu sebagai kejadian majemuk. Pemicu meteorologisnya belum dapat dinyatakan karena laporan kejadian Badan Meteorologi, Klimatologi, dan Geofisika (BMKG) tidak ditemukan dan sumber yang ada hanya pemberitaan pers.</w:t>
      </w:r>
    </w:p>
    <w:p>
      <w:pPr>
        <w:pStyle w:val="IsiTemuan"/>
      </w:pPr>
      <w:r>
        <w:rPr>
          <w:b/>
          <w:bCs/>
          <w:color w:val="051C2C"/>
        </w:rPr>
        <w:t xml:space="preserve">Banjir bandang Wasior Oktober 2010 tercatat </w:t>
      </w:r>
      <w:r>
        <w:rPr>
          <w:b/>
          <w:bCs/>
          <w:color w:val="051C2C"/>
        </w:rPr>
        <w:t xml:space="preserve">170</w:t>
      </w:r>
      <w:r>
        <w:rPr>
          <w:b/>
          <w:bCs/>
          <w:color w:val="051C2C"/>
        </w:rPr>
        <w:t xml:space="preserve"> meninggal dan </w:t>
      </w:r>
      <w:r>
        <w:rPr>
          <w:b/>
          <w:bCs/>
          <w:color w:val="051C2C"/>
        </w:rPr>
        <w:t xml:space="preserve">118</w:t>
      </w:r>
      <w:r>
        <w:rPr>
          <w:b/>
          <w:bCs/>
          <w:color w:val="051C2C"/>
        </w:rPr>
        <w:t xml:space="preserve"> hilang, dan DIBI mencatatnya sebagai banjir karena kategori banjir bandang baru ada sejak 2018.</w:t>
      </w:r>
      <w:r>
        <w:t xml:space="preserve"> Banjir Jabodetabek awal 2020 tercatat </w:t>
      </w:r>
      <w:r>
        <w:t xml:space="preserve">51</w:t>
      </w:r>
      <w:r>
        <w:t xml:space="preserve"> meninggal di DIBI dan </w:t>
      </w:r>
      <w:r>
        <w:t xml:space="preserve">61</w:t>
      </w:r>
      <w:r>
        <w:t xml:space="preserve"> di Rencana Strategis Badan Nasional Penanggulangan Bencana (Renstra BNPB) 2025–2029 </w:t>
      </w:r>
      <w:r>
        <w:t xml:space="preserve">(BNPB, t.t.-a, 2025e, hlm. 11)</w:t>
      </w:r>
      <w:r>
        <w:t xml:space="preserve">. Daftar kejadian besar itu dipilih penyusun paket data, bukan hasil pemindaian seluruh peristiwa DIBI, sehingga tidak dipakai sebagai lantai per jenis.</w:t>
      </w:r>
    </w:p>
    <w:p>
      <w:pPr>
        <w:pStyle w:val="IsiTemuan"/>
      </w:pPr>
      <w:r>
        <w:rPr>
          <w:b/>
          <w:bCs/>
          <w:color w:val="051C2C"/>
        </w:rPr>
        <w:t xml:space="preserve">Kerugian banjir yang punya penilaian resmi dalam bahan kajian hanya banjir Jabodetabek Februari 2007, </w:t>
      </w:r>
      <w:r>
        <w:rPr>
          <w:b/>
          <w:bCs/>
          <w:color w:val="051C2C"/>
        </w:rPr>
        <w:t xml:space="preserve">Rp5,2 triliun</w:t>
      </w:r>
      <w:r>
        <w:rPr>
          <w:b/>
          <w:bCs/>
          <w:color w:val="051C2C"/>
        </w:rPr>
        <w:t xml:space="preserve"> kerusakan dan kerugian menurut </w:t>
      </w:r>
      <w:r>
        <w:rPr>
          <w:b/>
          <w:bCs/>
          <w:i/>
          <w:iCs/>
          <w:color w:val="051C2C"/>
        </w:rPr>
        <w:t xml:space="preserve">Damage and Loss Assessment</w:t>
      </w:r>
      <w:r>
        <w:rPr>
          <w:b/>
          <w:bCs/>
          <w:color w:val="051C2C"/>
        </w:rPr>
        <w:t xml:space="preserve"> (DaLA) Badan Perencanaan Pembangunan Nasional (Bappenas).</w:t>
      </w:r>
      <w:r>
        <w:t xml:space="preserve"> Angka itu berasal dari Tabel III.1 dokumen DaLA </w:t>
      </w:r>
      <w:r>
        <w:t xml:space="preserve">(Bappenas, 2007, hlm. 33)</w:t>
      </w:r>
      <w:r>
        <w:t xml:space="preserve">. Penilaian kebutuhan pascabencana (</w:t>
      </w:r>
      <w:r>
        <w:rPr>
          <w:i/>
          <w:iCs/>
        </w:rPr>
        <w:t xml:space="preserve">Post-Disaster Needs Assessment</w:t>
      </w:r>
      <w:r>
        <w:t xml:space="preserve">, PDNA) dan Rencana Rehabilitasi dan Rekonstruksi Pascabencana (R3P) Sumatra 2025 tidak ditemukan, sehingga kerugian kejadian terberat itu belum dapat dinyatakan (</w:t>
      </w:r>
      <w:r>
        <w:fldChar w:fldCharType="begin"/>
      </w:r>
      <w:r>
        <w:instrText xml:space="preserve"> REF _Ref0102 \h \* CHARFORMAT </w:instrText>
      </w:r>
      <w:r>
        <w:fldChar w:fldCharType="separate"/>
      </w:r>
      <w:r>
        <w:t xml:space="preserve">27</w:t>
      </w:r>
      <w:r>
        <w:fldChar w:fldCharType="end"/>
      </w:r>
      <w:r>
        <w:t xml:space="preserve">). Rumah rusak per jenis untuk musim 2025/2026 juga tidak ada di paket data, padahal stimulan rumah di antara jenis banjir hanya berlaku untuk banjir bandang.</w:t>
      </w:r>
    </w:p>
    <w:p>
      <w:pPr>
        <w:pStyle w:val="IsiTemuan"/>
      </w:pPr>
      <w:r>
        <w:rPr>
          <w:b/>
          <w:bCs/>
          <w:color w:val="051C2C"/>
        </w:rPr>
        <w:t xml:space="preserve">Lantai kejadian tunggal dan tahun tercatat terburuk per jenis belum diketik di kartu banjir, karena turunan lantai per jenis paket data belum dibangun per 24 Oktober 2026.</w:t>
      </w:r>
      <w:r>
        <w:t xml:space="preserve"> Untuk sementara, kartu pada </w:t>
      </w:r>
      <w:r>
        <w:fldChar w:fldCharType="begin"/>
      </w:r>
      <w:r>
        <w:instrText xml:space="preserve"> REF _Ref0268 \h \* CHARFORMAT </w:instrText>
      </w:r>
      <w:r>
        <w:fldChar w:fldCharType="separate"/>
      </w:r>
      <w:r>
        <w:t xml:space="preserve">Tabel 7.1</w:t>
      </w:r>
      <w:r>
        <w:fldChar w:fldCharType="end"/>
      </w:r>
      <w:r>
        <w:t xml:space="preserve"> memakai korban banjir musim 2025/2026 dan kejadian majemuk Sumatra 2025; pemutakhirannya tercakup dalam </w:t>
      </w:r>
      <w:r>
        <w:fldChar w:fldCharType="begin"/>
      </w:r>
      <w:r>
        <w:instrText xml:space="preserve"> REF _Ref0105 \h \* CHARFORMAT </w:instrText>
      </w:r>
      <w:r>
        <w:fldChar w:fldCharType="separate"/>
      </w:r>
      <w:r>
        <w:t xml:space="preserve">30</w:t>
      </w:r>
      <w:r>
        <w:fldChar w:fldCharType="end"/>
      </w:r>
      <w:r>
        <w:t xml:space="preserve">. Korban satu musim itu bukan lantai per jenis dan dapat lebih ringan daripada tahun tercatat terburuk untuk banjir, sehingga kartu banjir belum menjadi skenario terburuk banjir sampai turunan itu tersedia.</w:t>
      </w:r>
    </w:p>
    <w:p>
      <w:pPr>
        <w:pStyle w:val="Caption"/>
        <w:pageBreakBefore/>
      </w:pPr>
      <w:bookmarkStart w:id="376" w:name="_Toc00131"/>
      <w:bookmarkStart w:id="375" w:name="_Ref026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75"/>
      <w:r>
        <w:rPr>
          <w:b/>
          <w:bCs/>
          <w:color w:val="051C2C"/>
        </w:rPr>
        <w:t xml:space="preserve"> </w:t>
      </w:r>
      <w:r>
        <w:t xml:space="preserve">Banjir dan banjir bandang nasional setara musim hujan 2025/2026 dan kejadian majemuk Sumatra 2025</w:t>
      </w:r>
      <w:bookmarkEnd w:id="37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keepNext/>
                    <w:spacing w:after="0"/>
                  </w:pPr>
                  <w:bookmarkStart w:id="378" w:name="_Kartu007a"/>
                  <w:bookmarkStart w:id="377" w:name="_Obj0036"/>
                  <w:r>
                    <w:rPr>
                      <w:position w:val="-10"/>
                    </w:rPr>
                    <w:drawing>
                      <wp:inline distT="0" distB="0" distL="0" distR="0">
                        <wp:extent cx="216000" cy="216000"/>
                        <wp:effectExtent l="0" t="0" r="0" b="0"/>
                        <wp:docPr id="85" name="Gambar 85"/>
                        <wp:cNvGraphicFramePr>
                          <a:graphicFrameLocks noChangeAspect="1"/>
                        </wp:cNvGraphicFramePr>
                        <a:graphic>
                          <a:graphicData uri="http://schemas.openxmlformats.org/drawingml/2006/picture">
                            <pic:pic>
                              <pic:nvPicPr>
                                <pic:cNvPr id="85" name="banjir-deck-banjir-FFFFFF-2F86D1.png"/>
                                <pic:cNvPicPr/>
                              </pic:nvPicPr>
                              <pic:blipFill>
                                <a:blip r:embed="rId58"/>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377"/>
                  <w:bookmarkEnd w:id="378"/>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per jenis; lantai kejadian tunggal dan tahun tercatat terburuk menunggu turunan lantai per jenis paket skenario hidrometeorologi, sehingga kartu memakai korban banjir musim tercatat terburuk dan kejadian majemuk Sumatra 2025 dari DIBI; banjir bandang dicatat terpisah sejak kategori 2018.</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tidak ada dasar peluang per jenis; peluang musim agregat ada di kartu musim hujan tercatat terburuk</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86" name="Gambar 86"/>
                              <wp:cNvGraphicFramePr>
                                <a:graphicFrameLocks noChangeAspect="1"/>
                              </wp:cNvGraphicFramePr>
                              <a:graphic>
                                <a:graphicData uri="http://schemas.openxmlformats.org/drawingml/2006/picture">
                                  <pic:pic>
                                    <pic:nvPicPr>
                                      <pic:cNvPr id="8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87" name="Gambar 87"/>
                              <wp:cNvGraphicFramePr>
                                <a:graphicFrameLocks noChangeAspect="1"/>
                              </wp:cNvGraphicFramePr>
                              <a:graphic>
                                <a:graphicData uri="http://schemas.openxmlformats.org/drawingml/2006/picture">
                                  <pic:pic>
                                    <pic:nvPicPr>
                                      <pic:cNvPr id="8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8" name="Gambar 88"/>
                              <wp:cNvGraphicFramePr>
                                <a:graphicFrameLocks noChangeAspect="1"/>
                              </wp:cNvGraphicFramePr>
                              <a:graphic>
                                <a:graphicData uri="http://schemas.openxmlformats.org/drawingml/2006/picture">
                                  <pic:pic>
                                    <pic:nvPicPr>
                                      <pic:cNvPr id="8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9" name="Gambar 89"/>
                              <wp:cNvGraphicFramePr>
                                <a:graphicFrameLocks noChangeAspect="1"/>
                              </wp:cNvGraphicFramePr>
                              <a:graphic>
                                <a:graphicData uri="http://schemas.openxmlformats.org/drawingml/2006/picture">
                                  <pic:pic>
                                    <pic:nvPicPr>
                                      <pic:cNvPr id="8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290385"/>
                        <wp:effectExtent l="0" t="0" r="0" b="0"/>
                        <wp:docPr id="90" name="Gambar 90"/>
                        <wp:cNvGraphicFramePr>
                          <a:graphicFrameLocks noChangeAspect="1"/>
                        </wp:cNvGraphicFramePr>
                        <a:graphic>
                          <a:graphicData uri="http://schemas.openxmlformats.org/drawingml/2006/picture">
                            <pic:pic>
                              <pic:nvPicPr>
                                <pic:cNvPr id="90" name="bab07-kartu-banjir.png"/>
                                <pic:cNvPicPr/>
                              </pic:nvPicPr>
                              <pic:blipFill>
                                <a:blip r:embed="rId59"/>
                                <a:stretch>
                                  <a:fillRect/>
                                </a:stretch>
                              </pic:blipFill>
                              <pic:spPr>
                                <a:xfrm>
                                  <a:off x="0" y="0"/>
                                  <a:ext cx="1882800" cy="2290385"/>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956"/>
              <w:gridCol w:w="1204"/>
              <w:gridCol w:w="852"/>
              <w:gridCol w:w="1525"/>
              <w:gridCol w:w="1817"/>
            </w:tblGrid>
            <w:tr>
              <w:trPr>
                <w:cantSplit/>
                <w:tblHeader/>
              </w:trPr>
              <w:tc>
                <w:tcPr>
                  <w:tcW w:w="3956" w:type="dxa"/>
                  <w:shd w:val="clear" w:color="auto" w:fill="051C2C"/>
                  <w:vAlign w:val="center"/>
                </w:tcPr>
                <w:p>
                  <w:pPr>
                    <w:pStyle w:val="KepalaTabel"/>
                    <w:keepNext/>
                    <w:suppressAutoHyphens/>
                  </w:pPr>
                  <w:r>
                    <w:t xml:space="preserve">BESARAN</w:t>
                  </w:r>
                </w:p>
              </w:tc>
              <w:tc>
                <w:tcPr>
                  <w:tcW w:w="1204"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525" w:type="dxa"/>
                  <w:shd w:val="clear" w:color="auto" w:fill="051C2C"/>
                  <w:vAlign w:val="center"/>
                </w:tcPr>
                <w:p>
                  <w:pPr>
                    <w:pStyle w:val="KepalaTabel"/>
                    <w:keepNext/>
                    <w:suppressAutoHyphens/>
                  </w:pPr>
                  <w:r>
                    <w:t xml:space="preserve">KEYAKINAN</w:t>
                  </w:r>
                </w:p>
              </w:tc>
              <w:tc>
                <w:tcPr>
                  <w:tcW w:w="1817" w:type="dxa"/>
                  <w:shd w:val="clear" w:color="auto" w:fill="051C2C"/>
                  <w:vAlign w:val="center"/>
                </w:tcPr>
                <w:p>
                  <w:pPr>
                    <w:pStyle w:val="KepalaTabel"/>
                    <w:keepNext/>
                    <w:suppressAutoHyphens/>
                  </w:pPr>
                  <w:r>
                    <w:t xml:space="preserve">SUMBER</w:t>
                  </w:r>
                </w:p>
              </w:tc>
            </w:tr>
            <w:tr>
              <w:trPr>
                <w:cantSplit/>
              </w:trPr>
              <w:tc>
                <w:tcPr>
                  <w:tcW w:w="3956" w:type="dxa"/>
                </w:tcPr>
                <w:p>
                  <w:pPr>
                    <w:pStyle w:val="IsiTabel"/>
                    <w:keepNext/>
                    <w:suppressAutoHyphens/>
                    <w:jc w:val="left"/>
                  </w:pPr>
                  <w:r>
                    <w:t xml:space="preserve">Kependudukan, korban jiwa banjir musim 2025/2026</w:t>
                  </w:r>
                </w:p>
              </w:tc>
              <w:tc>
                <w:tcPr>
                  <w:tcW w:w="1204" w:type="dxa"/>
                </w:tcPr>
                <w:p>
                  <w:pPr>
                    <w:pStyle w:val="IsiTabel"/>
                    <w:keepNext/>
                    <w:suppressAutoHyphens/>
                    <w:jc w:val="right"/>
                  </w:pPr>
                  <w:r>
                    <w:t xml:space="preserve">1.421</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DIBI BNPB, meninggal dan hilang</w:t>
                  </w:r>
                </w:p>
              </w:tc>
            </w:tr>
            <w:tr>
              <w:trPr>
                <w:cantSplit/>
              </w:trPr>
              <w:tc>
                <w:tcPr>
                  <w:tcW w:w="3956" w:type="dxa"/>
                </w:tcPr>
                <w:p>
                  <w:pPr>
                    <w:pStyle w:val="IsiTabel"/>
                    <w:keepNext/>
                    <w:suppressAutoHyphens/>
                    <w:jc w:val="left"/>
                  </w:pPr>
                  <w:r>
                    <w:t xml:space="preserve">Kependudukan, korban jiwa banjir bandang musim 2025/2026</w:t>
                  </w:r>
                </w:p>
              </w:tc>
              <w:tc>
                <w:tcPr>
                  <w:tcW w:w="1204" w:type="dxa"/>
                </w:tcPr>
                <w:p>
                  <w:pPr>
                    <w:pStyle w:val="IsiTabel"/>
                    <w:keepNext/>
                    <w:suppressAutoHyphens/>
                    <w:jc w:val="right"/>
                  </w:pPr>
                  <w:r>
                    <w:t xml:space="preserve">26</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DIBI BNPB; kategori ada sejak 2018</w:t>
                  </w:r>
                </w:p>
              </w:tc>
            </w:tr>
            <w:tr>
              <w:trPr>
                <w:cantSplit/>
              </w:trPr>
              <w:tc>
                <w:tcPr>
                  <w:tcW w:w="3956" w:type="dxa"/>
                </w:tcPr>
                <w:p>
                  <w:pPr>
                    <w:pStyle w:val="IsiTabel"/>
                    <w:keepNext/>
                    <w:suppressAutoHyphens/>
                    <w:jc w:val="left"/>
                  </w:pPr>
                  <w:r>
                    <w:t xml:space="preserve">Kependudukan, korban jiwa kejadian majemuk Sumatra 2025</w:t>
                  </w:r>
                </w:p>
              </w:tc>
              <w:tc>
                <w:tcPr>
                  <w:tcW w:w="1204" w:type="dxa"/>
                </w:tcPr>
                <w:p>
                  <w:pPr>
                    <w:pStyle w:val="IsiTabel"/>
                    <w:keepNext/>
                    <w:suppressAutoHyphens/>
                    <w:jc w:val="right"/>
                  </w:pPr>
                  <w:r>
                    <w:t xml:space="preserve">1.342</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DIBI BNPB; banjir dan longsor tidak dipisah</w:t>
                  </w:r>
                </w:p>
              </w:tc>
            </w:tr>
            <w:tr>
              <w:trPr>
                <w:cantSplit/>
              </w:trPr>
              <w:tc>
                <w:tcPr>
                  <w:tcW w:w="3956" w:type="dxa"/>
                </w:tcPr>
                <w:p>
                  <w:pPr>
                    <w:pStyle w:val="IsiTabel"/>
                    <w:keepNext/>
                    <w:suppressAutoHyphens/>
                    <w:jc w:val="left"/>
                  </w:pPr>
                  <w:r>
                    <w:t xml:space="preserve">Kependudukan, korban jiwa model rasio banjir musim 2025/2026</w:t>
                  </w:r>
                </w:p>
              </w:tc>
              <w:tc>
                <w:tcPr>
                  <w:tcW w:w="1204" w:type="dxa"/>
                </w:tcPr>
                <w:p>
                  <w:pPr>
                    <w:pStyle w:val="IsiTabel"/>
                    <w:keepNext/>
                    <w:suppressAutoHyphens/>
                    <w:jc w:val="right"/>
                  </w:pPr>
                  <w:r>
                    <w:t xml:space="preserve">230</w:t>
                  </w:r>
                </w:p>
              </w:tc>
              <w:tc>
                <w:tcPr>
                  <w:tcW w:w="852" w:type="dxa"/>
                </w:tcPr>
                <w:p>
                  <w:pPr>
                    <w:pStyle w:val="IsiTabel"/>
                    <w:keepNext/>
                    <w:suppressAutoHyphens/>
                    <w:jc w:val="right"/>
                  </w:pPr>
                  <w:r>
                    <w:t xml:space="preserve">580</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817" w:type="dxa"/>
                </w:tcPr>
                <w:p>
                  <w:pPr>
                    <w:pStyle w:val="IsiTabel"/>
                    <w:keepNext/>
                    <w:suppressAutoHyphens/>
                    <w:jc w:val="left"/>
                  </w:pPr>
                  <w:r>
                    <w:t xml:space="preserve">pembanding; batas tinggi di bawah angka tercatat</w:t>
                  </w:r>
                </w:p>
              </w:tc>
            </w:tr>
            <w:tr>
              <w:trPr>
                <w:cantSplit/>
              </w:trPr>
              <w:tc>
                <w:tcPr>
                  <w:tcW w:w="3956" w:type="dxa"/>
                </w:tcPr>
                <w:p>
                  <w:pPr>
                    <w:pStyle w:val="IsiTabel"/>
                    <w:keepNext/>
                    <w:suppressAutoHyphens/>
                    <w:jc w:val="left"/>
                  </w:pPr>
                  <w:r>
                    <w:t xml:space="preserve">Kependudukan, lantai kejadian tunggal dan tahun tercatat terburuk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817" w:type="dxa"/>
                </w:tcPr>
                <w:p>
                  <w:pPr>
                    <w:pStyle w:val="IsiTabel"/>
                    <w:keepNext/>
                    <w:suppressAutoHyphens/>
                    <w:jc w:val="left"/>
                  </w:pPr>
                  <w:r>
                    <w:t xml:space="preserve">menunggu turunan lantai per jenis paket skenario hidrometeorologi</w:t>
                  </w:r>
                </w:p>
              </w:tc>
            </w:tr>
            <w:tr>
              <w:trPr>
                <w:cantSplit/>
              </w:trPr>
              <w:tc>
                <w:tcPr>
                  <w:tcW w:w="3956" w:type="dxa"/>
                </w:tcPr>
                <w:p>
                  <w:pPr>
                    <w:pStyle w:val="IsiTabel"/>
                    <w:keepNext/>
                    <w:suppressAutoHyphens/>
                    <w:jc w:val="left"/>
                  </w:pPr>
                  <w:r>
                    <w:t xml:space="preserve">Kependudukan, penduduk terpapar KRB banjir</w:t>
                  </w:r>
                </w:p>
              </w:tc>
              <w:tc>
                <w:tcPr>
                  <w:tcW w:w="1204" w:type="dxa"/>
                </w:tcPr>
                <w:p>
                  <w:pPr>
                    <w:pStyle w:val="IsiTabel"/>
                    <w:keepNext/>
                    <w:suppressAutoHyphens/>
                    <w:jc w:val="right"/>
                  </w:pPr>
                  <w:r>
                    <w:t xml:space="preserve">113.829.496</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Renas PB; batas atas paparan</w:t>
                  </w:r>
                </w:p>
              </w:tc>
            </w:tr>
            <w:tr>
              <w:trPr>
                <w:cantSplit/>
              </w:trPr>
              <w:tc>
                <w:tcPr>
                  <w:tcW w:w="3956" w:type="dxa"/>
                </w:tcPr>
                <w:p>
                  <w:pPr>
                    <w:pStyle w:val="IsiTabel"/>
                    <w:keepNext/>
                    <w:suppressAutoHyphens/>
                    <w:jc w:val="left"/>
                  </w:pPr>
                  <w:r>
                    <w:t xml:space="preserve">Lingkungan, luas terdampak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817" w:type="dxa"/>
                </w:tcPr>
                <w:p>
                  <w:pPr>
                    <w:pStyle w:val="IsiTabel"/>
                    <w:keepNext/>
                    <w:suppressAutoHyphens/>
                    <w:jc w:val="left"/>
                  </w:pPr>
                  <w:r>
                    <w:t xml:space="preserve">luas genangan per kejadian tidak tersedia secara nasional</w:t>
                  </w:r>
                </w:p>
              </w:tc>
            </w:tr>
            <w:tr>
              <w:trPr>
                <w:cantSplit/>
              </w:trPr>
              <w:tc>
                <w:tcPr>
                  <w:tcW w:w="3956" w:type="dxa"/>
                </w:tcPr>
                <w:p>
                  <w:pPr>
                    <w:pStyle w:val="IsiTabel"/>
                    <w:keepNext/>
                    <w:suppressAutoHyphens/>
                    <w:jc w:val="left"/>
                  </w:pPr>
                  <w:r>
                    <w:t xml:space="preserve">Ekonomi, kerugian materiil kejadian analog Jabodetabek 2007</w:t>
                  </w:r>
                </w:p>
              </w:tc>
              <w:tc>
                <w:tcPr>
                  <w:tcW w:w="1204" w:type="dxa"/>
                </w:tcPr>
                <w:p>
                  <w:pPr>
                    <w:pStyle w:val="IsiTabel"/>
                    <w:keepNext/>
                    <w:suppressAutoHyphens/>
                    <w:jc w:val="right"/>
                  </w:pPr>
                  <w:r>
                    <w:t xml:space="preserve">Rp5,2 triliun</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Bappenas, DaLA</w:t>
                  </w:r>
                </w:p>
              </w:tc>
            </w:tr>
            <w:tr>
              <w:trPr>
                <w:cantSplit/>
              </w:trPr>
              <w:tc>
                <w:tcPr>
                  <w:tcW w:w="3956" w:type="dxa"/>
                </w:tcPr>
                <w:p>
                  <w:pPr>
                    <w:pStyle w:val="IsiTabel"/>
                    <w:keepNext/>
                    <w:suppressAutoHyphens/>
                    <w:jc w:val="left"/>
                  </w:pPr>
                  <w:bookmarkStart w:id="379" w:name="_Ekor043a"/>
                  <w:bookmarkEnd w:id="379"/>
                  <w:r>
                    <w:t xml:space="preserve">Ekonomi, stimulan rumah banjir bandang</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817" w:type="dxa"/>
                </w:tcPr>
                <w:p>
                  <w:pPr>
                    <w:pStyle w:val="IsiTabel"/>
                    <w:keepNext/>
                    <w:suppressAutoHyphens/>
                    <w:jc w:val="left"/>
                  </w:pPr>
                  <w:r>
                    <w:t xml:space="preserve">rumah rusak per jenis tidak ada di paket data</w:t>
                  </w:r>
                </w:p>
              </w:tc>
            </w:tr>
            <w:tr>
              <w:trPr>
                <w:cantSplit/>
              </w:trPr>
              <w:tc>
                <w:tcPr>
                  <w:tcW w:w="3956" w:type="dxa"/>
                </w:tcPr>
                <w:p>
                  <w:pPr>
                    <w:pStyle w:val="IsiTabel"/>
                    <w:keepNext/>
                    <w:suppressAutoHyphens/>
                    <w:jc w:val="left"/>
                  </w:pPr>
                  <w:r>
                    <w:t xml:space="preserve">Infrastruktur/fisik, rumah rusak berat kejadian majemuk Sumatra 2025</w:t>
                  </w:r>
                </w:p>
              </w:tc>
              <w:tc>
                <w:tcPr>
                  <w:tcW w:w="1204" w:type="dxa"/>
                </w:tcPr>
                <w:p>
                  <w:pPr>
                    <w:pStyle w:val="IsiTabel"/>
                    <w:keepNext/>
                    <w:suppressAutoHyphens/>
                    <w:jc w:val="right"/>
                  </w:pPr>
                  <w:r>
                    <w:t xml:space="preserve">63.019</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DIBI BNPB; jendela 22 November–31 Desember mencatat </w:t>
                  </w:r>
                  <w:r>
                    <w:t xml:space="preserve">62.956</w:t>
                  </w:r>
                </w:p>
              </w:tc>
            </w:tr>
            <w:tr>
              <w:trPr>
                <w:cantSplit/>
              </w:trPr>
              <w:tc>
                <w:tcPr>
                  <w:tcW w:w="3956" w:type="dxa"/>
                </w:tcPr>
                <w:p>
                  <w:pPr>
                    <w:pStyle w:val="IsiTabel"/>
                    <w:keepNext/>
                    <w:suppressAutoHyphens/>
                    <w:jc w:val="left"/>
                  </w:pPr>
                  <w:r>
                    <w:t xml:space="preserve">Layanan sipil, fasilitas rusak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817" w:type="dxa"/>
                </w:tcPr>
                <w:p>
                  <w:pPr>
                    <w:pStyle w:val="IsiTabel"/>
                    <w:keepNext/>
                    <w:suppressAutoHyphens/>
                    <w:jc w:val="left"/>
                  </w:pPr>
                  <w:r>
                    <w:t xml:space="preserve">fasilitas rusak per jenis tidak dimuat paket data</w:t>
                  </w:r>
                </w:p>
              </w:tc>
            </w:tr>
            <w:tr>
              <w:trPr>
                <w:cantSplit/>
              </w:trPr>
              <w:tc>
                <w:tcPr>
                  <w:tcW w:w="3956" w:type="dxa"/>
                </w:tcPr>
                <w:p>
                  <w:pPr>
                    <w:pStyle w:val="IsiTabel"/>
                    <w:keepNext/>
                    <w:suppressAutoHyphens/>
                    <w:jc w:val="left"/>
                  </w:pPr>
                  <w:bookmarkStart w:id="380" w:name="_Ekor043z"/>
                  <w:bookmarkEnd w:id="380"/>
                  <w:r>
                    <w:t xml:space="preserve">Kebutuhan respons, pengungsi tercatat kejadian majemuk Sumatra 2025</w:t>
                  </w:r>
                </w:p>
              </w:tc>
              <w:tc>
                <w:tcPr>
                  <w:tcW w:w="1204" w:type="dxa"/>
                </w:tcPr>
                <w:p>
                  <w:pPr>
                    <w:pStyle w:val="IsiTabel"/>
                    <w:keepNext/>
                    <w:suppressAutoHyphens/>
                    <w:jc w:val="right"/>
                  </w:pPr>
                  <w:r>
                    <w:t xml:space="preserve">970.876</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jumlah lintas laporan kab/kota, batas atas; puncak serentak tidak tersedia di DIBI</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Bila cakupan peringatan dini naik dari proyeksi 2025 ke target 2029 Renas PB indikator 1.c, korban banjir musim lantai </w:t>
                  </w:r>
                  <w:r>
                    <w:t xml:space="preserve">1.421 jiwa</w:t>
                  </w:r>
                  <w:r>
                    <w:t xml:space="preserve"> dihitung menjadi </w:t>
                  </w:r>
                  <w:r>
                    <w:t xml:space="preserve">857,4 jiwa</w:t>
                  </w:r>
                  <w:r>
                    <w:t xml:space="preserve"> dan korban banjir bandang </w:t>
                  </w:r>
                  <w:r>
                    <w:t xml:space="preserve">26</w:t>
                  </w:r>
                  <w:r>
                    <w:t xml:space="preserve"> menjadi </w:t>
                  </w:r>
                  <w:r>
                    <w:t xml:space="preserve">15,7</w:t>
                  </w:r>
                  <w:r>
                    <w:t xml:space="preserve">. Koefisien asosiasi lintas negara di balik hitungan itu melebih-lebihkan manfaat untuk banjir bandang yang waktu tunggunya pendek.</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018"/>
              <w:gridCol w:w="2308"/>
              <w:gridCol w:w="2308"/>
              <w:gridCol w:w="2638"/>
              <w:gridCol w:w="1082"/>
            </w:tblGrid>
            <w:tr>
              <w:trPr>
                <w:cantSplit/>
                <w:tblHeader/>
              </w:trPr>
              <w:tc>
                <w:tcPr>
                  <w:tcW w:w="1018" w:type="dxa"/>
                  <w:shd w:val="clear" w:color="auto" w:fill="051C2C"/>
                  <w:vAlign w:val="center"/>
                </w:tcPr>
                <w:p>
                  <w:pPr>
                    <w:pStyle w:val="KepalaTabel"/>
                    <w:keepNext/>
                    <w:suppressAutoHyphens/>
                  </w:pPr>
                  <w:r>
                    <w:t xml:space="preserve">TUAS</w:t>
                  </w:r>
                </w:p>
              </w:tc>
              <w:tc>
                <w:tcPr>
                  <w:tcW w:w="2308" w:type="dxa"/>
                  <w:shd w:val="clear" w:color="auto" w:fill="051C2C"/>
                  <w:vAlign w:val="center"/>
                </w:tcPr>
                <w:p>
                  <w:pPr>
                    <w:pStyle w:val="KepalaTabel"/>
                    <w:keepNext/>
                    <w:suppressAutoHyphens/>
                  </w:pPr>
                  <w:r>
                    <w:t xml:space="preserve">NILAI DASAR</w:t>
                  </w:r>
                </w:p>
              </w:tc>
              <w:tc>
                <w:tcPr>
                  <w:tcW w:w="2308" w:type="dxa"/>
                  <w:shd w:val="clear" w:color="auto" w:fill="051C2C"/>
                  <w:vAlign w:val="center"/>
                </w:tcPr>
                <w:p>
                  <w:pPr>
                    <w:pStyle w:val="KepalaTabel"/>
                    <w:keepNext/>
                    <w:suppressAutoHyphens/>
                  </w:pPr>
                  <w:r>
                    <w:t xml:space="preserve">NILAI DIGESER</w:t>
                  </w:r>
                </w:p>
              </w:tc>
              <w:tc>
                <w:tcPr>
                  <w:tcW w:w="2638" w:type="dxa"/>
                  <w:shd w:val="clear" w:color="auto" w:fill="051C2C"/>
                  <w:vAlign w:val="center"/>
                </w:tcPr>
                <w:p>
                  <w:pPr>
                    <w:pStyle w:val="KepalaTabel"/>
                    <w:keepNext/>
                    <w:suppressAutoHyphens/>
                  </w:pPr>
                  <w:r>
                    <w:t xml:space="preserve">KORBAN JIWA</w:t>
                  </w:r>
                </w:p>
              </w:tc>
              <w:tc>
                <w:tcPr>
                  <w:tcW w:w="1082" w:type="dxa"/>
                  <w:shd w:val="clear" w:color="auto" w:fill="051C2C"/>
                  <w:vAlign w:val="center"/>
                </w:tcPr>
                <w:p>
                  <w:pPr>
                    <w:pStyle w:val="KepalaTabel"/>
                    <w:keepNext/>
                    <w:suppressAutoHyphens/>
                  </w:pPr>
                  <w:r>
                    <w:t xml:space="preserve">KERUGIAN MATERIIL</w:t>
                  </w:r>
                </w:p>
              </w:tc>
            </w:tr>
            <w:tr>
              <w:trPr>
                <w:cantSplit/>
              </w:trPr>
              <w:tc>
                <w:tcPr>
                  <w:tcW w:w="1018" w:type="dxa"/>
                </w:tcPr>
                <w:p>
                  <w:pPr>
                    <w:pStyle w:val="IsiTabel"/>
                    <w:keepNext/>
                    <w:suppressAutoHyphens/>
                    <w:jc w:val="left"/>
                  </w:pPr>
                  <w:bookmarkStart w:id="381" w:name="_Ekor044a"/>
                  <w:bookmarkEnd w:id="381"/>
                  <w:r>
                    <w:t xml:space="preserve">Cakupan peringatan dini Renas 1.c, banjir</w:t>
                  </w:r>
                </w:p>
              </w:tc>
              <w:tc>
                <w:tcPr>
                  <w:tcW w:w="2308" w:type="dxa"/>
                </w:tcPr>
                <w:p>
                  <w:pPr>
                    <w:pStyle w:val="IsiTabel"/>
                    <w:keepNext/>
                    <w:suppressAutoHyphens/>
                    <w:jc w:val="right"/>
                  </w:pPr>
                  <w:r>
                    <w:t xml:space="preserve">11,06%</w:t>
                  </w:r>
                </w:p>
              </w:tc>
              <w:tc>
                <w:tcPr>
                  <w:tcW w:w="2308" w:type="dxa"/>
                </w:tcPr>
                <w:p>
                  <w:pPr>
                    <w:pStyle w:val="IsiTabel"/>
                    <w:keepNext/>
                    <w:suppressAutoHyphens/>
                    <w:jc w:val="right"/>
                  </w:pPr>
                  <w:r>
                    <w:t xml:space="preserve">52%</w:t>
                  </w:r>
                </w:p>
              </w:tc>
              <w:tc>
                <w:tcPr>
                  <w:tcW w:w="2638" w:type="dxa"/>
                </w:tcPr>
                <w:p>
                  <w:pPr>
                    <w:pStyle w:val="IsiTabel"/>
                    <w:keepNext/>
                    <w:suppressAutoHyphens/>
                    <w:jc w:val="right"/>
                  </w:pPr>
                  <w:r>
                    <w:t xml:space="preserve">857,4</w:t>
                  </w:r>
                </w:p>
              </w:tc>
              <w:tc>
                <w:tcPr>
                  <w:tcW w:w="1082" w:type="dxa"/>
                </w:tcPr>
                <w:p>
                  <w:pPr>
                    <w:pStyle w:val="IsiTabel"/>
                    <w:keepNext/>
                    <w:suppressAutoHyphens/>
                    <w:jc w:val="left"/>
                  </w:pPr>
                  <w:r>
                    <w:t xml:space="preserve">tidak berubah: peringatan dini tidak mengurangi rumah rusak</w:t>
                  </w:r>
                </w:p>
              </w:tc>
            </w:tr>
            <w:tr>
              <w:trPr>
                <w:cantSplit/>
              </w:trPr>
              <w:tc>
                <w:tcPr>
                  <w:tcW w:w="1018" w:type="dxa"/>
                </w:tcPr>
                <w:p>
                  <w:pPr>
                    <w:pStyle w:val="IsiTabel"/>
                    <w:keepNext/>
                    <w:suppressAutoHyphens/>
                    <w:jc w:val="left"/>
                  </w:pPr>
                  <w:r>
                    <w:t xml:space="preserve">Rekaman Kota Bekasi 1 Januari 2020, pengungsi musim 2019/2020</w:t>
                  </w:r>
                </w:p>
              </w:tc>
              <w:tc>
                <w:tcPr>
                  <w:tcW w:w="2308" w:type="dxa"/>
                </w:tcPr>
                <w:p>
                  <w:pPr>
                    <w:pStyle w:val="IsiTabel"/>
                    <w:keepNext/>
                    <w:suppressAutoHyphens/>
                    <w:jc w:val="right"/>
                  </w:pPr>
                  <w:r>
                    <w:t xml:space="preserve">573.336</w:t>
                  </w:r>
                </w:p>
              </w:tc>
              <w:tc>
                <w:tcPr>
                  <w:tcW w:w="2308" w:type="dxa"/>
                </w:tcPr>
                <w:p>
                  <w:pPr>
                    <w:pStyle w:val="IsiTabel"/>
                    <w:keepNext/>
                    <w:suppressAutoHyphens/>
                    <w:jc w:val="right"/>
                  </w:pPr>
                  <w:r>
                    <w:t xml:space="preserve">207.062</w:t>
                  </w:r>
                </w:p>
              </w:tc>
              <w:tc>
                <w:tcPr>
                  <w:tcW w:w="2638" w:type="dxa"/>
                </w:tcPr>
                <w:p>
                  <w:pPr>
                    <w:pStyle w:val="IsiTabel"/>
                    <w:keepNext/>
                    <w:suppressAutoHyphens/>
                    <w:jc w:val="right"/>
                  </w:pPr>
                  <w:r>
                    <w:t xml:space="preserve">tidak berubah: musim terberat tetap 2025/2026</w:t>
                  </w:r>
                </w:p>
              </w:tc>
              <w:tc>
                <w:tcPr>
                  <w:tcW w:w="1082" w:type="dxa"/>
                </w:tcPr>
                <w:p>
                  <w:pPr>
                    <w:pStyle w:val="IsiTabel"/>
                    <w:keepNext/>
                    <w:suppressAutoHyphens/>
                    <w:jc w:val="left"/>
                  </w:pPr>
                  <w:r>
                    <w:t xml:space="preserve">tidak berubah</w:t>
                  </w:r>
                </w:p>
              </w:tc>
            </w:tr>
            <w:tr>
              <w:trPr>
                <w:cantSplit/>
              </w:trPr>
              <w:tc>
                <w:tcPr>
                  <w:tcW w:w="1018" w:type="dxa"/>
                </w:tcPr>
                <w:p>
                  <w:pPr>
                    <w:pStyle w:val="IsiTabel"/>
                    <w:keepNext/>
                    <w:suppressAutoHyphens/>
                    <w:jc w:val="left"/>
                  </w:pPr>
                  <w:bookmarkStart w:id="382" w:name="_Ekor044z"/>
                  <w:bookmarkEnd w:id="382"/>
                  <w:r>
                    <w:t xml:space="preserve">Jendela kejadian Sumatra 2025</w:t>
                  </w:r>
                </w:p>
              </w:tc>
              <w:tc>
                <w:tcPr>
                  <w:tcW w:w="2308" w:type="dxa"/>
                </w:tcPr>
                <w:p>
                  <w:pPr>
                    <w:pStyle w:val="IsiTabel"/>
                    <w:keepNext/>
                    <w:suppressAutoHyphens/>
                    <w:jc w:val="right"/>
                  </w:pPr>
                  <w:r>
                    <w:t xml:space="preserve">15 November–31 Desember</w:t>
                  </w:r>
                </w:p>
              </w:tc>
              <w:tc>
                <w:tcPr>
                  <w:tcW w:w="2308" w:type="dxa"/>
                </w:tcPr>
                <w:p>
                  <w:pPr>
                    <w:pStyle w:val="IsiTabel"/>
                    <w:keepNext/>
                    <w:suppressAutoHyphens/>
                    <w:jc w:val="right"/>
                  </w:pPr>
                  <w:r>
                    <w:t xml:space="preserve">22 November–31 Desember</w:t>
                  </w:r>
                </w:p>
              </w:tc>
              <w:tc>
                <w:tcPr>
                  <w:tcW w:w="2638" w:type="dxa"/>
                </w:tcPr>
                <w:p>
                  <w:pPr>
                    <w:pStyle w:val="IsiTabel"/>
                    <w:keepNext/>
                    <w:suppressAutoHyphens/>
                    <w:jc w:val="right"/>
                  </w:pPr>
                  <w:r>
                    <w:t xml:space="preserve">tidak berubah</w:t>
                  </w:r>
                </w:p>
              </w:tc>
              <w:tc>
                <w:tcPr>
                  <w:tcW w:w="1082" w:type="dxa"/>
                </w:tcPr>
                <w:p>
                  <w:pPr>
                    <w:pStyle w:val="IsiTabel"/>
                    <w:keepNext/>
                    <w:suppressAutoHyphens/>
                    <w:jc w:val="left"/>
                  </w:pPr>
                  <w:r>
                    <w:t xml:space="preserve">rumah rusak berat </w:t>
                  </w:r>
                  <w:r>
                    <w:t xml:space="preserve">63.019</w:t>
                  </w:r>
                  <w:r>
                    <w:t xml:space="preserve"> ke </w:t>
                  </w:r>
                  <w:r>
                    <w:t xml:space="preserve">62.956</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Badan Penanggulangan Bencana Daerah (BPBD) provinsi mengkaji ulang rencana kontinjensi banjir dengan prakiraan awal musim per zona musim (</w:t>
                  </w:r>
                  <w:r>
                    <w:fldChar w:fldCharType="begin"/>
                  </w:r>
                  <w:r>
                    <w:instrText xml:space="preserve"> REF _Ref0074 \h \* CHARFORMAT </w:instrText>
                  </w:r>
                  <w:r>
                    <w:fldChar w:fldCharType="separate"/>
                  </w:r>
                  <w:r>
                    <w:t xml:space="preserve">06</w:t>
                  </w:r>
                  <w:r>
                    <w:fldChar w:fldCharType="end"/>
                  </w:r>
                  <w:r>
                    <w:t xml:space="preserve">).</w:t>
                  </w:r>
                </w:p>
                <w:p>
                  <w:pPr>
                    <w:pStyle w:val="DaftarTabel"/>
                    <w:keepNext/>
                    <w:numPr>
                      <w:ilvl w:val="0"/>
                      <w:numId w:val="1"/>
                    </w:numPr>
                    <w:suppressAutoHyphens/>
                  </w:pPr>
                  <w:r>
                    <w:t xml:space="preserve">Rantai peringatan dini banjir diuji di kab/kota daftar perhatian sebelum puncak musim (</w:t>
                  </w:r>
                  <w:r>
                    <w:fldChar w:fldCharType="begin"/>
                  </w:r>
                  <w:r>
                    <w:instrText xml:space="preserve"> REF _Ref0078 \h \* CHARFORMAT </w:instrText>
                  </w:r>
                  <w:r>
                    <w:fldChar w:fldCharType="separate"/>
                  </w:r>
                  <w:r>
                    <w:t xml:space="preserve">12</w:t>
                  </w:r>
                  <w:r>
                    <w:fldChar w:fldCharType="end"/>
                  </w:r>
                  <w:r>
                    <w:t xml:space="preserve">).</w:t>
                  </w:r>
                </w:p>
                <w:p>
                  <w:pPr>
                    <w:pStyle w:val="DaftarTabel"/>
                    <w:keepNext/>
                    <w:numPr>
                      <w:ilvl w:val="0"/>
                      <w:numId w:val="1"/>
                    </w:numPr>
                    <w:suppressAutoHyphens/>
                  </w:pPr>
                  <w:r>
                    <w:t xml:space="preserve">Pengungsi dicatat dengan tanggal rekap per kejadian supaya puncak serentak dapat dihitung.</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Data kerusakan dan kerugian R3P Sumatra 2025 ditarik untuk mengisi kerugian kejadian terberat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Rumah rusak dicatat per jenis supaya stimulan rumah banjir bandang dapat dihitung.</w:t>
                  </w:r>
                </w:p>
                <w:p>
                  <w:pPr>
                    <w:pStyle w:val="DaftarTabel"/>
                    <w:keepNext/>
                    <w:numPr>
                      <w:ilvl w:val="0"/>
                      <w:numId w:val="1"/>
                    </w:numPr>
                    <w:suppressAutoHyphens/>
                  </w:pPr>
                  <w:r>
                    <w:t xml:space="preserve">Lantai banjir dimutakhirkan dari DIBI tiap akhir musim (</w:t>
                  </w:r>
                  <w:r>
                    <w:fldChar w:fldCharType="begin"/>
                  </w:r>
                  <w:r>
                    <w:instrText xml:space="preserve"> REF _Ref0105 \h \* CHARFORMAT </w:instrText>
                  </w:r>
                  <w:r>
                    <w:fldChar w:fldCharType="separate"/>
                  </w:r>
                  <w:r>
                    <w:t xml:space="preserve">30</w:t>
                  </w:r>
                  <w:r>
                    <w:fldChar w:fldCharType="end"/>
                  </w:r>
                  <w:r>
                    <w:t xml:space="preserve">).</w:t>
                  </w:r>
                </w:p>
              </w:tc>
            </w:tr>
          </w:tbl>
          <w:p>
            <w:pPr>
              <w:pStyle w:val="IsiTabel"/>
              <w:keepNext/>
              <w:spacing w:before="80"/>
            </w:pPr>
            <w:r>
              <w:rPr>
                <w:i/>
                <w:iCs/>
                <w:color w:val="2E3440"/>
                <w:sz w:val="17"/>
                <w:szCs w:val="17"/>
              </w:rPr>
              <w:t xml:space="preserve">Angka tercatat DIBI; pita model rasio belum diuji balik dan hanya pembanding; lantai per jenis final menunggu turunan paket data.</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83" w:name="_Kartu007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2025c)</w:t>
      </w:r>
      <w:r>
        <w:rPr>
          <w:color w:val="6B7280"/>
          <w:sz w:val="17"/>
          <w:szCs w:val="17"/>
        </w:rPr>
        <w:t xml:space="preserve">; DaLA Bappenas </w:t>
      </w:r>
      <w:r>
        <w:rPr>
          <w:color w:val="6B7280"/>
          <w:sz w:val="17"/>
          <w:szCs w:val="17"/>
        </w:rPr>
        <w:t xml:space="preserve">(Bappenas, 2007)</w:t>
      </w:r>
      <w:r>
        <w:rPr>
          <w:color w:val="6B7280"/>
          <w:sz w:val="17"/>
          <w:szCs w:val="17"/>
        </w:rPr>
        <w:t xml:space="preserve">; data per </w:t>
      </w:r>
      <w:r>
        <w:rPr>
          <w:color w:val="6B7280"/>
          <w:sz w:val="17"/>
          <w:szCs w:val="17"/>
        </w:rPr>
        <w:t xml:space="preserve">23 Okt 2026</w:t>
      </w:r>
      <w:bookmarkEnd w:id="383"/>
    </w:p>
    <w:p>
      <w:pPr>
        <w:pStyle w:val="Heading2"/>
      </w:pPr>
      <w:bookmarkStart w:id="385" w:name="_Toc00132"/>
      <w:bookmarkStart w:id="384" w:name="_Ref0144"/>
      <w:r>
        <w:t xml:space="preserve">7.2</w:t>
      </w:r>
      <w:bookmarkEnd w:id="384"/>
      <w:r>
        <w:tab/>
      </w:r>
      <w:r>
        <w:t xml:space="preserve">Tanah Longsor</w:t>
      </w:r>
      <w:bookmarkEnd w:id="385"/>
    </w:p>
    <w:p>
      <w:pPr>
        <w:pStyle w:val="IsiTemuan"/>
      </w:pPr>
      <w:r>
        <w:rPr>
          <w:b/>
          <w:bCs/>
          <w:color w:val="051C2C"/>
        </w:rPr>
        <w:t xml:space="preserve">Tanah longsor menyumbang </w:t>
      </w:r>
      <w:r>
        <w:rPr>
          <w:b/>
          <w:bCs/>
          <w:color w:val="051C2C"/>
        </w:rPr>
        <w:t xml:space="preserve">202</w:t>
      </w:r>
      <w:r>
        <w:rPr>
          <w:b/>
          <w:bCs/>
          <w:color w:val="051C2C"/>
        </w:rPr>
        <w:t xml:space="preserve"> dari </w:t>
      </w:r>
      <w:r>
        <w:rPr>
          <w:b/>
          <w:bCs/>
          <w:color w:val="051C2C"/>
        </w:rPr>
        <w:t xml:space="preserve">1.692</w:t>
      </w:r>
      <w:r>
        <w:rPr>
          <w:b/>
          <w:bCs/>
          <w:color w:val="051C2C"/>
        </w:rPr>
        <w:t xml:space="preserve"> meninggal dan hilang pada musim hujan 2025/2026.</w:t>
      </w:r>
      <w:r>
        <w:t xml:space="preserve"> Pada musim La Niña 2020/2021 korban longsor tercatat </w:t>
      </w:r>
      <w:r>
        <w:t xml:space="preserve">153</w:t>
      </w:r>
      <w:r>
        <w:t xml:space="preserve">, sedangkan model rasio memberi </w:t>
      </w:r>
      <w:r>
        <w:t xml:space="preserve">250–550</w:t>
      </w:r>
      <w:r>
        <w:t xml:space="preserve"> untuk musim yang sama </w:t>
      </w:r>
      <w:r>
        <w:t xml:space="preserve">(BNPB, t.t.-a)</w:t>
      </w:r>
      <w:r>
        <w:t xml:space="preserve">. Batas rendah model sudah di atas angka tercatat, sehingga pita longsor tidak dipakai sebagai angka kartu. KRB 2022–2026 mencatat </w:t>
      </w:r>
      <w:r>
        <w:t xml:space="preserve">25.252.687</w:t>
      </w:r>
      <w:r>
        <w:t xml:space="preserve"> jiwa terpapar bahaya tanah longsor </w:t>
      </w:r>
      <w:r>
        <w:t xml:space="preserve">(BNPB, 2025c)</w:t>
      </w:r>
      <w:r>
        <w:t xml:space="preserve">.</w:t>
      </w:r>
    </w:p>
    <w:p>
      <w:pPr>
        <w:pStyle w:val="IsiTemuan"/>
      </w:pPr>
      <w:r>
        <w:rPr>
          <w:b/>
          <w:bCs/>
          <w:color w:val="051C2C"/>
        </w:rPr>
        <w:t xml:space="preserve">Seri tanah longsor DIBI patah pada 2024: jenis itu hanya tercatat </w:t>
      </w:r>
      <w:r>
        <w:rPr>
          <w:b/>
          <w:bCs/>
          <w:color w:val="051C2C"/>
        </w:rPr>
        <w:t xml:space="preserve">207</w:t>
      </w:r>
      <w:r>
        <w:rPr>
          <w:b/>
          <w:bCs/>
          <w:color w:val="051C2C"/>
        </w:rPr>
        <w:t xml:space="preserve"> kejadian pada cakupan kejadian bencana, tetapi dengan </w:t>
      </w:r>
      <w:r>
        <w:rPr>
          <w:b/>
          <w:bCs/>
          <w:color w:val="051C2C"/>
        </w:rPr>
        <w:t xml:space="preserve">213</w:t>
      </w:r>
      <w:r>
        <w:rPr>
          <w:b/>
          <w:bCs/>
          <w:color w:val="051C2C"/>
        </w:rPr>
        <w:t xml:space="preserve"> meninggal.</w:t>
      </w:r>
      <w:r>
        <w:t xml:space="preserve"> Cakupan semua laporan mencatat </w:t>
      </w:r>
      <w:r>
        <w:t xml:space="preserve">219</w:t>
      </w:r>
      <w:r>
        <w:t xml:space="preserve"> kejadian untuk tahun yang sama, dan empat kategori hidrometeorologi yang muncul sejak 2018 juga kosong pada 2024 </w:t>
      </w:r>
      <w:r>
        <w:t xml:space="preserve">(BNPB, t.t.-a)</w:t>
      </w:r>
      <w:r>
        <w:t xml:space="preserve">. Oleh sebab itu, tahun 2024 tidak dipakai untuk analog atau rasio longsor. Peringatan dini tidak dihitung untuk longsor, sebab waktu tunggunya pendek (</w:t>
      </w:r>
      <w:r>
        <w:t xml:space="preserve">Subbab </w:t>
      </w:r>
      <w:r>
        <w:fldChar w:fldCharType="begin"/>
      </w:r>
      <w:r>
        <w:instrText xml:space="preserve"> REF _Ref0146 \h \* CHARFORMAT </w:instrText>
      </w:r>
      <w:r>
        <w:fldChar w:fldCharType="separate"/>
      </w:r>
      <w:r>
        <w:t xml:space="preserve">7.9</w:t>
      </w:r>
      <w:r>
        <w:fldChar w:fldCharType="end"/>
      </w:r>
      <w:r>
        <w:t xml:space="preserve">).</w:t>
      </w:r>
    </w:p>
    <w:p>
      <w:pPr>
        <w:pStyle w:val="Caption"/>
        <w:pageBreakBefore/>
      </w:pPr>
      <w:bookmarkStart w:id="387" w:name="_Toc00133"/>
      <w:bookmarkStart w:id="386" w:name="_Ref027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386"/>
      <w:r>
        <w:rPr>
          <w:b/>
          <w:bCs/>
          <w:color w:val="051C2C"/>
        </w:rPr>
        <w:t xml:space="preserve"> </w:t>
      </w:r>
      <w:r>
        <w:t xml:space="preserve">Tanah longsor nasional setara musim hujan 2025/2026 dan kejadian majemuk Sumatra 2025</w:t>
      </w:r>
      <w:bookmarkEnd w:id="387"/>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keepNext/>
                    <w:spacing w:after="0"/>
                  </w:pPr>
                  <w:bookmarkStart w:id="389" w:name="_Kartu008a"/>
                  <w:bookmarkStart w:id="388" w:name="_Obj0037"/>
                  <w:r>
                    <w:rPr>
                      <w:position w:val="-10"/>
                    </w:rPr>
                    <w:drawing>
                      <wp:inline distT="0" distB="0" distL="0" distR="0">
                        <wp:extent cx="216000" cy="216000"/>
                        <wp:effectExtent l="0" t="0" r="0" b="0"/>
                        <wp:docPr id="91" name="Gambar 91"/>
                        <wp:cNvGraphicFramePr>
                          <a:graphicFrameLocks noChangeAspect="1"/>
                        </wp:cNvGraphicFramePr>
                        <a:graphic>
                          <a:graphicData uri="http://schemas.openxmlformats.org/drawingml/2006/picture">
                            <pic:pic>
                              <pic:nvPicPr>
                                <pic:cNvPr id="91" name="longsor-khusus-longsor-FFFFFF-2F86D1.png"/>
                                <pic:cNvPicPr/>
                              </pic:nvPicPr>
                              <pic:blipFill>
                                <a:blip r:embed="rId60"/>
                                <a:stretch>
                                  <a:fillRect/>
                                </a:stretch>
                              </pic:blipFill>
                              <pic:spPr>
                                <a:xfrm>
                                  <a:off x="0" y="0"/>
                                  <a:ext cx="216000" cy="216000"/>
                                </a:xfrm>
                                <a:prstGeom prst="rect">
                                  <a:avLst/>
                                </a:prstGeom>
                              </pic:spPr>
                            </pic:pic>
                          </a:graphicData>
                        </a:graphic>
                      </wp:inline>
                    </w:drawing>
                  </w:r>
                  <w:r>
                    <w:t xml:space="preserve"> </w:t>
                  </w:r>
                  <w:r>
                    <w:rPr>
                      <w:b/>
                      <w:bCs/>
                    </w:rPr>
                    <w:t xml:space="preserve">Tanah longsor</w:t>
                  </w:r>
                  <w:r>
                    <w:rPr>
                      <w:color w:val="2E3440"/>
                    </w:rPr>
                    <w:t xml:space="preserve">  Hidrometeorologi basah</w:t>
                  </w:r>
                  <w:bookmarkEnd w:id="388"/>
                  <w:bookmarkEnd w:id="389"/>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per jenis; lantai kejadian tunggal dan tahun tercatat terburuk menunggu turunan lantai per jenis paket skenario hidrometeorologi; kartu memakai korban longsor musim tercatat terburuk dan kejadian majemuk Sumatra 2025 dari DIBI, dengan musim La Niña 2020/2021 sebagai pembanding.</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tidak ada dasar peluang per jenis; patahan kategori 2018 dan 2024 memotong seri</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92" name="Gambar 92"/>
                              <wp:cNvGraphicFramePr>
                                <a:graphicFrameLocks noChangeAspect="1"/>
                              </wp:cNvGraphicFramePr>
                              <a:graphic>
                                <a:graphicData uri="http://schemas.openxmlformats.org/drawingml/2006/picture">
                                  <pic:pic>
                                    <pic:nvPicPr>
                                      <pic:cNvPr id="9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93" name="Gambar 93"/>
                              <wp:cNvGraphicFramePr>
                                <a:graphicFrameLocks noChangeAspect="1"/>
                              </wp:cNvGraphicFramePr>
                              <a:graphic>
                                <a:graphicData uri="http://schemas.openxmlformats.org/drawingml/2006/picture">
                                  <pic:pic>
                                    <pic:nvPicPr>
                                      <pic:cNvPr id="9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Energi dan Sumber Daya Mineral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94" name="Gambar 94"/>
                              <wp:cNvGraphicFramePr>
                                <a:graphicFrameLocks noChangeAspect="1"/>
                              </wp:cNvGraphicFramePr>
                              <a:graphic>
                                <a:graphicData uri="http://schemas.openxmlformats.org/drawingml/2006/picture">
                                  <pic:pic>
                                    <pic:nvPicPr>
                                      <pic:cNvPr id="9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95" name="Gambar 95"/>
                              <wp:cNvGraphicFramePr>
                                <a:graphicFrameLocks noChangeAspect="1"/>
                              </wp:cNvGraphicFramePr>
                              <a:graphic>
                                <a:graphicData uri="http://schemas.openxmlformats.org/drawingml/2006/picture">
                                  <pic:pic>
                                    <pic:nvPicPr>
                                      <pic:cNvPr id="9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129176"/>
                        <wp:effectExtent l="0" t="0" r="0" b="0"/>
                        <wp:docPr id="96" name="Gambar 96"/>
                        <wp:cNvGraphicFramePr>
                          <a:graphicFrameLocks noChangeAspect="1"/>
                        </wp:cNvGraphicFramePr>
                        <a:graphic>
                          <a:graphicData uri="http://schemas.openxmlformats.org/drawingml/2006/picture">
                            <pic:pic>
                              <pic:nvPicPr>
                                <pic:cNvPr id="96" name="bab07-kartu-longsor.png"/>
                                <pic:cNvPicPr/>
                              </pic:nvPicPr>
                              <pic:blipFill>
                                <a:blip r:embed="rId61"/>
                                <a:stretch>
                                  <a:fillRect/>
                                </a:stretch>
                              </pic:blipFill>
                              <pic:spPr>
                                <a:xfrm>
                                  <a:off x="0" y="0"/>
                                  <a:ext cx="1882800" cy="2129176"/>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919"/>
              <w:gridCol w:w="1103"/>
              <w:gridCol w:w="852"/>
              <w:gridCol w:w="1267"/>
              <w:gridCol w:w="4213"/>
            </w:tblGrid>
            <w:tr>
              <w:trPr>
                <w:cantSplit/>
                <w:tblHeader/>
              </w:trPr>
              <w:tc>
                <w:tcPr>
                  <w:tcW w:w="1919" w:type="dxa"/>
                  <w:shd w:val="clear" w:color="auto" w:fill="051C2C"/>
                  <w:vAlign w:val="center"/>
                </w:tcPr>
                <w:p>
                  <w:pPr>
                    <w:pStyle w:val="KepalaTabel"/>
                    <w:keepNext/>
                    <w:suppressAutoHyphens/>
                  </w:pPr>
                  <w:r>
                    <w:t xml:space="preserve">BESARAN</w:t>
                  </w:r>
                </w:p>
              </w:tc>
              <w:tc>
                <w:tcPr>
                  <w:tcW w:w="1103"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267" w:type="dxa"/>
                  <w:shd w:val="clear" w:color="auto" w:fill="051C2C"/>
                  <w:vAlign w:val="center"/>
                </w:tcPr>
                <w:p>
                  <w:pPr>
                    <w:pStyle w:val="KepalaTabel"/>
                    <w:keepNext/>
                    <w:suppressAutoHyphens/>
                  </w:pPr>
                  <w:r>
                    <w:t xml:space="preserve">KEYAKINAN</w:t>
                  </w:r>
                </w:p>
              </w:tc>
              <w:tc>
                <w:tcPr>
                  <w:tcW w:w="4213" w:type="dxa"/>
                  <w:shd w:val="clear" w:color="auto" w:fill="051C2C"/>
                  <w:vAlign w:val="center"/>
                </w:tcPr>
                <w:p>
                  <w:pPr>
                    <w:pStyle w:val="KepalaTabel"/>
                    <w:keepNext/>
                    <w:suppressAutoHyphens/>
                  </w:pPr>
                  <w:r>
                    <w:t xml:space="preserve">SUMBER</w:t>
                  </w:r>
                </w:p>
              </w:tc>
            </w:tr>
            <w:tr>
              <w:trPr>
                <w:cantSplit/>
              </w:trPr>
              <w:tc>
                <w:tcPr>
                  <w:tcW w:w="1919" w:type="dxa"/>
                </w:tcPr>
                <w:p>
                  <w:pPr>
                    <w:pStyle w:val="IsiTabel"/>
                    <w:keepNext/>
                    <w:suppressAutoHyphens/>
                    <w:jc w:val="left"/>
                  </w:pPr>
                  <w:r>
                    <w:t xml:space="preserve">Kependudukan, korban jiwa tanah longsor musim 2025/2026</w:t>
                  </w:r>
                </w:p>
              </w:tc>
              <w:tc>
                <w:tcPr>
                  <w:tcW w:w="1103" w:type="dxa"/>
                </w:tcPr>
                <w:p>
                  <w:pPr>
                    <w:pStyle w:val="IsiTabel"/>
                    <w:keepNext/>
                    <w:suppressAutoHyphens/>
                    <w:jc w:val="right"/>
                  </w:pPr>
                  <w:r>
                    <w:t xml:space="preserve">202</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213" w:type="dxa"/>
                </w:tcPr>
                <w:p>
                  <w:pPr>
                    <w:pStyle w:val="IsiTabel"/>
                    <w:keepNext/>
                    <w:suppressAutoHyphens/>
                    <w:jc w:val="left"/>
                  </w:pPr>
                  <w:r>
                    <w:t xml:space="preserve">DIBI BNPB, meninggal dan hilang</w:t>
                  </w:r>
                </w:p>
              </w:tc>
            </w:tr>
            <w:tr>
              <w:trPr>
                <w:cantSplit/>
              </w:trPr>
              <w:tc>
                <w:tcPr>
                  <w:tcW w:w="1919" w:type="dxa"/>
                </w:tcPr>
                <w:p>
                  <w:pPr>
                    <w:pStyle w:val="IsiTabel"/>
                    <w:keepNext/>
                    <w:suppressAutoHyphens/>
                    <w:jc w:val="left"/>
                  </w:pPr>
                  <w:r>
                    <w:t xml:space="preserve">Kependudukan, korban jiwa kejadian majemuk Sumatra 2025</w:t>
                  </w:r>
                </w:p>
              </w:tc>
              <w:tc>
                <w:tcPr>
                  <w:tcW w:w="1103" w:type="dxa"/>
                </w:tcPr>
                <w:p>
                  <w:pPr>
                    <w:pStyle w:val="IsiTabel"/>
                    <w:keepNext/>
                    <w:suppressAutoHyphens/>
                    <w:jc w:val="right"/>
                  </w:pPr>
                  <w:r>
                    <w:t xml:space="preserve">1.342</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213" w:type="dxa"/>
                </w:tcPr>
                <w:p>
                  <w:pPr>
                    <w:pStyle w:val="IsiTabel"/>
                    <w:keepNext/>
                    <w:suppressAutoHyphens/>
                    <w:jc w:val="left"/>
                  </w:pPr>
                  <w:r>
                    <w:t xml:space="preserve">DIBI BNPB; banjir dan longsor tidak dipisah</w:t>
                  </w:r>
                </w:p>
              </w:tc>
            </w:tr>
            <w:tr>
              <w:trPr>
                <w:cantSplit/>
              </w:trPr>
              <w:tc>
                <w:tcPr>
                  <w:tcW w:w="1919" w:type="dxa"/>
                </w:tcPr>
                <w:p>
                  <w:pPr>
                    <w:pStyle w:val="IsiTabel"/>
                    <w:keepNext/>
                    <w:suppressAutoHyphens/>
                    <w:jc w:val="left"/>
                  </w:pPr>
                  <w:r>
                    <w:t xml:space="preserve">Kependudukan, korban jiwa tanah longsor musim La Niña 2020/2021</w:t>
                  </w:r>
                </w:p>
              </w:tc>
              <w:tc>
                <w:tcPr>
                  <w:tcW w:w="1103" w:type="dxa"/>
                </w:tcPr>
                <w:p>
                  <w:pPr>
                    <w:pStyle w:val="IsiTabel"/>
                    <w:keepNext/>
                    <w:suppressAutoHyphens/>
                    <w:jc w:val="right"/>
                  </w:pPr>
                  <w:r>
                    <w:t xml:space="preserve">153</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213" w:type="dxa"/>
                </w:tcPr>
                <w:p>
                  <w:pPr>
                    <w:pStyle w:val="IsiTabel"/>
                    <w:keepNext/>
                    <w:suppressAutoHyphens/>
                    <w:jc w:val="left"/>
                  </w:pPr>
                  <w:r>
                    <w:t xml:space="preserve">DIBI BNPB, pembanding</w:t>
                  </w:r>
                </w:p>
              </w:tc>
            </w:tr>
            <w:tr>
              <w:trPr>
                <w:cantSplit/>
              </w:trPr>
              <w:tc>
                <w:tcPr>
                  <w:tcW w:w="1919" w:type="dxa"/>
                </w:tcPr>
                <w:p>
                  <w:pPr>
                    <w:pStyle w:val="IsiTabel"/>
                    <w:keepNext/>
                    <w:suppressAutoHyphens/>
                    <w:jc w:val="left"/>
                  </w:pPr>
                  <w:r>
                    <w:t xml:space="preserve">Kependudukan, lantai kejadian tunggal dan tahun tercatat terburuk</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menunggu turunan lantai per jenis paket skenario hidrometeorologi</w:t>
                  </w:r>
                </w:p>
              </w:tc>
            </w:tr>
            <w:tr>
              <w:trPr>
                <w:cantSplit/>
              </w:trPr>
              <w:tc>
                <w:tcPr>
                  <w:tcW w:w="1919" w:type="dxa"/>
                </w:tcPr>
                <w:p>
                  <w:pPr>
                    <w:pStyle w:val="IsiTabel"/>
                    <w:keepNext/>
                    <w:suppressAutoHyphens/>
                    <w:jc w:val="left"/>
                  </w:pPr>
                  <w:r>
                    <w:t xml:space="preserve">Kependudukan, penduduk terpapar KRB tanah longsor</w:t>
                  </w:r>
                </w:p>
              </w:tc>
              <w:tc>
                <w:tcPr>
                  <w:tcW w:w="1103" w:type="dxa"/>
                </w:tcPr>
                <w:p>
                  <w:pPr>
                    <w:pStyle w:val="IsiTabel"/>
                    <w:keepNext/>
                    <w:suppressAutoHyphens/>
                    <w:jc w:val="right"/>
                  </w:pPr>
                  <w:r>
                    <w:t xml:space="preserve">25.252.687</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213" w:type="dxa"/>
                </w:tcPr>
                <w:p>
                  <w:pPr>
                    <w:pStyle w:val="IsiTabel"/>
                    <w:keepNext/>
                    <w:suppressAutoHyphens/>
                    <w:jc w:val="left"/>
                  </w:pPr>
                  <w:r>
                    <w:t xml:space="preserve">Renas PB; batas atas paparan</w:t>
                  </w:r>
                </w:p>
              </w:tc>
            </w:tr>
            <w:tr>
              <w:trPr>
                <w:cantSplit/>
              </w:trPr>
              <w:tc>
                <w:tcPr>
                  <w:tcW w:w="1919" w:type="dxa"/>
                </w:tcPr>
                <w:p>
                  <w:pPr>
                    <w:pStyle w:val="IsiTabel"/>
                    <w:keepNext/>
                    <w:suppressAutoHyphens/>
                    <w:jc w:val="left"/>
                  </w:pPr>
                  <w:r>
                    <w:t xml:space="preserve">Lingkungan, luas terdampak</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luas longsoran per kejadian tidak dicatat DIBI</w:t>
                  </w:r>
                </w:p>
              </w:tc>
            </w:tr>
            <w:tr>
              <w:trPr>
                <w:cantSplit/>
              </w:trPr>
              <w:tc>
                <w:tcPr>
                  <w:tcW w:w="1919" w:type="dxa"/>
                </w:tcPr>
                <w:p>
                  <w:pPr>
                    <w:pStyle w:val="IsiTabel"/>
                    <w:keepNext/>
                    <w:suppressAutoHyphens/>
                    <w:jc w:val="left"/>
                  </w:pPr>
                  <w:bookmarkStart w:id="390" w:name="_Ekor045a"/>
                  <w:bookmarkEnd w:id="390"/>
                  <w:r>
                    <w:t xml:space="preserve">Ekonomi, stimulan rumah tanah longsor</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rumah rusak per jenis tidak ada di paket data</w:t>
                  </w:r>
                </w:p>
              </w:tc>
            </w:tr>
            <w:tr>
              <w:trPr>
                <w:cantSplit/>
              </w:trPr>
              <w:tc>
                <w:tcPr>
                  <w:tcW w:w="1919" w:type="dxa"/>
                </w:tcPr>
                <w:p>
                  <w:pPr>
                    <w:pStyle w:val="IsiTabel"/>
                    <w:keepNext/>
                    <w:suppressAutoHyphens/>
                    <w:jc w:val="left"/>
                  </w:pPr>
                  <w:r>
                    <w:t xml:space="preserve">Infrastruktur/fisik, rumah rusak</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rumah rusak per jenis tidak ada di paket data</w:t>
                  </w:r>
                </w:p>
              </w:tc>
            </w:tr>
            <w:tr>
              <w:trPr>
                <w:cantSplit/>
              </w:trPr>
              <w:tc>
                <w:tcPr>
                  <w:tcW w:w="1919" w:type="dxa"/>
                </w:tcPr>
                <w:p>
                  <w:pPr>
                    <w:pStyle w:val="IsiTabel"/>
                    <w:keepNext/>
                    <w:suppressAutoHyphens/>
                    <w:jc w:val="left"/>
                  </w:pPr>
                  <w:r>
                    <w:t xml:space="preserve">Layanan sipil, fasilitas rusak</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fasilitas rusak per jenis tidak dimuat paket data</w:t>
                  </w:r>
                </w:p>
              </w:tc>
            </w:tr>
            <w:tr>
              <w:trPr>
                <w:cantSplit/>
              </w:trPr>
              <w:tc>
                <w:tcPr>
                  <w:tcW w:w="1919" w:type="dxa"/>
                </w:tcPr>
                <w:p>
                  <w:pPr>
                    <w:pStyle w:val="IsiTabel"/>
                    <w:keepNext/>
                    <w:suppressAutoHyphens/>
                    <w:jc w:val="left"/>
                  </w:pPr>
                  <w:bookmarkStart w:id="391" w:name="_Ekor045z"/>
                  <w:bookmarkEnd w:id="391"/>
                  <w:r>
                    <w:t xml:space="preserve">Kebutuhan respons, pengungsi</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pengungsi per jenis tidak dipisah; jumlah semusim di kartu musim hujan tercatat terburuk</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Kartu longsor tidak memuat tuas peringatan dini: waktu tunggu longsor pendek, dan koefisien asosiasi lintas negara yang dipakai untuk banjir akan melebih-lebihkan manfaatnya. Kebutuhan stimulan rumah longsor baru dapat dihitung setelah rumah rusak per jenis tercatat.</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125"/>
              <w:gridCol w:w="832"/>
              <w:gridCol w:w="992"/>
              <w:gridCol w:w="3113"/>
              <w:gridCol w:w="1292"/>
            </w:tblGrid>
            <w:tr>
              <w:trPr>
                <w:cantSplit/>
                <w:tblHeader/>
              </w:trPr>
              <w:tc>
                <w:tcPr>
                  <w:tcW w:w="3125" w:type="dxa"/>
                  <w:shd w:val="clear" w:color="auto" w:fill="051C2C"/>
                  <w:vAlign w:val="center"/>
                </w:tcPr>
                <w:p>
                  <w:pPr>
                    <w:pStyle w:val="KepalaTabel"/>
                    <w:keepNext/>
                    <w:suppressAutoHyphens/>
                  </w:pPr>
                  <w:r>
                    <w:t xml:space="preserve">TUAS</w:t>
                  </w:r>
                </w:p>
              </w:tc>
              <w:tc>
                <w:tcPr>
                  <w:tcW w:w="832"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3113" w:type="dxa"/>
                  <w:shd w:val="clear" w:color="auto" w:fill="051C2C"/>
                  <w:vAlign w:val="center"/>
                </w:tcPr>
                <w:p>
                  <w:pPr>
                    <w:pStyle w:val="KepalaTabel"/>
                    <w:keepNext/>
                    <w:suppressAutoHyphens/>
                  </w:pPr>
                  <w:r>
                    <w:t xml:space="preserve">KORBAN JIWA</w:t>
                  </w:r>
                </w:p>
              </w:tc>
              <w:tc>
                <w:tcPr>
                  <w:tcW w:w="1292" w:type="dxa"/>
                  <w:shd w:val="clear" w:color="auto" w:fill="051C2C"/>
                  <w:vAlign w:val="center"/>
                </w:tcPr>
                <w:p>
                  <w:pPr>
                    <w:pStyle w:val="KepalaTabel"/>
                    <w:keepNext/>
                    <w:suppressAutoHyphens/>
                  </w:pPr>
                  <w:r>
                    <w:t xml:space="preserve">KERUGIAN MATERIIL</w:t>
                  </w:r>
                </w:p>
              </w:tc>
            </w:tr>
            <w:tr>
              <w:trPr>
                <w:cantSplit/>
              </w:trPr>
              <w:tc>
                <w:tcPr>
                  <w:tcW w:w="3125" w:type="dxa"/>
                </w:tcPr>
                <w:p>
                  <w:pPr>
                    <w:pStyle w:val="IsiTabel"/>
                    <w:keepNext/>
                    <w:suppressAutoHyphens/>
                    <w:jc w:val="left"/>
                  </w:pPr>
                  <w:bookmarkStart w:id="392" w:name="_Ekor046a"/>
                  <w:bookmarkEnd w:id="392"/>
                  <w:r>
                    <w:t xml:space="preserve">Cakupan data kejadian longsor 2024</w:t>
                  </w:r>
                </w:p>
              </w:tc>
              <w:tc>
                <w:tcPr>
                  <w:tcW w:w="832" w:type="dxa"/>
                </w:tcPr>
                <w:p>
                  <w:pPr>
                    <w:pStyle w:val="IsiTabel"/>
                    <w:keepNext/>
                    <w:suppressAutoHyphens/>
                    <w:jc w:val="right"/>
                  </w:pPr>
                  <w:r>
                    <w:t xml:space="preserve">207</w:t>
                  </w:r>
                </w:p>
              </w:tc>
              <w:tc>
                <w:tcPr>
                  <w:tcW w:w="992" w:type="dxa"/>
                </w:tcPr>
                <w:p>
                  <w:pPr>
                    <w:pStyle w:val="IsiTabel"/>
                    <w:keepNext/>
                    <w:suppressAutoHyphens/>
                    <w:jc w:val="right"/>
                  </w:pPr>
                  <w:r>
                    <w:t xml:space="preserve">219</w:t>
                  </w:r>
                </w:p>
              </w:tc>
              <w:tc>
                <w:tcPr>
                  <w:tcW w:w="3113" w:type="dxa"/>
                </w:tcPr>
                <w:p>
                  <w:pPr>
                    <w:pStyle w:val="IsiTabel"/>
                    <w:keepNext/>
                    <w:suppressAutoHyphens/>
                    <w:jc w:val="right"/>
                  </w:pPr>
                  <w:r>
                    <w:t xml:space="preserve">213</w:t>
                  </w:r>
                  <w:r>
                    <w:t xml:space="preserve"> pada kedua cakupan</w:t>
                  </w:r>
                </w:p>
              </w:tc>
              <w:tc>
                <w:tcPr>
                  <w:tcW w:w="1292" w:type="dxa"/>
                </w:tcPr>
                <w:p>
                  <w:pPr>
                    <w:pStyle w:val="IsiTabel"/>
                    <w:keepNext/>
                    <w:suppressAutoHyphens/>
                    <w:jc w:val="left"/>
                  </w:pPr>
                  <w:r>
                    <w:t xml:space="preserve">tidak dihitung</w:t>
                  </w:r>
                </w:p>
              </w:tc>
            </w:tr>
            <w:tr>
              <w:trPr>
                <w:cantSplit/>
              </w:trPr>
              <w:tc>
                <w:tcPr>
                  <w:tcW w:w="3125" w:type="dxa"/>
                </w:tcPr>
                <w:p>
                  <w:pPr>
                    <w:pStyle w:val="IsiTabel"/>
                    <w:keepNext/>
                    <w:suppressAutoHyphens/>
                    <w:jc w:val="left"/>
                  </w:pPr>
                  <w:r>
                    <w:t xml:space="preserve">Musim acuan, terberat lawan La Niña 2020/2021</w:t>
                  </w:r>
                </w:p>
              </w:tc>
              <w:tc>
                <w:tcPr>
                  <w:tcW w:w="832" w:type="dxa"/>
                </w:tcPr>
                <w:p>
                  <w:pPr>
                    <w:pStyle w:val="IsiTabel"/>
                    <w:keepNext/>
                    <w:suppressAutoHyphens/>
                    <w:jc w:val="right"/>
                  </w:pPr>
                  <w:r>
                    <w:t xml:space="preserve">202</w:t>
                  </w:r>
                </w:p>
              </w:tc>
              <w:tc>
                <w:tcPr>
                  <w:tcW w:w="992" w:type="dxa"/>
                </w:tcPr>
                <w:p>
                  <w:pPr>
                    <w:pStyle w:val="IsiTabel"/>
                    <w:keepNext/>
                    <w:suppressAutoHyphens/>
                    <w:jc w:val="right"/>
                  </w:pPr>
                  <w:r>
                    <w:t xml:space="preserve">153</w:t>
                  </w:r>
                </w:p>
              </w:tc>
              <w:tc>
                <w:tcPr>
                  <w:tcW w:w="3113" w:type="dxa"/>
                </w:tcPr>
                <w:p>
                  <w:pPr>
                    <w:pStyle w:val="IsiTabel"/>
                    <w:keepNext/>
                    <w:suppressAutoHyphens/>
                    <w:jc w:val="right"/>
                  </w:pPr>
                  <w:r>
                    <w:t xml:space="preserve">angka kartu tetap musim 2025/2026; lantai per jenis menunggu turunan</w:t>
                  </w:r>
                </w:p>
              </w:tc>
              <w:tc>
                <w:tcPr>
                  <w:tcW w:w="1292" w:type="dxa"/>
                </w:tcPr>
                <w:p>
                  <w:pPr>
                    <w:pStyle w:val="IsiTabel"/>
                    <w:keepNext/>
                    <w:suppressAutoHyphens/>
                    <w:jc w:val="left"/>
                  </w:pPr>
                  <w:r>
                    <w:t xml:space="preserve">tidak dihitung</w:t>
                  </w:r>
                </w:p>
              </w:tc>
            </w:tr>
            <w:tr>
              <w:trPr>
                <w:cantSplit/>
              </w:trPr>
              <w:tc>
                <w:tcPr>
                  <w:tcW w:w="3125" w:type="dxa"/>
                </w:tcPr>
                <w:p>
                  <w:pPr>
                    <w:pStyle w:val="IsiTabel"/>
                    <w:keepNext/>
                    <w:suppressAutoHyphens/>
                    <w:jc w:val="left"/>
                  </w:pPr>
                  <w:bookmarkStart w:id="393" w:name="_Ekor046z"/>
                  <w:bookmarkEnd w:id="393"/>
                  <w:r>
                    <w:t xml:space="preserve">Peringatan dini</w:t>
                  </w:r>
                </w:p>
              </w:tc>
              <w:tc>
                <w:tcPr>
                  <w:tcW w:w="832" w:type="dxa"/>
                </w:tcPr>
                <w:p>
                  <w:pPr>
                    <w:pStyle w:val="IsiTabel"/>
                    <w:keepNext/>
                    <w:suppressAutoHyphens/>
                    <w:jc w:val="right"/>
                  </w:pPr>
                  <w:r>
                    <w:t xml:space="preserve">–</w:t>
                  </w:r>
                </w:p>
              </w:tc>
              <w:tc>
                <w:tcPr>
                  <w:tcW w:w="992" w:type="dxa"/>
                </w:tcPr>
                <w:p>
                  <w:pPr>
                    <w:pStyle w:val="IsiTabel"/>
                    <w:keepNext/>
                    <w:suppressAutoHyphens/>
                    <w:jc w:val="right"/>
                  </w:pPr>
                  <w:r>
                    <w:t xml:space="preserve">–</w:t>
                  </w:r>
                </w:p>
              </w:tc>
              <w:tc>
                <w:tcPr>
                  <w:tcW w:w="3113" w:type="dxa"/>
                </w:tcPr>
                <w:p>
                  <w:pPr>
                    <w:pStyle w:val="IsiTabel"/>
                    <w:keepNext/>
                    <w:suppressAutoHyphens/>
                    <w:jc w:val="right"/>
                  </w:pPr>
                  <w:r>
                    <w:t xml:space="preserve">tidak dihitung: waktu tunggu pendek</w:t>
                  </w:r>
                </w:p>
              </w:tc>
              <w:tc>
                <w:tcPr>
                  <w:tcW w:w="1292" w:type="dxa"/>
                </w:tcPr>
                <w:p>
                  <w:pPr>
                    <w:pStyle w:val="IsiTabel"/>
                    <w:keepNext/>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Rencana kontinjensi longsor dikaji ulang bersama rencana kontinjensi banjir sebelum awal musim (</w:t>
                  </w:r>
                  <w:r>
                    <w:fldChar w:fldCharType="begin"/>
                  </w:r>
                  <w:r>
                    <w:instrText xml:space="preserve"> REF _Ref0074 \h \* CHARFORMAT </w:instrText>
                  </w:r>
                  <w:r>
                    <w:fldChar w:fldCharType="separate"/>
                  </w:r>
                  <w:r>
                    <w:t xml:space="preserve">06</w:t>
                  </w:r>
                  <w:r>
                    <w:fldChar w:fldCharType="end"/>
                  </w:r>
                  <w:r>
                    <w:t xml:space="preserve">).</w:t>
                  </w:r>
                </w:p>
                <w:p>
                  <w:pPr>
                    <w:pStyle w:val="DaftarTabel"/>
                    <w:keepNext/>
                    <w:numPr>
                      <w:ilvl w:val="0"/>
                      <w:numId w:val="1"/>
                    </w:numPr>
                    <w:suppressAutoHyphens/>
                  </w:pPr>
                  <w:r>
                    <w:t xml:space="preserve">Rantai peringatan dini longsor diuji di kab/kota daftar perhatian, tanpa menghitung efek pada korban (</w:t>
                  </w:r>
                  <w:r>
                    <w:fldChar w:fldCharType="begin"/>
                  </w:r>
                  <w:r>
                    <w:instrText xml:space="preserve"> REF _Ref0078 \h \* CHARFORMAT </w:instrText>
                  </w:r>
                  <w:r>
                    <w:fldChar w:fldCharType="separate"/>
                  </w:r>
                  <w:r>
                    <w:t xml:space="preserve">12</w:t>
                  </w:r>
                  <w:r>
                    <w:fldChar w:fldCharType="end"/>
                  </w:r>
                  <w:r>
                    <w:t xml:space="preserve">).</w:t>
                  </w:r>
                </w:p>
                <w:p>
                  <w:pPr>
                    <w:pStyle w:val="DaftarTabel"/>
                    <w:keepNext/>
                    <w:numPr>
                      <w:ilvl w:val="0"/>
                      <w:numId w:val="1"/>
                    </w:numPr>
                    <w:suppressAutoHyphens/>
                  </w:pPr>
                  <w:r>
                    <w:t xml:space="preserve">Pencarian dan pertolongan disiapkan untuk lokasi longsor yang terisolasi akses jalannya.</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Rumah rusak longsor dicatat terpisah dari banjir supaya stimulan rumah dapat dihitung.</w:t>
                  </w:r>
                </w:p>
                <w:p>
                  <w:pPr>
                    <w:pStyle w:val="DaftarTabel"/>
                    <w:keepNext/>
                    <w:numPr>
                      <w:ilvl w:val="0"/>
                      <w:numId w:val="1"/>
                    </w:numPr>
                    <w:suppressAutoHyphens/>
                  </w:pPr>
                  <w:r>
                    <w:t xml:space="preserve">Data kerusakan dan kerugian R3P Sumatra 2025 dibuka per jenis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Lantai longsor dimutakhirkan saat turunan lantai per jenis selesai (</w:t>
                  </w:r>
                  <w:r>
                    <w:fldChar w:fldCharType="begin"/>
                  </w:r>
                  <w:r>
                    <w:instrText xml:space="preserve"> REF _Ref0105 \h \* CHARFORMAT </w:instrText>
                  </w:r>
                  <w:r>
                    <w:fldChar w:fldCharType="separate"/>
                  </w:r>
                  <w:r>
                    <w:t xml:space="preserve">30</w:t>
                  </w:r>
                  <w:r>
                    <w:fldChar w:fldCharType="end"/>
                  </w:r>
                  <w:r>
                    <w:t xml:space="preserve">).</w:t>
                  </w:r>
                </w:p>
              </w:tc>
            </w:tr>
          </w:tbl>
          <w:p>
            <w:pPr>
              <w:pStyle w:val="IsiTabel"/>
              <w:keepNext/>
              <w:spacing w:before="80"/>
            </w:pPr>
            <w:r>
              <w:rPr>
                <w:i/>
                <w:iCs/>
                <w:color w:val="2E3440"/>
                <w:sz w:val="17"/>
                <w:szCs w:val="17"/>
              </w:rPr>
              <w:t xml:space="preserve">Angka tercatat DIBI; pita model longsor tidak ditampilkan karena batas rendahnya di atas korban tercatat musim analog.</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94" w:name="_Kartu008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2025c)</w:t>
      </w:r>
      <w:r>
        <w:rPr>
          <w:color w:val="6B7280"/>
          <w:sz w:val="17"/>
          <w:szCs w:val="17"/>
        </w:rPr>
        <w:t xml:space="preserve">; data per </w:t>
      </w:r>
      <w:r>
        <w:rPr>
          <w:color w:val="6B7280"/>
          <w:sz w:val="17"/>
          <w:szCs w:val="17"/>
        </w:rPr>
        <w:t xml:space="preserve">23 Okt 2026</w:t>
      </w:r>
      <w:bookmarkEnd w:id="394"/>
    </w:p>
    <w:p>
      <w:pPr>
        <w:pStyle w:val="Caption"/>
      </w:pPr>
      <w:bookmarkStart w:id="396" w:name="_Toc00134"/>
      <w:bookmarkStart w:id="395" w:name="_Ref002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395"/>
      <w:r>
        <w:rPr>
          <w:b/>
          <w:bCs/>
          <w:color w:val="051C2C"/>
        </w:rPr>
        <w:t xml:space="preserve"> </w:t>
      </w:r>
      <w:r>
        <w:t xml:space="preserve">Siklon Tropis Seroja dari satelit Aqua, Nusa Tenggara Timur, 5 April 2021</w:t>
      </w:r>
      <w:bookmarkEnd w:id="396"/>
    </w:p>
    <w:p xmlns:a="http://schemas.openxmlformats.org/drawingml/2006/main" xmlns:pic="http://schemas.openxmlformats.org/drawingml/2006/picture">
      <w:pPr>
        <w:keepNext/>
        <w:spacing w:after="0" w:line="240" w:lineRule="auto"/>
        <w:jc w:val="center"/>
      </w:pPr>
      <w:bookmarkStart w:id="397" w:name="_Obj0038"/>
      <w:r>
        <w:drawing>
          <wp:inline distT="0" distB="0" distL="0" distR="0">
            <wp:extent cx="2898000" cy="2173500"/>
            <wp:effectExtent l="0" t="0" r="0" b="0"/>
            <wp:docPr id="97" name="Gambar 97"/>
            <wp:cNvGraphicFramePr>
              <a:graphicFrameLocks noChangeAspect="1"/>
            </wp:cNvGraphicFramePr>
            <a:graphic>
              <a:graphicData uri="http://schemas.openxmlformats.org/drawingml/2006/picture">
                <pic:pic>
                  <pic:nvPicPr>
                    <pic:cNvPr id="97" name="mit-b07-seroja.jpg"/>
                    <pic:cNvPicPr/>
                  </pic:nvPicPr>
                  <pic:blipFill>
                    <a:blip r:embed="rId62"/>
                    <a:stretch>
                      <a:fillRect/>
                    </a:stretch>
                  </pic:blipFill>
                  <pic:spPr>
                    <a:xfrm>
                      <a:off x="0" y="0"/>
                      <a:ext cx="2898000" cy="2173500"/>
                    </a:xfrm>
                    <a:prstGeom prst="rect">
                      <a:avLst/>
                    </a:prstGeom>
                  </pic:spPr>
                </pic:pic>
              </a:graphicData>
            </a:graphic>
          </wp:inline>
        </w:drawing>
      </w:r>
      <w:bookmarkEnd w:id="397"/>
    </w:p>
    <w:p>
      <w:pPr>
        <w:pStyle w:val="Sumber"/>
      </w:pPr>
      <w:r>
        <w:rPr>
          <w:b/>
          <w:bCs/>
          <w:color w:val="6B7280"/>
          <w:sz w:val="17"/>
          <w:szCs w:val="17"/>
        </w:rPr>
        <w:t xml:space="preserve">Sumber: </w:t>
      </w:r>
      <w:r>
        <w:rPr>
          <w:color w:val="6B7280"/>
          <w:sz w:val="17"/>
          <w:szCs w:val="17"/>
        </w:rPr>
        <w:t xml:space="preserve">Wikimedia Commons, NASA, LANCE / MODIS on Aqua, PD</w:t>
      </w:r>
    </w:p>
    <w:p>
      <w:pPr>
        <w:pStyle w:val="Heading2"/>
      </w:pPr>
      <w:bookmarkStart w:id="399" w:name="_Toc00135"/>
      <w:bookmarkStart w:id="398" w:name="_Ref0138"/>
      <w:r>
        <w:t xml:space="preserve">7.3</w:t>
      </w:r>
      <w:bookmarkEnd w:id="398"/>
      <w:r>
        <w:tab/>
      </w:r>
      <w:r>
        <w:t xml:space="preserve">Cuaca Ekstrem</w:t>
      </w:r>
      <w:bookmarkEnd w:id="399"/>
    </w:p>
    <w:p>
      <w:pPr>
        <w:pStyle w:val="IsiTemuan"/>
      </w:pPr>
      <w:r>
        <w:rPr>
          <w:b/>
          <w:bCs/>
          <w:color w:val="051C2C"/>
        </w:rPr>
        <w:t xml:space="preserve">KRB 2022–2026 mencatat </w:t>
      </w:r>
      <w:r>
        <w:rPr>
          <w:b/>
          <w:bCs/>
          <w:color w:val="051C2C"/>
        </w:rPr>
        <w:t xml:space="preserve">255.437.799</w:t>
      </w:r>
      <w:r>
        <w:rPr>
          <w:b/>
          <w:bCs/>
          <w:color w:val="051C2C"/>
        </w:rPr>
        <w:t xml:space="preserve"> jiwa terpapar cuaca ekstrem dan potensi kerugian </w:t>
      </w:r>
      <w:r>
        <w:rPr>
          <w:b/>
          <w:bCs/>
          <w:color w:val="051C2C"/>
        </w:rPr>
        <w:t xml:space="preserve">Rp2.744,3 triliun</w:t>
      </w:r>
      <w:r>
        <w:rPr>
          <w:b/>
          <w:bCs/>
          <w:color w:val="051C2C"/>
        </w:rPr>
        <w:t xml:space="preserve">, terbesar di antara bahaya KRB.</w:t>
      </w:r>
      <w:r>
        <w:t xml:space="preserve"> Potensi kerugian itu nilai aset terpapar yang tidak dijumlahkan dengan bahaya lain dan tidak sama dengan kerugian kejadian </w:t>
      </w:r>
      <w:r>
        <w:t xml:space="preserve">(BNPB, 2025c)</w:t>
      </w:r>
      <w:r>
        <w:t xml:space="preserve">. Pada musim hujan 2025/2026 cuaca ekstrem menyumbang </w:t>
      </w:r>
      <w:r>
        <w:t xml:space="preserve">40</w:t>
      </w:r>
      <w:r>
        <w:t xml:space="preserve"> meninggal dan hilang </w:t>
      </w:r>
      <w:r>
        <w:t xml:space="preserve">(BNPB, t.t.-a)</w:t>
      </w:r>
      <w:r>
        <w:t xml:space="preserve">. Pada 2018–2023 kejadian sejenis juga tercatat di kategori Puting Beliung dan Angin Kencang, sehingga pilihan tahun analog diuji dengan dan tanpa tahun berpatahan kategori.</w:t>
      </w:r>
    </w:p>
    <w:p>
      <w:pPr>
        <w:pStyle w:val="IsiTemuan"/>
      </w:pPr>
      <w:r>
        <w:rPr>
          <w:b/>
          <w:bCs/>
          <w:color w:val="051C2C"/>
        </w:rPr>
        <w:t xml:space="preserve">Siklon Tropis Seroja April 2021 tercatat </w:t>
      </w:r>
      <w:r>
        <w:rPr>
          <w:b/>
          <w:bCs/>
          <w:color w:val="051C2C"/>
        </w:rPr>
        <w:t xml:space="preserve">154</w:t>
      </w:r>
      <w:r>
        <w:rPr>
          <w:b/>
          <w:bCs/>
          <w:color w:val="051C2C"/>
        </w:rPr>
        <w:t xml:space="preserve"> meninggal dan </w:t>
      </w:r>
      <w:r>
        <w:rPr>
          <w:b/>
          <w:bCs/>
          <w:color w:val="051C2C"/>
        </w:rPr>
        <w:t xml:space="preserve">34</w:t>
      </w:r>
      <w:r>
        <w:rPr>
          <w:b/>
          <w:bCs/>
          <w:color w:val="051C2C"/>
        </w:rPr>
        <w:t xml:space="preserve"> hilang di DIBI, sedangkan Renstra BNPB 2025–2029 menulis </w:t>
      </w:r>
      <w:r>
        <w:rPr>
          <w:b/>
          <w:bCs/>
          <w:color w:val="051C2C"/>
        </w:rPr>
        <w:t xml:space="preserve">184</w:t>
      </w:r>
      <w:r>
        <w:rPr>
          <w:b/>
          <w:bCs/>
          <w:color w:val="051C2C"/>
        </w:rPr>
        <w:t xml:space="preserve"> meninggal dan </w:t>
      </w:r>
      <w:r>
        <w:rPr>
          <w:b/>
          <w:bCs/>
          <w:color w:val="051C2C"/>
        </w:rPr>
        <w:t xml:space="preserve">47</w:t>
      </w:r>
      <w:r>
        <w:rPr>
          <w:b/>
          <w:bCs/>
          <w:color w:val="051C2C"/>
        </w:rPr>
        <w:t xml:space="preserve"> hilang.</w:t>
      </w:r>
      <w:r>
        <w:t xml:space="preserve"> Kedua versi ditulis berdampingan karena sumber tidak menjelaskan selisihnya </w:t>
      </w:r>
      <w:r>
        <w:t xml:space="preserve">(BNPB, t.t.-a, 2025e, hlm. 11)</w:t>
      </w:r>
      <w:r>
        <w:t xml:space="preserve">. Seroja menjadi pembanding kejadian besar, bukan lantai, sampai turunan lantai per jenis memeriksa seluruh peristiwa cuaca ekstrem DIBI.</w:t>
      </w:r>
    </w:p>
    <w:p>
      <w:pPr>
        <w:pStyle w:val="Caption"/>
        <w:pageBreakBefore/>
      </w:pPr>
      <w:bookmarkStart w:id="401" w:name="_Toc00136"/>
      <w:bookmarkStart w:id="400" w:name="_Ref026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400"/>
      <w:r>
        <w:rPr>
          <w:b/>
          <w:bCs/>
          <w:color w:val="051C2C"/>
        </w:rPr>
        <w:t xml:space="preserve"> </w:t>
      </w:r>
      <w:r>
        <w:t xml:space="preserve">Cuaca ekstrem nasional setara musim hujan 2025/2026, dengan Seroja 2021 sebagai pembanding</w:t>
      </w:r>
      <w:bookmarkEnd w:id="401"/>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keepNext/>
                    <w:spacing w:after="0"/>
                  </w:pPr>
                  <w:bookmarkStart w:id="403" w:name="_Kartu009a"/>
                  <w:bookmarkStart w:id="402" w:name="_Obj0039"/>
                  <w:r>
                    <w:rPr>
                      <w:position w:val="-10"/>
                    </w:rPr>
                    <w:drawing>
                      <wp:inline distT="0" distB="0" distL="0" distR="0">
                        <wp:extent cx="216000" cy="216000"/>
                        <wp:effectExtent l="0" t="0" r="0" b="0"/>
                        <wp:docPr id="98" name="Gambar 98"/>
                        <wp:cNvGraphicFramePr>
                          <a:graphicFrameLocks noChangeAspect="1"/>
                        </wp:cNvGraphicFramePr>
                        <a:graphic>
                          <a:graphicData uri="http://schemas.openxmlformats.org/drawingml/2006/picture">
                            <pic:pic>
                              <pic:nvPicPr>
                                <pic:cNvPr id="98" name="cuaca-ekstrem-lucide-cloud-lightning-FFFFFF-2F86D1.png"/>
                                <pic:cNvPicPr/>
                              </pic:nvPicPr>
                              <pic:blipFill>
                                <a:blip r:embed="rId63"/>
                                <a:stretch>
                                  <a:fillRect/>
                                </a:stretch>
                              </pic:blipFill>
                              <pic:spPr>
                                <a:xfrm>
                                  <a:off x="0" y="0"/>
                                  <a:ext cx="216000" cy="216000"/>
                                </a:xfrm>
                                <a:prstGeom prst="rect">
                                  <a:avLst/>
                                </a:prstGeom>
                              </pic:spPr>
                            </pic:pic>
                          </a:graphicData>
                        </a:graphic>
                      </wp:inline>
                    </w:drawing>
                  </w:r>
                  <w:r>
                    <w:t xml:space="preserve"> </w:t>
                  </w:r>
                  <w:r>
                    <w:rPr>
                      <w:b/>
                      <w:bCs/>
                    </w:rPr>
                    <w:t xml:space="preserve">Cuaca ekstrem</w:t>
                  </w:r>
                  <w:r>
                    <w:rPr>
                      <w:color w:val="2E3440"/>
                    </w:rPr>
                    <w:t xml:space="preserve">  Hidrometeorologi basah</w:t>
                  </w:r>
                  <w:bookmarkEnd w:id="402"/>
                  <w:bookmarkEnd w:id="403"/>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per jenis ringkas; lantai kejadian tunggal dan tahun tercatat terburuk menunggu turunan lantai per jenis paket skenario hidrometeorologi; kartu memakai korban musim tercatat terburuk dan paparan KRB.</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tidak ada dasar peluang per jenis; kategori DIBI bergeser 2018–2023</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99" name="Gambar 99"/>
                              <wp:cNvGraphicFramePr>
                                <a:graphicFrameLocks noChangeAspect="1"/>
                              </wp:cNvGraphicFramePr>
                              <a:graphic>
                                <a:graphicData uri="http://schemas.openxmlformats.org/drawingml/2006/picture">
                                  <pic:pic>
                                    <pic:nvPicPr>
                                      <pic:cNvPr id="9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00" name="Gambar 100"/>
                              <wp:cNvGraphicFramePr>
                                <a:graphicFrameLocks noChangeAspect="1"/>
                              </wp:cNvGraphicFramePr>
                              <a:graphic>
                                <a:graphicData uri="http://schemas.openxmlformats.org/drawingml/2006/picture">
                                  <pic:pic>
                                    <pic:nvPicPr>
                                      <pic:cNvPr id="10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1" name="Gambar 101"/>
                              <wp:cNvGraphicFramePr>
                                <a:graphicFrameLocks noChangeAspect="1"/>
                              </wp:cNvGraphicFramePr>
                              <a:graphic>
                                <a:graphicData uri="http://schemas.openxmlformats.org/drawingml/2006/picture">
                                  <pic:pic>
                                    <pic:nvPicPr>
                                      <pic:cNvPr id="10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129176"/>
                        <wp:effectExtent l="0" t="0" r="0" b="0"/>
                        <wp:docPr id="102" name="Gambar 102"/>
                        <wp:cNvGraphicFramePr>
                          <a:graphicFrameLocks noChangeAspect="1"/>
                        </wp:cNvGraphicFramePr>
                        <a:graphic>
                          <a:graphicData uri="http://schemas.openxmlformats.org/drawingml/2006/picture">
                            <pic:pic>
                              <pic:nvPicPr>
                                <pic:cNvPr id="102" name="bab07-kartu-cuaca.png"/>
                                <pic:cNvPicPr/>
                              </pic:nvPicPr>
                              <pic:blipFill>
                                <a:blip r:embed="rId64"/>
                                <a:stretch>
                                  <a:fillRect/>
                                </a:stretch>
                              </pic:blipFill>
                              <pic:spPr>
                                <a:xfrm>
                                  <a:off x="0" y="0"/>
                                  <a:ext cx="1882800" cy="2129176"/>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801"/>
              <w:gridCol w:w="1494"/>
              <w:gridCol w:w="852"/>
              <w:gridCol w:w="1267"/>
              <w:gridCol w:w="2940"/>
            </w:tblGrid>
            <w:tr>
              <w:trPr>
                <w:cantSplit/>
                <w:tblHeader/>
              </w:trPr>
              <w:tc>
                <w:tcPr>
                  <w:tcW w:w="2801" w:type="dxa"/>
                  <w:shd w:val="clear" w:color="auto" w:fill="051C2C"/>
                  <w:vAlign w:val="center"/>
                </w:tcPr>
                <w:p>
                  <w:pPr>
                    <w:pStyle w:val="KepalaTabel"/>
                    <w:keepNext/>
                    <w:suppressAutoHyphens/>
                  </w:pPr>
                  <w:r>
                    <w:t xml:space="preserve">BESARAN</w:t>
                  </w:r>
                </w:p>
              </w:tc>
              <w:tc>
                <w:tcPr>
                  <w:tcW w:w="1494"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267" w:type="dxa"/>
                  <w:shd w:val="clear" w:color="auto" w:fill="051C2C"/>
                  <w:vAlign w:val="center"/>
                </w:tcPr>
                <w:p>
                  <w:pPr>
                    <w:pStyle w:val="KepalaTabel"/>
                    <w:keepNext/>
                    <w:suppressAutoHyphens/>
                  </w:pPr>
                  <w:r>
                    <w:t xml:space="preserve">KEYAKINAN</w:t>
                  </w:r>
                </w:p>
              </w:tc>
              <w:tc>
                <w:tcPr>
                  <w:tcW w:w="2940" w:type="dxa"/>
                  <w:shd w:val="clear" w:color="auto" w:fill="051C2C"/>
                  <w:vAlign w:val="center"/>
                </w:tcPr>
                <w:p>
                  <w:pPr>
                    <w:pStyle w:val="KepalaTabel"/>
                    <w:keepNext/>
                    <w:suppressAutoHyphens/>
                  </w:pPr>
                  <w:r>
                    <w:t xml:space="preserve">SUMBER</w:t>
                  </w:r>
                </w:p>
              </w:tc>
            </w:tr>
            <w:tr>
              <w:trPr>
                <w:cantSplit/>
              </w:trPr>
              <w:tc>
                <w:tcPr>
                  <w:tcW w:w="2801" w:type="dxa"/>
                </w:tcPr>
                <w:p>
                  <w:pPr>
                    <w:pStyle w:val="IsiTabel"/>
                    <w:keepNext/>
                    <w:suppressAutoHyphens/>
                    <w:jc w:val="left"/>
                  </w:pPr>
                  <w:r>
                    <w:t xml:space="preserve">Kependudukan, korban jiwa cuaca ekstrem musim 2025/2026</w:t>
                  </w:r>
                </w:p>
              </w:tc>
              <w:tc>
                <w:tcPr>
                  <w:tcW w:w="1494" w:type="dxa"/>
                </w:tcPr>
                <w:p>
                  <w:pPr>
                    <w:pStyle w:val="IsiTabel"/>
                    <w:keepNext/>
                    <w:suppressAutoHyphens/>
                    <w:jc w:val="right"/>
                  </w:pPr>
                  <w:r>
                    <w:t xml:space="preserve">40</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940" w:type="dxa"/>
                </w:tcPr>
                <w:p>
                  <w:pPr>
                    <w:pStyle w:val="IsiTabel"/>
                    <w:keepNext/>
                    <w:suppressAutoHyphens/>
                    <w:jc w:val="left"/>
                  </w:pPr>
                  <w:r>
                    <w:t xml:space="preserve">DIBI BNPB, meninggal dan hilang</w:t>
                  </w:r>
                </w:p>
              </w:tc>
            </w:tr>
            <w:tr>
              <w:trPr>
                <w:cantSplit/>
              </w:trPr>
              <w:tc>
                <w:tcPr>
                  <w:tcW w:w="2801" w:type="dxa"/>
                </w:tcPr>
                <w:p>
                  <w:pPr>
                    <w:pStyle w:val="IsiTabel"/>
                    <w:keepNext/>
                    <w:suppressAutoHyphens/>
                    <w:jc w:val="left"/>
                  </w:pPr>
                  <w:r>
                    <w:t xml:space="preserve">Kependudukan, meninggal Seroja 2021, DIBI lawan Renstra</w:t>
                  </w:r>
                </w:p>
              </w:tc>
              <w:tc>
                <w:tcPr>
                  <w:tcW w:w="1494" w:type="dxa"/>
                </w:tcPr>
                <w:p>
                  <w:pPr>
                    <w:pStyle w:val="IsiTabel"/>
                    <w:keepNext/>
                    <w:suppressAutoHyphens/>
                    <w:jc w:val="right"/>
                  </w:pPr>
                  <w:r>
                    <w:t xml:space="preserve">154</w:t>
                  </w:r>
                </w:p>
              </w:tc>
              <w:tc>
                <w:tcPr>
                  <w:tcW w:w="852" w:type="dxa"/>
                </w:tcPr>
                <w:p>
                  <w:pPr>
                    <w:pStyle w:val="IsiTabel"/>
                    <w:keepNext/>
                    <w:suppressAutoHyphens/>
                    <w:jc w:val="right"/>
                  </w:pPr>
                  <w:r>
                    <w:t xml:space="preserve">184</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940" w:type="dxa"/>
                </w:tcPr>
                <w:p>
                  <w:pPr>
                    <w:pStyle w:val="IsiTabel"/>
                    <w:keepNext/>
                    <w:suppressAutoHyphens/>
                    <w:jc w:val="left"/>
                  </w:pPr>
                  <w:r>
                    <w:t xml:space="preserve">rendah DIBI BNPB, tinggi Renstra BNPB; pembanding</w:t>
                  </w:r>
                </w:p>
              </w:tc>
            </w:tr>
            <w:tr>
              <w:trPr>
                <w:cantSplit/>
              </w:trPr>
              <w:tc>
                <w:tcPr>
                  <w:tcW w:w="2801" w:type="dxa"/>
                </w:tcPr>
                <w:p>
                  <w:pPr>
                    <w:pStyle w:val="IsiTabel"/>
                    <w:keepNext/>
                    <w:suppressAutoHyphens/>
                    <w:jc w:val="left"/>
                  </w:pPr>
                  <w:r>
                    <w:t xml:space="preserve">Kependudukan, lantai kejadian tunggal dan tahun tercatat terburuk</w:t>
                  </w:r>
                </w:p>
              </w:tc>
              <w:tc>
                <w:tcPr>
                  <w:tcW w:w="149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2940" w:type="dxa"/>
                </w:tcPr>
                <w:p>
                  <w:pPr>
                    <w:pStyle w:val="IsiTabel"/>
                    <w:keepNext/>
                    <w:suppressAutoHyphens/>
                    <w:jc w:val="left"/>
                  </w:pPr>
                  <w:r>
                    <w:t xml:space="preserve">menunggu turunan lantai per jenis paket skenario hidrometeorologi</w:t>
                  </w:r>
                </w:p>
              </w:tc>
            </w:tr>
            <w:tr>
              <w:trPr>
                <w:cantSplit/>
              </w:trPr>
              <w:tc>
                <w:tcPr>
                  <w:tcW w:w="2801" w:type="dxa"/>
                </w:tcPr>
                <w:p>
                  <w:pPr>
                    <w:pStyle w:val="IsiTabel"/>
                    <w:keepNext/>
                    <w:suppressAutoHyphens/>
                    <w:jc w:val="left"/>
                  </w:pPr>
                  <w:r>
                    <w:t xml:space="preserve">Kependudukan, penduduk terpapar KRB cuaca ekstrem</w:t>
                  </w:r>
                </w:p>
              </w:tc>
              <w:tc>
                <w:tcPr>
                  <w:tcW w:w="1494" w:type="dxa"/>
                </w:tcPr>
                <w:p>
                  <w:pPr>
                    <w:pStyle w:val="IsiTabel"/>
                    <w:keepNext/>
                    <w:suppressAutoHyphens/>
                    <w:jc w:val="right"/>
                  </w:pPr>
                  <w:r>
                    <w:t xml:space="preserve">255.437.799</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940" w:type="dxa"/>
                </w:tcPr>
                <w:p>
                  <w:pPr>
                    <w:pStyle w:val="IsiTabel"/>
                    <w:keepNext/>
                    <w:suppressAutoHyphens/>
                    <w:jc w:val="left"/>
                  </w:pPr>
                  <w:r>
                    <w:t xml:space="preserve">Renas PB; batas atas paparan</w:t>
                  </w:r>
                </w:p>
              </w:tc>
            </w:tr>
            <w:tr>
              <w:trPr>
                <w:cantSplit/>
              </w:trPr>
              <w:tc>
                <w:tcPr>
                  <w:tcW w:w="2801" w:type="dxa"/>
                </w:tcPr>
                <w:p>
                  <w:pPr>
                    <w:pStyle w:val="IsiTabel"/>
                    <w:keepNext/>
                    <w:suppressAutoHyphens/>
                    <w:jc w:val="left"/>
                  </w:pPr>
                  <w:r>
                    <w:t xml:space="preserve">Lingkungan, luas terdampak</w:t>
                  </w:r>
                </w:p>
              </w:tc>
              <w:tc>
                <w:tcPr>
                  <w:tcW w:w="149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2940" w:type="dxa"/>
                </w:tcPr>
                <w:p>
                  <w:pPr>
                    <w:pStyle w:val="IsiTabel"/>
                    <w:keepNext/>
                    <w:suppressAutoHyphens/>
                    <w:jc w:val="left"/>
                  </w:pPr>
                  <w:r>
                    <w:t xml:space="preserve">tidak dikuantifikasi untuk cuaca ekstrem</w:t>
                  </w:r>
                </w:p>
              </w:tc>
            </w:tr>
            <w:tr>
              <w:trPr>
                <w:cantSplit/>
              </w:trPr>
              <w:tc>
                <w:tcPr>
                  <w:tcW w:w="2801" w:type="dxa"/>
                </w:tcPr>
                <w:p>
                  <w:pPr>
                    <w:pStyle w:val="IsiTabel"/>
                    <w:keepNext/>
                    <w:suppressAutoHyphens/>
                    <w:jc w:val="left"/>
                  </w:pPr>
                  <w:bookmarkStart w:id="404" w:name="_Ekor047a"/>
                  <w:bookmarkEnd w:id="404"/>
                  <w:r>
                    <w:t xml:space="preserve">Ekonomi, potensi kerugian KRB</w:t>
                  </w:r>
                </w:p>
              </w:tc>
              <w:tc>
                <w:tcPr>
                  <w:tcW w:w="1494" w:type="dxa"/>
                </w:tcPr>
                <w:p>
                  <w:pPr>
                    <w:pStyle w:val="IsiTabel"/>
                    <w:keepNext/>
                    <w:suppressAutoHyphens/>
                    <w:jc w:val="right"/>
                  </w:pPr>
                  <w:r>
                    <w:t xml:space="preserve">Rp2.744,3 triliun</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940" w:type="dxa"/>
                </w:tcPr>
                <w:p>
                  <w:pPr>
                    <w:pStyle w:val="IsiTabel"/>
                    <w:keepNext/>
                    <w:suppressAutoHyphens/>
                    <w:jc w:val="left"/>
                  </w:pPr>
                  <w:r>
                    <w:t xml:space="preserve">Renas PB; aset terpapar, bukan kerugian kejadian</w:t>
                  </w:r>
                </w:p>
              </w:tc>
            </w:tr>
            <w:tr>
              <w:trPr>
                <w:cantSplit/>
              </w:trPr>
              <w:tc>
                <w:tcPr>
                  <w:tcW w:w="2801" w:type="dxa"/>
                </w:tcPr>
                <w:p>
                  <w:pPr>
                    <w:pStyle w:val="IsiTabel"/>
                    <w:keepNext/>
                    <w:suppressAutoHyphens/>
                    <w:jc w:val="left"/>
                  </w:pPr>
                  <w:r>
                    <w:t xml:space="preserve">Infrastruktur/fisik, rumah rusak</w:t>
                  </w:r>
                </w:p>
              </w:tc>
              <w:tc>
                <w:tcPr>
                  <w:tcW w:w="149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2940" w:type="dxa"/>
                </w:tcPr>
                <w:p>
                  <w:pPr>
                    <w:pStyle w:val="IsiTabel"/>
                    <w:keepNext/>
                    <w:suppressAutoHyphens/>
                    <w:jc w:val="left"/>
                  </w:pPr>
                  <w:r>
                    <w:t xml:space="preserve">rumah rusak per jenis tidak ada di paket data</w:t>
                  </w:r>
                </w:p>
              </w:tc>
            </w:tr>
            <w:tr>
              <w:trPr>
                <w:cantSplit/>
              </w:trPr>
              <w:tc>
                <w:tcPr>
                  <w:tcW w:w="2801" w:type="dxa"/>
                </w:tcPr>
                <w:p>
                  <w:pPr>
                    <w:pStyle w:val="IsiTabel"/>
                    <w:keepNext/>
                    <w:suppressAutoHyphens/>
                    <w:jc w:val="left"/>
                  </w:pPr>
                  <w:r>
                    <w:t xml:space="preserve">Layanan sipil, fasilitas rusak</w:t>
                  </w:r>
                </w:p>
              </w:tc>
              <w:tc>
                <w:tcPr>
                  <w:tcW w:w="149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2940" w:type="dxa"/>
                </w:tcPr>
                <w:p>
                  <w:pPr>
                    <w:pStyle w:val="IsiTabel"/>
                    <w:keepNext/>
                    <w:suppressAutoHyphens/>
                    <w:jc w:val="left"/>
                  </w:pPr>
                  <w:r>
                    <w:t xml:space="preserve">fasilitas rusak per jenis tidak dimuat paket data</w:t>
                  </w:r>
                </w:p>
              </w:tc>
            </w:tr>
            <w:tr>
              <w:trPr>
                <w:cantSplit/>
              </w:trPr>
              <w:tc>
                <w:tcPr>
                  <w:tcW w:w="2801" w:type="dxa"/>
                </w:tcPr>
                <w:p>
                  <w:pPr>
                    <w:pStyle w:val="IsiTabel"/>
                    <w:keepNext/>
                    <w:suppressAutoHyphens/>
                    <w:jc w:val="left"/>
                  </w:pPr>
                  <w:bookmarkStart w:id="405" w:name="_Ekor047z"/>
                  <w:bookmarkEnd w:id="405"/>
                  <w:r>
                    <w:t xml:space="preserve">Kebutuhan respons, pengungsi</w:t>
                  </w:r>
                </w:p>
              </w:tc>
              <w:tc>
                <w:tcPr>
                  <w:tcW w:w="149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2940" w:type="dxa"/>
                </w:tcPr>
                <w:p>
                  <w:pPr>
                    <w:pStyle w:val="IsiTabel"/>
                    <w:keepNext/>
                    <w:suppressAutoHyphens/>
                    <w:jc w:val="left"/>
                  </w:pPr>
                  <w:r>
                    <w:t xml:space="preserve">pengungsi per jenis tidak dipisah</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Bila cakupan peringatan dini naik ke target 2029 Renas PB indikator 1.c, korban cuaca ekstrem musim lantai </w:t>
                  </w:r>
                  <w:r>
                    <w:t xml:space="preserve">40 jiwa</w:t>
                  </w:r>
                  <w:r>
                    <w:t xml:space="preserve"> dihitung menjadi </w:t>
                  </w:r>
                  <w:r>
                    <w:t xml:space="preserve">24,1 jiwa</w:t>
                  </w:r>
                  <w:r>
                    <w:t xml:space="preserve">, berlabel asumsi kebijakan.</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796"/>
              <w:gridCol w:w="832"/>
              <w:gridCol w:w="1323"/>
              <w:gridCol w:w="3111"/>
              <w:gridCol w:w="1292"/>
            </w:tblGrid>
            <w:tr>
              <w:trPr>
                <w:cantSplit/>
                <w:tblHeader/>
              </w:trPr>
              <w:tc>
                <w:tcPr>
                  <w:tcW w:w="2796" w:type="dxa"/>
                  <w:shd w:val="clear" w:color="auto" w:fill="051C2C"/>
                  <w:vAlign w:val="center"/>
                </w:tcPr>
                <w:p>
                  <w:pPr>
                    <w:pStyle w:val="KepalaTabel"/>
                    <w:keepNext/>
                    <w:suppressAutoHyphens/>
                  </w:pPr>
                  <w:r>
                    <w:t xml:space="preserve">TUAS</w:t>
                  </w:r>
                </w:p>
              </w:tc>
              <w:tc>
                <w:tcPr>
                  <w:tcW w:w="832" w:type="dxa"/>
                  <w:shd w:val="clear" w:color="auto" w:fill="051C2C"/>
                  <w:vAlign w:val="center"/>
                </w:tcPr>
                <w:p>
                  <w:pPr>
                    <w:pStyle w:val="KepalaTabel"/>
                    <w:keepNext/>
                    <w:suppressAutoHyphens/>
                  </w:pPr>
                  <w:r>
                    <w:t xml:space="preserve">NILAI DASAR</w:t>
                  </w:r>
                </w:p>
              </w:tc>
              <w:tc>
                <w:tcPr>
                  <w:tcW w:w="1323" w:type="dxa"/>
                  <w:shd w:val="clear" w:color="auto" w:fill="051C2C"/>
                  <w:vAlign w:val="center"/>
                </w:tcPr>
                <w:p>
                  <w:pPr>
                    <w:pStyle w:val="KepalaTabel"/>
                    <w:keepNext/>
                    <w:suppressAutoHyphens/>
                  </w:pPr>
                  <w:r>
                    <w:t xml:space="preserve">NILAI DIGESER</w:t>
                  </w:r>
                </w:p>
              </w:tc>
              <w:tc>
                <w:tcPr>
                  <w:tcW w:w="3111" w:type="dxa"/>
                  <w:shd w:val="clear" w:color="auto" w:fill="051C2C"/>
                  <w:vAlign w:val="center"/>
                </w:tcPr>
                <w:p>
                  <w:pPr>
                    <w:pStyle w:val="KepalaTabel"/>
                    <w:keepNext/>
                    <w:suppressAutoHyphens/>
                  </w:pPr>
                  <w:r>
                    <w:t xml:space="preserve">KORBAN JIWA</w:t>
                  </w:r>
                </w:p>
              </w:tc>
              <w:tc>
                <w:tcPr>
                  <w:tcW w:w="1292" w:type="dxa"/>
                  <w:shd w:val="clear" w:color="auto" w:fill="051C2C"/>
                  <w:vAlign w:val="center"/>
                </w:tcPr>
                <w:p>
                  <w:pPr>
                    <w:pStyle w:val="KepalaTabel"/>
                    <w:keepNext/>
                    <w:suppressAutoHyphens/>
                  </w:pPr>
                  <w:r>
                    <w:t xml:space="preserve">KERUGIAN MATERIIL</w:t>
                  </w:r>
                </w:p>
              </w:tc>
            </w:tr>
            <w:tr>
              <w:trPr>
                <w:cantSplit/>
              </w:trPr>
              <w:tc>
                <w:tcPr>
                  <w:tcW w:w="2796" w:type="dxa"/>
                </w:tcPr>
                <w:p>
                  <w:pPr>
                    <w:pStyle w:val="IsiTabel"/>
                    <w:keepNext/>
                    <w:suppressAutoHyphens/>
                    <w:jc w:val="left"/>
                  </w:pPr>
                  <w:bookmarkStart w:id="406" w:name="_Ekor048a"/>
                  <w:bookmarkEnd w:id="406"/>
                  <w:r>
                    <w:t xml:space="preserve">Cakupan peringatan dini Renas 1.c, cuaca ekstrem</w:t>
                  </w:r>
                </w:p>
              </w:tc>
              <w:tc>
                <w:tcPr>
                  <w:tcW w:w="832" w:type="dxa"/>
                </w:tcPr>
                <w:p>
                  <w:pPr>
                    <w:pStyle w:val="IsiTabel"/>
                    <w:keepNext/>
                    <w:suppressAutoHyphens/>
                    <w:jc w:val="right"/>
                  </w:pPr>
                  <w:r>
                    <w:t xml:space="preserve">11,06%</w:t>
                  </w:r>
                </w:p>
              </w:tc>
              <w:tc>
                <w:tcPr>
                  <w:tcW w:w="1323" w:type="dxa"/>
                </w:tcPr>
                <w:p>
                  <w:pPr>
                    <w:pStyle w:val="IsiTabel"/>
                    <w:keepNext/>
                    <w:suppressAutoHyphens/>
                    <w:jc w:val="right"/>
                  </w:pPr>
                  <w:r>
                    <w:t xml:space="preserve">52%</w:t>
                  </w:r>
                </w:p>
              </w:tc>
              <w:tc>
                <w:tcPr>
                  <w:tcW w:w="3111" w:type="dxa"/>
                </w:tcPr>
                <w:p>
                  <w:pPr>
                    <w:pStyle w:val="IsiTabel"/>
                    <w:keepNext/>
                    <w:suppressAutoHyphens/>
                    <w:jc w:val="right"/>
                  </w:pPr>
                  <w:r>
                    <w:t xml:space="preserve">24,1</w:t>
                  </w:r>
                </w:p>
              </w:tc>
              <w:tc>
                <w:tcPr>
                  <w:tcW w:w="1292" w:type="dxa"/>
                </w:tcPr>
                <w:p>
                  <w:pPr>
                    <w:pStyle w:val="IsiTabel"/>
                    <w:keepNext/>
                    <w:suppressAutoHyphens/>
                    <w:jc w:val="left"/>
                  </w:pPr>
                  <w:r>
                    <w:t xml:space="preserve">tidak berubah</w:t>
                  </w:r>
                </w:p>
              </w:tc>
            </w:tr>
            <w:tr>
              <w:trPr>
                <w:cantSplit/>
              </w:trPr>
              <w:tc>
                <w:tcPr>
                  <w:tcW w:w="2796" w:type="dxa"/>
                </w:tcPr>
                <w:p>
                  <w:pPr>
                    <w:pStyle w:val="IsiTabel"/>
                    <w:keepNext/>
                    <w:suppressAutoHyphens/>
                    <w:jc w:val="left"/>
                  </w:pPr>
                  <w:r>
                    <w:t xml:space="preserve">Versi angka Seroja 2021</w:t>
                  </w:r>
                </w:p>
              </w:tc>
              <w:tc>
                <w:tcPr>
                  <w:tcW w:w="832" w:type="dxa"/>
                </w:tcPr>
                <w:p>
                  <w:pPr>
                    <w:pStyle w:val="IsiTabel"/>
                    <w:keepNext/>
                    <w:suppressAutoHyphens/>
                    <w:jc w:val="right"/>
                  </w:pPr>
                  <w:r>
                    <w:t xml:space="preserve">DIBI</w:t>
                  </w:r>
                </w:p>
              </w:tc>
              <w:tc>
                <w:tcPr>
                  <w:tcW w:w="1323" w:type="dxa"/>
                </w:tcPr>
                <w:p>
                  <w:pPr>
                    <w:pStyle w:val="IsiTabel"/>
                    <w:keepNext/>
                    <w:suppressAutoHyphens/>
                    <w:jc w:val="right"/>
                  </w:pPr>
                  <w:r>
                    <w:t xml:space="preserve">Renstra BNPB</w:t>
                  </w:r>
                </w:p>
              </w:tc>
              <w:tc>
                <w:tcPr>
                  <w:tcW w:w="3111" w:type="dxa"/>
                </w:tcPr>
                <w:p>
                  <w:pPr>
                    <w:pStyle w:val="IsiTabel"/>
                    <w:keepNext/>
                    <w:suppressAutoHyphens/>
                    <w:jc w:val="right"/>
                  </w:pPr>
                  <w:r>
                    <w:t xml:space="preserve">154</w:t>
                  </w:r>
                  <w:r>
                    <w:t xml:space="preserve"> ke </w:t>
                  </w:r>
                  <w:r>
                    <w:t xml:space="preserve">184</w:t>
                  </w:r>
                  <w:r>
                    <w:t xml:space="preserve"> meninggal</w:t>
                  </w:r>
                </w:p>
              </w:tc>
              <w:tc>
                <w:tcPr>
                  <w:tcW w:w="1292" w:type="dxa"/>
                </w:tcPr>
                <w:p>
                  <w:pPr>
                    <w:pStyle w:val="IsiTabel"/>
                    <w:keepNext/>
                    <w:suppressAutoHyphens/>
                    <w:jc w:val="left"/>
                  </w:pPr>
                  <w:r>
                    <w:t xml:space="preserve">tidak dihitung</w:t>
                  </w:r>
                </w:p>
              </w:tc>
            </w:tr>
            <w:tr>
              <w:trPr>
                <w:cantSplit/>
              </w:trPr>
              <w:tc>
                <w:tcPr>
                  <w:tcW w:w="2796" w:type="dxa"/>
                </w:tcPr>
                <w:p>
                  <w:pPr>
                    <w:pStyle w:val="IsiTabel"/>
                    <w:keepNext/>
                    <w:suppressAutoHyphens/>
                    <w:jc w:val="left"/>
                  </w:pPr>
                  <w:bookmarkStart w:id="407" w:name="_Ekor048z"/>
                  <w:bookmarkEnd w:id="407"/>
                  <w:r>
                    <w:t xml:space="preserve">Tahun analog dengan dan tanpa tahun berpatahan kategori</w:t>
                  </w:r>
                </w:p>
              </w:tc>
              <w:tc>
                <w:tcPr>
                  <w:tcW w:w="832" w:type="dxa"/>
                </w:tcPr>
                <w:p>
                  <w:pPr>
                    <w:pStyle w:val="IsiTabel"/>
                    <w:keepNext/>
                    <w:suppressAutoHyphens/>
                    <w:jc w:val="right"/>
                  </w:pPr>
                  <w:r>
                    <w:t xml:space="preserve">–</w:t>
                  </w:r>
                </w:p>
              </w:tc>
              <w:tc>
                <w:tcPr>
                  <w:tcW w:w="1323" w:type="dxa"/>
                </w:tcPr>
                <w:p>
                  <w:pPr>
                    <w:pStyle w:val="IsiTabel"/>
                    <w:keepNext/>
                    <w:suppressAutoHyphens/>
                    <w:jc w:val="right"/>
                  </w:pPr>
                  <w:r>
                    <w:t xml:space="preserve">–</w:t>
                  </w:r>
                </w:p>
              </w:tc>
              <w:tc>
                <w:tcPr>
                  <w:tcW w:w="3111" w:type="dxa"/>
                </w:tcPr>
                <w:p>
                  <w:pPr>
                    <w:pStyle w:val="IsiTabel"/>
                    <w:keepNext/>
                    <w:suppressAutoHyphens/>
                    <w:jc w:val="right"/>
                  </w:pPr>
                  <w:r>
                    <w:t xml:space="preserve">kualitatif sampai turunan lantai per jenis tersedia</w:t>
                  </w:r>
                </w:p>
              </w:tc>
              <w:tc>
                <w:tcPr>
                  <w:tcW w:w="1292" w:type="dxa"/>
                </w:tcPr>
                <w:p>
                  <w:pPr>
                    <w:pStyle w:val="IsiTabel"/>
                    <w:keepNext/>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Peringatan dini cuaca BMKG diteruskan BPBD sampai desa sebelum siklon atau angin kencang tiba (</w:t>
                  </w:r>
                  <w:r>
                    <w:fldChar w:fldCharType="begin"/>
                  </w:r>
                  <w:r>
                    <w:instrText xml:space="preserve"> REF _Ref0078 \h \* CHARFORMAT </w:instrText>
                  </w:r>
                  <w:r>
                    <w:fldChar w:fldCharType="separate"/>
                  </w:r>
                  <w:r>
                    <w:t xml:space="preserve">12</w:t>
                  </w:r>
                  <w:r>
                    <w:fldChar w:fldCharType="end"/>
                  </w:r>
                  <w:r>
                    <w:t xml:space="preserve">).</w:t>
                  </w:r>
                </w:p>
                <w:p>
                  <w:pPr>
                    <w:pStyle w:val="DaftarTabel"/>
                    <w:keepNext/>
                    <w:numPr>
                      <w:ilvl w:val="0"/>
                      <w:numId w:val="1"/>
                    </w:numPr>
                    <w:suppressAutoHyphens/>
                  </w:pPr>
                  <w:r>
                    <w:t xml:space="preserve">Tempat pengungsian sementara disiapkan di pesisir yang terpapar siklon tropis.</w:t>
                  </w:r>
                </w:p>
                <w:p>
                  <w:pPr>
                    <w:pStyle w:val="DaftarTabel"/>
                    <w:keepNext/>
                    <w:numPr>
                      <w:ilvl w:val="0"/>
                      <w:numId w:val="1"/>
                    </w:numPr>
                    <w:suppressAutoHyphens/>
                  </w:pPr>
                  <w:r>
                    <w:t xml:space="preserve">Pendataan rumah rusak per jenis dimulai sejak tanggap darurat.</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Rumah rusak cuaca ekstrem dicatat terpisah dari kategori Puting Beliung dan Angin Kencang.</w:t>
                  </w:r>
                </w:p>
                <w:p>
                  <w:pPr>
                    <w:pStyle w:val="DaftarTabel"/>
                    <w:keepNext/>
                    <w:numPr>
                      <w:ilvl w:val="0"/>
                      <w:numId w:val="1"/>
                    </w:numPr>
                    <w:suppressAutoHyphens/>
                  </w:pPr>
                  <w:r>
                    <w:t xml:space="preserve">Selisih angka DIBI dan Renstra untuk kejadian besar direkonsiliasi dengan tanggal data.</w:t>
                  </w:r>
                </w:p>
                <w:p>
                  <w:pPr>
                    <w:pStyle w:val="DaftarTabel"/>
                    <w:keepNext/>
                    <w:numPr>
                      <w:ilvl w:val="0"/>
                      <w:numId w:val="1"/>
                    </w:numPr>
                    <w:suppressAutoHyphens/>
                  </w:pPr>
                  <w:r>
                    <w:t xml:space="preserve">Lantai cuaca ekstrem dimutakhirkan saat turunan lantai per jenis selesai (</w:t>
                  </w:r>
                  <w:r>
                    <w:fldChar w:fldCharType="begin"/>
                  </w:r>
                  <w:r>
                    <w:instrText xml:space="preserve"> REF _Ref0105 \h \* CHARFORMAT </w:instrText>
                  </w:r>
                  <w:r>
                    <w:fldChar w:fldCharType="separate"/>
                  </w:r>
                  <w:r>
                    <w:t xml:space="preserve">30</w:t>
                  </w:r>
                  <w:r>
                    <w:fldChar w:fldCharType="end"/>
                  </w:r>
                  <w:r>
                    <w:t xml:space="preserve">).</w:t>
                  </w:r>
                </w:p>
              </w:tc>
            </w:tr>
          </w:tbl>
          <w:p>
            <w:pPr>
              <w:pStyle w:val="IsiTabel"/>
              <w:keepNext/>
              <w:spacing w:before="80"/>
            </w:pPr>
            <w:r>
              <w:rPr>
                <w:i/>
                <w:iCs/>
                <w:color w:val="2E3440"/>
                <w:sz w:val="17"/>
                <w:szCs w:val="17"/>
              </w:rPr>
              <w:t xml:space="preserve">Angka tercatat DIBI; potensi kerugian KRB adalah batas atas aset terpapar, bukan kerugian kejadian.</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08" w:name="_Kartu009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2025c)</w:t>
      </w:r>
      <w:r>
        <w:rPr>
          <w:color w:val="6B7280"/>
          <w:sz w:val="17"/>
          <w:szCs w:val="17"/>
        </w:rPr>
        <w:t xml:space="preserve">; Renstra BNPB 2025–2029 </w:t>
      </w:r>
      <w:r>
        <w:rPr>
          <w:color w:val="6B7280"/>
          <w:sz w:val="17"/>
          <w:szCs w:val="17"/>
        </w:rPr>
        <w:t xml:space="preserve">(BNPB, 2025e)</w:t>
      </w:r>
      <w:r>
        <w:rPr>
          <w:color w:val="6B7280"/>
          <w:sz w:val="17"/>
          <w:szCs w:val="17"/>
        </w:rPr>
        <w:t xml:space="preserve">; data per </w:t>
      </w:r>
      <w:r>
        <w:rPr>
          <w:color w:val="6B7280"/>
          <w:sz w:val="17"/>
          <w:szCs w:val="17"/>
        </w:rPr>
        <w:t xml:space="preserve">23 Okt 2026</w:t>
      </w:r>
      <w:bookmarkEnd w:id="408"/>
    </w:p>
    <w:p>
      <w:pPr>
        <w:pStyle w:val="Caption"/>
      </w:pPr>
      <w:bookmarkStart w:id="410" w:name="_Toc00137"/>
      <w:bookmarkStart w:id="409" w:name="_Ref002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409"/>
      <w:r>
        <w:rPr>
          <w:b/>
          <w:bCs/>
          <w:color w:val="051C2C"/>
        </w:rPr>
        <w:t xml:space="preserve"> </w:t>
      </w:r>
      <w:r>
        <w:t xml:space="preserve">Bengawan Solo pada musim kemarau, Juli 2015</w:t>
      </w:r>
      <w:bookmarkEnd w:id="410"/>
    </w:p>
    <w:p xmlns:a="http://schemas.openxmlformats.org/drawingml/2006/main" xmlns:pic="http://schemas.openxmlformats.org/drawingml/2006/picture">
      <w:pPr>
        <w:keepNext/>
        <w:spacing w:after="0" w:line="240" w:lineRule="auto"/>
        <w:jc w:val="center"/>
      </w:pPr>
      <w:bookmarkStart w:id="411" w:name="_Obj0040"/>
      <w:r>
        <w:drawing>
          <wp:inline distT="0" distB="0" distL="0" distR="0">
            <wp:extent cx="2898000" cy="2173076"/>
            <wp:effectExtent l="0" t="0" r="0" b="0"/>
            <wp:docPr id="103" name="Gambar 103"/>
            <wp:cNvGraphicFramePr>
              <a:graphicFrameLocks noChangeAspect="1"/>
            </wp:cNvGraphicFramePr>
            <a:graphic>
              <a:graphicData uri="http://schemas.openxmlformats.org/drawingml/2006/picture">
                <pic:pic>
                  <pic:nvPicPr>
                    <pic:cNvPr id="103" name="air-bengawan-solo-kering.jpg"/>
                    <pic:cNvPicPr/>
                  </pic:nvPicPr>
                  <pic:blipFill>
                    <a:blip r:embed="rId65"/>
                    <a:stretch>
                      <a:fillRect/>
                    </a:stretch>
                  </pic:blipFill>
                  <pic:spPr>
                    <a:xfrm>
                      <a:off x="0" y="0"/>
                      <a:ext cx="2898000" cy="2173076"/>
                    </a:xfrm>
                    <a:prstGeom prst="rect">
                      <a:avLst/>
                    </a:prstGeom>
                  </pic:spPr>
                </pic:pic>
              </a:graphicData>
            </a:graphic>
          </wp:inline>
        </w:drawing>
      </w:r>
      <w:bookmarkEnd w:id="411"/>
    </w:p>
    <w:p>
      <w:pPr>
        <w:pStyle w:val="Sumber"/>
      </w:pPr>
      <w:r>
        <w:rPr>
          <w:b/>
          <w:bCs/>
          <w:color w:val="6B7280"/>
          <w:sz w:val="17"/>
          <w:szCs w:val="17"/>
        </w:rPr>
        <w:t xml:space="preserve">Sumber: </w:t>
      </w:r>
      <w:r>
        <w:rPr>
          <w:color w:val="6B7280"/>
          <w:sz w:val="17"/>
          <w:szCs w:val="17"/>
        </w:rPr>
        <w:t xml:space="preserve">Wikimedia Commons, Crisco 1492, CC BY-SA 4.0</w:t>
      </w:r>
    </w:p>
    <w:p>
      <w:pPr>
        <w:pStyle w:val="Heading2"/>
      </w:pPr>
      <w:bookmarkStart w:id="413" w:name="_Toc00138"/>
      <w:bookmarkStart w:id="412" w:name="_Ref0139"/>
      <w:r>
        <w:t xml:space="preserve">7.4</w:t>
      </w:r>
      <w:bookmarkEnd w:id="412"/>
      <w:r>
        <w:tab/>
      </w:r>
      <w:r>
        <w:t xml:space="preserve">Gelombang Ekstrem, Abrasi, dan Rob</w:t>
      </w:r>
      <w:bookmarkEnd w:id="413"/>
    </w:p>
    <w:p>
      <w:pPr>
        <w:pStyle w:val="IsiTemuan"/>
      </w:pPr>
      <w:r>
        <w:rPr>
          <w:b/>
          <w:bCs/>
          <w:color w:val="051C2C"/>
        </w:rPr>
        <w:t xml:space="preserve">Tahun gelombang ekstrem dan abrasi tercatat terburuk adalah 2011 dengan </w:t>
      </w:r>
      <w:r>
        <w:rPr>
          <w:b/>
          <w:bCs/>
          <w:color w:val="051C2C"/>
        </w:rPr>
        <w:t xml:space="preserve">36</w:t>
      </w:r>
      <w:r>
        <w:rPr>
          <w:b/>
          <w:bCs/>
          <w:color w:val="051C2C"/>
        </w:rPr>
        <w:t xml:space="preserve"> meninggal dan hilang, termasuk </w:t>
      </w:r>
      <w:r>
        <w:rPr>
          <w:b/>
          <w:bCs/>
          <w:color w:val="051C2C"/>
        </w:rPr>
        <w:t xml:space="preserve">31</w:t>
      </w:r>
      <w:r>
        <w:rPr>
          <w:b/>
          <w:bCs/>
          <w:color w:val="051C2C"/>
        </w:rPr>
        <w:t xml:space="preserve"> orang hilang dalam satu kejadian di Kabupaten Jepara.</w:t>
      </w:r>
      <w:r>
        <w:t xml:space="preserve"> Kartu paket data memakai tahun 2021 sebagai analog karena kejadiannya terbanyak, </w:t>
      </w:r>
      <w:r>
        <w:t xml:space="preserve">90</w:t>
      </w:r>
      <w:r>
        <w:t xml:space="preserve"> kejadian, tetapi tahun itu hanya mencatat </w:t>
      </w:r>
      <w:r>
        <w:t xml:space="preserve">4</w:t>
      </w:r>
      <w:r>
        <w:t xml:space="preserve"> meninggal dan hilang </w:t>
      </w:r>
      <w:r>
        <w:t xml:space="preserve">(BNPB, t.t.-a)</w:t>
      </w:r>
      <w:r>
        <w:t xml:space="preserve">. Kartu dengan korban 2021 lebih ringan daripada 2011 dan melanggar aturan lantai, sehingga </w:t>
      </w:r>
      <w:r>
        <w:fldChar w:fldCharType="begin"/>
      </w:r>
      <w:r>
        <w:instrText xml:space="preserve"> REF _Ref0270 \h \* CHARFORMAT </w:instrText>
      </w:r>
      <w:r>
        <w:fldChar w:fldCharType="separate"/>
      </w:r>
      <w:r>
        <w:t xml:space="preserve">Tabel 7.4</w:t>
      </w:r>
      <w:r>
        <w:fldChar w:fldCharType="end"/>
      </w:r>
      <w:r>
        <w:t xml:space="preserve"> memakai 2011 untuk korban jiwa dan 2021 untuk kejadian dan rumah rusak. Angka 2011 tetap kandidat sampai turunan lantai per jenis tersedia. DIBI mencatat kejadian Jepara sebagai gelombang pasang dan abrasi tanpa membedakan korban di laut dan di darat.</w:t>
      </w:r>
    </w:p>
    <w:p>
      <w:pPr>
        <w:pStyle w:val="IsiTemuan"/>
      </w:pPr>
      <w:r>
        <w:rPr>
          <w:b/>
          <w:bCs/>
          <w:color w:val="051C2C"/>
        </w:rPr>
        <w:t xml:space="preserve">Paparan gelombang ekstrem dan abrasi punya tiga versi resmi: </w:t>
      </w:r>
      <w:r>
        <w:rPr>
          <w:b/>
          <w:bCs/>
          <w:color w:val="051C2C"/>
        </w:rPr>
        <w:t xml:space="preserve">4.129.597</w:t>
      </w:r>
      <w:r>
        <w:rPr>
          <w:b/>
          <w:bCs/>
          <w:color w:val="051C2C"/>
        </w:rPr>
        <w:t xml:space="preserve"> jiwa di Renas PB, </w:t>
      </w:r>
      <w:r>
        <w:rPr>
          <w:b/>
          <w:bCs/>
          <w:color w:val="051C2C"/>
        </w:rPr>
        <w:t xml:space="preserve">4.104.943</w:t>
      </w:r>
      <w:r>
        <w:rPr>
          <w:b/>
          <w:bCs/>
          <w:color w:val="051C2C"/>
        </w:rPr>
        <w:t xml:space="preserve"> di antarmuka pemrograman aplikasi (API) KRB nasional, dan </w:t>
      </w:r>
      <w:r>
        <w:rPr>
          <w:b/>
          <w:bCs/>
          <w:color w:val="051C2C"/>
        </w:rPr>
        <w:t xml:space="preserve">4.080.596</w:t>
      </w:r>
      <w:r>
        <w:rPr>
          <w:b/>
          <w:bCs/>
          <w:color w:val="051C2C"/>
        </w:rPr>
        <w:t xml:space="preserve"> dari jumlah kab/kota.</w:t>
      </w:r>
      <w:r>
        <w:t xml:space="preserve"> Potensi kerugiannya </w:t>
      </w:r>
      <w:r>
        <w:t xml:space="preserve">Rp21,6 triliun</w:t>
      </w:r>
      <w:r>
        <w:t xml:space="preserve"> di Renas PB dan </w:t>
      </w:r>
      <w:r>
        <w:t xml:space="preserve">Rp24,4 triliun</w:t>
      </w:r>
      <w:r>
        <w:t xml:space="preserve"> dari jumlah kab/kota </w:t>
      </w:r>
      <w:r>
        <w:t xml:space="preserve">(BNPB, 2025c, 2026j)</w:t>
      </w:r>
      <w:r>
        <w:t xml:space="preserve">. Ketiga versi ditulis berdampingan karena sumber tidak menjelaskan selisihnya. IRBI 2025 tidak menilai abrasi di </w:t>
      </w:r>
      <w:r>
        <w:t xml:space="preserve">188</w:t>
      </w:r>
      <w:r>
        <w:t xml:space="preserve"> kab/kota </w:t>
      </w:r>
      <w:r>
        <w:t xml:space="preserve">(BNPB, t.t.-b)</w:t>
      </w:r>
      <w:r>
        <w:t xml:space="preserve">.</w:t>
      </w:r>
    </w:p>
    <w:p>
      <w:pPr>
        <w:pStyle w:val="IsiTemuan"/>
      </w:pPr>
      <w:r>
        <w:rPr>
          <w:b/>
          <w:bCs/>
          <w:color w:val="051C2C"/>
        </w:rPr>
        <w:t xml:space="preserve">Rob tidak pernah mencatat korban jiwa di DIBI, dan luas rawan rob resmi hanya tersedia untuk Wilayah Sungai Jratunseluna, </w:t>
      </w:r>
      <w:r>
        <w:rPr>
          <w:b/>
          <w:bCs/>
          <w:color w:val="051C2C"/>
        </w:rPr>
        <w:t xml:space="preserve">sekitar 23.000 ha</w:t>
      </w:r>
      <w:r>
        <w:rPr>
          <w:b/>
          <w:bCs/>
          <w:color w:val="051C2C"/>
        </w:rPr>
        <w:t xml:space="preserve"> dari simulasi pasang.</w:t>
      </w:r>
      <w:r>
        <w:t xml:space="preserve"> DIBI baru mencatat rob sejak 2018 dan kosong pada 2019 dan 2024; tahun 2021 mencatat </w:t>
      </w:r>
      <w:r>
        <w:t xml:space="preserve">76</w:t>
      </w:r>
      <w:r>
        <w:t xml:space="preserve"> kejadian rob </w:t>
      </w:r>
      <w:r>
        <w:t xml:space="preserve">(BNPB, t.t.-a)</w:t>
      </w:r>
      <w:r>
        <w:t xml:space="preserve">. Luas Jratunseluna berasal dari Rencana Pengelolaan Sumber Daya Air yang memakai simulasi pasang </w:t>
      </w:r>
      <w:r>
        <w:t xml:space="preserve">(Kementerian Pekerjaan Umum dan Perumahan Rakyat, Direktorat Jenderal Sumber Daya Air, 2024, hlm. 27–28)</w:t>
      </w:r>
      <w:r>
        <w:t xml:space="preserve">, dan luas genangan rob di wilayah sungai lain tidak dikuantifikasi.</w:t>
      </w:r>
    </w:p>
    <w:p>
      <w:pPr>
        <w:pStyle w:val="Caption"/>
        <w:pageBreakBefore/>
      </w:pPr>
      <w:bookmarkStart w:id="415" w:name="_Toc00139"/>
      <w:bookmarkStart w:id="414" w:name="_Ref027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414"/>
      <w:r>
        <w:rPr>
          <w:b/>
          <w:bCs/>
          <w:color w:val="051C2C"/>
        </w:rPr>
        <w:t xml:space="preserve"> </w:t>
      </w:r>
      <w:r>
        <w:t xml:space="preserve">Gelombang ekstrem, abrasi, dan rob nasional setara tahun 2011 untuk korban dan 2021 untuk kejadian</w:t>
      </w:r>
      <w:bookmarkEnd w:id="415"/>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keepNext/>
                    <w:spacing w:after="0"/>
                  </w:pPr>
                  <w:bookmarkStart w:id="417" w:name="_Kartu010a"/>
                  <w:bookmarkStart w:id="416" w:name="_Obj0041"/>
                  <w:r>
                    <w:rPr>
                      <w:position w:val="-10"/>
                    </w:rPr>
                    <w:drawing>
                      <wp:inline distT="0" distB="0" distL="0" distR="0">
                        <wp:extent cx="216000" cy="216000"/>
                        <wp:effectExtent l="0" t="0" r="0" b="0"/>
                        <wp:docPr id="104" name="Gambar 104"/>
                        <wp:cNvGraphicFramePr>
                          <a:graphicFrameLocks noChangeAspect="1"/>
                        </wp:cNvGraphicFramePr>
                        <a:graphic>
                          <a:graphicData uri="http://schemas.openxmlformats.org/drawingml/2006/picture">
                            <pic:pic>
                              <pic:nvPicPr>
                                <pic:cNvPr id="104" name="gelombang-abrasi-khusus-abrasi-FFFFFF-2F86D1.png"/>
                                <pic:cNvPicPr/>
                              </pic:nvPicPr>
                              <pic:blipFill>
                                <a:blip r:embed="rId66"/>
                                <a:stretch>
                                  <a:fillRect/>
                                </a:stretch>
                              </pic:blipFill>
                              <pic:spPr>
                                <a:xfrm>
                                  <a:off x="0" y="0"/>
                                  <a:ext cx="216000" cy="216000"/>
                                </a:xfrm>
                                <a:prstGeom prst="rect">
                                  <a:avLst/>
                                </a:prstGeom>
                              </pic:spPr>
                            </pic:pic>
                          </a:graphicData>
                        </a:graphic>
                      </wp:inline>
                    </w:drawing>
                  </w:r>
                  <w:r>
                    <w:t xml:space="preserve"> </w:t>
                  </w:r>
                  <w:r>
                    <w:rPr>
                      <w:b/>
                      <w:bCs/>
                    </w:rPr>
                    <w:t xml:space="preserve">Gelombang ekstrem dan abrasi</w:t>
                  </w:r>
                  <w:r>
                    <w:rPr>
                      <w:color w:val="2E3440"/>
                    </w:rPr>
                    <w:t xml:space="preserve">  Hidrometeorologi basah</w:t>
                  </w:r>
                  <w:bookmarkEnd w:id="416"/>
                  <w:bookmarkEnd w:id="417"/>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per jenis ringkas; korban dari tahun tercatat terburuk 2011 (kandidat lantai sampai turunan lantai per jenis tersedia), kejadian dan rumah rusak dari tahun 2021 yang kejadiannya terbanyak; pita model rasio tidak ditampilkan karena lebarnya lebih dari satu orde besaran.</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tidak ada dasar peluang per jenis</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105" name="Gambar 105"/>
                              <wp:cNvGraphicFramePr>
                                <a:graphicFrameLocks noChangeAspect="1"/>
                              </wp:cNvGraphicFramePr>
                              <a:graphic>
                                <a:graphicData uri="http://schemas.openxmlformats.org/drawingml/2006/picture">
                                  <pic:pic>
                                    <pic:nvPicPr>
                                      <pic:cNvPr id="10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06" name="Gambar 106"/>
                              <wp:cNvGraphicFramePr>
                                <a:graphicFrameLocks noChangeAspect="1"/>
                              </wp:cNvGraphicFramePr>
                              <a:graphic>
                                <a:graphicData uri="http://schemas.openxmlformats.org/drawingml/2006/picture">
                                  <pic:pic>
                                    <pic:nvPicPr>
                                      <pic:cNvPr id="10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7" name="Gambar 107"/>
                              <wp:cNvGraphicFramePr>
                                <a:graphicFrameLocks noChangeAspect="1"/>
                              </wp:cNvGraphicFramePr>
                              <a:graphic>
                                <a:graphicData uri="http://schemas.openxmlformats.org/drawingml/2006/picture">
                                  <pic:pic>
                                    <pic:nvPicPr>
                                      <pic:cNvPr id="10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Kelautan dan Perikanan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8" name="Gambar 108"/>
                              <wp:cNvGraphicFramePr>
                                <a:graphicFrameLocks noChangeAspect="1"/>
                              </wp:cNvGraphicFramePr>
                              <a:graphic>
                                <a:graphicData uri="http://schemas.openxmlformats.org/drawingml/2006/picture">
                                  <pic:pic>
                                    <pic:nvPicPr>
                                      <pic:cNvPr id="10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 pesisir</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290385"/>
                        <wp:effectExtent l="0" t="0" r="0" b="0"/>
                        <wp:docPr id="109" name="Gambar 109"/>
                        <wp:cNvGraphicFramePr>
                          <a:graphicFrameLocks noChangeAspect="1"/>
                        </wp:cNvGraphicFramePr>
                        <a:graphic>
                          <a:graphicData uri="http://schemas.openxmlformats.org/drawingml/2006/picture">
                            <pic:pic>
                              <pic:nvPicPr>
                                <pic:cNvPr id="109" name="bab07-kartu-gelombang.png"/>
                                <pic:cNvPicPr/>
                              </pic:nvPicPr>
                              <pic:blipFill>
                                <a:blip r:embed="rId67"/>
                                <a:stretch>
                                  <a:fillRect/>
                                </a:stretch>
                              </pic:blipFill>
                              <pic:spPr>
                                <a:xfrm>
                                  <a:off x="0" y="0"/>
                                  <a:ext cx="1882800" cy="2290385"/>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735"/>
              <w:gridCol w:w="1338"/>
              <w:gridCol w:w="1244"/>
              <w:gridCol w:w="1525"/>
              <w:gridCol w:w="1512"/>
            </w:tblGrid>
            <w:tr>
              <w:trPr>
                <w:cantSplit/>
                <w:tblHeader/>
              </w:trPr>
              <w:tc>
                <w:tcPr>
                  <w:tcW w:w="3735" w:type="dxa"/>
                  <w:shd w:val="clear" w:color="auto" w:fill="051C2C"/>
                  <w:vAlign w:val="center"/>
                </w:tcPr>
                <w:p>
                  <w:pPr>
                    <w:pStyle w:val="KepalaTabel"/>
                    <w:keepNext/>
                    <w:suppressAutoHyphens/>
                  </w:pPr>
                  <w:r>
                    <w:t xml:space="preserve">BESARAN</w:t>
                  </w:r>
                </w:p>
              </w:tc>
              <w:tc>
                <w:tcPr>
                  <w:tcW w:w="1338" w:type="dxa"/>
                  <w:shd w:val="clear" w:color="auto" w:fill="051C2C"/>
                  <w:vAlign w:val="center"/>
                </w:tcPr>
                <w:p>
                  <w:pPr>
                    <w:pStyle w:val="KepalaTabel"/>
                    <w:keepNext/>
                    <w:suppressAutoHyphens/>
                  </w:pPr>
                  <w:r>
                    <w:t xml:space="preserve">RENDAH</w:t>
                  </w:r>
                </w:p>
              </w:tc>
              <w:tc>
                <w:tcPr>
                  <w:tcW w:w="1244" w:type="dxa"/>
                  <w:shd w:val="clear" w:color="auto" w:fill="051C2C"/>
                  <w:vAlign w:val="center"/>
                </w:tcPr>
                <w:p>
                  <w:pPr>
                    <w:pStyle w:val="KepalaTabel"/>
                    <w:keepNext/>
                    <w:suppressAutoHyphens/>
                  </w:pPr>
                  <w:r>
                    <w:t xml:space="preserve">TINGGI</w:t>
                  </w:r>
                </w:p>
              </w:tc>
              <w:tc>
                <w:tcPr>
                  <w:tcW w:w="1525" w:type="dxa"/>
                  <w:shd w:val="clear" w:color="auto" w:fill="051C2C"/>
                  <w:vAlign w:val="center"/>
                </w:tcPr>
                <w:p>
                  <w:pPr>
                    <w:pStyle w:val="KepalaTabel"/>
                    <w:keepNext/>
                    <w:suppressAutoHyphens/>
                  </w:pPr>
                  <w:r>
                    <w:t xml:space="preserve">KEYAKINAN</w:t>
                  </w:r>
                </w:p>
              </w:tc>
              <w:tc>
                <w:tcPr>
                  <w:tcW w:w="1512" w:type="dxa"/>
                  <w:shd w:val="clear" w:color="auto" w:fill="051C2C"/>
                  <w:vAlign w:val="center"/>
                </w:tcPr>
                <w:p>
                  <w:pPr>
                    <w:pStyle w:val="KepalaTabel"/>
                    <w:keepNext/>
                    <w:suppressAutoHyphens/>
                  </w:pPr>
                  <w:r>
                    <w:t xml:space="preserve">SUMBER</w:t>
                  </w:r>
                </w:p>
              </w:tc>
            </w:tr>
            <w:tr>
              <w:trPr>
                <w:cantSplit/>
              </w:trPr>
              <w:tc>
                <w:tcPr>
                  <w:tcW w:w="3735" w:type="dxa"/>
                </w:tcPr>
                <w:p>
                  <w:pPr>
                    <w:pStyle w:val="IsiTabel"/>
                    <w:keepNext/>
                    <w:suppressAutoHyphens/>
                    <w:jc w:val="left"/>
                  </w:pPr>
                  <w:r>
                    <w:t xml:space="preserve">Kependudukan, meninggal dan hilang tahun 2011</w:t>
                  </w:r>
                </w:p>
              </w:tc>
              <w:tc>
                <w:tcPr>
                  <w:tcW w:w="1338" w:type="dxa"/>
                </w:tcPr>
                <w:p>
                  <w:pPr>
                    <w:pStyle w:val="IsiTabel"/>
                    <w:keepNext/>
                    <w:suppressAutoHyphens/>
                    <w:jc w:val="right"/>
                  </w:pPr>
                  <w:r>
                    <w:t xml:space="preserve">36</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12" w:type="dxa"/>
                </w:tcPr>
                <w:p>
                  <w:pPr>
                    <w:pStyle w:val="IsiTabel"/>
                    <w:keepNext/>
                    <w:suppressAutoHyphens/>
                    <w:jc w:val="left"/>
                  </w:pPr>
                  <w:r>
                    <w:t xml:space="preserve">DIBI BNPB; kandidat lantai</w:t>
                  </w:r>
                </w:p>
              </w:tc>
            </w:tr>
            <w:tr>
              <w:trPr>
                <w:cantSplit/>
              </w:trPr>
              <w:tc>
                <w:tcPr>
                  <w:tcW w:w="3735" w:type="dxa"/>
                </w:tcPr>
                <w:p>
                  <w:pPr>
                    <w:pStyle w:val="IsiTabel"/>
                    <w:keepNext/>
                    <w:suppressAutoHyphens/>
                    <w:jc w:val="left"/>
                  </w:pPr>
                  <w:r>
                    <w:t xml:space="preserve">Kependudukan, hilang dalam satu kejadian di Kabupaten Jepara 2011</w:t>
                  </w:r>
                </w:p>
              </w:tc>
              <w:tc>
                <w:tcPr>
                  <w:tcW w:w="1338" w:type="dxa"/>
                </w:tcPr>
                <w:p>
                  <w:pPr>
                    <w:pStyle w:val="IsiTabel"/>
                    <w:keepNext/>
                    <w:suppressAutoHyphens/>
                    <w:jc w:val="right"/>
                  </w:pPr>
                  <w:r>
                    <w:t xml:space="preserve">31</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12" w:type="dxa"/>
                </w:tcPr>
                <w:p>
                  <w:pPr>
                    <w:pStyle w:val="IsiTabel"/>
                    <w:keepNext/>
                    <w:suppressAutoHyphens/>
                    <w:jc w:val="left"/>
                  </w:pPr>
                  <w:r>
                    <w:t xml:space="preserve">DIBI BNPB; kandidat lantai kejadian tunggal</w:t>
                  </w:r>
                </w:p>
              </w:tc>
            </w:tr>
            <w:tr>
              <w:trPr>
                <w:cantSplit/>
              </w:trPr>
              <w:tc>
                <w:tcPr>
                  <w:tcW w:w="3735" w:type="dxa"/>
                </w:tcPr>
                <w:p>
                  <w:pPr>
                    <w:pStyle w:val="IsiTabel"/>
                    <w:keepNext/>
                    <w:suppressAutoHyphens/>
                    <w:jc w:val="left"/>
                  </w:pPr>
                  <w:r>
                    <w:t xml:space="preserve">Kependudukan, korban jiwa rob</w:t>
                  </w:r>
                </w:p>
              </w:tc>
              <w:tc>
                <w:tcPr>
                  <w:tcW w:w="1338" w:type="dxa"/>
                </w:tcPr>
                <w:p>
                  <w:pPr>
                    <w:pStyle w:val="IsiTabel"/>
                    <w:keepNext/>
                    <w:suppressAutoHyphens/>
                    <w:jc w:val="right"/>
                  </w:pPr>
                  <w:r>
                    <w:t xml:space="preserve">–</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512" w:type="dxa"/>
                </w:tcPr>
                <w:p>
                  <w:pPr>
                    <w:pStyle w:val="IsiTabel"/>
                    <w:keepNext/>
                    <w:suppressAutoHyphens/>
                    <w:jc w:val="left"/>
                  </w:pPr>
                  <w:r>
                    <w:t xml:space="preserve">tidak ada korban rob tercatat di DIBI sejak 2018</w:t>
                  </w:r>
                </w:p>
              </w:tc>
            </w:tr>
            <w:tr>
              <w:trPr>
                <w:cantSplit/>
              </w:trPr>
              <w:tc>
                <w:tcPr>
                  <w:tcW w:w="3735" w:type="dxa"/>
                </w:tcPr>
                <w:p>
                  <w:pPr>
                    <w:pStyle w:val="IsiTabel"/>
                    <w:keepNext/>
                    <w:suppressAutoHyphens/>
                    <w:jc w:val="left"/>
                  </w:pPr>
                  <w:r>
                    <w:t xml:space="preserve">Kependudukan, penduduk terpapar KRB gelombang dan abrasi</w:t>
                  </w:r>
                </w:p>
              </w:tc>
              <w:tc>
                <w:tcPr>
                  <w:tcW w:w="1338" w:type="dxa"/>
                </w:tcPr>
                <w:p>
                  <w:pPr>
                    <w:pStyle w:val="IsiTabel"/>
                    <w:keepNext/>
                    <w:suppressAutoHyphens/>
                    <w:jc w:val="right"/>
                  </w:pPr>
                  <w:r>
                    <w:t xml:space="preserve">4.080.596</w:t>
                  </w:r>
                </w:p>
              </w:tc>
              <w:tc>
                <w:tcPr>
                  <w:tcW w:w="1244" w:type="dxa"/>
                </w:tcPr>
                <w:p>
                  <w:pPr>
                    <w:pStyle w:val="IsiTabel"/>
                    <w:keepNext/>
                    <w:suppressAutoHyphens/>
                    <w:jc w:val="right"/>
                  </w:pPr>
                  <w:r>
                    <w:t xml:space="preserve">4.129.597</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12" w:type="dxa"/>
                </w:tcPr>
                <w:p>
                  <w:pPr>
                    <w:pStyle w:val="IsiTabel"/>
                    <w:keepNext/>
                    <w:suppressAutoHyphens/>
                    <w:jc w:val="left"/>
                  </w:pPr>
                  <w:r>
                    <w:t xml:space="preserve">rendah jumlah kab/kota, tinggi Renas PB; batas atas paparan</w:t>
                  </w:r>
                </w:p>
              </w:tc>
            </w:tr>
            <w:tr>
              <w:trPr>
                <w:cantSplit/>
              </w:trPr>
              <w:tc>
                <w:tcPr>
                  <w:tcW w:w="3735" w:type="dxa"/>
                </w:tcPr>
                <w:p>
                  <w:pPr>
                    <w:pStyle w:val="IsiTabel"/>
                    <w:keepNext/>
                    <w:suppressAutoHyphens/>
                    <w:jc w:val="left"/>
                  </w:pPr>
                  <w:r>
                    <w:t xml:space="preserve">Lingkungan, luas bahaya tinggi gelombang dan abrasi (ha)</w:t>
                  </w:r>
                </w:p>
              </w:tc>
              <w:tc>
                <w:tcPr>
                  <w:tcW w:w="1338" w:type="dxa"/>
                </w:tcPr>
                <w:p>
                  <w:pPr>
                    <w:pStyle w:val="IsiTabel"/>
                    <w:keepNext/>
                    <w:suppressAutoHyphens/>
                    <w:jc w:val="right"/>
                  </w:pPr>
                  <w:r>
                    <w:t xml:space="preserve">301.655</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12" w:type="dxa"/>
                </w:tcPr>
                <w:p>
                  <w:pPr>
                    <w:pStyle w:val="IsiTabel"/>
                    <w:keepNext/>
                    <w:suppressAutoHyphens/>
                    <w:jc w:val="left"/>
                  </w:pPr>
                  <w:r>
                    <w:t xml:space="preserve">KRB, jumlah kab/kota; batas atas</w:t>
                  </w:r>
                </w:p>
              </w:tc>
            </w:tr>
            <w:tr>
              <w:trPr>
                <w:cantSplit/>
              </w:trPr>
              <w:tc>
                <w:tcPr>
                  <w:tcW w:w="3735" w:type="dxa"/>
                </w:tcPr>
                <w:p>
                  <w:pPr>
                    <w:pStyle w:val="IsiTabel"/>
                    <w:keepNext/>
                    <w:suppressAutoHyphens/>
                    <w:jc w:val="left"/>
                  </w:pPr>
                  <w:r>
                    <w:t xml:space="preserve">Lingkungan, luas rawan rob WS Jratunseluna (ha)</w:t>
                  </w:r>
                </w:p>
              </w:tc>
              <w:tc>
                <w:tcPr>
                  <w:tcW w:w="1338" w:type="dxa"/>
                </w:tcPr>
                <w:p>
                  <w:pPr>
                    <w:pStyle w:val="IsiTabel"/>
                    <w:keepNext/>
                    <w:suppressAutoHyphens/>
                    <w:jc w:val="right"/>
                  </w:pPr>
                  <w:r>
                    <w:t xml:space="preserve">sekitar 23.000</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512" w:type="dxa"/>
                </w:tcPr>
                <w:p>
                  <w:pPr>
                    <w:pStyle w:val="IsiTabel"/>
                    <w:keepNext/>
                    <w:suppressAutoHyphens/>
                    <w:jc w:val="left"/>
                  </w:pPr>
                  <w:r>
                    <w:t xml:space="preserve">simulasi dalam RPSDA resmi; wilayah sungai lain tidak dikuantifikasi</w:t>
                  </w:r>
                </w:p>
              </w:tc>
            </w:tr>
            <w:tr>
              <w:trPr>
                <w:cantSplit/>
              </w:trPr>
              <w:tc>
                <w:tcPr>
                  <w:tcW w:w="3735" w:type="dxa"/>
                </w:tcPr>
                <w:p>
                  <w:pPr>
                    <w:pStyle w:val="IsiTabel"/>
                    <w:keepNext/>
                    <w:suppressAutoHyphens/>
                    <w:jc w:val="left"/>
                  </w:pPr>
                  <w:bookmarkStart w:id="418" w:name="_Ekor049a"/>
                  <w:bookmarkEnd w:id="418"/>
                  <w:r>
                    <w:t xml:space="preserve">Ekonomi, potensi kerugian KRB</w:t>
                  </w:r>
                </w:p>
              </w:tc>
              <w:tc>
                <w:tcPr>
                  <w:tcW w:w="1338" w:type="dxa"/>
                </w:tcPr>
                <w:p>
                  <w:pPr>
                    <w:pStyle w:val="IsiTabel"/>
                    <w:keepNext/>
                    <w:suppressAutoHyphens/>
                    <w:jc w:val="right"/>
                  </w:pPr>
                  <w:r>
                    <w:t xml:space="preserve">Rp21,6 triliun</w:t>
                  </w:r>
                </w:p>
              </w:tc>
              <w:tc>
                <w:tcPr>
                  <w:tcW w:w="1244" w:type="dxa"/>
                </w:tcPr>
                <w:p>
                  <w:pPr>
                    <w:pStyle w:val="IsiTabel"/>
                    <w:keepNext/>
                    <w:suppressAutoHyphens/>
                    <w:jc w:val="right"/>
                  </w:pPr>
                  <w:r>
                    <w:t xml:space="preserve">Rp24,4 triliun</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12" w:type="dxa"/>
                </w:tcPr>
                <w:p>
                  <w:pPr>
                    <w:pStyle w:val="IsiTabel"/>
                    <w:keepNext/>
                    <w:suppressAutoHyphens/>
                    <w:jc w:val="left"/>
                  </w:pPr>
                  <w:r>
                    <w:t xml:space="preserve">rendah Renas PB, tinggi jumlah kab/kota; aset terpapar</w:t>
                  </w:r>
                </w:p>
              </w:tc>
            </w:tr>
            <w:tr>
              <w:trPr>
                <w:cantSplit/>
              </w:trPr>
              <w:tc>
                <w:tcPr>
                  <w:tcW w:w="3735" w:type="dxa"/>
                </w:tcPr>
                <w:p>
                  <w:pPr>
                    <w:pStyle w:val="IsiTabel"/>
                    <w:keepNext/>
                    <w:suppressAutoHyphens/>
                    <w:jc w:val="left"/>
                  </w:pPr>
                  <w:r>
                    <w:t xml:space="preserve">Infrastruktur/fisik, rumah rusak berat tahun 2021</w:t>
                  </w:r>
                </w:p>
              </w:tc>
              <w:tc>
                <w:tcPr>
                  <w:tcW w:w="1338" w:type="dxa"/>
                </w:tcPr>
                <w:p>
                  <w:pPr>
                    <w:pStyle w:val="IsiTabel"/>
                    <w:keepNext/>
                    <w:suppressAutoHyphens/>
                    <w:jc w:val="right"/>
                  </w:pPr>
                  <w:r>
                    <w:t xml:space="preserve">387</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12" w:type="dxa"/>
                </w:tcPr>
                <w:p>
                  <w:pPr>
                    <w:pStyle w:val="IsiTabel"/>
                    <w:keepNext/>
                    <w:suppressAutoHyphens/>
                    <w:jc w:val="left"/>
                  </w:pPr>
                  <w:r>
                    <w:t xml:space="preserve">DIBI BNPB, gelombang, abrasi, dan rob</w:t>
                  </w:r>
                </w:p>
              </w:tc>
            </w:tr>
            <w:tr>
              <w:trPr>
                <w:cantSplit/>
              </w:trPr>
              <w:tc>
                <w:tcPr>
                  <w:tcW w:w="3735" w:type="dxa"/>
                </w:tcPr>
                <w:p>
                  <w:pPr>
                    <w:pStyle w:val="IsiTabel"/>
                    <w:keepNext/>
                    <w:suppressAutoHyphens/>
                    <w:jc w:val="left"/>
                  </w:pPr>
                  <w:r>
                    <w:t xml:space="preserve">Layanan sipil, fasilitas rusak</w:t>
                  </w:r>
                </w:p>
              </w:tc>
              <w:tc>
                <w:tcPr>
                  <w:tcW w:w="1338" w:type="dxa"/>
                </w:tcPr>
                <w:p>
                  <w:pPr>
                    <w:pStyle w:val="IsiTabel"/>
                    <w:keepNext/>
                    <w:suppressAutoHyphens/>
                    <w:jc w:val="right"/>
                  </w:pPr>
                  <w:r>
                    <w:t xml:space="preserve">–</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512" w:type="dxa"/>
                </w:tcPr>
                <w:p>
                  <w:pPr>
                    <w:pStyle w:val="IsiTabel"/>
                    <w:keepNext/>
                    <w:suppressAutoHyphens/>
                    <w:jc w:val="left"/>
                  </w:pPr>
                  <w:r>
                    <w:t xml:space="preserve">fasilitas rusak per jenis tidak dimuat paket data</w:t>
                  </w:r>
                </w:p>
              </w:tc>
            </w:tr>
            <w:tr>
              <w:trPr>
                <w:cantSplit/>
              </w:trPr>
              <w:tc>
                <w:tcPr>
                  <w:tcW w:w="3735" w:type="dxa"/>
                </w:tcPr>
                <w:p>
                  <w:pPr>
                    <w:pStyle w:val="IsiTabel"/>
                    <w:keepNext/>
                    <w:suppressAutoHyphens/>
                    <w:jc w:val="left"/>
                  </w:pPr>
                  <w:bookmarkStart w:id="419" w:name="_Ekor049z"/>
                  <w:bookmarkEnd w:id="419"/>
                  <w:r>
                    <w:t xml:space="preserve">Kebutuhan respons, pengungsi tahun 2021</w:t>
                  </w:r>
                </w:p>
              </w:tc>
              <w:tc>
                <w:tcPr>
                  <w:tcW w:w="1338" w:type="dxa"/>
                </w:tcPr>
                <w:p>
                  <w:pPr>
                    <w:pStyle w:val="IsiTabel"/>
                    <w:keepNext/>
                    <w:suppressAutoHyphens/>
                    <w:jc w:val="right"/>
                  </w:pPr>
                  <w:r>
                    <w:t xml:space="preserve">7.225</w:t>
                  </w:r>
                </w:p>
              </w:tc>
              <w:tc>
                <w:tcPr>
                  <w:tcW w:w="124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12" w:type="dxa"/>
                </w:tcPr>
                <w:p>
                  <w:pPr>
                    <w:pStyle w:val="IsiTabel"/>
                    <w:keepNext/>
                    <w:suppressAutoHyphens/>
                    <w:jc w:val="left"/>
                  </w:pPr>
                  <w:r>
                    <w:t xml:space="preserve">DIBI BNPB, gelombang, abrasi, dan rob</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Bila cakupan peringatan dini naik ke target 2029 Renas PB indikator 1.c, korban lantai 2011 sebanyak </w:t>
                  </w:r>
                  <w:r>
                    <w:t xml:space="preserve">36 jiwa</w:t>
                  </w:r>
                  <w:r>
                    <w:t xml:space="preserve"> dihitung menjadi </w:t>
                  </w:r>
                  <w:r>
                    <w:t xml:space="preserve">21,7 jiwa</w:t>
                  </w:r>
                  <w:r>
                    <w:t xml:space="preserve">, berlabel asumsi kebijakan.</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511"/>
              <w:gridCol w:w="1002"/>
              <w:gridCol w:w="1002"/>
              <w:gridCol w:w="1547"/>
              <w:gridCol w:w="1292"/>
            </w:tblGrid>
            <w:tr>
              <w:trPr>
                <w:cantSplit/>
                <w:tblHeader/>
              </w:trPr>
              <w:tc>
                <w:tcPr>
                  <w:tcW w:w="4511" w:type="dxa"/>
                  <w:shd w:val="clear" w:color="auto" w:fill="051C2C"/>
                  <w:vAlign w:val="center"/>
                </w:tcPr>
                <w:p>
                  <w:pPr>
                    <w:pStyle w:val="KepalaTabel"/>
                    <w:keepNext/>
                    <w:suppressAutoHyphens/>
                  </w:pPr>
                  <w:r>
                    <w:t xml:space="preserve">TUAS</w:t>
                  </w:r>
                </w:p>
              </w:tc>
              <w:tc>
                <w:tcPr>
                  <w:tcW w:w="1002" w:type="dxa"/>
                  <w:shd w:val="clear" w:color="auto" w:fill="051C2C"/>
                  <w:vAlign w:val="center"/>
                </w:tcPr>
                <w:p>
                  <w:pPr>
                    <w:pStyle w:val="KepalaTabel"/>
                    <w:keepNext/>
                    <w:suppressAutoHyphens/>
                  </w:pPr>
                  <w:r>
                    <w:t xml:space="preserve">NILAI DASAR</w:t>
                  </w:r>
                </w:p>
              </w:tc>
              <w:tc>
                <w:tcPr>
                  <w:tcW w:w="1002" w:type="dxa"/>
                  <w:shd w:val="clear" w:color="auto" w:fill="051C2C"/>
                  <w:vAlign w:val="center"/>
                </w:tcPr>
                <w:p>
                  <w:pPr>
                    <w:pStyle w:val="KepalaTabel"/>
                    <w:keepNext/>
                    <w:suppressAutoHyphens/>
                  </w:pPr>
                  <w:r>
                    <w:t xml:space="preserve">NILAI DIGESER</w:t>
                  </w:r>
                </w:p>
              </w:tc>
              <w:tc>
                <w:tcPr>
                  <w:tcW w:w="1547" w:type="dxa"/>
                  <w:shd w:val="clear" w:color="auto" w:fill="051C2C"/>
                  <w:vAlign w:val="center"/>
                </w:tcPr>
                <w:p>
                  <w:pPr>
                    <w:pStyle w:val="KepalaTabel"/>
                    <w:keepNext/>
                    <w:suppressAutoHyphens/>
                  </w:pPr>
                  <w:r>
                    <w:t xml:space="preserve">KORBAN JIWA</w:t>
                  </w:r>
                </w:p>
              </w:tc>
              <w:tc>
                <w:tcPr>
                  <w:tcW w:w="1292" w:type="dxa"/>
                  <w:shd w:val="clear" w:color="auto" w:fill="051C2C"/>
                  <w:vAlign w:val="center"/>
                </w:tcPr>
                <w:p>
                  <w:pPr>
                    <w:pStyle w:val="KepalaTabel"/>
                    <w:keepNext/>
                    <w:suppressAutoHyphens/>
                  </w:pPr>
                  <w:r>
                    <w:t xml:space="preserve">KERUGIAN MATERIIL</w:t>
                  </w:r>
                </w:p>
              </w:tc>
            </w:tr>
            <w:tr>
              <w:trPr>
                <w:cantSplit/>
              </w:trPr>
              <w:tc>
                <w:tcPr>
                  <w:tcW w:w="4511" w:type="dxa"/>
                </w:tcPr>
                <w:p>
                  <w:pPr>
                    <w:pStyle w:val="IsiTabel"/>
                    <w:keepNext/>
                    <w:suppressAutoHyphens/>
                    <w:jc w:val="left"/>
                  </w:pPr>
                  <w:bookmarkStart w:id="420" w:name="_Ekor050a"/>
                  <w:bookmarkEnd w:id="420"/>
                  <w:r>
                    <w:t xml:space="preserve">Pilihan tahun korban, 2011 lawan tahun analog paket 2021</w:t>
                  </w:r>
                </w:p>
              </w:tc>
              <w:tc>
                <w:tcPr>
                  <w:tcW w:w="1002" w:type="dxa"/>
                </w:tcPr>
                <w:p>
                  <w:pPr>
                    <w:pStyle w:val="IsiTabel"/>
                    <w:keepNext/>
                    <w:suppressAutoHyphens/>
                    <w:jc w:val="right"/>
                  </w:pPr>
                  <w:r>
                    <w:t xml:space="preserve">36</w:t>
                  </w:r>
                </w:p>
              </w:tc>
              <w:tc>
                <w:tcPr>
                  <w:tcW w:w="1002" w:type="dxa"/>
                </w:tcPr>
                <w:p>
                  <w:pPr>
                    <w:pStyle w:val="IsiTabel"/>
                    <w:keepNext/>
                    <w:suppressAutoHyphens/>
                    <w:jc w:val="right"/>
                  </w:pPr>
                  <w:r>
                    <w:t xml:space="preserve">4</w:t>
                  </w:r>
                </w:p>
              </w:tc>
              <w:tc>
                <w:tcPr>
                  <w:tcW w:w="1547" w:type="dxa"/>
                </w:tcPr>
                <w:p>
                  <w:pPr>
                    <w:pStyle w:val="IsiTabel"/>
                    <w:keepNext/>
                    <w:suppressAutoHyphens/>
                    <w:jc w:val="right"/>
                  </w:pPr>
                  <w:r>
                    <w:t xml:space="preserve">lantai tetap 2011</w:t>
                  </w:r>
                </w:p>
              </w:tc>
              <w:tc>
                <w:tcPr>
                  <w:tcW w:w="1292" w:type="dxa"/>
                </w:tcPr>
                <w:p>
                  <w:pPr>
                    <w:pStyle w:val="IsiTabel"/>
                    <w:keepNext/>
                    <w:suppressAutoHyphens/>
                    <w:jc w:val="left"/>
                  </w:pPr>
                  <w:r>
                    <w:t xml:space="preserve">tidak dihitung</w:t>
                  </w:r>
                </w:p>
              </w:tc>
            </w:tr>
            <w:tr>
              <w:trPr>
                <w:cantSplit/>
              </w:trPr>
              <w:tc>
                <w:tcPr>
                  <w:tcW w:w="4511" w:type="dxa"/>
                </w:tcPr>
                <w:p>
                  <w:pPr>
                    <w:pStyle w:val="IsiTabel"/>
                    <w:keepNext/>
                    <w:suppressAutoHyphens/>
                    <w:jc w:val="left"/>
                  </w:pPr>
                  <w:r>
                    <w:t xml:space="preserve">Versi paparan KRB, Renas PB lawan API nasional</w:t>
                  </w:r>
                </w:p>
              </w:tc>
              <w:tc>
                <w:tcPr>
                  <w:tcW w:w="1002" w:type="dxa"/>
                </w:tcPr>
                <w:p>
                  <w:pPr>
                    <w:pStyle w:val="IsiTabel"/>
                    <w:keepNext/>
                    <w:suppressAutoHyphens/>
                    <w:jc w:val="right"/>
                  </w:pPr>
                  <w:r>
                    <w:t xml:space="preserve">4.129.597</w:t>
                  </w:r>
                </w:p>
              </w:tc>
              <w:tc>
                <w:tcPr>
                  <w:tcW w:w="1002" w:type="dxa"/>
                </w:tcPr>
                <w:p>
                  <w:pPr>
                    <w:pStyle w:val="IsiTabel"/>
                    <w:keepNext/>
                    <w:suppressAutoHyphens/>
                    <w:jc w:val="right"/>
                  </w:pPr>
                  <w:r>
                    <w:t xml:space="preserve">4.104.943</w:t>
                  </w:r>
                </w:p>
              </w:tc>
              <w:tc>
                <w:tcPr>
                  <w:tcW w:w="1547" w:type="dxa"/>
                </w:tcPr>
                <w:p>
                  <w:pPr>
                    <w:pStyle w:val="IsiTabel"/>
                    <w:keepNext/>
                    <w:suppressAutoHyphens/>
                    <w:jc w:val="right"/>
                  </w:pPr>
                  <w:r>
                    <w:t xml:space="preserve">tidak berubah</w:t>
                  </w:r>
                </w:p>
              </w:tc>
              <w:tc>
                <w:tcPr>
                  <w:tcW w:w="1292" w:type="dxa"/>
                </w:tcPr>
                <w:p>
                  <w:pPr>
                    <w:pStyle w:val="IsiTabel"/>
                    <w:keepNext/>
                    <w:suppressAutoHyphens/>
                    <w:jc w:val="left"/>
                  </w:pPr>
                  <w:r>
                    <w:t xml:space="preserve">tidak dihitung</w:t>
                  </w:r>
                </w:p>
              </w:tc>
            </w:tr>
            <w:tr>
              <w:trPr>
                <w:cantSplit/>
              </w:trPr>
              <w:tc>
                <w:tcPr>
                  <w:tcW w:w="4511" w:type="dxa"/>
                </w:tcPr>
                <w:p>
                  <w:pPr>
                    <w:pStyle w:val="IsiTabel"/>
                    <w:keepNext/>
                    <w:suppressAutoHyphens/>
                    <w:jc w:val="left"/>
                  </w:pPr>
                  <w:bookmarkStart w:id="421" w:name="_Ekor050z"/>
                  <w:bookmarkEnd w:id="421"/>
                  <w:r>
                    <w:t xml:space="preserve">Cakupan peringatan dini Renas 1.c, lantai 2011</w:t>
                  </w:r>
                </w:p>
              </w:tc>
              <w:tc>
                <w:tcPr>
                  <w:tcW w:w="1002" w:type="dxa"/>
                </w:tcPr>
                <w:p>
                  <w:pPr>
                    <w:pStyle w:val="IsiTabel"/>
                    <w:keepNext/>
                    <w:suppressAutoHyphens/>
                    <w:jc w:val="right"/>
                  </w:pPr>
                  <w:r>
                    <w:t xml:space="preserve">11,06%</w:t>
                  </w:r>
                </w:p>
              </w:tc>
              <w:tc>
                <w:tcPr>
                  <w:tcW w:w="1002" w:type="dxa"/>
                </w:tcPr>
                <w:p>
                  <w:pPr>
                    <w:pStyle w:val="IsiTabel"/>
                    <w:keepNext/>
                    <w:suppressAutoHyphens/>
                    <w:jc w:val="right"/>
                  </w:pPr>
                  <w:r>
                    <w:t xml:space="preserve">52%</w:t>
                  </w:r>
                </w:p>
              </w:tc>
              <w:tc>
                <w:tcPr>
                  <w:tcW w:w="1547" w:type="dxa"/>
                </w:tcPr>
                <w:p>
                  <w:pPr>
                    <w:pStyle w:val="IsiTabel"/>
                    <w:keepNext/>
                    <w:suppressAutoHyphens/>
                    <w:jc w:val="right"/>
                  </w:pPr>
                  <w:r>
                    <w:t xml:space="preserve">21,7</w:t>
                  </w:r>
                </w:p>
              </w:tc>
              <w:tc>
                <w:tcPr>
                  <w:tcW w:w="1292" w:type="dxa"/>
                </w:tcPr>
                <w:p>
                  <w:pPr>
                    <w:pStyle w:val="IsiTabel"/>
                    <w:keepNext/>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Peringatan gelombang tinggi BMKG diteruskan ke desa pesisir dan nelayan.</w:t>
                  </w:r>
                </w:p>
                <w:p>
                  <w:pPr>
                    <w:pStyle w:val="DaftarTabel"/>
                    <w:keepNext/>
                    <w:numPr>
                      <w:ilvl w:val="0"/>
                      <w:numId w:val="1"/>
                    </w:numPr>
                    <w:suppressAutoHyphens/>
                  </w:pPr>
                  <w:r>
                    <w:t xml:space="preserve">Pengungsian sementara disiapkan di permukiman pesisir yang tercatat rusak pada tahun analog.</w:t>
                  </w:r>
                </w:p>
                <w:p>
                  <w:pPr>
                    <w:pStyle w:val="DaftarTabel"/>
                    <w:keepNext/>
                    <w:numPr>
                      <w:ilvl w:val="0"/>
                      <w:numId w:val="1"/>
                    </w:numPr>
                    <w:suppressAutoHyphens/>
                  </w:pPr>
                  <w:r>
                    <w:t xml:space="preserve">Kejadian rob dicatat beserta luas genangannya.</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Perbaikan rumah dan sarana pesisir memakai data rumah rusak DIBI per kejadian.</w:t>
                  </w:r>
                </w:p>
                <w:p>
                  <w:pPr>
                    <w:pStyle w:val="DaftarTabel"/>
                    <w:keepNext/>
                    <w:numPr>
                      <w:ilvl w:val="0"/>
                      <w:numId w:val="1"/>
                    </w:numPr>
                    <w:suppressAutoHyphens/>
                  </w:pPr>
                  <w:r>
                    <w:t xml:space="preserve">Luas genangan rob di luar WS Jratunseluna diminta dari Kementerian Pekerjaan Umum.</w:t>
                  </w:r>
                </w:p>
                <w:p>
                  <w:pPr>
                    <w:pStyle w:val="DaftarTabel"/>
                    <w:keepNext/>
                    <w:numPr>
                      <w:ilvl w:val="0"/>
                      <w:numId w:val="1"/>
                    </w:numPr>
                    <w:suppressAutoHyphens/>
                  </w:pPr>
                  <w:r>
                    <w:t xml:space="preserve">Lantai gelombang dimutakhirkan saat turunan lantai per jenis selesai (</w:t>
                  </w:r>
                  <w:r>
                    <w:fldChar w:fldCharType="begin"/>
                  </w:r>
                  <w:r>
                    <w:instrText xml:space="preserve"> REF _Ref0105 \h \* CHARFORMAT </w:instrText>
                  </w:r>
                  <w:r>
                    <w:fldChar w:fldCharType="separate"/>
                  </w:r>
                  <w:r>
                    <w:t xml:space="preserve">30</w:t>
                  </w:r>
                  <w:r>
                    <w:fldChar w:fldCharType="end"/>
                  </w:r>
                  <w:r>
                    <w:t xml:space="preserve">).</w:t>
                  </w:r>
                </w:p>
              </w:tc>
            </w:tr>
          </w:tbl>
          <w:p>
            <w:pPr>
              <w:pStyle w:val="IsiTabel"/>
              <w:keepNext/>
              <w:spacing w:before="80"/>
            </w:pPr>
            <w:r>
              <w:rPr>
                <w:i/>
                <w:iCs/>
                <w:color w:val="2E3440"/>
                <w:sz w:val="17"/>
                <w:szCs w:val="17"/>
              </w:rPr>
              <w:t xml:space="preserve">Angka tercatat DIBI; luas rawan rob Jratunseluna hasil simulasi dalam dokumen resmi Kementerian Pekerjaan Umum.</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22" w:name="_Kartu010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w:t>
      </w:r>
      <w:r>
        <w:rPr>
          <w:color w:val="6B7280"/>
          <w:sz w:val="17"/>
          <w:szCs w:val="17"/>
        </w:rPr>
        <w:t xml:space="preserve">(BNPB, 2026j)</w:t>
      </w:r>
      <w:r>
        <w:rPr>
          <w:color w:val="6B7280"/>
          <w:sz w:val="17"/>
          <w:szCs w:val="17"/>
        </w:rPr>
        <w:t xml:space="preserve">; Renas PB 2025–2029 </w:t>
      </w:r>
      <w:r>
        <w:rPr>
          <w:color w:val="6B7280"/>
          <w:sz w:val="17"/>
          <w:szCs w:val="17"/>
        </w:rPr>
        <w:t xml:space="preserve">(BNPB, 2025c)</w:t>
      </w:r>
      <w:r>
        <w:rPr>
          <w:color w:val="6B7280"/>
          <w:sz w:val="17"/>
          <w:szCs w:val="17"/>
        </w:rPr>
        <w:t xml:space="preserve">; RPSDA WS Jratunseluna </w:t>
      </w:r>
      <w:r>
        <w:rPr>
          <w:color w:val="6B7280"/>
          <w:sz w:val="17"/>
          <w:szCs w:val="17"/>
        </w:rPr>
        <w:t xml:space="preserve">(Kementerian Pekerjaan Umum dan Perumahan Rakyat, Direktorat Jenderal Sumber Daya Air, 2024)</w:t>
      </w:r>
      <w:r>
        <w:rPr>
          <w:color w:val="6B7280"/>
          <w:sz w:val="17"/>
          <w:szCs w:val="17"/>
        </w:rPr>
        <w:t xml:space="preserve">; data per </w:t>
      </w:r>
      <w:r>
        <w:rPr>
          <w:color w:val="6B7280"/>
          <w:sz w:val="17"/>
          <w:szCs w:val="17"/>
        </w:rPr>
        <w:t xml:space="preserve">23 Okt 2026</w:t>
      </w:r>
      <w:bookmarkEnd w:id="422"/>
    </w:p>
    <w:p>
      <w:pPr>
        <w:pStyle w:val="Caption"/>
      </w:pPr>
      <w:bookmarkStart w:id="424" w:name="_Toc00140"/>
      <w:bookmarkStart w:id="423" w:name="_Ref002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423"/>
      <w:r>
        <w:rPr>
          <w:b/>
          <w:bCs/>
          <w:color w:val="051C2C"/>
        </w:rPr>
        <w:t xml:space="preserve"> </w:t>
      </w:r>
      <w:r>
        <w:t xml:space="preserve">Kabut asap menutupi Tugu Talawang di Palangka Raya, Palangka Raya, Kalimantan Tengah, 2026</w:t>
      </w:r>
      <w:bookmarkEnd w:id="424"/>
    </w:p>
    <w:p xmlns:a="http://schemas.openxmlformats.org/drawingml/2006/main" xmlns:pic="http://schemas.openxmlformats.org/drawingml/2006/picture">
      <w:pPr>
        <w:keepNext/>
        <w:spacing w:after="0" w:line="240" w:lineRule="auto"/>
        <w:jc w:val="center"/>
      </w:pPr>
      <w:bookmarkStart w:id="425" w:name="_Obj0042"/>
      <w:r>
        <w:drawing>
          <wp:inline distT="0" distB="0" distL="0" distR="0">
            <wp:extent cx="2898000" cy="2173500"/>
            <wp:effectExtent l="0" t="0" r="0" b="0"/>
            <wp:docPr id="110" name="Gambar 110"/>
            <wp:cNvGraphicFramePr>
              <a:graphicFrameLocks noChangeAspect="1"/>
            </wp:cNvGraphicFramePr>
            <a:graphic>
              <a:graphicData uri="http://schemas.openxmlformats.org/drawingml/2006/picture">
                <pic:pic>
                  <pic:nvPicPr>
                    <pic:cNvPr id="110" name="mit-b07-asap.jpg"/>
                    <pic:cNvPicPr/>
                  </pic:nvPicPr>
                  <pic:blipFill>
                    <a:blip r:embed="rId68"/>
                    <a:stretch>
                      <a:fillRect/>
                    </a:stretch>
                  </pic:blipFill>
                  <pic:spPr>
                    <a:xfrm>
                      <a:off x="0" y="0"/>
                      <a:ext cx="2898000" cy="2173500"/>
                    </a:xfrm>
                    <a:prstGeom prst="rect">
                      <a:avLst/>
                    </a:prstGeom>
                  </pic:spPr>
                </pic:pic>
              </a:graphicData>
            </a:graphic>
          </wp:inline>
        </w:drawing>
      </w:r>
      <w:bookmarkEnd w:id="425"/>
    </w:p>
    <w:p>
      <w:pPr>
        <w:pStyle w:val="Sumber"/>
      </w:pPr>
      <w:r>
        <w:rPr>
          <w:b/>
          <w:bCs/>
          <w:color w:val="6B7280"/>
          <w:sz w:val="17"/>
          <w:szCs w:val="17"/>
        </w:rPr>
        <w:t xml:space="preserve">Sumber: </w:t>
      </w:r>
      <w:r>
        <w:rPr>
          <w:color w:val="6B7280"/>
          <w:sz w:val="17"/>
          <w:szCs w:val="17"/>
        </w:rPr>
        <w:t xml:space="preserve">Wikimedia Commons, ParadoxP P, CC BY 4.0</w:t>
      </w:r>
    </w:p>
    <w:p>
      <w:pPr>
        <w:pStyle w:val="Heading2"/>
      </w:pPr>
      <w:bookmarkStart w:id="427" w:name="_Toc00141"/>
      <w:bookmarkStart w:id="426" w:name="_Ref0141"/>
      <w:r>
        <w:t xml:space="preserve">7.5</w:t>
      </w:r>
      <w:bookmarkEnd w:id="426"/>
      <w:r>
        <w:tab/>
      </w:r>
      <w:r>
        <w:t xml:space="preserve">Kekeringan</w:t>
      </w:r>
      <w:bookmarkEnd w:id="427"/>
    </w:p>
    <w:p>
      <w:pPr>
        <w:pStyle w:val="IsiTemuan"/>
      </w:pPr>
      <w:r>
        <w:rPr>
          <w:b/>
          <w:bCs/>
          <w:color w:val="051C2C"/>
        </w:rPr>
        <w:t xml:space="preserve">Kekeringan 2018 mencatat </w:t>
      </w:r>
      <w:r>
        <w:rPr>
          <w:b/>
          <w:bCs/>
          <w:color w:val="051C2C"/>
        </w:rPr>
        <w:t xml:space="preserve">7.798.763</w:t>
      </w:r>
      <w:r>
        <w:rPr>
          <w:b/>
          <w:bCs/>
          <w:color w:val="051C2C"/>
        </w:rPr>
        <w:t xml:space="preserve"> jiwa terdampak, terbesar dalam DIBI 2008–2025, padahal ONI Juli–September 2018 hanya </w:t>
      </w:r>
      <w:r>
        <w:rPr>
          <w:b/>
          <w:bCs/>
          <w:color w:val="051C2C"/>
        </w:rPr>
        <w:t xml:space="preserve">0,30</w:t>
      </w:r>
      <w:r>
        <w:rPr>
          <w:b/>
          <w:bCs/>
          <w:color w:val="051C2C"/>
        </w:rPr>
        <w:t xml:space="preserve">.</w:t>
      </w:r>
      <w:r>
        <w:t xml:space="preserve"> Jumlah kejadian dan terdampak kekeringan DIBI mengukur intensitas pelaporan, bukan keparahan, sehingga angka 2018 menjadi lantai terdampak tanpa dibaca sebagai kemarau terberat </w:t>
      </w:r>
      <w:r>
        <w:t xml:space="preserve">(BNPB, t.t.-a; NOAA Climate Prediction Center, 2026b)</w:t>
      </w:r>
      <w:r>
        <w:t xml:space="preserve">. KRB 2022–2026 mencatat </w:t>
      </w:r>
      <w:r>
        <w:t xml:space="preserve">30.002.273 ha</w:t>
      </w:r>
      <w:r>
        <w:t xml:space="preserve"> luas bahaya tinggi kekeringan dan </w:t>
      </w:r>
      <w:r>
        <w:t xml:space="preserve">272.564.439</w:t>
      </w:r>
      <w:r>
        <w:t xml:space="preserve"> jiwa terpapar </w:t>
      </w:r>
      <w:r>
        <w:t xml:space="preserve">(BNPB, 2025c)</w:t>
      </w:r>
      <w:r>
        <w:t xml:space="preserve">.</w:t>
      </w:r>
    </w:p>
    <w:p>
      <w:pPr>
        <w:pStyle w:val="IsiTemuan"/>
      </w:pPr>
      <w:r>
        <w:rPr>
          <w:b/>
          <w:bCs/>
          <w:color w:val="051C2C"/>
        </w:rPr>
        <w:t xml:space="preserve">DIBI mencatat </w:t>
      </w:r>
      <w:r>
        <w:rPr>
          <w:b/>
          <w:bCs/>
          <w:color w:val="051C2C"/>
        </w:rPr>
        <w:t xml:space="preserve">6</w:t>
      </w:r>
      <w:r>
        <w:rPr>
          <w:b/>
          <w:bCs/>
          <w:color w:val="051C2C"/>
        </w:rPr>
        <w:t xml:space="preserve"> meninggal akibat kekeringan dalam satu kejadian di Kabupaten Puncak, Papua Tengah, pada 2023.</w:t>
      </w:r>
      <w:r>
        <w:t xml:space="preserve"> Kementerian Koordinator Bidang Pembangunan Manusia dan Kebudayaan mengonfirmasi kekeringan dan embun beku di Distrik Agandugume, Lambewi, dan Oneri yang menyebabkan gagal panen hingga kekurangan pangan dan kelaparan, tanpa menyebut angka korban </w:t>
      </w:r>
      <w:r>
        <w:t xml:space="preserve">(Kemenko PMK, 2023b)</w:t>
      </w:r>
      <w:r>
        <w:t xml:space="preserve">. Korban jiwa kekeringan jarang, tetapi tidak nol; kartu memakai angka Puncak sebagai korban tercatat terbesar, berkelas dampak kependudukan satu, dan kandidat lantai sampai turunan lantai per jenis tersedia.</w:t>
      </w:r>
    </w:p>
    <w:p>
      <w:pPr>
        <w:pStyle w:val="IsiTemuan"/>
      </w:pPr>
      <w:r>
        <w:rPr>
          <w:b/>
          <w:bCs/>
          <w:color w:val="051C2C"/>
        </w:rPr>
        <w:t xml:space="preserve">Model neraca air dan padi platform belum lolos uji balik terhadap kejadian kekeringan DIBI, sehingga tidak masuk kartu.</w:t>
      </w:r>
      <w:r>
        <w:t xml:space="preserve"> Keluarannya hanya ada di lampiran metode paket data skenario hidrometeorologi. Puso per kab/kota belum ditarik, dan data operasional kemarau 2026 belum masuk ke BNPB (</w:t>
      </w:r>
      <w:r>
        <w:fldChar w:fldCharType="begin"/>
      </w:r>
      <w:r>
        <w:instrText xml:space="preserve"> REF _Ref0075 \h \* CHARFORMAT </w:instrText>
      </w:r>
      <w:r>
        <w:fldChar w:fldCharType="separate"/>
      </w:r>
      <w:r>
        <w:t xml:space="preserve">07</w:t>
      </w:r>
      <w:r>
        <w:fldChar w:fldCharType="end"/>
      </w:r>
      <w:r>
        <w:t xml:space="preserve">).</w:t>
      </w:r>
    </w:p>
    <w:p>
      <w:pPr>
        <w:pStyle w:val="Caption"/>
        <w:pageBreakBefore/>
      </w:pPr>
      <w:bookmarkStart w:id="429" w:name="_Toc00142"/>
      <w:bookmarkStart w:id="428" w:name="_Ref027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428"/>
      <w:r>
        <w:rPr>
          <w:b/>
          <w:bCs/>
          <w:color w:val="051C2C"/>
        </w:rPr>
        <w:t xml:space="preserve"> </w:t>
      </w:r>
      <w:r>
        <w:t xml:space="preserve">Kekeringan nasional setara terdampak 2018 dan korban Kabupaten Puncak 2023</w:t>
      </w:r>
      <w:bookmarkEnd w:id="429"/>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4ECDC"/>
                  <w:tcMar>
                    <w:top w:w="45" w:type="dxa"/>
                    <w:left w:w="170" w:type="dxa"/>
                    <w:bottom w:w="45" w:type="dxa"/>
                    <w:right w:w="170" w:type="dxa"/>
                  </w:tcMar>
                </w:tcPr>
                <w:p>
                  <w:pPr>
                    <w:pStyle w:val="JudulKotak"/>
                    <w:keepNext/>
                    <w:spacing w:after="0"/>
                  </w:pPr>
                  <w:bookmarkStart w:id="431" w:name="_Kartu011a"/>
                  <w:bookmarkStart w:id="430" w:name="_Obj0043"/>
                  <w:r>
                    <w:rPr>
                      <w:position w:val="-10"/>
                    </w:rPr>
                    <w:drawing>
                      <wp:inline distT="0" distB="0" distL="0" distR="0">
                        <wp:extent cx="216000" cy="216000"/>
                        <wp:effectExtent l="0" t="0" r="0" b="0"/>
                        <wp:docPr id="111" name="Gambar 111"/>
                        <wp:cNvGraphicFramePr>
                          <a:graphicFrameLocks noChangeAspect="1"/>
                        </wp:cNvGraphicFramePr>
                        <a:graphic>
                          <a:graphicData uri="http://schemas.openxmlformats.org/drawingml/2006/picture">
                            <pic:pic>
                              <pic:nvPicPr>
                                <pic:cNvPr id="111" name="kekeringan-lucide-sun-FFFFFF-B08A3E.png"/>
                                <pic:cNvPicPr/>
                              </pic:nvPicPr>
                              <pic:blipFill>
                                <a:blip r:embed="rId69"/>
                                <a:stretch>
                                  <a:fillRect/>
                                </a:stretch>
                              </pic:blipFill>
                              <pic:spPr>
                                <a:xfrm>
                                  <a:off x="0" y="0"/>
                                  <a:ext cx="216000" cy="216000"/>
                                </a:xfrm>
                                <a:prstGeom prst="rect">
                                  <a:avLst/>
                                </a:prstGeom>
                              </pic:spPr>
                            </pic:pic>
                          </a:graphicData>
                        </a:graphic>
                      </wp:inline>
                    </w:drawing>
                  </w:r>
                  <w:r>
                    <w:t xml:space="preserve"> </w:t>
                  </w:r>
                  <w:r>
                    <w:rPr>
                      <w:b/>
                      <w:bCs/>
                    </w:rPr>
                    <w:t xml:space="preserve">Kekeringan</w:t>
                  </w:r>
                  <w:r>
                    <w:rPr>
                      <w:color w:val="2E3440"/>
                    </w:rPr>
                    <w:t xml:space="preserve">  Kekeringan</w:t>
                  </w:r>
                  <w:bookmarkEnd w:id="430"/>
                  <w:bookmarkEnd w:id="431"/>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per jenis; lantai dari tercatat terburuk DIBI 2008–2025 per metrik (terdampak 2018, meninggal 2023), kandidat sampai turunan lantai per jenis tersedia; model neraca dan padi platform tidak ditampilkan karena belum lolos uji balik.</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prakiraan fase ENSO resmi untuk Juli–September 2027 tidak ada, dan dua analog tahun kedua tidak memberi peluang</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112" name="Gambar 112"/>
                              <wp:cNvGraphicFramePr>
                                <a:graphicFrameLocks noChangeAspect="1"/>
                              </wp:cNvGraphicFramePr>
                              <a:graphic>
                                <a:graphicData uri="http://schemas.openxmlformats.org/drawingml/2006/picture">
                                  <pic:pic>
                                    <pic:nvPicPr>
                                      <pic:cNvPr id="11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13" name="Gambar 113"/>
                              <wp:cNvGraphicFramePr>
                                <a:graphicFrameLocks noChangeAspect="1"/>
                              </wp:cNvGraphicFramePr>
                              <a:graphic>
                                <a:graphicData uri="http://schemas.openxmlformats.org/drawingml/2006/picture">
                                  <pic:pic>
                                    <pic:nvPicPr>
                                      <pic:cNvPr id="11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14" name="Gambar 114"/>
                              <wp:cNvGraphicFramePr>
                                <a:graphicFrameLocks noChangeAspect="1"/>
                              </wp:cNvGraphicFramePr>
                              <a:graphic>
                                <a:graphicData uri="http://schemas.openxmlformats.org/drawingml/2006/picture">
                                  <pic:pic>
                                    <pic:nvPicPr>
                                      <pic:cNvPr id="11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15" name="Gambar 115"/>
                              <wp:cNvGraphicFramePr>
                                <a:graphicFrameLocks noChangeAspect="1"/>
                              </wp:cNvGraphicFramePr>
                              <a:graphic>
                                <a:graphicData uri="http://schemas.openxmlformats.org/drawingml/2006/picture">
                                  <pic:pic>
                                    <pic:nvPicPr>
                                      <pic:cNvPr id="11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Pertanian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16" name="Gambar 116"/>
                              <wp:cNvGraphicFramePr>
                                <a:graphicFrameLocks noChangeAspect="1"/>
                              </wp:cNvGraphicFramePr>
                              <a:graphic>
                                <a:graphicData uri="http://schemas.openxmlformats.org/drawingml/2006/picture">
                                  <pic:pic>
                                    <pic:nvPicPr>
                                      <pic:cNvPr id="11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1967967"/>
                        <wp:effectExtent l="0" t="0" r="0" b="0"/>
                        <wp:docPr id="117" name="Gambar 117"/>
                        <wp:cNvGraphicFramePr>
                          <a:graphicFrameLocks noChangeAspect="1"/>
                        </wp:cNvGraphicFramePr>
                        <a:graphic>
                          <a:graphicData uri="http://schemas.openxmlformats.org/drawingml/2006/picture">
                            <pic:pic>
                              <pic:nvPicPr>
                                <pic:cNvPr id="117" name="bab07-kartu-kekeringan.png"/>
                                <pic:cNvPicPr/>
                              </pic:nvPicPr>
                              <pic:blipFill>
                                <a:blip r:embed="rId70"/>
                                <a:stretch>
                                  <a:fillRect/>
                                </a:stretch>
                              </pic:blipFill>
                              <pic:spPr>
                                <a:xfrm>
                                  <a:off x="0" y="0"/>
                                  <a:ext cx="1882800" cy="1967967"/>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817"/>
              <w:gridCol w:w="1204"/>
              <w:gridCol w:w="852"/>
              <w:gridCol w:w="1267"/>
              <w:gridCol w:w="1214"/>
            </w:tblGrid>
            <w:tr>
              <w:trPr>
                <w:cantSplit/>
                <w:tblHeader/>
              </w:trPr>
              <w:tc>
                <w:tcPr>
                  <w:tcW w:w="4817" w:type="dxa"/>
                  <w:shd w:val="clear" w:color="auto" w:fill="051C2C"/>
                  <w:vAlign w:val="center"/>
                </w:tcPr>
                <w:p>
                  <w:pPr>
                    <w:pStyle w:val="KepalaTabel"/>
                    <w:keepNext/>
                    <w:suppressAutoHyphens/>
                  </w:pPr>
                  <w:r>
                    <w:t xml:space="preserve">BESARAN</w:t>
                  </w:r>
                </w:p>
              </w:tc>
              <w:tc>
                <w:tcPr>
                  <w:tcW w:w="1204"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267" w:type="dxa"/>
                  <w:shd w:val="clear" w:color="auto" w:fill="051C2C"/>
                  <w:vAlign w:val="center"/>
                </w:tcPr>
                <w:p>
                  <w:pPr>
                    <w:pStyle w:val="KepalaTabel"/>
                    <w:keepNext/>
                    <w:suppressAutoHyphens/>
                  </w:pPr>
                  <w:r>
                    <w:t xml:space="preserve">KEYAKINAN</w:t>
                  </w:r>
                </w:p>
              </w:tc>
              <w:tc>
                <w:tcPr>
                  <w:tcW w:w="1214" w:type="dxa"/>
                  <w:shd w:val="clear" w:color="auto" w:fill="051C2C"/>
                  <w:vAlign w:val="center"/>
                </w:tcPr>
                <w:p>
                  <w:pPr>
                    <w:pStyle w:val="KepalaTabel"/>
                    <w:keepNext/>
                    <w:suppressAutoHyphens/>
                  </w:pPr>
                  <w:r>
                    <w:t xml:space="preserve">SUMBER</w:t>
                  </w:r>
                </w:p>
              </w:tc>
            </w:tr>
            <w:tr>
              <w:trPr>
                <w:cantSplit/>
              </w:trPr>
              <w:tc>
                <w:tcPr>
                  <w:tcW w:w="4817" w:type="dxa"/>
                </w:tcPr>
                <w:p>
                  <w:pPr>
                    <w:pStyle w:val="IsiTabel"/>
                    <w:keepNext/>
                    <w:suppressAutoHyphens/>
                    <w:jc w:val="left"/>
                  </w:pPr>
                  <w:r>
                    <w:t xml:space="preserve">Kependudukan, terdampak tahun tercatat terburuk 2018</w:t>
                  </w:r>
                </w:p>
              </w:tc>
              <w:tc>
                <w:tcPr>
                  <w:tcW w:w="1204" w:type="dxa"/>
                </w:tcPr>
                <w:p>
                  <w:pPr>
                    <w:pStyle w:val="IsiTabel"/>
                    <w:keepNext/>
                    <w:suppressAutoHyphens/>
                    <w:jc w:val="right"/>
                  </w:pPr>
                  <w:r>
                    <w:t xml:space="preserve">7.798.763</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14" w:type="dxa"/>
                </w:tcPr>
                <w:p>
                  <w:pPr>
                    <w:pStyle w:val="IsiTabel"/>
                    <w:keepNext/>
                    <w:suppressAutoHyphens/>
                    <w:jc w:val="left"/>
                  </w:pPr>
                  <w:r>
                    <w:t xml:space="preserve">DIBI BNPB; intensitas pelaporan, bukan keparahan</w:t>
                  </w:r>
                </w:p>
              </w:tc>
            </w:tr>
            <w:tr>
              <w:trPr>
                <w:cantSplit/>
              </w:trPr>
              <w:tc>
                <w:tcPr>
                  <w:tcW w:w="4817" w:type="dxa"/>
                </w:tcPr>
                <w:p>
                  <w:pPr>
                    <w:pStyle w:val="IsiTabel"/>
                    <w:keepNext/>
                    <w:suppressAutoHyphens/>
                    <w:jc w:val="left"/>
                  </w:pPr>
                  <w:r>
                    <w:t xml:space="preserve">Kependudukan, meninggal tercatat terbesar, Kabupaten Puncak 2023</w:t>
                  </w:r>
                </w:p>
              </w:tc>
              <w:tc>
                <w:tcPr>
                  <w:tcW w:w="1204" w:type="dxa"/>
                </w:tcPr>
                <w:p>
                  <w:pPr>
                    <w:pStyle w:val="IsiTabel"/>
                    <w:keepNext/>
                    <w:suppressAutoHyphens/>
                    <w:jc w:val="right"/>
                  </w:pPr>
                  <w:r>
                    <w:t xml:space="preserve">6</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14" w:type="dxa"/>
                </w:tcPr>
                <w:p>
                  <w:pPr>
                    <w:pStyle w:val="IsiTabel"/>
                    <w:keepNext/>
                    <w:suppressAutoHyphens/>
                    <w:jc w:val="left"/>
                  </w:pPr>
                  <w:r>
                    <w:t xml:space="preserve">DIBI BNPB; kandidat lantai</w:t>
                  </w:r>
                </w:p>
              </w:tc>
            </w:tr>
            <w:tr>
              <w:trPr>
                <w:cantSplit/>
              </w:trPr>
              <w:tc>
                <w:tcPr>
                  <w:tcW w:w="4817" w:type="dxa"/>
                </w:tcPr>
                <w:p>
                  <w:pPr>
                    <w:pStyle w:val="IsiTabel"/>
                    <w:keepNext/>
                    <w:suppressAutoHyphens/>
                    <w:jc w:val="left"/>
                  </w:pPr>
                  <w:r>
                    <w:t xml:space="preserve">Kependudukan, penduduk terpapar KRB kekeringan</w:t>
                  </w:r>
                </w:p>
              </w:tc>
              <w:tc>
                <w:tcPr>
                  <w:tcW w:w="1204" w:type="dxa"/>
                </w:tcPr>
                <w:p>
                  <w:pPr>
                    <w:pStyle w:val="IsiTabel"/>
                    <w:keepNext/>
                    <w:suppressAutoHyphens/>
                    <w:jc w:val="right"/>
                  </w:pPr>
                  <w:r>
                    <w:t xml:space="preserve">272.564.439</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14" w:type="dxa"/>
                </w:tcPr>
                <w:p>
                  <w:pPr>
                    <w:pStyle w:val="IsiTabel"/>
                    <w:keepNext/>
                    <w:suppressAutoHyphens/>
                    <w:jc w:val="left"/>
                  </w:pPr>
                  <w:r>
                    <w:t xml:space="preserve">Renas PB; batas atas paparan</w:t>
                  </w:r>
                </w:p>
              </w:tc>
            </w:tr>
            <w:tr>
              <w:trPr>
                <w:cantSplit/>
              </w:trPr>
              <w:tc>
                <w:tcPr>
                  <w:tcW w:w="4817" w:type="dxa"/>
                </w:tcPr>
                <w:p>
                  <w:pPr>
                    <w:pStyle w:val="IsiTabel"/>
                    <w:keepNext/>
                    <w:suppressAutoHyphens/>
                    <w:jc w:val="left"/>
                  </w:pPr>
                  <w:r>
                    <w:t xml:space="preserve">Lingkungan, luas bahaya tinggi KRB (ha)</w:t>
                  </w:r>
                </w:p>
              </w:tc>
              <w:tc>
                <w:tcPr>
                  <w:tcW w:w="1204" w:type="dxa"/>
                </w:tcPr>
                <w:p>
                  <w:pPr>
                    <w:pStyle w:val="IsiTabel"/>
                    <w:keepNext/>
                    <w:suppressAutoHyphens/>
                    <w:jc w:val="right"/>
                  </w:pPr>
                  <w:r>
                    <w:t xml:space="preserve">30.002.273</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14" w:type="dxa"/>
                </w:tcPr>
                <w:p>
                  <w:pPr>
                    <w:pStyle w:val="IsiTabel"/>
                    <w:keepNext/>
                    <w:suppressAutoHyphens/>
                    <w:jc w:val="left"/>
                  </w:pPr>
                  <w:r>
                    <w:t xml:space="preserve">KRB, jumlah kab/kota; batas atas</w:t>
                  </w:r>
                </w:p>
              </w:tc>
            </w:tr>
            <w:tr>
              <w:trPr>
                <w:cantSplit/>
              </w:trPr>
              <w:tc>
                <w:tcPr>
                  <w:tcW w:w="4817" w:type="dxa"/>
                </w:tcPr>
                <w:p>
                  <w:pPr>
                    <w:pStyle w:val="IsiTabel"/>
                    <w:keepNext/>
                    <w:suppressAutoHyphens/>
                    <w:jc w:val="left"/>
                  </w:pPr>
                  <w:bookmarkStart w:id="432" w:name="_Ekor051a"/>
                  <w:bookmarkEnd w:id="432"/>
                  <w:r>
                    <w:t xml:space="preserve">Ekonomi, kerugian materiil</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14" w:type="dxa"/>
                </w:tcPr>
                <w:p>
                  <w:pPr>
                    <w:pStyle w:val="IsiTabel"/>
                    <w:keepNext/>
                    <w:suppressAutoHyphens/>
                    <w:jc w:val="left"/>
                  </w:pPr>
                  <w:r>
                    <w:t xml:space="preserve">puso dan produksi padi per kab/kota belum ditarik</w:t>
                  </w:r>
                </w:p>
              </w:tc>
            </w:tr>
            <w:tr>
              <w:trPr>
                <w:cantSplit/>
              </w:trPr>
              <w:tc>
                <w:tcPr>
                  <w:tcW w:w="4817" w:type="dxa"/>
                </w:tcPr>
                <w:p>
                  <w:pPr>
                    <w:pStyle w:val="IsiTabel"/>
                    <w:keepNext/>
                    <w:suppressAutoHyphens/>
                    <w:jc w:val="left"/>
                  </w:pPr>
                  <w:r>
                    <w:t xml:space="preserve">Infrastruktur/fisik, sarana air rusak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14" w:type="dxa"/>
                </w:tcPr>
                <w:p>
                  <w:pPr>
                    <w:pStyle w:val="IsiTabel"/>
                    <w:keepNext/>
                    <w:suppressAutoHyphens/>
                    <w:jc w:val="left"/>
                  </w:pPr>
                  <w:r>
                    <w:t xml:space="preserve">tidak dicatat DIBI untuk kekeringan</w:t>
                  </w:r>
                </w:p>
              </w:tc>
            </w:tr>
            <w:tr>
              <w:trPr>
                <w:cantSplit/>
              </w:trPr>
              <w:tc>
                <w:tcPr>
                  <w:tcW w:w="4817" w:type="dxa"/>
                </w:tcPr>
                <w:p>
                  <w:pPr>
                    <w:pStyle w:val="IsiTabel"/>
                    <w:keepNext/>
                    <w:suppressAutoHyphens/>
                    <w:jc w:val="left"/>
                  </w:pPr>
                  <w:r>
                    <w:t xml:space="preserve">Layanan sipil, distribusi air bersih</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14" w:type="dxa"/>
                </w:tcPr>
                <w:p>
                  <w:pPr>
                    <w:pStyle w:val="IsiTabel"/>
                    <w:keepNext/>
                    <w:suppressAutoHyphens/>
                    <w:jc w:val="left"/>
                  </w:pPr>
                  <w:r>
                    <w:t xml:space="preserve">volume distribusi air kemarau 2026 belum diterima BNPB</w:t>
                  </w:r>
                </w:p>
              </w:tc>
            </w:tr>
            <w:tr>
              <w:trPr>
                <w:cantSplit/>
              </w:trPr>
              <w:tc>
                <w:tcPr>
                  <w:tcW w:w="4817" w:type="dxa"/>
                </w:tcPr>
                <w:p>
                  <w:pPr>
                    <w:pStyle w:val="IsiTabel"/>
                    <w:keepNext/>
                    <w:suppressAutoHyphens/>
                    <w:jc w:val="left"/>
                  </w:pPr>
                  <w:bookmarkStart w:id="433" w:name="_Ekor051z"/>
                  <w:bookmarkEnd w:id="433"/>
                  <w:r>
                    <w:t xml:space="preserve">Kebutuhan respons, terdampak kemarau 2026 sementara</w:t>
                  </w:r>
                </w:p>
              </w:tc>
              <w:tc>
                <w:tcPr>
                  <w:tcW w:w="1204" w:type="dxa"/>
                </w:tcPr>
                <w:p>
                  <w:pPr>
                    <w:pStyle w:val="IsiTabel"/>
                    <w:keepNext/>
                    <w:suppressAutoHyphens/>
                    <w:jc w:val="right"/>
                  </w:pPr>
                  <w:r>
                    <w:t xml:space="preserve">1.949.544</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14" w:type="dxa"/>
                </w:tcPr>
                <w:p>
                  <w:pPr>
                    <w:pStyle w:val="IsiTabel"/>
                    <w:keepNext/>
                    <w:suppressAutoHyphens/>
                    <w:jc w:val="left"/>
                  </w:pPr>
                  <w:r>
                    <w:t xml:space="preserve">DIBI BNPB, </w:t>
                  </w:r>
                  <w:r>
                    <w:t xml:space="preserve">122</w:t>
                  </w:r>
                  <w:r>
                    <w:t xml:space="preserve"> kejadian</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Pemicu Kesiapan Musim Kemarau 2027 memakai lantai tercatat </w:t>
                  </w:r>
                  <w:r>
                    <w:t xml:space="preserve">7.798.763 jiwa</w:t>
                  </w:r>
                  <w:r>
                    <w:t xml:space="preserve"> terdampak dan </w:t>
                  </w:r>
                  <w:r>
                    <w:t xml:space="preserve">6 jiwa</w:t>
                  </w:r>
                  <w:r>
                    <w:t xml:space="preserve"> meninggal untuk kedua varian kepekaan, karena kemungkinan kemarau tahun kedua tidak dinilai (</w:t>
                  </w:r>
                  <w:r>
                    <w:fldChar w:fldCharType="begin"/>
                  </w:r>
                  <w:r>
                    <w:instrText xml:space="preserve"> REF _Ref0080 \h \* CHARFORMAT </w:instrText>
                  </w:r>
                  <w:r>
                    <w:fldChar w:fldCharType="separate"/>
                  </w:r>
                  <w:r>
                    <w:t xml:space="preserve">32</w:t>
                  </w:r>
                  <w:r>
                    <w:fldChar w:fldCharType="end"/>
                  </w:r>
                  <w:r>
                    <w:t xml:space="preserve">).</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978"/>
              <w:gridCol w:w="1002"/>
              <w:gridCol w:w="992"/>
              <w:gridCol w:w="1098"/>
              <w:gridCol w:w="1284"/>
            </w:tblGrid>
            <w:tr>
              <w:trPr>
                <w:cantSplit/>
                <w:tblHeader/>
              </w:trPr>
              <w:tc>
                <w:tcPr>
                  <w:tcW w:w="4978" w:type="dxa"/>
                  <w:shd w:val="clear" w:color="auto" w:fill="051C2C"/>
                  <w:vAlign w:val="center"/>
                </w:tcPr>
                <w:p>
                  <w:pPr>
                    <w:pStyle w:val="KepalaTabel"/>
                    <w:keepNext/>
                    <w:suppressAutoHyphens/>
                  </w:pPr>
                  <w:r>
                    <w:t xml:space="preserve">TUAS</w:t>
                  </w:r>
                </w:p>
              </w:tc>
              <w:tc>
                <w:tcPr>
                  <w:tcW w:w="1002"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1098" w:type="dxa"/>
                  <w:shd w:val="clear" w:color="auto" w:fill="051C2C"/>
                  <w:vAlign w:val="center"/>
                </w:tcPr>
                <w:p>
                  <w:pPr>
                    <w:pStyle w:val="KepalaTabel"/>
                    <w:keepNext/>
                    <w:suppressAutoHyphens/>
                  </w:pPr>
                  <w:r>
                    <w:t xml:space="preserve">KORBAN JIWA</w:t>
                  </w:r>
                </w:p>
              </w:tc>
              <w:tc>
                <w:tcPr>
                  <w:tcW w:w="1284" w:type="dxa"/>
                  <w:shd w:val="clear" w:color="auto" w:fill="051C2C"/>
                  <w:vAlign w:val="center"/>
                </w:tcPr>
                <w:p>
                  <w:pPr>
                    <w:pStyle w:val="KepalaTabel"/>
                    <w:keepNext/>
                    <w:suppressAutoHyphens/>
                  </w:pPr>
                  <w:r>
                    <w:t xml:space="preserve">KERUGIAN MATERIIL</w:t>
                  </w:r>
                </w:p>
              </w:tc>
            </w:tr>
            <w:tr>
              <w:trPr>
                <w:cantSplit/>
              </w:trPr>
              <w:tc>
                <w:tcPr>
                  <w:tcW w:w="4978" w:type="dxa"/>
                </w:tcPr>
                <w:p>
                  <w:pPr>
                    <w:pStyle w:val="IsiTabel"/>
                    <w:keepNext/>
                    <w:suppressAutoHyphens/>
                    <w:jc w:val="left"/>
                  </w:pPr>
                  <w:bookmarkStart w:id="434" w:name="_Ekor052a"/>
                  <w:bookmarkEnd w:id="434"/>
                  <w:r>
                    <w:t xml:space="preserve">Kemarau berakhir Desember 2026, terdampak</w:t>
                  </w:r>
                </w:p>
              </w:tc>
              <w:tc>
                <w:tcPr>
                  <w:tcW w:w="1002" w:type="dxa"/>
                </w:tcPr>
                <w:p>
                  <w:pPr>
                    <w:pStyle w:val="IsiTabel"/>
                    <w:keepNext/>
                    <w:suppressAutoHyphens/>
                    <w:jc w:val="right"/>
                  </w:pPr>
                  <w:r>
                    <w:t xml:space="preserve">7.798.763</w:t>
                  </w:r>
                </w:p>
              </w:tc>
              <w:tc>
                <w:tcPr>
                  <w:tcW w:w="992" w:type="dxa"/>
                </w:tcPr>
                <w:p>
                  <w:pPr>
                    <w:pStyle w:val="IsiTabel"/>
                    <w:keepNext/>
                    <w:suppressAutoHyphens/>
                    <w:jc w:val="right"/>
                  </w:pPr>
                  <w:r>
                    <w:t xml:space="preserve">–</w:t>
                  </w:r>
                </w:p>
              </w:tc>
              <w:tc>
                <w:tcPr>
                  <w:tcW w:w="1098" w:type="dxa"/>
                </w:tcPr>
                <w:p>
                  <w:pPr>
                    <w:pStyle w:val="IsiTabel"/>
                    <w:keepNext/>
                    <w:suppressAutoHyphens/>
                    <w:jc w:val="right"/>
                  </w:pPr>
                  <w:r>
                    <w:t xml:space="preserve">6</w:t>
                  </w:r>
                </w:p>
              </w:tc>
              <w:tc>
                <w:tcPr>
                  <w:tcW w:w="1284" w:type="dxa"/>
                </w:tcPr>
                <w:p>
                  <w:pPr>
                    <w:pStyle w:val="IsiTabel"/>
                    <w:keepNext/>
                    <w:suppressAutoHyphens/>
                    <w:jc w:val="left"/>
                  </w:pPr>
                  <w:r>
                    <w:t xml:space="preserve">tidak dihitung</w:t>
                  </w:r>
                </w:p>
              </w:tc>
            </w:tr>
            <w:tr>
              <w:trPr>
                <w:cantSplit/>
              </w:trPr>
              <w:tc>
                <w:tcPr>
                  <w:tcW w:w="4978" w:type="dxa"/>
                </w:tcPr>
                <w:p>
                  <w:pPr>
                    <w:pStyle w:val="IsiTabel"/>
                    <w:keepNext/>
                    <w:suppressAutoHyphens/>
                    <w:jc w:val="left"/>
                  </w:pPr>
                  <w:bookmarkStart w:id="435" w:name="_Ekor052z"/>
                  <w:bookmarkEnd w:id="435"/>
                  <w:r>
                    <w:t xml:space="preserve">Kemarau tahun kedua 2027, analog 2015 (tahun kedua El Niño 2014–2016), terdampak</w:t>
                  </w:r>
                </w:p>
              </w:tc>
              <w:tc>
                <w:tcPr>
                  <w:tcW w:w="1002" w:type="dxa"/>
                </w:tcPr>
                <w:p>
                  <w:pPr>
                    <w:pStyle w:val="IsiTabel"/>
                    <w:keepNext/>
                    <w:suppressAutoHyphens/>
                    <w:jc w:val="right"/>
                  </w:pPr>
                  <w:r>
                    <w:t xml:space="preserve">7.798.763</w:t>
                  </w:r>
                </w:p>
              </w:tc>
              <w:tc>
                <w:tcPr>
                  <w:tcW w:w="992" w:type="dxa"/>
                </w:tcPr>
                <w:p>
                  <w:pPr>
                    <w:pStyle w:val="IsiTabel"/>
                    <w:keepNext/>
                    <w:suppressAutoHyphens/>
                    <w:jc w:val="right"/>
                  </w:pPr>
                  <w:r>
                    <w:t xml:space="preserve">232.348</w:t>
                  </w:r>
                </w:p>
              </w:tc>
              <w:tc>
                <w:tcPr>
                  <w:tcW w:w="1098" w:type="dxa"/>
                </w:tcPr>
                <w:p>
                  <w:pPr>
                    <w:pStyle w:val="IsiTabel"/>
                    <w:keepNext/>
                    <w:suppressAutoHyphens/>
                    <w:jc w:val="right"/>
                  </w:pPr>
                  <w:r>
                    <w:t xml:space="preserve">lantai tetap</w:t>
                  </w:r>
                </w:p>
              </w:tc>
              <w:tc>
                <w:tcPr>
                  <w:tcW w:w="1284" w:type="dxa"/>
                </w:tcPr>
                <w:p>
                  <w:pPr>
                    <w:pStyle w:val="IsiTabel"/>
                    <w:keepNext/>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Distribusi air bersih ke desa terdampak dicatat volumenya per kab/kota (</w:t>
                  </w:r>
                  <w:r>
                    <w:fldChar w:fldCharType="begin"/>
                  </w:r>
                  <w:r>
                    <w:instrText xml:space="preserve"> REF _Ref0075 \h \* CHARFORMAT </w:instrText>
                  </w:r>
                  <w:r>
                    <w:fldChar w:fldCharType="separate"/>
                  </w:r>
                  <w:r>
                    <w:t xml:space="preserve">07</w:t>
                  </w:r>
                  <w:r>
                    <w:fldChar w:fldCharType="end"/>
                  </w:r>
                  <w:r>
                    <w:t xml:space="preserve">).</w:t>
                  </w:r>
                </w:p>
                <w:p>
                  <w:pPr>
                    <w:pStyle w:val="DaftarTabel"/>
                    <w:keepNext/>
                    <w:numPr>
                      <w:ilvl w:val="0"/>
                      <w:numId w:val="1"/>
                    </w:numPr>
                    <w:suppressAutoHyphens/>
                  </w:pPr>
                  <w:r>
                    <w:t xml:space="preserve">Peringatan dini kekeringan meteorologis BMKG kategori Awas menjadi pemicu kesiapan BPBD (</w:t>
                  </w:r>
                  <w:r>
                    <w:fldChar w:fldCharType="begin"/>
                  </w:r>
                  <w:r>
                    <w:instrText xml:space="preserve"> REF _Ref0080 \h \* CHARFORMAT </w:instrText>
                  </w:r>
                  <w:r>
                    <w:fldChar w:fldCharType="separate"/>
                  </w:r>
                  <w:r>
                    <w:t xml:space="preserve">32</w:t>
                  </w:r>
                  <w:r>
                    <w:fldChar w:fldCharType="end"/>
                  </w:r>
                  <w:r>
                    <w:t xml:space="preserve">).</w:t>
                  </w:r>
                </w:p>
                <w:p>
                  <w:pPr>
                    <w:pStyle w:val="DaftarTabel"/>
                    <w:keepNext/>
                    <w:numPr>
                      <w:ilvl w:val="0"/>
                      <w:numId w:val="1"/>
                    </w:numPr>
                    <w:suppressAutoHyphens/>
                  </w:pPr>
                  <w:r>
                    <w:t xml:space="preserve">Layanan pangan disiapkan untuk wilayah terpencil yang pernah mencatat korban kekeringan.</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Puso dan produksi padi per kab/kota ditarik untuk mengisi kerugian materiil.</w:t>
                  </w:r>
                </w:p>
                <w:p>
                  <w:pPr>
                    <w:pStyle w:val="DaftarTabel"/>
                    <w:keepNext/>
                    <w:numPr>
                      <w:ilvl w:val="0"/>
                      <w:numId w:val="1"/>
                    </w:numPr>
                    <w:suppressAutoHyphens/>
                  </w:pPr>
                  <w:r>
                    <w:t xml:space="preserve">Data operasional kemarau 2026 dipakai untuk memperbarui lantai kemarau.</w:t>
                  </w:r>
                </w:p>
                <w:p>
                  <w:pPr>
                    <w:pStyle w:val="DaftarTabel"/>
                    <w:keepNext/>
                    <w:numPr>
                      <w:ilvl w:val="0"/>
                      <w:numId w:val="1"/>
                    </w:numPr>
                    <w:suppressAutoHyphens/>
                  </w:pPr>
                  <w:r>
                    <w:t xml:space="preserve">Lantai kekeringan dimutakhirkan saat turunan lantai per jenis selesai (</w:t>
                  </w:r>
                  <w:r>
                    <w:fldChar w:fldCharType="begin"/>
                  </w:r>
                  <w:r>
                    <w:instrText xml:space="preserve"> REF _Ref0105 \h \* CHARFORMAT </w:instrText>
                  </w:r>
                  <w:r>
                    <w:fldChar w:fldCharType="separate"/>
                  </w:r>
                  <w:r>
                    <w:t xml:space="preserve">30</w:t>
                  </w:r>
                  <w:r>
                    <w:fldChar w:fldCharType="end"/>
                  </w:r>
                  <w:r>
                    <w:t xml:space="preserve">).</w:t>
                  </w:r>
                </w:p>
              </w:tc>
            </w:tr>
          </w:tbl>
          <w:p>
            <w:pPr>
              <w:pStyle w:val="IsiTabel"/>
              <w:keepNext/>
              <w:spacing w:before="80"/>
            </w:pPr>
            <w:r>
              <w:rPr>
                <w:i/>
                <w:iCs/>
                <w:color w:val="2E3440"/>
                <w:sz w:val="17"/>
                <w:szCs w:val="17"/>
              </w:rPr>
              <w:t xml:space="preserve">Angka tercatat DIBI; 2026 sementara sampai 23 Oktober 2026; terdampak DIBI mengukur intensitas pelaporan.</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36" w:name="_Kartu011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2025c)</w:t>
      </w:r>
      <w:r>
        <w:rPr>
          <w:color w:val="6B7280"/>
          <w:sz w:val="17"/>
          <w:szCs w:val="17"/>
        </w:rPr>
        <w:t xml:space="preserve">; NOAA CPC, ONI </w:t>
      </w:r>
      <w:r>
        <w:rPr>
          <w:color w:val="6B7280"/>
          <w:sz w:val="17"/>
          <w:szCs w:val="17"/>
        </w:rPr>
        <w:t xml:space="preserve">(NOAA Climate Prediction Center, 2026b)</w:t>
      </w:r>
      <w:r>
        <w:rPr>
          <w:color w:val="6B7280"/>
          <w:sz w:val="17"/>
          <w:szCs w:val="17"/>
        </w:rPr>
        <w:t xml:space="preserve">; data per </w:t>
      </w:r>
      <w:r>
        <w:rPr>
          <w:color w:val="6B7280"/>
          <w:sz w:val="17"/>
          <w:szCs w:val="17"/>
        </w:rPr>
        <w:t xml:space="preserve">23 Okt 2026</w:t>
      </w:r>
      <w:bookmarkEnd w:id="436"/>
    </w:p>
    <w:p>
      <w:pPr>
        <w:pStyle w:val="Heading2"/>
      </w:pPr>
      <w:bookmarkStart w:id="438" w:name="_Toc00143"/>
      <w:bookmarkStart w:id="437" w:name="_Ref0140"/>
      <w:r>
        <w:t xml:space="preserve">7.6</w:t>
      </w:r>
      <w:bookmarkEnd w:id="437"/>
      <w:r>
        <w:tab/>
      </w:r>
      <w:r>
        <w:t xml:space="preserve">Kebakaran Hutan dan Lahan</w:t>
      </w:r>
      <w:bookmarkEnd w:id="438"/>
    </w:p>
    <w:p>
      <w:pPr>
        <w:pStyle w:val="IsiTemuan"/>
      </w:pPr>
      <w:r>
        <w:rPr>
          <w:b/>
          <w:bCs/>
          <w:color w:val="051C2C"/>
        </w:rPr>
        <w:t xml:space="preserve">Karhutla 2015 membakar </w:t>
      </w:r>
      <w:r>
        <w:rPr>
          <w:b/>
          <w:bCs/>
          <w:color w:val="051C2C"/>
        </w:rPr>
        <w:t xml:space="preserve">2.611.411,44 ha</w:t>
      </w:r>
      <w:r>
        <w:rPr>
          <w:b/>
          <w:bCs/>
          <w:color w:val="051C2C"/>
        </w:rPr>
        <w:t xml:space="preserve"> menurut SiPongi Kementerian Kehutanan, terluas dalam seri SiPongi 2015–2024.</w:t>
      </w:r>
      <w:r>
        <w:t xml:space="preserve"> Bank Dunia menghitung kerugiannya US$</w:t>
      </w:r>
      <w:r>
        <w:t xml:space="preserve">16,1 miliar</w:t>
      </w:r>
      <w:r>
        <w:t xml:space="preserve">, setara </w:t>
      </w:r>
      <w:r>
        <w:t xml:space="preserve">1,9%</w:t>
      </w:r>
      <w:r>
        <w:t xml:space="preserve"> produk domestik bruto (PDB) 2015, untuk delapan provinsi dan tanpa biaya regional dan global </w:t>
      </w:r>
      <w:r>
        <w:t xml:space="preserve">(Kementerian Lingkungan Hidup dan Kehutanan (kini Kementerian Kehutanan), SiPongi [SiPongi], 2026; World Bank, 2016, hlm. 3, 6)</w:t>
      </w:r>
      <w:r>
        <w:t xml:space="preserve">. Luas SiPongi adalah indikasi dari titik panas dan verifikasi, bukan hitungan citra. Karhutla 2019 membakar </w:t>
      </w:r>
      <w:r>
        <w:t xml:space="preserve">1.649.258 ha</w:t>
      </w:r>
      <w:r>
        <w:t xml:space="preserve"> dengan kerugian US$</w:t>
      </w:r>
      <w:r>
        <w:t xml:space="preserve">5,2 miliar</w:t>
      </w:r>
      <w:r>
        <w:t xml:space="preserve"> atau </w:t>
      </w:r>
      <w:r>
        <w:t xml:space="preserve">0,5%</w:t>
      </w:r>
      <w:r>
        <w:t xml:space="preserve"> PDB </w:t>
      </w:r>
      <w:r>
        <w:t xml:space="preserve">(World Bank, 2019, hlm. 7–8)</w:t>
      </w:r>
      <w:r>
        <w:t xml:space="preserve">, dan karhutla 2023 membakar </w:t>
      </w:r>
      <w:r>
        <w:t xml:space="preserve">1.161.192,9 ha</w:t>
      </w:r>
      <w:r>
        <w:t xml:space="preserve">. Analisis Bank Dunia 2016 dan 2019 adalah satu-satunya penilaian kerugian ekonomi berskala nasional untuk kejadian hidrometeorologi dalam bahan kajian (</w:t>
      </w:r>
      <w:r>
        <w:t xml:space="preserve">Subbab </w:t>
      </w:r>
      <w:r>
        <w:fldChar w:fldCharType="begin"/>
      </w:r>
      <w:r>
        <w:instrText xml:space="preserve"> REF _Ref0137 \h \* CHARFORMAT </w:instrText>
      </w:r>
      <w:r>
        <w:fldChar w:fldCharType="separate"/>
      </w:r>
      <w:r>
        <w:t xml:space="preserve">7.1</w:t>
      </w:r>
      <w:r>
        <w:fldChar w:fldCharType="end"/>
      </w:r>
      <w:r>
        <w:t xml:space="preserve">).</w:t>
      </w:r>
    </w:p>
    <w:p>
      <w:pPr>
        <w:pStyle w:val="IsiTemuan"/>
      </w:pPr>
      <w:r>
        <w:rPr>
          <w:b/>
          <w:bCs/>
          <w:color w:val="051C2C"/>
        </w:rPr>
        <w:t xml:space="preserve">DIBI mencatat </w:t>
      </w:r>
      <w:r>
        <w:rPr>
          <w:b/>
          <w:bCs/>
          <w:color w:val="051C2C"/>
        </w:rPr>
        <w:t xml:space="preserve">12</w:t>
      </w:r>
      <w:r>
        <w:rPr>
          <w:b/>
          <w:bCs/>
          <w:color w:val="051C2C"/>
        </w:rPr>
        <w:t xml:space="preserve"> meninggal karhutla 2015 di provinsi asap, sedangkan model Koplitz dkk. memperkirakan </w:t>
      </w:r>
      <w:r>
        <w:rPr>
          <w:b/>
          <w:bCs/>
          <w:color w:val="051C2C"/>
        </w:rPr>
        <w:t xml:space="preserve">sekitar 92.000</w:t>
      </w:r>
      <w:r>
        <w:rPr>
          <w:b/>
          <w:bCs/>
          <w:color w:val="051C2C"/>
        </w:rPr>
        <w:t xml:space="preserve"> kematian dewasa berlebih di Indonesia (</w:t>
      </w:r>
      <w:r>
        <w:rPr>
          <w:b/>
          <w:bCs/>
          <w:color w:val="051C2C"/>
        </w:rPr>
        <w:t xml:space="preserve">24.000–160.000</w:t>
      </w:r>
      <w:r>
        <w:rPr>
          <w:b/>
          <w:bCs/>
          <w:color w:val="051C2C"/>
        </w:rPr>
        <w:t xml:space="preserve">).</w:t>
      </w:r>
      <w:r>
        <w:t xml:space="preserve"> Angka model itu </w:t>
      </w:r>
      <w:r>
        <w:t xml:space="preserve">sekitar 7.600 kali</w:t>
      </w:r>
      <w:r>
        <w:t xml:space="preserve"> angka tercatat di provinsi asap, sehingga keduanya selalu ditulis berdampingan dengan label berbeda </w:t>
      </w:r>
      <w:r>
        <w:t xml:space="preserve">(BNPB, t.t.-a; Koplitz dkk., 2016)</w:t>
      </w:r>
      <w:r>
        <w:t xml:space="preserve">. Model itu menghitung paparan partikel halus asap sepanjang Juli–Oktober 2015 dan hanya kematian dewasa, jadi hasilnya bukan beban kematian total. Di semua provinsi DIBI mencatat </w:t>
      </w:r>
      <w:r>
        <w:t xml:space="preserve">24</w:t>
      </w:r>
      <w:r>
        <w:t xml:space="preserve"> meninggal karhutla 2015; selisihnya berasal dari Magetan dan Ponorogo, kebakaran hutan setempat di luar provinsi asap. Kelas dampak kependudukan karhutla dihitung dari angka tercatat, yaitu kelas dua.</w:t>
      </w:r>
    </w:p>
    <w:p>
      <w:pPr>
        <w:pStyle w:val="IsiTemuan"/>
      </w:pPr>
      <w:r>
        <w:rPr>
          <w:b/>
          <w:bCs/>
          <w:color w:val="051C2C"/>
        </w:rPr>
        <w:t xml:space="preserve">Paparan resmi karhutla dalam KRB 2022–2026 adalah </w:t>
      </w:r>
      <w:r>
        <w:rPr>
          <w:b/>
          <w:bCs/>
          <w:color w:val="051C2C"/>
        </w:rPr>
        <w:t xml:space="preserve">128.283.490 ha</w:t>
      </w:r>
      <w:r>
        <w:rPr>
          <w:b/>
          <w:bCs/>
          <w:color w:val="051C2C"/>
        </w:rPr>
        <w:t xml:space="preserve"> luas bahaya, </w:t>
      </w:r>
      <w:r>
        <w:rPr>
          <w:b/>
          <w:bCs/>
          <w:color w:val="051C2C"/>
        </w:rPr>
        <w:t xml:space="preserve">25.457.756 ha</w:t>
      </w:r>
      <w:r>
        <w:rPr>
          <w:b/>
          <w:bCs/>
          <w:color w:val="051C2C"/>
        </w:rPr>
        <w:t xml:space="preserve"> di antaranya kelas tinggi, dengan potensi kerugian </w:t>
      </w:r>
      <w:r>
        <w:rPr>
          <w:b/>
          <w:bCs/>
          <w:color w:val="051C2C"/>
        </w:rPr>
        <w:t xml:space="preserve">Rp709 triliun</w:t>
      </w:r>
      <w:r>
        <w:rPr>
          <w:b/>
          <w:bCs/>
          <w:color w:val="051C2C"/>
        </w:rPr>
        <w:t xml:space="preserve">.</w:t>
      </w:r>
      <w:r>
        <w:t xml:space="preserve"> Penduduk terpapar karhutla tidak disajikan di Renas PB, dan API KRB per kab/kota untuk karhutla mengembalikan nilai nol </w:t>
      </w:r>
      <w:r>
        <w:t xml:space="preserve">(BNPB, 2025c)</w:t>
      </w:r>
      <w:r>
        <w:t xml:space="preserve">. Sebaran per provinsi asap untuk 2015 dan 2019 tampil pada </w:t>
      </w:r>
      <w:r>
        <w:fldChar w:fldCharType="begin"/>
      </w:r>
      <w:r>
        <w:instrText xml:space="preserve"> REF _Ref0266 \h \* CHARFORMAT </w:instrText>
      </w:r>
      <w:r>
        <w:fldChar w:fldCharType="separate"/>
      </w:r>
      <w:r>
        <w:t xml:space="preserve">Tabel 7.6</w:t>
      </w:r>
      <w:r>
        <w:fldChar w:fldCharType="end"/>
      </w:r>
      <w:r>
        <w:t xml:space="preserve">. Kasus infeksi saluran pernapasan akut (ISPA) tidak dimuat di tabel maupun kartu, karena semua versi yang ditemukan bersumber pers dan rilis BNPB aslinya tidak ditemukan pada penelusuran 24 Oktober 2026 (</w:t>
      </w:r>
      <w:r>
        <w:fldChar w:fldCharType="begin"/>
      </w:r>
      <w:r>
        <w:instrText xml:space="preserve"> REF _Ref0265 \h \* CHARFORMAT </w:instrText>
      </w:r>
      <w:r>
        <w:fldChar w:fldCharType="separate"/>
      </w:r>
      <w:r>
        <w:t xml:space="preserve">Tabel 7.10</w:t>
      </w:r>
      <w:r>
        <w:fldChar w:fldCharType="end"/>
      </w:r>
      <w:r>
        <w:t xml:space="preserve">).</w:t>
      </w:r>
    </w:p>
    <w:p>
      <w:pPr>
        <w:pStyle w:val="Caption"/>
      </w:pPr>
      <w:bookmarkStart w:id="440" w:name="_Toc00144"/>
      <w:bookmarkStart w:id="439" w:name="_Ref026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439"/>
      <w:r>
        <w:rPr>
          <w:b/>
          <w:bCs/>
          <w:color w:val="051C2C"/>
        </w:rPr>
        <w:t xml:space="preserve"> </w:t>
      </w:r>
      <w:r>
        <w:t xml:space="preserve">Luas terbakar dan korban karhutla di provinsi asap, 2015 dan 2019</w:t>
      </w:r>
      <w:bookmarkEnd w:id="44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40"/>
        <w:gridCol w:w="978"/>
        <w:gridCol w:w="854"/>
        <w:gridCol w:w="978"/>
        <w:gridCol w:w="1135"/>
        <w:gridCol w:w="1316"/>
        <w:gridCol w:w="1135"/>
        <w:gridCol w:w="1318"/>
      </w:tblGrid>
      <w:tr>
        <w:trPr>
          <w:cantSplit/>
          <w:tblHeader/>
        </w:trPr>
        <w:tc>
          <w:tcPr>
            <w:tcW w:w="1640" w:type="dxa"/>
            <w:shd w:val="clear" w:color="auto" w:fill="051C2C"/>
            <w:vAlign w:val="center"/>
          </w:tcPr>
          <w:p>
            <w:pPr>
              <w:pStyle w:val="KepalaTabel"/>
              <w:suppressAutoHyphens/>
            </w:pPr>
            <w:r>
              <w:t xml:space="preserve">PROVINSI</w:t>
            </w:r>
          </w:p>
        </w:tc>
        <w:tc>
          <w:tcPr>
            <w:tcW w:w="978" w:type="dxa"/>
            <w:shd w:val="clear" w:color="auto" w:fill="051C2C"/>
            <w:vAlign w:val="center"/>
          </w:tcPr>
          <w:p>
            <w:pPr>
              <w:pStyle w:val="KepalaTabel"/>
              <w:suppressAutoHyphens/>
            </w:pPr>
            <w:r>
              <w:t xml:space="preserve">LUAS SIPONGI 2015 (ha)</w:t>
            </w:r>
          </w:p>
        </w:tc>
        <w:tc>
          <w:tcPr>
            <w:tcW w:w="854" w:type="dxa"/>
            <w:shd w:val="clear" w:color="auto" w:fill="051C2C"/>
            <w:vAlign w:val="center"/>
          </w:tcPr>
          <w:p>
            <w:pPr>
              <w:pStyle w:val="KepalaTabel"/>
              <w:suppressAutoHyphens/>
            </w:pPr>
            <w:r>
              <w:t xml:space="preserve">LUAS BANK DUNIA 2015 (ha)</w:t>
            </w:r>
          </w:p>
        </w:tc>
        <w:tc>
          <w:tcPr>
            <w:tcW w:w="978" w:type="dxa"/>
            <w:shd w:val="clear" w:color="auto" w:fill="051C2C"/>
            <w:vAlign w:val="center"/>
          </w:tcPr>
          <w:p>
            <w:pPr>
              <w:pStyle w:val="KepalaTabel"/>
              <w:suppressAutoHyphens/>
            </w:pPr>
            <w:r>
              <w:t xml:space="preserve">LUAS SIPONGI 2019 (ha)</w:t>
            </w:r>
          </w:p>
        </w:tc>
        <w:tc>
          <w:tcPr>
            <w:tcW w:w="1135" w:type="dxa"/>
            <w:shd w:val="clear" w:color="auto" w:fill="051C2C"/>
            <w:vAlign w:val="center"/>
          </w:tcPr>
          <w:p>
            <w:pPr>
              <w:pStyle w:val="KepalaTabel"/>
              <w:suppressAutoHyphens/>
            </w:pPr>
            <w:r>
              <w:t xml:space="preserve">KEJADIAN DIBI 2015</w:t>
            </w:r>
          </w:p>
        </w:tc>
        <w:tc>
          <w:tcPr>
            <w:tcW w:w="1316" w:type="dxa"/>
            <w:shd w:val="clear" w:color="auto" w:fill="051C2C"/>
            <w:vAlign w:val="center"/>
          </w:tcPr>
          <w:p>
            <w:pPr>
              <w:pStyle w:val="KepalaTabel"/>
              <w:suppressAutoHyphens/>
            </w:pPr>
            <w:r>
              <w:t xml:space="preserve">MENINGGAL DAN HILANG 2015</w:t>
            </w:r>
          </w:p>
        </w:tc>
        <w:tc>
          <w:tcPr>
            <w:tcW w:w="1135" w:type="dxa"/>
            <w:shd w:val="clear" w:color="auto" w:fill="051C2C"/>
            <w:vAlign w:val="center"/>
          </w:tcPr>
          <w:p>
            <w:pPr>
              <w:pStyle w:val="KepalaTabel"/>
              <w:suppressAutoHyphens/>
            </w:pPr>
            <w:r>
              <w:t xml:space="preserve">KEJADIAN DIBI 2019</w:t>
            </w:r>
          </w:p>
        </w:tc>
        <w:tc>
          <w:tcPr>
            <w:tcW w:w="1318" w:type="dxa"/>
            <w:shd w:val="clear" w:color="auto" w:fill="051C2C"/>
            <w:vAlign w:val="center"/>
          </w:tcPr>
          <w:p>
            <w:pPr>
              <w:pStyle w:val="KepalaTabel"/>
              <w:suppressAutoHyphens/>
            </w:pPr>
            <w:r>
              <w:t xml:space="preserve">MENINGGAL DAN HILANG 2019</w:t>
            </w:r>
          </w:p>
        </w:tc>
      </w:tr>
      <w:tr>
        <w:trPr>
          <w:cantSplit/>
        </w:trPr>
        <w:tc>
          <w:tcPr>
            <w:tcW w:w="1640" w:type="dxa"/>
          </w:tcPr>
          <w:p>
            <w:pPr>
              <w:pStyle w:val="IsiTabel"/>
              <w:suppressAutoHyphens/>
              <w:jc w:val="left"/>
            </w:pPr>
            <w:r>
              <w:t xml:space="preserve">Sumatera Selatan</w:t>
            </w:r>
          </w:p>
        </w:tc>
        <w:tc>
          <w:tcPr>
            <w:tcW w:w="978" w:type="dxa"/>
          </w:tcPr>
          <w:p>
            <w:pPr>
              <w:pStyle w:val="IsiTabel"/>
              <w:suppressAutoHyphens/>
              <w:jc w:val="right"/>
            </w:pPr>
            <w:r>
              <w:t xml:space="preserve">646.299</w:t>
            </w:r>
          </w:p>
        </w:tc>
        <w:tc>
          <w:tcPr>
            <w:tcW w:w="854" w:type="dxa"/>
          </w:tcPr>
          <w:p>
            <w:pPr>
              <w:pStyle w:val="IsiTabel"/>
              <w:suppressAutoHyphens/>
              <w:jc w:val="right"/>
            </w:pPr>
            <w:r>
              <w:t xml:space="preserve">608.000</w:t>
            </w:r>
          </w:p>
        </w:tc>
        <w:tc>
          <w:tcPr>
            <w:tcW w:w="978" w:type="dxa"/>
          </w:tcPr>
          <w:p>
            <w:pPr>
              <w:pStyle w:val="IsiTabel"/>
              <w:suppressAutoHyphens/>
              <w:jc w:val="right"/>
            </w:pPr>
            <w:r>
              <w:t xml:space="preserve">336.798</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5</w:t>
            </w:r>
          </w:p>
        </w:tc>
        <w:tc>
          <w:tcPr>
            <w:tcW w:w="1135" w:type="dxa"/>
          </w:tcPr>
          <w:p>
            <w:pPr>
              <w:pStyle w:val="IsiTabel"/>
              <w:suppressAutoHyphens/>
              <w:jc w:val="right"/>
            </w:pPr>
            <w:r>
              <w:t xml:space="preserve">41</w:t>
            </w:r>
          </w:p>
        </w:tc>
        <w:tc>
          <w:tcPr>
            <w:tcW w:w="1318" w:type="dxa"/>
          </w:tcPr>
          <w:p>
            <w:pPr>
              <w:pStyle w:val="IsiTabel"/>
              <w:suppressAutoHyphens/>
              <w:jc w:val="right"/>
            </w:pPr>
            <w:r>
              <w:t xml:space="preserve">1</w:t>
            </w:r>
          </w:p>
        </w:tc>
      </w:tr>
      <w:tr>
        <w:trPr>
          <w:cantSplit/>
        </w:trPr>
        <w:tc>
          <w:tcPr>
            <w:tcW w:w="1640" w:type="dxa"/>
          </w:tcPr>
          <w:p>
            <w:pPr>
              <w:pStyle w:val="IsiTabel"/>
              <w:suppressAutoHyphens/>
              <w:jc w:val="left"/>
            </w:pPr>
            <w:r>
              <w:t xml:space="preserve">Kalimantan Tengah</w:t>
            </w:r>
          </w:p>
        </w:tc>
        <w:tc>
          <w:tcPr>
            <w:tcW w:w="978" w:type="dxa"/>
          </w:tcPr>
          <w:p>
            <w:pPr>
              <w:pStyle w:val="IsiTabel"/>
              <w:suppressAutoHyphens/>
              <w:jc w:val="right"/>
            </w:pPr>
            <w:r>
              <w:t xml:space="preserve">583.833</w:t>
            </w:r>
          </w:p>
        </w:tc>
        <w:tc>
          <w:tcPr>
            <w:tcW w:w="854" w:type="dxa"/>
          </w:tcPr>
          <w:p>
            <w:pPr>
              <w:pStyle w:val="IsiTabel"/>
              <w:suppressAutoHyphens/>
              <w:jc w:val="right"/>
            </w:pPr>
            <w:r>
              <w:t xml:space="preserve">429.000</w:t>
            </w:r>
          </w:p>
        </w:tc>
        <w:tc>
          <w:tcPr>
            <w:tcW w:w="978" w:type="dxa"/>
          </w:tcPr>
          <w:p>
            <w:pPr>
              <w:pStyle w:val="IsiTabel"/>
              <w:suppressAutoHyphens/>
              <w:jc w:val="right"/>
            </w:pPr>
            <w:r>
              <w:t xml:space="preserve">317.749</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1</w:t>
            </w:r>
          </w:p>
        </w:tc>
        <w:tc>
          <w:tcPr>
            <w:tcW w:w="1135" w:type="dxa"/>
          </w:tcPr>
          <w:p>
            <w:pPr>
              <w:pStyle w:val="IsiTabel"/>
              <w:suppressAutoHyphens/>
              <w:jc w:val="right"/>
            </w:pPr>
            <w:r>
              <w:t xml:space="preserve">33</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Papua (luas: batas sebelum pemekaran 2022)</w:t>
            </w:r>
          </w:p>
        </w:tc>
        <w:tc>
          <w:tcPr>
            <w:tcW w:w="978" w:type="dxa"/>
          </w:tcPr>
          <w:p>
            <w:pPr>
              <w:pStyle w:val="IsiTabel"/>
              <w:suppressAutoHyphens/>
              <w:jc w:val="right"/>
            </w:pPr>
            <w:r>
              <w:t xml:space="preserve">350.005</w:t>
            </w:r>
          </w:p>
        </w:tc>
        <w:tc>
          <w:tcPr>
            <w:tcW w:w="854" w:type="dxa"/>
          </w:tcPr>
          <w:p>
            <w:pPr>
              <w:pStyle w:val="IsiTabel"/>
              <w:suppressAutoHyphens/>
              <w:jc w:val="right"/>
            </w:pPr>
            <w:r>
              <w:t xml:space="preserve">268.000</w:t>
            </w:r>
          </w:p>
        </w:tc>
        <w:tc>
          <w:tcPr>
            <w:tcW w:w="978" w:type="dxa"/>
          </w:tcPr>
          <w:p>
            <w:pPr>
              <w:pStyle w:val="IsiTabel"/>
              <w:suppressAutoHyphens/>
              <w:jc w:val="right"/>
            </w:pPr>
            <w:r>
              <w:t xml:space="preserve">108.110</w:t>
            </w:r>
          </w:p>
        </w:tc>
        <w:tc>
          <w:tcPr>
            <w:tcW w:w="1135" w:type="dxa"/>
          </w:tcPr>
          <w:p>
            <w:pPr>
              <w:pStyle w:val="IsiTabel"/>
              <w:suppressAutoHyphens/>
              <w:jc w:val="right"/>
            </w:pPr>
            <w:r>
              <w:t xml:space="preserve">0</w:t>
            </w:r>
          </w:p>
        </w:tc>
        <w:tc>
          <w:tcPr>
            <w:tcW w:w="1316" w:type="dxa"/>
          </w:tcPr>
          <w:p>
            <w:pPr>
              <w:pStyle w:val="IsiTabel"/>
              <w:suppressAutoHyphens/>
              <w:jc w:val="right"/>
            </w:pPr>
            <w:r>
              <w:t xml:space="preserve">0</w:t>
            </w:r>
          </w:p>
        </w:tc>
        <w:tc>
          <w:tcPr>
            <w:tcW w:w="1135" w:type="dxa"/>
          </w:tcPr>
          <w:p>
            <w:pPr>
              <w:pStyle w:val="IsiTabel"/>
              <w:suppressAutoHyphens/>
              <w:jc w:val="right"/>
            </w:pPr>
            <w:r>
              <w:t xml:space="preserve">0</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Kalimantan Selatan</w:t>
            </w:r>
          </w:p>
        </w:tc>
        <w:tc>
          <w:tcPr>
            <w:tcW w:w="978" w:type="dxa"/>
          </w:tcPr>
          <w:p>
            <w:pPr>
              <w:pStyle w:val="IsiTabel"/>
              <w:suppressAutoHyphens/>
              <w:jc w:val="right"/>
            </w:pPr>
            <w:r>
              <w:t xml:space="preserve">196.517</w:t>
            </w:r>
          </w:p>
        </w:tc>
        <w:tc>
          <w:tcPr>
            <w:tcW w:w="854" w:type="dxa"/>
          </w:tcPr>
          <w:p>
            <w:pPr>
              <w:pStyle w:val="IsiTabel"/>
              <w:suppressAutoHyphens/>
              <w:jc w:val="right"/>
            </w:pPr>
            <w:r>
              <w:t xml:space="preserve">292.000</w:t>
            </w:r>
          </w:p>
        </w:tc>
        <w:tc>
          <w:tcPr>
            <w:tcW w:w="978" w:type="dxa"/>
          </w:tcPr>
          <w:p>
            <w:pPr>
              <w:pStyle w:val="IsiTabel"/>
              <w:suppressAutoHyphens/>
              <w:jc w:val="right"/>
            </w:pPr>
            <w:r>
              <w:t xml:space="preserve">137.848</w:t>
            </w:r>
          </w:p>
        </w:tc>
        <w:tc>
          <w:tcPr>
            <w:tcW w:w="1135" w:type="dxa"/>
          </w:tcPr>
          <w:p>
            <w:pPr>
              <w:pStyle w:val="IsiTabel"/>
              <w:suppressAutoHyphens/>
              <w:jc w:val="right"/>
            </w:pPr>
            <w:r>
              <w:t xml:space="preserve">0</w:t>
            </w:r>
          </w:p>
        </w:tc>
        <w:tc>
          <w:tcPr>
            <w:tcW w:w="1316" w:type="dxa"/>
          </w:tcPr>
          <w:p>
            <w:pPr>
              <w:pStyle w:val="IsiTabel"/>
              <w:suppressAutoHyphens/>
              <w:jc w:val="right"/>
            </w:pPr>
            <w:r>
              <w:t xml:space="preserve">0</w:t>
            </w:r>
          </w:p>
        </w:tc>
        <w:tc>
          <w:tcPr>
            <w:tcW w:w="1135" w:type="dxa"/>
          </w:tcPr>
          <w:p>
            <w:pPr>
              <w:pStyle w:val="IsiTabel"/>
              <w:suppressAutoHyphens/>
              <w:jc w:val="right"/>
            </w:pPr>
            <w:r>
              <w:t xml:space="preserve">62</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Riau</w:t>
            </w:r>
          </w:p>
        </w:tc>
        <w:tc>
          <w:tcPr>
            <w:tcW w:w="978" w:type="dxa"/>
          </w:tcPr>
          <w:p>
            <w:pPr>
              <w:pStyle w:val="IsiTabel"/>
              <w:suppressAutoHyphens/>
              <w:jc w:val="right"/>
            </w:pPr>
            <w:r>
              <w:t xml:space="preserve">183.809</w:t>
            </w:r>
          </w:p>
        </w:tc>
        <w:tc>
          <w:tcPr>
            <w:tcW w:w="854" w:type="dxa"/>
          </w:tcPr>
          <w:p>
            <w:pPr>
              <w:pStyle w:val="IsiTabel"/>
              <w:suppressAutoHyphens/>
              <w:jc w:val="right"/>
            </w:pPr>
            <w:r>
              <w:t xml:space="preserve">139.000</w:t>
            </w:r>
          </w:p>
        </w:tc>
        <w:tc>
          <w:tcPr>
            <w:tcW w:w="978" w:type="dxa"/>
          </w:tcPr>
          <w:p>
            <w:pPr>
              <w:pStyle w:val="IsiTabel"/>
              <w:suppressAutoHyphens/>
              <w:jc w:val="right"/>
            </w:pPr>
            <w:r>
              <w:t xml:space="preserve">90.550</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4</w:t>
            </w:r>
          </w:p>
        </w:tc>
        <w:tc>
          <w:tcPr>
            <w:tcW w:w="1135" w:type="dxa"/>
          </w:tcPr>
          <w:p>
            <w:pPr>
              <w:pStyle w:val="IsiTabel"/>
              <w:suppressAutoHyphens/>
              <w:jc w:val="right"/>
            </w:pPr>
            <w:r>
              <w:t xml:space="preserve">38</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Jambi</w:t>
            </w:r>
          </w:p>
        </w:tc>
        <w:tc>
          <w:tcPr>
            <w:tcW w:w="978" w:type="dxa"/>
          </w:tcPr>
          <w:p>
            <w:pPr>
              <w:pStyle w:val="IsiTabel"/>
              <w:suppressAutoHyphens/>
              <w:jc w:val="right"/>
            </w:pPr>
            <w:r>
              <w:t xml:space="preserve">115.634</w:t>
            </w:r>
          </w:p>
        </w:tc>
        <w:tc>
          <w:tcPr>
            <w:tcW w:w="854" w:type="dxa"/>
          </w:tcPr>
          <w:p>
            <w:pPr>
              <w:pStyle w:val="IsiTabel"/>
              <w:suppressAutoHyphens/>
              <w:jc w:val="right"/>
            </w:pPr>
            <w:r>
              <w:t xml:space="preserve">123.000</w:t>
            </w:r>
          </w:p>
        </w:tc>
        <w:tc>
          <w:tcPr>
            <w:tcW w:w="978" w:type="dxa"/>
          </w:tcPr>
          <w:p>
            <w:pPr>
              <w:pStyle w:val="IsiTabel"/>
              <w:suppressAutoHyphens/>
              <w:jc w:val="right"/>
            </w:pPr>
            <w:r>
              <w:t xml:space="preserve">56.593</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1</w:t>
            </w:r>
          </w:p>
        </w:tc>
        <w:tc>
          <w:tcPr>
            <w:tcW w:w="1135" w:type="dxa"/>
          </w:tcPr>
          <w:p>
            <w:pPr>
              <w:pStyle w:val="IsiTabel"/>
              <w:suppressAutoHyphens/>
              <w:jc w:val="right"/>
            </w:pPr>
            <w:r>
              <w:t xml:space="preserve">10</w:t>
            </w:r>
          </w:p>
        </w:tc>
        <w:tc>
          <w:tcPr>
            <w:tcW w:w="1318" w:type="dxa"/>
          </w:tcPr>
          <w:p>
            <w:pPr>
              <w:pStyle w:val="IsiTabel"/>
              <w:suppressAutoHyphens/>
              <w:jc w:val="right"/>
            </w:pPr>
            <w:r>
              <w:t xml:space="preserve">0</w:t>
            </w:r>
          </w:p>
        </w:tc>
      </w:tr>
      <w:tr>
        <w:trPr>
          <w:cantSplit/>
        </w:trPr>
        <w:tc>
          <w:tcPr>
            <w:tcW w:w="1640" w:type="dxa"/>
          </w:tcPr>
          <w:p>
            <w:pPr>
              <w:pStyle w:val="IsiTabel"/>
              <w:keepNext/>
              <w:suppressAutoHyphens/>
              <w:jc w:val="left"/>
            </w:pPr>
            <w:bookmarkStart w:id="441" w:name="_Ekor053a"/>
            <w:bookmarkEnd w:id="441"/>
            <w:r>
              <w:t xml:space="preserve">Kalimantan Barat</w:t>
            </w:r>
          </w:p>
        </w:tc>
        <w:tc>
          <w:tcPr>
            <w:tcW w:w="978" w:type="dxa"/>
          </w:tcPr>
          <w:p>
            <w:pPr>
              <w:pStyle w:val="IsiTabel"/>
              <w:keepNext/>
              <w:suppressAutoHyphens/>
              <w:jc w:val="right"/>
            </w:pPr>
            <w:r>
              <w:t xml:space="preserve">93.516</w:t>
            </w:r>
          </w:p>
        </w:tc>
        <w:tc>
          <w:tcPr>
            <w:tcW w:w="854" w:type="dxa"/>
          </w:tcPr>
          <w:p>
            <w:pPr>
              <w:pStyle w:val="IsiTabel"/>
              <w:keepNext/>
              <w:suppressAutoHyphens/>
              <w:jc w:val="right"/>
            </w:pPr>
            <w:r>
              <w:t xml:space="preserve">178.000</w:t>
            </w:r>
          </w:p>
        </w:tc>
        <w:tc>
          <w:tcPr>
            <w:tcW w:w="978" w:type="dxa"/>
          </w:tcPr>
          <w:p>
            <w:pPr>
              <w:pStyle w:val="IsiTabel"/>
              <w:keepNext/>
              <w:suppressAutoHyphens/>
              <w:jc w:val="right"/>
            </w:pPr>
            <w:r>
              <w:t xml:space="preserve">151.919</w:t>
            </w:r>
          </w:p>
        </w:tc>
        <w:tc>
          <w:tcPr>
            <w:tcW w:w="1135" w:type="dxa"/>
          </w:tcPr>
          <w:p>
            <w:pPr>
              <w:pStyle w:val="IsiTabel"/>
              <w:keepNext/>
              <w:suppressAutoHyphens/>
              <w:jc w:val="right"/>
            </w:pPr>
            <w:r>
              <w:t xml:space="preserve">1</w:t>
            </w:r>
          </w:p>
        </w:tc>
        <w:tc>
          <w:tcPr>
            <w:tcW w:w="1316" w:type="dxa"/>
          </w:tcPr>
          <w:p>
            <w:pPr>
              <w:pStyle w:val="IsiTabel"/>
              <w:keepNext/>
              <w:suppressAutoHyphens/>
              <w:jc w:val="right"/>
            </w:pPr>
            <w:r>
              <w:t xml:space="preserve">1</w:t>
            </w:r>
          </w:p>
        </w:tc>
        <w:tc>
          <w:tcPr>
            <w:tcW w:w="1135" w:type="dxa"/>
          </w:tcPr>
          <w:p>
            <w:pPr>
              <w:pStyle w:val="IsiTabel"/>
              <w:keepNext/>
              <w:suppressAutoHyphens/>
              <w:jc w:val="right"/>
            </w:pPr>
            <w:r>
              <w:t xml:space="preserve">15</w:t>
            </w:r>
          </w:p>
        </w:tc>
        <w:tc>
          <w:tcPr>
            <w:tcW w:w="1318" w:type="dxa"/>
          </w:tcPr>
          <w:p>
            <w:pPr>
              <w:pStyle w:val="IsiTabel"/>
              <w:keepNext/>
              <w:suppressAutoHyphens/>
              <w:jc w:val="right"/>
            </w:pPr>
            <w:r>
              <w:t xml:space="preserve">0</w:t>
            </w:r>
          </w:p>
        </w:tc>
      </w:tr>
      <w:tr>
        <w:trPr>
          <w:cantSplit/>
        </w:trPr>
        <w:tc>
          <w:tcPr>
            <w:tcW w:w="1640" w:type="dxa"/>
          </w:tcPr>
          <w:p>
            <w:pPr>
              <w:pStyle w:val="IsiTabel"/>
              <w:keepNext/>
              <w:suppressAutoHyphens/>
              <w:jc w:val="left"/>
            </w:pPr>
            <w:r>
              <w:t xml:space="preserve">Kalimantan Timur</w:t>
            </w:r>
          </w:p>
        </w:tc>
        <w:tc>
          <w:tcPr>
            <w:tcW w:w="978" w:type="dxa"/>
          </w:tcPr>
          <w:p>
            <w:pPr>
              <w:pStyle w:val="IsiTabel"/>
              <w:keepNext/>
              <w:suppressAutoHyphens/>
              <w:jc w:val="right"/>
            </w:pPr>
            <w:r>
              <w:t xml:space="preserve">69.353</w:t>
            </w:r>
          </w:p>
        </w:tc>
        <w:tc>
          <w:tcPr>
            <w:tcW w:w="854" w:type="dxa"/>
          </w:tcPr>
          <w:p>
            <w:pPr>
              <w:pStyle w:val="IsiTabel"/>
              <w:keepNext/>
              <w:suppressAutoHyphens/>
              <w:jc w:val="right"/>
            </w:pPr>
            <w:r>
              <w:t xml:space="preserve">388.000</w:t>
            </w:r>
          </w:p>
        </w:tc>
        <w:tc>
          <w:tcPr>
            <w:tcW w:w="978" w:type="dxa"/>
          </w:tcPr>
          <w:p>
            <w:pPr>
              <w:pStyle w:val="IsiTabel"/>
              <w:keepNext/>
              <w:suppressAutoHyphens/>
              <w:jc w:val="right"/>
            </w:pPr>
            <w:r>
              <w:t xml:space="preserve">68.524</w:t>
            </w:r>
          </w:p>
        </w:tc>
        <w:tc>
          <w:tcPr>
            <w:tcW w:w="1135" w:type="dxa"/>
          </w:tcPr>
          <w:p>
            <w:pPr>
              <w:pStyle w:val="IsiTabel"/>
              <w:keepNext/>
              <w:suppressAutoHyphens/>
              <w:jc w:val="right"/>
            </w:pPr>
            <w:r>
              <w:t xml:space="preserve">5</w:t>
            </w:r>
          </w:p>
        </w:tc>
        <w:tc>
          <w:tcPr>
            <w:tcW w:w="1316" w:type="dxa"/>
          </w:tcPr>
          <w:p>
            <w:pPr>
              <w:pStyle w:val="IsiTabel"/>
              <w:keepNext/>
              <w:suppressAutoHyphens/>
              <w:jc w:val="right"/>
            </w:pPr>
            <w:r>
              <w:t xml:space="preserve">0</w:t>
            </w:r>
          </w:p>
        </w:tc>
        <w:tc>
          <w:tcPr>
            <w:tcW w:w="1135" w:type="dxa"/>
          </w:tcPr>
          <w:p>
            <w:pPr>
              <w:pStyle w:val="IsiTabel"/>
              <w:keepNext/>
              <w:suppressAutoHyphens/>
              <w:jc w:val="right"/>
            </w:pPr>
            <w:r>
              <w:t xml:space="preserve">30</w:t>
            </w:r>
          </w:p>
        </w:tc>
        <w:tc>
          <w:tcPr>
            <w:tcW w:w="1318" w:type="dxa"/>
          </w:tcPr>
          <w:p>
            <w:pPr>
              <w:pStyle w:val="IsiTabel"/>
              <w:keepNext/>
              <w:suppressAutoHyphens/>
              <w:jc w:val="right"/>
            </w:pPr>
            <w:r>
              <w:t xml:space="preserve">0</w:t>
            </w:r>
          </w:p>
        </w:tc>
      </w:tr>
      <w:tr>
        <w:trPr>
          <w:cantSplit/>
        </w:trPr>
        <w:tc>
          <w:tcPr>
            <w:tcW w:w="1640" w:type="dxa"/>
          </w:tcPr>
          <w:p>
            <w:pPr>
              <w:pStyle w:val="IsiTabel"/>
              <w:keepNext/>
              <w:suppressAutoHyphens/>
              <w:jc w:val="left"/>
            </w:pPr>
            <w:r>
              <w:t xml:space="preserve">Papua Selatan</w:t>
            </w:r>
          </w:p>
        </w:tc>
        <w:tc>
          <w:tcPr>
            <w:tcW w:w="978" w:type="dxa"/>
          </w:tcPr>
          <w:p>
            <w:pPr>
              <w:pStyle w:val="IsiTabel"/>
              <w:keepNext/>
              <w:suppressAutoHyphens/>
              <w:jc w:val="right"/>
            </w:pPr>
            <w:r>
              <w:t xml:space="preserve">0</w:t>
            </w:r>
          </w:p>
        </w:tc>
        <w:tc>
          <w:tcPr>
            <w:tcW w:w="854" w:type="dxa"/>
          </w:tcPr>
          <w:p>
            <w:pPr>
              <w:pStyle w:val="IsiTabel"/>
              <w:keepNext/>
              <w:suppressAutoHyphens/>
              <w:jc w:val="right"/>
            </w:pPr>
            <w:r>
              <w:t xml:space="preserve">–</w:t>
            </w:r>
          </w:p>
        </w:tc>
        <w:tc>
          <w:tcPr>
            <w:tcW w:w="978" w:type="dxa"/>
          </w:tcPr>
          <w:p>
            <w:pPr>
              <w:pStyle w:val="IsiTabel"/>
              <w:keepNext/>
              <w:suppressAutoHyphens/>
              <w:jc w:val="right"/>
            </w:pPr>
            <w:r>
              <w:t xml:space="preserve">0</w:t>
            </w:r>
          </w:p>
        </w:tc>
        <w:tc>
          <w:tcPr>
            <w:tcW w:w="1135" w:type="dxa"/>
          </w:tcPr>
          <w:p>
            <w:pPr>
              <w:pStyle w:val="IsiTabel"/>
              <w:keepNext/>
              <w:suppressAutoHyphens/>
              <w:jc w:val="right"/>
            </w:pPr>
            <w:r>
              <w:t xml:space="preserve">0</w:t>
            </w:r>
          </w:p>
        </w:tc>
        <w:tc>
          <w:tcPr>
            <w:tcW w:w="1316" w:type="dxa"/>
          </w:tcPr>
          <w:p>
            <w:pPr>
              <w:pStyle w:val="IsiTabel"/>
              <w:keepNext/>
              <w:suppressAutoHyphens/>
              <w:jc w:val="right"/>
            </w:pPr>
            <w:r>
              <w:t xml:space="preserve">0</w:t>
            </w:r>
          </w:p>
        </w:tc>
        <w:tc>
          <w:tcPr>
            <w:tcW w:w="1135" w:type="dxa"/>
          </w:tcPr>
          <w:p>
            <w:pPr>
              <w:pStyle w:val="IsiTabel"/>
              <w:keepNext/>
              <w:suppressAutoHyphens/>
              <w:jc w:val="right"/>
            </w:pPr>
            <w:r>
              <w:t xml:space="preserve">0</w:t>
            </w:r>
          </w:p>
        </w:tc>
        <w:tc>
          <w:tcPr>
            <w:tcW w:w="1318" w:type="dxa"/>
          </w:tcPr>
          <w:p>
            <w:pPr>
              <w:pStyle w:val="IsiTabel"/>
              <w:keepNext/>
              <w:suppressAutoHyphens/>
              <w:jc w:val="right"/>
            </w:pPr>
            <w:r>
              <w:t xml:space="preserve">0</w:t>
            </w:r>
          </w:p>
        </w:tc>
      </w:tr>
      <w:tr>
        <w:trPr>
          <w:cantSplit/>
        </w:trPr>
        <w:tc>
          <w:tcPr>
            <w:tcW w:w="1640" w:type="dxa"/>
            <w:shd w:val="clear" w:color="auto" w:fill="051C2C"/>
          </w:tcPr>
          <w:p>
            <w:pPr>
              <w:pStyle w:val="IsiTabel"/>
              <w:suppressAutoHyphens/>
            </w:pPr>
            <w:bookmarkStart w:id="442" w:name="_Ekor053z"/>
            <w:bookmarkEnd w:id="442"/>
            <w:r>
              <w:rPr>
                <w:b/>
                <w:bCs/>
                <w:color w:val="FFFFFF"/>
              </w:rPr>
              <w:t xml:space="preserve">Jumlah</w:t>
            </w:r>
          </w:p>
        </w:tc>
        <w:tc>
          <w:tcPr>
            <w:tcW w:w="978" w:type="dxa"/>
            <w:shd w:val="clear" w:color="auto" w:fill="051C2C"/>
          </w:tcPr>
          <w:p>
            <w:pPr>
              <w:pStyle w:val="IsiTabel"/>
              <w:suppressAutoHyphens/>
              <w:jc w:val="right"/>
            </w:pPr>
            <w:r>
              <w:rPr>
                <w:b/>
                <w:bCs/>
                <w:color w:val="FFFFFF"/>
              </w:rPr>
              <w:t xml:space="preserve">2.238.966</w:t>
            </w:r>
          </w:p>
        </w:tc>
        <w:tc>
          <w:tcPr>
            <w:tcW w:w="854" w:type="dxa"/>
            <w:shd w:val="clear" w:color="auto" w:fill="051C2C"/>
          </w:tcPr>
          <w:p>
            <w:pPr>
              <w:pStyle w:val="IsiTabel"/>
              <w:suppressAutoHyphens/>
              <w:jc w:val="right"/>
            </w:pPr>
            <w:r>
              <w:rPr>
                <w:b/>
                <w:bCs/>
                <w:color w:val="FFFFFF"/>
              </w:rPr>
              <w:t xml:space="preserve">2.425.000</w:t>
            </w:r>
          </w:p>
        </w:tc>
        <w:tc>
          <w:tcPr>
            <w:tcW w:w="978" w:type="dxa"/>
            <w:shd w:val="clear" w:color="auto" w:fill="051C2C"/>
          </w:tcPr>
          <w:p>
            <w:pPr>
              <w:pStyle w:val="IsiTabel"/>
              <w:suppressAutoHyphens/>
              <w:jc w:val="right"/>
            </w:pPr>
            <w:r>
              <w:rPr>
                <w:b/>
                <w:bCs/>
                <w:color w:val="FFFFFF"/>
              </w:rPr>
              <w:t xml:space="preserve">1.268.091</w:t>
            </w:r>
          </w:p>
        </w:tc>
        <w:tc>
          <w:tcPr>
            <w:tcW w:w="1135" w:type="dxa"/>
            <w:shd w:val="clear" w:color="auto" w:fill="051C2C"/>
          </w:tcPr>
          <w:p>
            <w:pPr>
              <w:pStyle w:val="IsiTabel"/>
              <w:suppressAutoHyphens/>
              <w:jc w:val="right"/>
            </w:pPr>
            <w:r>
              <w:rPr>
                <w:b/>
                <w:bCs/>
                <w:color w:val="FFFFFF"/>
              </w:rPr>
              <w:t xml:space="preserve">10</w:t>
            </w:r>
          </w:p>
        </w:tc>
        <w:tc>
          <w:tcPr>
            <w:tcW w:w="1316" w:type="dxa"/>
            <w:shd w:val="clear" w:color="auto" w:fill="051C2C"/>
          </w:tcPr>
          <w:p>
            <w:pPr>
              <w:pStyle w:val="IsiTabel"/>
              <w:suppressAutoHyphens/>
              <w:jc w:val="right"/>
            </w:pPr>
            <w:r>
              <w:rPr>
                <w:b/>
                <w:bCs/>
                <w:color w:val="FFFFFF"/>
              </w:rPr>
              <w:t xml:space="preserve">12</w:t>
            </w:r>
          </w:p>
        </w:tc>
        <w:tc>
          <w:tcPr>
            <w:tcW w:w="1135" w:type="dxa"/>
            <w:shd w:val="clear" w:color="auto" w:fill="051C2C"/>
          </w:tcPr>
          <w:p>
            <w:pPr>
              <w:pStyle w:val="IsiTabel"/>
              <w:suppressAutoHyphens/>
              <w:jc w:val="right"/>
            </w:pPr>
            <w:r>
              <w:rPr>
                <w:b/>
                <w:bCs/>
                <w:color w:val="FFFFFF"/>
              </w:rPr>
              <w:t xml:space="preserve">229</w:t>
            </w:r>
          </w:p>
        </w:tc>
        <w:tc>
          <w:tcPr>
            <w:tcW w:w="1318" w:type="dxa"/>
            <w:shd w:val="clear" w:color="auto" w:fill="051C2C"/>
          </w:tcPr>
          <w:p>
            <w:pPr>
              <w:pStyle w:val="IsiTabel"/>
              <w:suppressAutoHyphens/>
              <w:jc w:val="right"/>
            </w:pPr>
            <w:r>
              <w:rPr>
                <w:b/>
                <w:bCs/>
                <w:color w:val="FFFFFF"/>
              </w:rPr>
              <w:t xml:space="preserve">1</w:t>
            </w:r>
          </w:p>
        </w:tc>
      </w:tr>
    </w:tbl>
    <w:p>
      <w:pPr>
        <w:pStyle w:val="Sumber"/>
        <w:spacing w:after="40"/>
      </w:pPr>
      <w:r>
        <w:rPr>
          <w:b/>
          <w:bCs/>
          <w:color w:val="6B7280"/>
          <w:sz w:val="17"/>
          <w:szCs w:val="17"/>
        </w:rPr>
        <w:t xml:space="preserve">Sumber: </w:t>
      </w:r>
      <w:r>
        <w:rPr>
          <w:color w:val="6B7280"/>
          <w:sz w:val="17"/>
          <w:szCs w:val="17"/>
        </w:rPr>
        <w:t xml:space="preserve">Kementerian Kehutanan, SiPongi; Bank Dunia (2016), tabel luas bersumber BPPT; BNPB, DIBI dasbor publik</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Luas Papua memakai batas sebelum pemekaran 2022, kolom DIBI memakai batas 2025; sel Bank Dunia kosong berarti provinsi tidak dirinci; luas Bank Dunia berlabel terverifikasi. ISPA tidak dimuat karena semua versi yang ditemukan bersumber pers, termasuk rangkuman Badan Keahlian DPR, dan angka per provinsinya saling bertentangan.</w:t>
      </w:r>
    </w:p>
    <w:p>
      <w:pPr>
        <w:pStyle w:val="Caption"/>
        <w:pageBreakBefore/>
      </w:pPr>
      <w:bookmarkStart w:id="444" w:name="_Toc00145"/>
      <w:bookmarkStart w:id="443" w:name="_Ref027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443"/>
      <w:r>
        <w:rPr>
          <w:b/>
          <w:bCs/>
          <w:color w:val="051C2C"/>
        </w:rPr>
        <w:t xml:space="preserve"> </w:t>
      </w:r>
      <w:r>
        <w:t xml:space="preserve">Kebakaran hutan dan lahan nasional setara 2015</w:t>
      </w:r>
      <w:bookmarkEnd w:id="444"/>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BE7D6"/>
                  <w:tcMar>
                    <w:top w:w="45" w:type="dxa"/>
                    <w:left w:w="170" w:type="dxa"/>
                    <w:bottom w:w="45" w:type="dxa"/>
                    <w:right w:w="170" w:type="dxa"/>
                  </w:tcMar>
                </w:tcPr>
                <w:p>
                  <w:pPr>
                    <w:pStyle w:val="JudulKotak"/>
                    <w:keepNext/>
                    <w:spacing w:after="0"/>
                  </w:pPr>
                  <w:bookmarkStart w:id="446" w:name="_Kartu012a"/>
                  <w:bookmarkStart w:id="445" w:name="_Obj0044"/>
                  <w:r>
                    <w:rPr>
                      <w:position w:val="-10"/>
                    </w:rPr>
                    <w:drawing>
                      <wp:inline distT="0" distB="0" distL="0" distR="0">
                        <wp:extent cx="216000" cy="216000"/>
                        <wp:effectExtent l="0" t="0" r="0" b="0"/>
                        <wp:docPr id="118" name="Gambar 118"/>
                        <wp:cNvGraphicFramePr>
                          <a:graphicFrameLocks noChangeAspect="1"/>
                        </wp:cNvGraphicFramePr>
                        <a:graphic>
                          <a:graphicData uri="http://schemas.openxmlformats.org/drawingml/2006/picture">
                            <pic:pic>
                              <pic:nvPicPr>
                                <pic:cNvPr id="118" name="karhutla-deck-api-FFFFFF-D9600B.png"/>
                                <pic:cNvPicPr/>
                              </pic:nvPicPr>
                              <pic:blipFill>
                                <a:blip r:embed="rId71"/>
                                <a:stretch>
                                  <a:fillRect/>
                                </a:stretch>
                              </pic:blipFill>
                              <pic:spPr>
                                <a:xfrm>
                                  <a:off x="0" y="0"/>
                                  <a:ext cx="216000" cy="216000"/>
                                </a:xfrm>
                                <a:prstGeom prst="rect">
                                  <a:avLst/>
                                </a:prstGeom>
                              </pic:spPr>
                            </pic:pic>
                          </a:graphicData>
                        </a:graphic>
                      </wp:inline>
                    </w:drawing>
                  </w:r>
                  <w:r>
                    <w:t xml:space="preserve"> </w:t>
                  </w:r>
                  <w:r>
                    <w:rPr>
                      <w:b/>
                      <w:bCs/>
                    </w:rPr>
                    <w:t xml:space="preserve">Kebakaran hutan dan lahan</w:t>
                  </w:r>
                  <w:r>
                    <w:rPr>
                      <w:color w:val="2E3440"/>
                    </w:rPr>
                    <w:t xml:space="preserve">  Kebakaran hutan dan lahan</w:t>
                  </w:r>
                  <w:bookmarkEnd w:id="445"/>
                  <w:bookmarkEnd w:id="446"/>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Kartu per jenis; lantai dari tahun tercatat terburuk 2015 (luas SiPongi, kerugian Bank Dunia, meninggal DIBI di provinsi asap), kandidat sampai turunan lantai per jenis tersedia; kematian berlebih akibat asap dari model peneliti bertinjauan ditulis pada baris terpisah.</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prakiraan fase ENSO resmi untuk kemarau 2027 tidak ada</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119" name="Gambar 119"/>
                              <wp:cNvGraphicFramePr>
                                <a:graphicFrameLocks noChangeAspect="1"/>
                              </wp:cNvGraphicFramePr>
                              <a:graphic>
                                <a:graphicData uri="http://schemas.openxmlformats.org/drawingml/2006/picture">
                                  <pic:pic>
                                    <pic:nvPicPr>
                                      <pic:cNvPr id="11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Kementerian Kehutanan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20" name="Gambar 120"/>
                              <wp:cNvGraphicFramePr>
                                <a:graphicFrameLocks noChangeAspect="1"/>
                              </wp:cNvGraphicFramePr>
                              <a:graphic>
                                <a:graphicData uri="http://schemas.openxmlformats.org/drawingml/2006/picture">
                                  <pic:pic>
                                    <pic:nvPicPr>
                                      <pic:cNvPr id="12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1" name="Gambar 121"/>
                              <wp:cNvGraphicFramePr>
                                <a:graphicFrameLocks noChangeAspect="1"/>
                              </wp:cNvGraphicFramePr>
                              <a:graphic>
                                <a:graphicData uri="http://schemas.openxmlformats.org/drawingml/2006/picture">
                                  <pic:pic>
                                    <pic:nvPicPr>
                                      <pic:cNvPr id="12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Kesehatan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2" name="Gambar 122"/>
                              <wp:cNvGraphicFramePr>
                                <a:graphicFrameLocks noChangeAspect="1"/>
                              </wp:cNvGraphicFramePr>
                              <a:graphic>
                                <a:graphicData uri="http://schemas.openxmlformats.org/drawingml/2006/picture">
                                  <pic:pic>
                                    <pic:nvPicPr>
                                      <pic:cNvPr id="12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3" name="Gambar 123"/>
                              <wp:cNvGraphicFramePr>
                                <a:graphicFrameLocks noChangeAspect="1"/>
                              </wp:cNvGraphicFramePr>
                              <a:graphic>
                                <a:graphicData uri="http://schemas.openxmlformats.org/drawingml/2006/picture">
                                  <pic:pic>
                                    <pic:nvPicPr>
                                      <pic:cNvPr id="12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 asap</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129176"/>
                        <wp:effectExtent l="0" t="0" r="0" b="0"/>
                        <wp:docPr id="124" name="Gambar 124"/>
                        <wp:cNvGraphicFramePr>
                          <a:graphicFrameLocks noChangeAspect="1"/>
                        </wp:cNvGraphicFramePr>
                        <a:graphic>
                          <a:graphicData uri="http://schemas.openxmlformats.org/drawingml/2006/picture">
                            <pic:pic>
                              <pic:nvPicPr>
                                <pic:cNvPr id="124" name="bab07-kartu-karhutla.png"/>
                                <pic:cNvPicPr/>
                              </pic:nvPicPr>
                              <pic:blipFill>
                                <a:blip r:embed="rId72"/>
                                <a:stretch>
                                  <a:fillRect/>
                                </a:stretch>
                              </pic:blipFill>
                              <pic:spPr>
                                <a:xfrm>
                                  <a:off x="0" y="0"/>
                                  <a:ext cx="1882800" cy="2129176"/>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793"/>
              <w:gridCol w:w="1209"/>
              <w:gridCol w:w="854"/>
              <w:gridCol w:w="1525"/>
              <w:gridCol w:w="1973"/>
            </w:tblGrid>
            <w:tr>
              <w:trPr>
                <w:cantSplit/>
                <w:tblHeader/>
              </w:trPr>
              <w:tc>
                <w:tcPr>
                  <w:tcW w:w="3793" w:type="dxa"/>
                  <w:shd w:val="clear" w:color="auto" w:fill="051C2C"/>
                  <w:vAlign w:val="center"/>
                </w:tcPr>
                <w:p>
                  <w:pPr>
                    <w:pStyle w:val="KepalaTabel"/>
                    <w:keepNext/>
                    <w:suppressAutoHyphens/>
                  </w:pPr>
                  <w:r>
                    <w:t xml:space="preserve">BESARAN</w:t>
                  </w:r>
                </w:p>
              </w:tc>
              <w:tc>
                <w:tcPr>
                  <w:tcW w:w="1209" w:type="dxa"/>
                  <w:shd w:val="clear" w:color="auto" w:fill="051C2C"/>
                  <w:vAlign w:val="center"/>
                </w:tcPr>
                <w:p>
                  <w:pPr>
                    <w:pStyle w:val="KepalaTabel"/>
                    <w:keepNext/>
                    <w:suppressAutoHyphens/>
                  </w:pPr>
                  <w:r>
                    <w:t xml:space="preserve">RENDAH</w:t>
                  </w:r>
                </w:p>
              </w:tc>
              <w:tc>
                <w:tcPr>
                  <w:tcW w:w="854" w:type="dxa"/>
                  <w:shd w:val="clear" w:color="auto" w:fill="051C2C"/>
                  <w:vAlign w:val="center"/>
                </w:tcPr>
                <w:p>
                  <w:pPr>
                    <w:pStyle w:val="KepalaTabel"/>
                    <w:keepNext/>
                    <w:suppressAutoHyphens/>
                  </w:pPr>
                  <w:r>
                    <w:t xml:space="preserve">TINGGI</w:t>
                  </w:r>
                </w:p>
              </w:tc>
              <w:tc>
                <w:tcPr>
                  <w:tcW w:w="1525" w:type="dxa"/>
                  <w:shd w:val="clear" w:color="auto" w:fill="051C2C"/>
                  <w:vAlign w:val="center"/>
                </w:tcPr>
                <w:p>
                  <w:pPr>
                    <w:pStyle w:val="KepalaTabel"/>
                    <w:keepNext/>
                    <w:suppressAutoHyphens/>
                  </w:pPr>
                  <w:r>
                    <w:t xml:space="preserve">KEYAKINAN</w:t>
                  </w:r>
                </w:p>
              </w:tc>
              <w:tc>
                <w:tcPr>
                  <w:tcW w:w="1973" w:type="dxa"/>
                  <w:shd w:val="clear" w:color="auto" w:fill="051C2C"/>
                  <w:vAlign w:val="center"/>
                </w:tcPr>
                <w:p>
                  <w:pPr>
                    <w:pStyle w:val="KepalaTabel"/>
                    <w:keepNext/>
                    <w:suppressAutoHyphens/>
                  </w:pPr>
                  <w:r>
                    <w:t xml:space="preserve">SUMBER</w:t>
                  </w:r>
                </w:p>
              </w:tc>
            </w:tr>
            <w:tr>
              <w:trPr>
                <w:cantSplit/>
              </w:trPr>
              <w:tc>
                <w:tcPr>
                  <w:tcW w:w="3793" w:type="dxa"/>
                </w:tcPr>
                <w:p>
                  <w:pPr>
                    <w:pStyle w:val="IsiTabel"/>
                    <w:keepNext/>
                    <w:suppressAutoHyphens/>
                    <w:jc w:val="left"/>
                  </w:pPr>
                  <w:r>
                    <w:t xml:space="preserve">Kependudukan, meninggal tercatat di provinsi asap 2015</w:t>
                  </w:r>
                </w:p>
              </w:tc>
              <w:tc>
                <w:tcPr>
                  <w:tcW w:w="1209" w:type="dxa"/>
                </w:tcPr>
                <w:p>
                  <w:pPr>
                    <w:pStyle w:val="IsiTabel"/>
                    <w:keepNext/>
                    <w:suppressAutoHyphens/>
                    <w:jc w:val="right"/>
                  </w:pPr>
                  <w:r>
                    <w:t xml:space="preserve">12</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973" w:type="dxa"/>
                </w:tcPr>
                <w:p>
                  <w:pPr>
                    <w:pStyle w:val="IsiTabel"/>
                    <w:keepNext/>
                    <w:suppressAutoHyphens/>
                    <w:jc w:val="left"/>
                  </w:pPr>
                  <w:r>
                    <w:t xml:space="preserve">DIBI BNPB; semua provinsi </w:t>
                  </w:r>
                  <w:r>
                    <w:t xml:space="preserve">24</w:t>
                  </w:r>
                </w:p>
              </w:tc>
            </w:tr>
            <w:tr>
              <w:trPr>
                <w:cantSplit/>
              </w:trPr>
              <w:tc>
                <w:tcPr>
                  <w:tcW w:w="3793" w:type="dxa"/>
                </w:tcPr>
                <w:p>
                  <w:pPr>
                    <w:pStyle w:val="IsiTabel"/>
                    <w:keepNext/>
                    <w:suppressAutoHyphens/>
                    <w:jc w:val="left"/>
                  </w:pPr>
                  <w:r>
                    <w:t xml:space="preserve">Kependudukan, kematian dewasa berlebih akibat asap Juli–Oktober 2015</w:t>
                  </w:r>
                </w:p>
              </w:tc>
              <w:tc>
                <w:tcPr>
                  <w:tcW w:w="1209" w:type="dxa"/>
                </w:tcPr>
                <w:p>
                  <w:pPr>
                    <w:pStyle w:val="IsiTabel"/>
                    <w:keepNext/>
                    <w:suppressAutoHyphens/>
                    <w:jc w:val="right"/>
                  </w:pPr>
                  <w:r>
                    <w:t xml:space="preserve">24.000</w:t>
                  </w:r>
                </w:p>
              </w:tc>
              <w:tc>
                <w:tcPr>
                  <w:tcW w:w="854" w:type="dxa"/>
                </w:tcPr>
                <w:p>
                  <w:pPr>
                    <w:pStyle w:val="IsiTabel"/>
                    <w:keepNext/>
                    <w:suppressAutoHyphens/>
                    <w:jc w:val="right"/>
                  </w:pPr>
                  <w:r>
                    <w:t xml:space="preserve">160.000</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973" w:type="dxa"/>
                </w:tcPr>
                <w:p>
                  <w:pPr>
                    <w:pStyle w:val="IsiTabel"/>
                    <w:keepNext/>
                    <w:suppressAutoHyphens/>
                    <w:jc w:val="left"/>
                  </w:pPr>
                  <w:r>
                    <w:t xml:space="preserve">Koplitz dkk. (2016); selang kepercayaan model, bukan beban total</w:t>
                  </w:r>
                </w:p>
              </w:tc>
            </w:tr>
            <w:tr>
              <w:trPr>
                <w:cantSplit/>
              </w:trPr>
              <w:tc>
                <w:tcPr>
                  <w:tcW w:w="3793" w:type="dxa"/>
                </w:tcPr>
                <w:p>
                  <w:pPr>
                    <w:pStyle w:val="IsiTabel"/>
                    <w:keepNext/>
                    <w:suppressAutoHyphens/>
                    <w:jc w:val="left"/>
                  </w:pPr>
                  <w:r>
                    <w:t xml:space="preserve">Lingkungan, luas terbakar 2015 (ha)</w:t>
                  </w:r>
                </w:p>
              </w:tc>
              <w:tc>
                <w:tcPr>
                  <w:tcW w:w="1209" w:type="dxa"/>
                </w:tcPr>
                <w:p>
                  <w:pPr>
                    <w:pStyle w:val="IsiTabel"/>
                    <w:keepNext/>
                    <w:suppressAutoHyphens/>
                    <w:jc w:val="right"/>
                  </w:pPr>
                  <w:r>
                    <w:t xml:space="preserve">2.611.411</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973" w:type="dxa"/>
                </w:tcPr>
                <w:p>
                  <w:pPr>
                    <w:pStyle w:val="IsiTabel"/>
                    <w:keepNext/>
                    <w:suppressAutoHyphens/>
                    <w:jc w:val="left"/>
                  </w:pPr>
                  <w:r>
                    <w:t xml:space="preserve">SiPongi; seri dimulai 2015</w:t>
                  </w:r>
                </w:p>
              </w:tc>
            </w:tr>
            <w:tr>
              <w:trPr>
                <w:cantSplit/>
              </w:trPr>
              <w:tc>
                <w:tcPr>
                  <w:tcW w:w="3793" w:type="dxa"/>
                </w:tcPr>
                <w:p>
                  <w:pPr>
                    <w:pStyle w:val="IsiTabel"/>
                    <w:keepNext/>
                    <w:suppressAutoHyphens/>
                    <w:jc w:val="left"/>
                  </w:pPr>
                  <w:r>
                    <w:t xml:space="preserve">Lingkungan, luas bahaya KRB karhutla (ha)</w:t>
                  </w:r>
                </w:p>
              </w:tc>
              <w:tc>
                <w:tcPr>
                  <w:tcW w:w="1209" w:type="dxa"/>
                </w:tcPr>
                <w:p>
                  <w:pPr>
                    <w:pStyle w:val="IsiTabel"/>
                    <w:keepNext/>
                    <w:suppressAutoHyphens/>
                    <w:jc w:val="right"/>
                  </w:pPr>
                  <w:r>
                    <w:t xml:space="preserve">128.283.490</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973" w:type="dxa"/>
                </w:tcPr>
                <w:p>
                  <w:pPr>
                    <w:pStyle w:val="IsiTabel"/>
                    <w:keepNext/>
                    <w:suppressAutoHyphens/>
                    <w:jc w:val="left"/>
                  </w:pPr>
                  <w:r>
                    <w:t xml:space="preserve">Renas PB; kelas tinggi </w:t>
                  </w:r>
                  <w:r>
                    <w:t xml:space="preserve">25.457.756</w:t>
                  </w:r>
                  <w:r>
                    <w:t xml:space="preserve"> ha</w:t>
                  </w:r>
                </w:p>
              </w:tc>
            </w:tr>
            <w:tr>
              <w:trPr>
                <w:cantSplit/>
              </w:trPr>
              <w:tc>
                <w:tcPr>
                  <w:tcW w:w="3793" w:type="dxa"/>
                </w:tcPr>
                <w:p>
                  <w:pPr>
                    <w:pStyle w:val="IsiTabel"/>
                    <w:keepNext/>
                    <w:suppressAutoHyphens/>
                    <w:jc w:val="left"/>
                  </w:pPr>
                  <w:r>
                    <w:t xml:space="preserve">Ekonomi, kerugian kejadian 2015 (US$)</w:t>
                  </w:r>
                </w:p>
              </w:tc>
              <w:tc>
                <w:tcPr>
                  <w:tcW w:w="1209" w:type="dxa"/>
                </w:tcPr>
                <w:p>
                  <w:pPr>
                    <w:pStyle w:val="IsiTabel"/>
                    <w:keepNext/>
                    <w:suppressAutoHyphens/>
                    <w:jc w:val="right"/>
                  </w:pPr>
                  <w:r>
                    <w:t xml:space="preserve">16,1 miliar</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973" w:type="dxa"/>
                </w:tcPr>
                <w:p>
                  <w:pPr>
                    <w:pStyle w:val="IsiTabel"/>
                    <w:keepNext/>
                    <w:suppressAutoHyphens/>
                    <w:jc w:val="left"/>
                  </w:pPr>
                  <w:r>
                    <w:t xml:space="preserve">Bank Dunia; </w:t>
                  </w:r>
                  <w:r>
                    <w:t xml:space="preserve">1,9%</w:t>
                  </w:r>
                  <w:r>
                    <w:t xml:space="preserve"> PDB</w:t>
                  </w:r>
                </w:p>
              </w:tc>
            </w:tr>
            <w:tr>
              <w:trPr>
                <w:cantSplit/>
              </w:trPr>
              <w:tc>
                <w:tcPr>
                  <w:tcW w:w="3793" w:type="dxa"/>
                </w:tcPr>
                <w:p>
                  <w:pPr>
                    <w:pStyle w:val="IsiTabel"/>
                    <w:keepNext/>
                    <w:suppressAutoHyphens/>
                    <w:jc w:val="left"/>
                  </w:pPr>
                  <w:bookmarkStart w:id="447" w:name="_Ekor054a"/>
                  <w:bookmarkEnd w:id="447"/>
                  <w:r>
                    <w:t xml:space="preserve">Ekonomi, potensi kerugian KRB</w:t>
                  </w:r>
                </w:p>
              </w:tc>
              <w:tc>
                <w:tcPr>
                  <w:tcW w:w="1209" w:type="dxa"/>
                </w:tcPr>
                <w:p>
                  <w:pPr>
                    <w:pStyle w:val="IsiTabel"/>
                    <w:keepNext/>
                    <w:suppressAutoHyphens/>
                    <w:jc w:val="right"/>
                  </w:pPr>
                  <w:r>
                    <w:t xml:space="preserve">Rp709 triliun</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973" w:type="dxa"/>
                </w:tcPr>
                <w:p>
                  <w:pPr>
                    <w:pStyle w:val="IsiTabel"/>
                    <w:keepNext/>
                    <w:suppressAutoHyphens/>
                    <w:jc w:val="left"/>
                  </w:pPr>
                  <w:r>
                    <w:t xml:space="preserve">Renas PB; aset terpapar, bukan kerugian kejadian</w:t>
                  </w:r>
                </w:p>
              </w:tc>
            </w:tr>
            <w:tr>
              <w:trPr>
                <w:cantSplit/>
              </w:trPr>
              <w:tc>
                <w:tcPr>
                  <w:tcW w:w="3793" w:type="dxa"/>
                </w:tcPr>
                <w:p>
                  <w:pPr>
                    <w:pStyle w:val="IsiTabel"/>
                    <w:keepNext/>
                    <w:suppressAutoHyphens/>
                    <w:jc w:val="left"/>
                  </w:pPr>
                  <w:r>
                    <w:t xml:space="preserve">Infrastruktur/fisik, bangunan rusak</w:t>
                  </w:r>
                </w:p>
              </w:tc>
              <w:tc>
                <w:tcPr>
                  <w:tcW w:w="1209"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973" w:type="dxa"/>
                </w:tcPr>
                <w:p>
                  <w:pPr>
                    <w:pStyle w:val="IsiTabel"/>
                    <w:keepNext/>
                    <w:suppressAutoHyphens/>
                    <w:jc w:val="left"/>
                  </w:pPr>
                  <w:r>
                    <w:t xml:space="preserve">tidak dicatat DIBI untuk karhutla 2015</w:t>
                  </w:r>
                </w:p>
              </w:tc>
            </w:tr>
            <w:tr>
              <w:trPr>
                <w:cantSplit/>
              </w:trPr>
              <w:tc>
                <w:tcPr>
                  <w:tcW w:w="3793" w:type="dxa"/>
                </w:tcPr>
                <w:p>
                  <w:pPr>
                    <w:pStyle w:val="IsiTabel"/>
                    <w:keepNext/>
                    <w:suppressAutoHyphens/>
                    <w:jc w:val="left"/>
                  </w:pPr>
                  <w:r>
                    <w:t xml:space="preserve">Layanan sipil, kasus ISPA</w:t>
                  </w:r>
                </w:p>
              </w:tc>
              <w:tc>
                <w:tcPr>
                  <w:tcW w:w="1209"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973" w:type="dxa"/>
                </w:tcPr>
                <w:p>
                  <w:pPr>
                    <w:pStyle w:val="IsiTabel"/>
                    <w:keepNext/>
                    <w:suppressAutoHyphens/>
                    <w:jc w:val="left"/>
                  </w:pPr>
                  <w:r>
                    <w:t xml:space="preserve">semua versi bersumber pers; diminta dari Kementerian Kesehatan</w:t>
                  </w:r>
                </w:p>
              </w:tc>
            </w:tr>
            <w:tr>
              <w:trPr>
                <w:cantSplit/>
              </w:trPr>
              <w:tc>
                <w:tcPr>
                  <w:tcW w:w="3793" w:type="dxa"/>
                </w:tcPr>
                <w:p>
                  <w:pPr>
                    <w:pStyle w:val="IsiTabel"/>
                    <w:keepNext/>
                    <w:suppressAutoHyphens/>
                    <w:jc w:val="left"/>
                  </w:pPr>
                  <w:bookmarkStart w:id="448" w:name="_Ekor054z"/>
                  <w:bookmarkEnd w:id="448"/>
                  <w:r>
                    <w:t xml:space="preserve">Kebutuhan respons, penduduk terpapar asap</w:t>
                  </w:r>
                </w:p>
              </w:tc>
              <w:tc>
                <w:tcPr>
                  <w:tcW w:w="1209"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973" w:type="dxa"/>
                </w:tcPr>
                <w:p>
                  <w:pPr>
                    <w:pStyle w:val="IsiTabel"/>
                    <w:keepNext/>
                    <w:suppressAutoHyphens/>
                    <w:jc w:val="left"/>
                  </w:pPr>
                  <w:r>
                    <w:t xml:space="preserve">penduduk terpapar karhutla tidak disajikan di KRB</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Kerugian karhutla 2015 sebesar US$</w:t>
                  </w:r>
                  <w:r>
                    <w:t xml:space="preserve">16,1 miliar</w:t>
                  </w:r>
                  <w:r>
                    <w:t xml:space="preserve"> tidak memuat biaya regional dan global, dan karhutla 2019 sebesar US$</w:t>
                  </w:r>
                  <w:r>
                    <w:t xml:space="preserve">5,2 miliar</w:t>
                  </w:r>
                  <w:r>
                    <w:t xml:space="preserve"> tidak memuat biaya kesehatan dan pendidikan; keduanya batas bawah kerugian kejadian.</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182"/>
              <w:gridCol w:w="1002"/>
              <w:gridCol w:w="1338"/>
              <w:gridCol w:w="3146"/>
              <w:gridCol w:w="2686"/>
            </w:tblGrid>
            <w:tr>
              <w:trPr>
                <w:cantSplit/>
                <w:tblHeader/>
              </w:trPr>
              <w:tc>
                <w:tcPr>
                  <w:tcW w:w="1182" w:type="dxa"/>
                  <w:shd w:val="clear" w:color="auto" w:fill="051C2C"/>
                  <w:vAlign w:val="center"/>
                </w:tcPr>
                <w:p>
                  <w:pPr>
                    <w:pStyle w:val="KepalaTabel"/>
                    <w:keepNext/>
                    <w:suppressAutoHyphens/>
                  </w:pPr>
                  <w:r>
                    <w:t xml:space="preserve">TUAS</w:t>
                  </w:r>
                </w:p>
              </w:tc>
              <w:tc>
                <w:tcPr>
                  <w:tcW w:w="1002" w:type="dxa"/>
                  <w:shd w:val="clear" w:color="auto" w:fill="051C2C"/>
                  <w:vAlign w:val="center"/>
                </w:tcPr>
                <w:p>
                  <w:pPr>
                    <w:pStyle w:val="KepalaTabel"/>
                    <w:keepNext/>
                    <w:suppressAutoHyphens/>
                  </w:pPr>
                  <w:r>
                    <w:t xml:space="preserve">NILAI DASAR</w:t>
                  </w:r>
                </w:p>
              </w:tc>
              <w:tc>
                <w:tcPr>
                  <w:tcW w:w="1338" w:type="dxa"/>
                  <w:shd w:val="clear" w:color="auto" w:fill="051C2C"/>
                  <w:vAlign w:val="center"/>
                </w:tcPr>
                <w:p>
                  <w:pPr>
                    <w:pStyle w:val="KepalaTabel"/>
                    <w:keepNext/>
                    <w:suppressAutoHyphens/>
                  </w:pPr>
                  <w:r>
                    <w:t xml:space="preserve">NILAI DIGESER</w:t>
                  </w:r>
                </w:p>
              </w:tc>
              <w:tc>
                <w:tcPr>
                  <w:tcW w:w="3146" w:type="dxa"/>
                  <w:shd w:val="clear" w:color="auto" w:fill="051C2C"/>
                  <w:vAlign w:val="center"/>
                </w:tcPr>
                <w:p>
                  <w:pPr>
                    <w:pStyle w:val="KepalaTabel"/>
                    <w:keepNext/>
                    <w:suppressAutoHyphens/>
                  </w:pPr>
                  <w:r>
                    <w:t xml:space="preserve">KORBAN JIWA</w:t>
                  </w:r>
                </w:p>
              </w:tc>
              <w:tc>
                <w:tcPr>
                  <w:tcW w:w="2686" w:type="dxa"/>
                  <w:shd w:val="clear" w:color="auto" w:fill="051C2C"/>
                  <w:vAlign w:val="center"/>
                </w:tcPr>
                <w:p>
                  <w:pPr>
                    <w:pStyle w:val="KepalaTabel"/>
                    <w:keepNext/>
                    <w:suppressAutoHyphens/>
                  </w:pPr>
                  <w:r>
                    <w:t xml:space="preserve">KERUGIAN MATERIIL</w:t>
                  </w:r>
                </w:p>
              </w:tc>
            </w:tr>
            <w:tr>
              <w:trPr>
                <w:cantSplit/>
              </w:trPr>
              <w:tc>
                <w:tcPr>
                  <w:tcW w:w="1182" w:type="dxa"/>
                </w:tcPr>
                <w:p>
                  <w:pPr>
                    <w:pStyle w:val="IsiTabel"/>
                    <w:keepNext/>
                    <w:suppressAutoHyphens/>
                    <w:jc w:val="left"/>
                  </w:pPr>
                  <w:bookmarkStart w:id="449" w:name="_Ekor055a"/>
                  <w:bookmarkEnd w:id="449"/>
                  <w:r>
                    <w:t xml:space="preserve">Tahun analog luas, 2015 lawan 2019 (ha)</w:t>
                  </w:r>
                </w:p>
              </w:tc>
              <w:tc>
                <w:tcPr>
                  <w:tcW w:w="1002" w:type="dxa"/>
                </w:tcPr>
                <w:p>
                  <w:pPr>
                    <w:pStyle w:val="IsiTabel"/>
                    <w:keepNext/>
                    <w:suppressAutoHyphens/>
                    <w:jc w:val="right"/>
                  </w:pPr>
                  <w:r>
                    <w:t xml:space="preserve">2.611.411</w:t>
                  </w:r>
                </w:p>
              </w:tc>
              <w:tc>
                <w:tcPr>
                  <w:tcW w:w="1338" w:type="dxa"/>
                </w:tcPr>
                <w:p>
                  <w:pPr>
                    <w:pStyle w:val="IsiTabel"/>
                    <w:keepNext/>
                    <w:suppressAutoHyphens/>
                    <w:jc w:val="right"/>
                  </w:pPr>
                  <w:r>
                    <w:t xml:space="preserve">1.649.258</w:t>
                  </w:r>
                </w:p>
              </w:tc>
              <w:tc>
                <w:tcPr>
                  <w:tcW w:w="3146" w:type="dxa"/>
                </w:tcPr>
                <w:p>
                  <w:pPr>
                    <w:pStyle w:val="IsiTabel"/>
                    <w:keepNext/>
                    <w:suppressAutoHyphens/>
                    <w:jc w:val="right"/>
                  </w:pPr>
                  <w:r>
                    <w:t xml:space="preserve">12</w:t>
                  </w:r>
                  <w:r>
                    <w:t xml:space="preserve"> ke </w:t>
                  </w:r>
                  <w:r>
                    <w:t xml:space="preserve">1</w:t>
                  </w:r>
                  <w:r>
                    <w:t xml:space="preserve"> di provinsi asap</w:t>
                  </w:r>
                </w:p>
              </w:tc>
              <w:tc>
                <w:tcPr>
                  <w:tcW w:w="2686" w:type="dxa"/>
                </w:tcPr>
                <w:p>
                  <w:pPr>
                    <w:pStyle w:val="IsiTabel"/>
                    <w:keepNext/>
                    <w:suppressAutoHyphens/>
                    <w:jc w:val="left"/>
                  </w:pPr>
                  <w:r>
                    <w:t xml:space="preserve">US$</w:t>
                  </w:r>
                  <w:r>
                    <w:t xml:space="preserve">16,1 miliar</w:t>
                  </w:r>
                  <w:r>
                    <w:t xml:space="preserve"> ke US$</w:t>
                  </w:r>
                  <w:r>
                    <w:t xml:space="preserve">5,2 miliar</w:t>
                  </w:r>
                </w:p>
              </w:tc>
            </w:tr>
            <w:tr>
              <w:trPr>
                <w:cantSplit/>
              </w:trPr>
              <w:tc>
                <w:tcPr>
                  <w:tcW w:w="1182" w:type="dxa"/>
                </w:tcPr>
                <w:p>
                  <w:pPr>
                    <w:pStyle w:val="IsiTabel"/>
                    <w:keepNext/>
                    <w:suppressAutoHyphens/>
                    <w:jc w:val="left"/>
                  </w:pPr>
                  <w:r>
                    <w:t xml:space="preserve">Korban jiwa, tercatat lawan model asap 2015</w:t>
                  </w:r>
                </w:p>
              </w:tc>
              <w:tc>
                <w:tcPr>
                  <w:tcW w:w="1002" w:type="dxa"/>
                </w:tcPr>
                <w:p>
                  <w:pPr>
                    <w:pStyle w:val="IsiTabel"/>
                    <w:keepNext/>
                    <w:suppressAutoHyphens/>
                    <w:jc w:val="right"/>
                  </w:pPr>
                  <w:r>
                    <w:t xml:space="preserve">12</w:t>
                  </w:r>
                </w:p>
              </w:tc>
              <w:tc>
                <w:tcPr>
                  <w:tcW w:w="1338" w:type="dxa"/>
                </w:tcPr>
                <w:p>
                  <w:pPr>
                    <w:pStyle w:val="IsiTabel"/>
                    <w:keepNext/>
                    <w:suppressAutoHyphens/>
                    <w:jc w:val="right"/>
                  </w:pPr>
                  <w:r>
                    <w:t xml:space="preserve">sekitar 92.000</w:t>
                  </w:r>
                </w:p>
              </w:tc>
              <w:tc>
                <w:tcPr>
                  <w:tcW w:w="3146" w:type="dxa"/>
                </w:tcPr>
                <w:p>
                  <w:pPr>
                    <w:pStyle w:val="IsiTabel"/>
                    <w:keepNext/>
                    <w:suppressAutoHyphens/>
                    <w:jc w:val="right"/>
                  </w:pPr>
                  <w:r>
                    <w:t xml:space="preserve">label berbeda, tidak dijumlah</w:t>
                  </w:r>
                </w:p>
              </w:tc>
              <w:tc>
                <w:tcPr>
                  <w:tcW w:w="2686" w:type="dxa"/>
                </w:tcPr>
                <w:p>
                  <w:pPr>
                    <w:pStyle w:val="IsiTabel"/>
                    <w:keepNext/>
                    <w:suppressAutoHyphens/>
                    <w:jc w:val="left"/>
                  </w:pPr>
                  <w:r>
                    <w:t xml:space="preserve">tidak berubah</w:t>
                  </w:r>
                </w:p>
              </w:tc>
            </w:tr>
            <w:tr>
              <w:trPr>
                <w:cantSplit/>
              </w:trPr>
              <w:tc>
                <w:tcPr>
                  <w:tcW w:w="1182" w:type="dxa"/>
                </w:tcPr>
                <w:p>
                  <w:pPr>
                    <w:pStyle w:val="IsiTabel"/>
                    <w:keepNext/>
                    <w:suppressAutoHyphens/>
                    <w:jc w:val="left"/>
                  </w:pPr>
                  <w:bookmarkStart w:id="450" w:name="_Ekor055z"/>
                  <w:bookmarkEnd w:id="450"/>
                  <w:r>
                    <w:t xml:space="preserve">Kemarau tahun kedua 2027, analog 2015 (ha)</w:t>
                  </w:r>
                </w:p>
              </w:tc>
              <w:tc>
                <w:tcPr>
                  <w:tcW w:w="1002" w:type="dxa"/>
                </w:tcPr>
                <w:p>
                  <w:pPr>
                    <w:pStyle w:val="IsiTabel"/>
                    <w:keepNext/>
                    <w:suppressAutoHyphens/>
                    <w:jc w:val="right"/>
                  </w:pPr>
                  <w:r>
                    <w:t xml:space="preserve">2.611.411</w:t>
                  </w:r>
                </w:p>
              </w:tc>
              <w:tc>
                <w:tcPr>
                  <w:tcW w:w="1338" w:type="dxa"/>
                </w:tcPr>
                <w:p>
                  <w:pPr>
                    <w:pStyle w:val="IsiTabel"/>
                    <w:keepNext/>
                    <w:suppressAutoHyphens/>
                    <w:jc w:val="right"/>
                  </w:pPr>
                  <w:r>
                    <w:t xml:space="preserve">2.611.411</w:t>
                  </w:r>
                </w:p>
              </w:tc>
              <w:tc>
                <w:tcPr>
                  <w:tcW w:w="3146" w:type="dxa"/>
                </w:tcPr>
                <w:p>
                  <w:pPr>
                    <w:pStyle w:val="IsiTabel"/>
                    <w:keepNext/>
                    <w:suppressAutoHyphens/>
                    <w:jc w:val="right"/>
                  </w:pPr>
                  <w:r>
                    <w:t xml:space="preserve">lantai tetap: 2015 adalah tahun kedua El Niño 2014–2016 sekaligus tahun lantai</w:t>
                  </w:r>
                </w:p>
              </w:tc>
              <w:tc>
                <w:tcPr>
                  <w:tcW w:w="2686" w:type="dxa"/>
                </w:tcPr>
                <w:p>
                  <w:pPr>
                    <w:pStyle w:val="IsiTabel"/>
                    <w:keepNext/>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Pemadaman darat dan udara di provinsi asap diperkuat sebelum puncak Agustus–Oktober.</w:t>
                  </w:r>
                </w:p>
                <w:p>
                  <w:pPr>
                    <w:pStyle w:val="DaftarTabel"/>
                    <w:keepNext/>
                    <w:numPr>
                      <w:ilvl w:val="0"/>
                      <w:numId w:val="1"/>
                    </w:numPr>
                    <w:suppressAutoHyphens/>
                  </w:pPr>
                  <w:r>
                    <w:t xml:space="preserve">Pemantauan kualitas udara dan layanan pernapasan di kota yang mencatat korban asap 2015.</w:t>
                  </w:r>
                </w:p>
                <w:p>
                  <w:pPr>
                    <w:pStyle w:val="DaftarTabel"/>
                    <w:keepNext/>
                    <w:numPr>
                      <w:ilvl w:val="0"/>
                      <w:numId w:val="1"/>
                    </w:numPr>
                    <w:suppressAutoHyphens/>
                  </w:pPr>
                  <w:r>
                    <w:t xml:space="preserve">Rekap kasus ISPA harian diminta dari dinas kesehatan selama status darurat.</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Rekap ISPA karhutla 2015, 2019, 2023, dan 2026 diminta dalam format data dari Kementerian Kesehatan.</w:t>
                  </w:r>
                </w:p>
                <w:p>
                  <w:pPr>
                    <w:pStyle w:val="DaftarTabel"/>
                    <w:keepNext/>
                    <w:numPr>
                      <w:ilvl w:val="0"/>
                      <w:numId w:val="1"/>
                    </w:numPr>
                    <w:suppressAutoHyphens/>
                  </w:pPr>
                  <w:r>
                    <w:t xml:space="preserve">Angka luas final 2025 diminta dari Kementerian Kehutanan karena dua tarikan SiPongi bertentangan.</w:t>
                  </w:r>
                </w:p>
                <w:p>
                  <w:pPr>
                    <w:pStyle w:val="DaftarTabel"/>
                    <w:keepNext/>
                    <w:numPr>
                      <w:ilvl w:val="0"/>
                      <w:numId w:val="1"/>
                    </w:numPr>
                    <w:suppressAutoHyphens/>
                  </w:pPr>
                  <w:r>
                    <w:t xml:space="preserve">Lantai karhutla dimutakhirkan saat turunan lantai per jenis selesai (</w:t>
                  </w:r>
                  <w:r>
                    <w:fldChar w:fldCharType="begin"/>
                  </w:r>
                  <w:r>
                    <w:instrText xml:space="preserve"> REF _Ref0105 \h \* CHARFORMAT </w:instrText>
                  </w:r>
                  <w:r>
                    <w:fldChar w:fldCharType="separate"/>
                  </w:r>
                  <w:r>
                    <w:t xml:space="preserve">30</w:t>
                  </w:r>
                  <w:r>
                    <w:fldChar w:fldCharType="end"/>
                  </w:r>
                  <w:r>
                    <w:t xml:space="preserve">).</w:t>
                  </w:r>
                </w:p>
              </w:tc>
            </w:tr>
          </w:tbl>
          <w:p>
            <w:pPr>
              <w:pStyle w:val="IsiTabel"/>
              <w:keepNext/>
              <w:spacing w:before="80"/>
            </w:pPr>
            <w:r>
              <w:rPr>
                <w:i/>
                <w:iCs/>
                <w:color w:val="2E3440"/>
                <w:sz w:val="17"/>
                <w:szCs w:val="17"/>
              </w:rPr>
              <w:t xml:space="preserve">Luas dan korban tercatat resmi; kerugian Bank Dunia terverifikasi; kematian berlebih adalah model yang belum diuji balik terhadap data kematian Indonesia.</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51" w:name="_Kartu012z"/>
      <w:r>
        <w:rPr>
          <w:b/>
          <w:bCs/>
          <w:color w:val="6B7280"/>
          <w:sz w:val="17"/>
          <w:szCs w:val="17"/>
        </w:rPr>
        <w:t xml:space="preserve">Sumber: </w:t>
      </w:r>
      <w:r>
        <w:rPr>
          <w:color w:val="6B7280"/>
          <w:sz w:val="17"/>
          <w:szCs w:val="17"/>
        </w:rPr>
        <w:t xml:space="preserve">SiPongi </w:t>
      </w:r>
      <w:r>
        <w:rPr>
          <w:color w:val="6B7280"/>
          <w:sz w:val="17"/>
          <w:szCs w:val="17"/>
        </w:rPr>
        <w:t xml:space="preserve">(SiPongi, 2026)</w:t>
      </w:r>
      <w:r>
        <w:rPr>
          <w:color w:val="6B7280"/>
          <w:sz w:val="17"/>
          <w:szCs w:val="17"/>
        </w:rPr>
        <w:t xml:space="preserve">; Bank Dunia </w:t>
      </w:r>
      <w:r>
        <w:rPr>
          <w:color w:val="6B7280"/>
          <w:sz w:val="17"/>
          <w:szCs w:val="17"/>
        </w:rPr>
        <w:t xml:space="preserve">(World Bank, 2016, 2019)</w:t>
      </w:r>
      <w:r>
        <w:rPr>
          <w:color w:val="6B7280"/>
          <w:sz w:val="17"/>
          <w:szCs w:val="17"/>
        </w:rPr>
        <w:t xml:space="preserve">; DIBI BNPB </w:t>
      </w:r>
      <w:r>
        <w:rPr>
          <w:color w:val="6B7280"/>
          <w:sz w:val="17"/>
          <w:szCs w:val="17"/>
        </w:rPr>
        <w:t xml:space="preserve">(BNPB, t.t.-a)</w:t>
      </w:r>
      <w:r>
        <w:rPr>
          <w:color w:val="6B7280"/>
          <w:sz w:val="17"/>
          <w:szCs w:val="17"/>
        </w:rPr>
        <w:t xml:space="preserve">; </w:t>
      </w:r>
      <w:r>
        <w:rPr>
          <w:color w:val="6B7280"/>
          <w:sz w:val="17"/>
          <w:szCs w:val="17"/>
        </w:rPr>
        <w:t xml:space="preserve">Koplitz dkk. (2016)</w:t>
      </w:r>
      <w:r>
        <w:rPr>
          <w:color w:val="6B7280"/>
          <w:sz w:val="17"/>
          <w:szCs w:val="17"/>
        </w:rPr>
        <w:t xml:space="preserve">; Renas PB 2025–2029 </w:t>
      </w:r>
      <w:r>
        <w:rPr>
          <w:color w:val="6B7280"/>
          <w:sz w:val="17"/>
          <w:szCs w:val="17"/>
        </w:rPr>
        <w:t xml:space="preserve">(BNPB, 2025c)</w:t>
      </w:r>
      <w:r>
        <w:rPr>
          <w:color w:val="6B7280"/>
          <w:sz w:val="17"/>
          <w:szCs w:val="17"/>
        </w:rPr>
        <w:t xml:space="preserve">; data per </w:t>
      </w:r>
      <w:r>
        <w:rPr>
          <w:color w:val="6B7280"/>
          <w:sz w:val="17"/>
          <w:szCs w:val="17"/>
        </w:rPr>
        <w:t xml:space="preserve">23 Okt 2026</w:t>
      </w:r>
      <w:bookmarkEnd w:id="451"/>
    </w:p>
    <w:p>
      <w:pPr>
        <w:pStyle w:val="Heading2"/>
      </w:pPr>
      <w:bookmarkStart w:id="453" w:name="_Toc00146"/>
      <w:bookmarkStart w:id="452" w:name="_Ref0145"/>
      <w:r>
        <w:t xml:space="preserve">7.7</w:t>
      </w:r>
      <w:bookmarkEnd w:id="452"/>
      <w:r>
        <w:tab/>
      </w:r>
      <w:r>
        <w:t xml:space="preserve">Kartu Agregat Musim Hujan</w:t>
      </w:r>
      <w:bookmarkEnd w:id="453"/>
    </w:p>
    <w:p>
      <w:pPr>
        <w:pStyle w:val="IsiTemuan"/>
      </w:pPr>
      <w:r>
        <w:rPr>
          <w:b/>
          <w:bCs/>
          <w:color w:val="051C2C"/>
        </w:rPr>
        <w:t xml:space="preserve">Lantai </w:t>
      </w:r>
      <w:r>
        <w:rPr>
          <w:b/>
          <w:bCs/>
          <w:color w:val="051C2C"/>
        </w:rPr>
        <w:t xml:space="preserve">1.692</w:t>
      </w:r>
      <w:r>
        <w:rPr>
          <w:b/>
          <w:bCs/>
          <w:color w:val="051C2C"/>
        </w:rPr>
        <w:t xml:space="preserve"> meninggal dan hilang pada musim 2025/2026 setara </w:t>
      </w:r>
      <w:r>
        <w:rPr>
          <w:b/>
          <w:bCs/>
          <w:color w:val="051C2C"/>
        </w:rPr>
        <w:t xml:space="preserve">2,8 kali</w:t>
      </w:r>
      <w:r>
        <w:rPr>
          <w:b/>
          <w:bCs/>
          <w:color w:val="051C2C"/>
        </w:rPr>
        <w:t xml:space="preserve"> musim terberat kedua dan </w:t>
      </w:r>
      <w:r>
        <w:rPr>
          <w:b/>
          <w:bCs/>
          <w:color w:val="051C2C"/>
        </w:rPr>
        <w:t xml:space="preserve">5,6 kali</w:t>
      </w:r>
      <w:r>
        <w:rPr>
          <w:b/>
          <w:bCs/>
          <w:color w:val="051C2C"/>
        </w:rPr>
        <w:t xml:space="preserve"> median delapan belas musim.</w:t>
      </w:r>
      <w:r>
        <w:t xml:space="preserve"> Musim terberat kedua adalah 2018/2019 dengan </w:t>
      </w:r>
      <w:r>
        <w:t xml:space="preserve">600</w:t>
      </w:r>
      <w:r>
        <w:t xml:space="preserve"> meninggal dan hilang, dan mediannya </w:t>
      </w:r>
      <w:r>
        <w:t xml:space="preserve">301,5</w:t>
      </w:r>
      <w:r>
        <w:t xml:space="preserve"> </w:t>
      </w:r>
      <w:r>
        <w:t xml:space="preserve">(BNPB, t.t.-a)</w:t>
      </w:r>
      <w:r>
        <w:t xml:space="preserve">. Musim 2025/2026 juga mencatat pengungsi dan rumah rusak berat terbesar di seri itu, yaitu </w:t>
      </w:r>
      <w:r>
        <w:t xml:space="preserve">1.043.740</w:t>
      </w:r>
      <w:r>
        <w:t xml:space="preserve"> jiwa dan </w:t>
      </w:r>
      <w:r>
        <w:t xml:space="preserve">65.929</w:t>
      </w:r>
      <w:r>
        <w:t xml:space="preserve"> unit. Tanpa kejadian Sumatra 2025 musim itu bernilai </w:t>
      </w:r>
      <w:r>
        <w:t xml:space="preserve">350</w:t>
      </w:r>
      <w:r>
        <w:t xml:space="preserve"> meninggal dan hilang, sedikit di atas median. Kajian ini menilai risiko korban hidrometeorologi nasional didorong ekor kejadian tunggal berskala provinsi, sejalan dengan lemahnya kaitan jumlah kejadian dan korban di Bab 4. Seri delapan belas musim tampil pada </w:t>
      </w:r>
      <w:r>
        <w:fldChar w:fldCharType="begin"/>
      </w:r>
      <w:r>
        <w:instrText xml:space="preserve"> REF _Ref0039 \h \* CHARFORMAT </w:instrText>
      </w:r>
      <w:r>
        <w:fldChar w:fldCharType="separate"/>
      </w:r>
      <w:r>
        <w:t xml:space="preserve">Gambar 7.6</w:t>
      </w:r>
      <w:r>
        <w:fldChar w:fldCharType="end"/>
      </w:r>
      <w:r>
        <w:t xml:space="preserve">.</w:t>
      </w:r>
    </w:p>
    <w:p>
      <w:pPr>
        <w:pStyle w:val="Caption"/>
      </w:pPr>
      <w:bookmarkStart w:id="455" w:name="_Toc00147"/>
      <w:bookmarkStart w:id="454" w:name="_Ref003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454"/>
      <w:r>
        <w:rPr>
          <w:b/>
          <w:bCs/>
          <w:color w:val="051C2C"/>
        </w:rPr>
        <w:t xml:space="preserve"> </w:t>
      </w:r>
      <w:r>
        <w:t xml:space="preserve">Meninggal dan hilang per musim hujan nasional menurut fase La Niña, 2008/2009–2025/2026 (jiwa)</w:t>
      </w:r>
      <w:bookmarkEnd w:id="455"/>
    </w:p>
    <w:p xmlns:a="http://schemas.openxmlformats.org/drawingml/2006/main" xmlns:pic="http://schemas.openxmlformats.org/drawingml/2006/picture">
      <w:pPr>
        <w:keepNext/>
        <w:spacing w:after="0" w:line="240" w:lineRule="auto"/>
        <w:jc w:val="center"/>
      </w:pPr>
      <w:bookmarkStart w:id="456" w:name="_Obj0045"/>
      <w:r>
        <w:drawing>
          <wp:inline distT="0" distB="0" distL="0" distR="0">
            <wp:extent cx="5940000" cy="2494800"/>
            <wp:effectExtent l="0" t="0" r="0" b="0"/>
            <wp:docPr id="125" name="Gambar 125"/>
            <wp:cNvGraphicFramePr>
              <a:graphicFrameLocks noChangeAspect="1"/>
            </wp:cNvGraphicFramePr>
            <a:graphic>
              <a:graphicData uri="http://schemas.openxmlformats.org/drawingml/2006/picture">
                <pic:pic>
                  <pic:nvPicPr>
                    <pic:cNvPr id="125" name="bab07-g01-musim-hujan.png"/>
                    <pic:cNvPicPr/>
                  </pic:nvPicPr>
                  <pic:blipFill>
                    <a:blip r:embed="rId73"/>
                    <a:stretch>
                      <a:fillRect/>
                    </a:stretch>
                  </pic:blipFill>
                  <pic:spPr>
                    <a:xfrm>
                      <a:off x="0" y="0"/>
                      <a:ext cx="5940000" cy="2494800"/>
                    </a:xfrm>
                    <a:prstGeom prst="rect">
                      <a:avLst/>
                    </a:prstGeom>
                  </pic:spPr>
                </pic:pic>
              </a:graphicData>
            </a:graphic>
          </wp:inline>
        </w:drawing>
      </w:r>
      <w:bookmarkEnd w:id="456"/>
    </w:p>
    <w:p>
      <w:pPr>
        <w:pStyle w:val="Sumber"/>
        <w:spacing w:after="40"/>
      </w:pPr>
      <w:r>
        <w:rPr>
          <w:b/>
          <w:bCs/>
          <w:color w:val="6B7280"/>
          <w:sz w:val="17"/>
          <w:szCs w:val="17"/>
        </w:rPr>
        <w:t xml:space="preserve">Sumber: </w:t>
      </w:r>
      <w:r>
        <w:rPr>
          <w:color w:val="6B7280"/>
          <w:sz w:val="17"/>
          <w:szCs w:val="17"/>
        </w:rPr>
        <w:t xml:space="preserve">BNPB, DIBI dasbor publik; NOAA CPC, ONI;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Musim hujan 1 Oktober sampai 30 April, lima jenis hidrometeorologi musim hujan. Musim 2025/2026 bukan episode La Niña dan memuat kasus Sumatra 2025. ONI berlabel terverifikasi.</w:t>
      </w:r>
    </w:p>
    <w:p>
      <w:pPr>
        <w:pStyle w:val="IsiTemuan"/>
      </w:pPr>
      <w:r>
        <w:rPr>
          <w:b/>
          <w:bCs/>
          <w:color w:val="051C2C"/>
        </w:rPr>
        <w:t xml:space="preserve">Musim 2025/2026 bukan musim La Niña: ONI November–Januari bernilai </w:t>
      </w:r>
      <w:r>
        <w:rPr>
          <w:b/>
          <w:bCs/>
          <w:color w:val="051C2C"/>
        </w:rPr>
        <w:t xml:space="preserve">-0,60</w:t>
      </w:r>
      <w:r>
        <w:rPr>
          <w:b/>
          <w:bCs/>
          <w:color w:val="051C2C"/>
        </w:rPr>
        <w:t xml:space="preserve"> dan tidak memenuhi definisi episode </w:t>
      </w:r>
      <w:r>
        <w:rPr>
          <w:b/>
          <w:bCs/>
          <w:i/>
          <w:iCs/>
          <w:color w:val="051C2C"/>
        </w:rPr>
        <w:t xml:space="preserve">Climate Prediction Center</w:t>
      </w:r>
      <w:r>
        <w:rPr>
          <w:b/>
          <w:bCs/>
          <w:color w:val="051C2C"/>
        </w:rPr>
        <w:t xml:space="preserve"> (CPC) </w:t>
      </w:r>
      <w:r>
        <w:rPr>
          <w:b/>
          <w:bCs/>
          <w:i/>
          <w:iCs/>
          <w:color w:val="051C2C"/>
        </w:rPr>
        <w:t xml:space="preserve">National Oceanic and Atmospheric Administration</w:t>
      </w:r>
      <w:r>
        <w:rPr>
          <w:b/>
          <w:bCs/>
          <w:color w:val="051C2C"/>
        </w:rPr>
        <w:t xml:space="preserve"> (NOAA).</w:t>
      </w:r>
      <w:r>
        <w:t xml:space="preserve"> Dari delapan belas musim acuan, </w:t>
      </w:r>
      <w:r>
        <w:t xml:space="preserve">7</w:t>
      </w:r>
      <w:r>
        <w:t xml:space="preserve"> berada dalam episode La Niña, sehingga fase </w:t>
      </w:r>
      <w:r>
        <w:rPr>
          <w:i/>
          <w:iCs/>
        </w:rPr>
        <w:t xml:space="preserve">El Niño-Southern Oscillation</w:t>
      </w:r>
      <w:r>
        <w:t xml:space="preserve"> (ENSO) tidak cukup sebagai penanda musim terburuk </w:t>
      </w:r>
      <w:r>
        <w:t xml:space="preserve">(NOAA Climate Prediction Center, 2026b)</w:t>
      </w:r>
      <w:r>
        <w:t xml:space="preserve">.</w:t>
      </w:r>
    </w:p>
    <w:p>
      <w:pPr>
        <w:pStyle w:val="IsiTemuan"/>
      </w:pPr>
      <w:r>
        <w:rPr>
          <w:b/>
          <w:bCs/>
          <w:color w:val="051C2C"/>
        </w:rPr>
        <w:t xml:space="preserve">Model rasio paket data memberi </w:t>
      </w:r>
      <w:r>
        <w:rPr>
          <w:b/>
          <w:bCs/>
          <w:color w:val="051C2C"/>
        </w:rPr>
        <w:t xml:space="preserve">400–950</w:t>
      </w:r>
      <w:r>
        <w:rPr>
          <w:b/>
          <w:bCs/>
          <w:color w:val="051C2C"/>
        </w:rPr>
        <w:t xml:space="preserve"> korban jiwa untuk musim 2025/2026, sehingga angka tercatat </w:t>
      </w:r>
      <w:r>
        <w:rPr>
          <w:b/>
          <w:bCs/>
          <w:color w:val="051C2C"/>
        </w:rPr>
        <w:t xml:space="preserve">sekitar 1,8 kali</w:t>
      </w:r>
      <w:r>
        <w:rPr>
          <w:b/>
          <w:bCs/>
          <w:color w:val="051C2C"/>
        </w:rPr>
        <w:t xml:space="preserve"> batas tingginya.</w:t>
      </w:r>
      <w:r>
        <w:t xml:space="preserve"> Untuk banjir saja model memberi </w:t>
      </w:r>
      <w:r>
        <w:t xml:space="preserve">230–580</w:t>
      </w:r>
      <w:r>
        <w:t xml:space="preserve"> lawan </w:t>
      </w:r>
      <w:r>
        <w:t xml:space="preserve">1.421</w:t>
      </w:r>
      <w:r>
        <w:t xml:space="preserve"> tercatat. Pada musim La Niña 2020/2021 arahnya terbalik: model </w:t>
      </w:r>
      <w:r>
        <w:t xml:space="preserve">520–1.200</w:t>
      </w:r>
      <w:r>
        <w:t xml:space="preserve"> lawan </w:t>
      </w:r>
      <w:r>
        <w:t xml:space="preserve">537</w:t>
      </w:r>
      <w:r>
        <w:t xml:space="preserve"> tercatat </w:t>
      </w:r>
      <w:r>
        <w:t xml:space="preserve">(BNPB, t.t.-a)</w:t>
      </w:r>
      <w:r>
        <w:t xml:space="preserve">. Metode ini tidak menangkap kejadian katastrofik, karena batas tingginya dibuat dengan menyisihkan tahun terburuk tercatat, padahal aturan kajian hanya membolehkan penyisihan untuk peluang lima tahun di bawah </w:t>
      </w:r>
      <w:r>
        <w:t xml:space="preserve">0,2%</w:t>
      </w:r>
      <w:r>
        <w:t xml:space="preserve"> (Bab 3). Model karena itu hanya menjadi baris pembanding di kartu.</w:t>
      </w:r>
    </w:p>
    <w:p>
      <w:pPr>
        <w:pStyle w:val="IsiTemuan"/>
      </w:pPr>
      <w:r>
        <w:rPr>
          <w:b/>
          <w:bCs/>
          <w:color w:val="051C2C"/>
        </w:rPr>
        <w:t xml:space="preserve">Peluang paling sedikit satu musim seburuk 2025/2026 dalam lima musim adalah </w:t>
      </w:r>
      <w:r>
        <w:rPr>
          <w:b/>
          <w:bCs/>
          <w:color w:val="051C2C"/>
        </w:rPr>
        <w:t xml:space="preserve">23,7%</w:t>
      </w:r>
      <w:r>
        <w:rPr>
          <w:b/>
          <w:bCs/>
          <w:color w:val="051C2C"/>
        </w:rPr>
        <w:t xml:space="preserve"> menurut posisi plot Weibull, pita kemungkinan empat.</w:t>
      </w:r>
      <w:r>
        <w:t xml:space="preserve"> Peluang La Niña dalam jendela lima tahun dari catatan ONI adalah </w:t>
      </w:r>
      <w:r>
        <w:t xml:space="preserve">84,7%</w:t>
      </w:r>
      <w:r>
        <w:t xml:space="preserve"> </w:t>
      </w:r>
      <w:r>
        <w:t xml:space="preserve">(NOAA Climate Prediction Center, 2026b)</w:t>
      </w:r>
      <w:r>
        <w:t xml:space="preserve">. Lantai nasional dan kasus Sumatra jatuh di kelas dampak kependudukan lima pada pita fatalitas yang dipilih Bab 3 </w:t>
      </w:r>
      <w:r>
        <w:t xml:space="preserve">(Cabinet Office, 2025, hlm. 14)</w:t>
      </w:r>
      <w:r>
        <w:t xml:space="preserve">. Musim terberat tetap 2025/2026 dengan atau tanpa rekaman Kota Bekasi 1 Januari 2020, yang menaikkan pengungsi musim 2019/2020 dari </w:t>
      </w:r>
      <w:r>
        <w:t xml:space="preserve">207.062</w:t>
      </w:r>
      <w:r>
        <w:t xml:space="preserve"> menjadi </w:t>
      </w:r>
      <w:r>
        <w:t xml:space="preserve">573.336</w:t>
      </w:r>
      <w:r>
        <w:t xml:space="preserve"> jiwa.</w:t>
      </w:r>
    </w:p>
    <w:p>
      <w:pPr>
        <w:pStyle w:val="Caption"/>
        <w:pageBreakBefore/>
      </w:pPr>
      <w:bookmarkStart w:id="458" w:name="_Toc00148"/>
      <w:bookmarkStart w:id="457" w:name="_Ref027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457"/>
      <w:r>
        <w:rPr>
          <w:b/>
          <w:bCs/>
          <w:color w:val="051C2C"/>
        </w:rPr>
        <w:t xml:space="preserve"> </w:t>
      </w:r>
      <w:r>
        <w:t xml:space="preserve">Musim hujan tercatat terburuk nasional setara 2025/2026, kartu agregat operasional</w:t>
      </w:r>
      <w:bookmarkEnd w:id="458"/>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keepNext/>
                    <w:spacing w:after="0"/>
                  </w:pPr>
                  <w:bookmarkStart w:id="460" w:name="_Kartu013a"/>
                  <w:bookmarkStart w:id="459" w:name="_Obj0046"/>
                  <w:r>
                    <w:rPr>
                      <w:position w:val="-10"/>
                    </w:rPr>
                    <w:drawing>
                      <wp:inline distT="0" distB="0" distL="0" distR="0">
                        <wp:extent cx="216000" cy="216000"/>
                        <wp:effectExtent l="0" t="0" r="0" b="0"/>
                        <wp:docPr id="126" name="Gambar 126"/>
                        <wp:cNvGraphicFramePr>
                          <a:graphicFrameLocks noChangeAspect="1"/>
                        </wp:cNvGraphicFramePr>
                        <a:graphic>
                          <a:graphicData uri="http://schemas.openxmlformats.org/drawingml/2006/picture">
                            <pic:pic>
                              <pic:nvPicPr>
                                <pic:cNvPr id="126" name="banjir-deck-banjir-FFFFFF-2F86D1.png"/>
                                <pic:cNvPicPr/>
                              </pic:nvPicPr>
                              <pic:blipFill>
                                <a:blip r:embed="rId58"/>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459"/>
                  <w:bookmarkEnd w:id="460"/>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Lantai = musim hujan tercatat terburuk dalam delapan belas musim DIBI 2008/2009–2025/2026 untuk banjir, banjir bandang, tanah longsor, gabungan banjir dan tanah longsor, dan cuaca ekstrem; model rasio hanya pembanding karena metode ini tidak menangkap kejadian katastrofik.</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1A1A1A"/>
                            <w:sz w:val="16"/>
                            <w:szCs w:val="16"/>
                            <w:bdr w:val="single" w:sz="6" w:space="0" w:color="BFC5CC"/>
                          </w:rPr>
                          <w:t xml:space="preserve">  1–5%  </w:t>
                        </w:r>
                        <w:r>
                          <w:t xml:space="preserve"> </w:t>
                        </w:r>
                        <w:r>
                          <w:rPr>
                            <w:b/>
                            <w:bCs/>
                            <w:color w:val="FFFFFF"/>
                            <w:sz w:val="16"/>
                            <w:szCs w:val="16"/>
                            <w:shd w:val="clear" w:color="auto" w:fill="051C2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127" name="Gambar 127"/>
                              <wp:cNvGraphicFramePr>
                                <a:graphicFrameLocks noChangeAspect="1"/>
                              </wp:cNvGraphicFramePr>
                              <a:graphic>
                                <a:graphicData uri="http://schemas.openxmlformats.org/drawingml/2006/picture">
                                  <pic:pic>
                                    <pic:nvPicPr>
                                      <pic:cNvPr id="12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28" name="Gambar 128"/>
                              <wp:cNvGraphicFramePr>
                                <a:graphicFrameLocks noChangeAspect="1"/>
                              </wp:cNvGraphicFramePr>
                              <a:graphic>
                                <a:graphicData uri="http://schemas.openxmlformats.org/drawingml/2006/picture">
                                  <pic:pic>
                                    <pic:nvPicPr>
                                      <pic:cNvPr id="12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9" name="Gambar 129"/>
                              <wp:cNvGraphicFramePr>
                                <a:graphicFrameLocks noChangeAspect="1"/>
                              </wp:cNvGraphicFramePr>
                              <a:graphic>
                                <a:graphicData uri="http://schemas.openxmlformats.org/drawingml/2006/picture">
                                  <pic:pic>
                                    <pic:nvPicPr>
                                      <pic:cNvPr id="12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0" name="Gambar 130"/>
                              <wp:cNvGraphicFramePr>
                                <a:graphicFrameLocks noChangeAspect="1"/>
                              </wp:cNvGraphicFramePr>
                              <a:graphic>
                                <a:graphicData uri="http://schemas.openxmlformats.org/drawingml/2006/picture">
                                  <pic:pic>
                                    <pic:nvPicPr>
                                      <pic:cNvPr id="13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1" name="Gambar 131"/>
                              <wp:cNvGraphicFramePr>
                                <a:graphicFrameLocks noChangeAspect="1"/>
                              </wp:cNvGraphicFramePr>
                              <a:graphic>
                                <a:graphicData uri="http://schemas.openxmlformats.org/drawingml/2006/picture">
                                  <pic:pic>
                                    <pic:nvPicPr>
                                      <pic:cNvPr id="13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2" name="Gambar 132"/>
                              <wp:cNvGraphicFramePr>
                                <a:graphicFrameLocks noChangeAspect="1"/>
                              </wp:cNvGraphicFramePr>
                              <a:graphic>
                                <a:graphicData uri="http://schemas.openxmlformats.org/drawingml/2006/picture">
                                  <pic:pic>
                                    <pic:nvPicPr>
                                      <pic:cNvPr id="13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290385"/>
                        <wp:effectExtent l="0" t="0" r="0" b="0"/>
                        <wp:docPr id="133" name="Gambar 133"/>
                        <wp:cNvGraphicFramePr>
                          <a:graphicFrameLocks noChangeAspect="1"/>
                        </wp:cNvGraphicFramePr>
                        <a:graphic>
                          <a:graphicData uri="http://schemas.openxmlformats.org/drawingml/2006/picture">
                            <pic:pic>
                              <pic:nvPicPr>
                                <pic:cNvPr id="133" name="bab07-kartu-banjir.png"/>
                                <pic:cNvPicPr/>
                              </pic:nvPicPr>
                              <pic:blipFill>
                                <a:blip r:embed="rId59"/>
                                <a:stretch>
                                  <a:fillRect/>
                                </a:stretch>
                              </pic:blipFill>
                              <pic:spPr>
                                <a:xfrm>
                                  <a:off x="0" y="0"/>
                                  <a:ext cx="1882800" cy="2290385"/>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846"/>
              <w:gridCol w:w="1002"/>
              <w:gridCol w:w="1103"/>
              <w:gridCol w:w="1695"/>
              <w:gridCol w:w="1708"/>
            </w:tblGrid>
            <w:tr>
              <w:trPr>
                <w:cantSplit/>
                <w:tblHeader/>
              </w:trPr>
              <w:tc>
                <w:tcPr>
                  <w:tcW w:w="3846" w:type="dxa"/>
                  <w:shd w:val="clear" w:color="auto" w:fill="051C2C"/>
                  <w:vAlign w:val="center"/>
                </w:tcPr>
                <w:p>
                  <w:pPr>
                    <w:pStyle w:val="KepalaTabel"/>
                    <w:keepNext/>
                    <w:suppressAutoHyphens/>
                  </w:pPr>
                  <w:r>
                    <w:t xml:space="preserve">BESARAN</w:t>
                  </w:r>
                </w:p>
              </w:tc>
              <w:tc>
                <w:tcPr>
                  <w:tcW w:w="1002" w:type="dxa"/>
                  <w:shd w:val="clear" w:color="auto" w:fill="051C2C"/>
                  <w:vAlign w:val="center"/>
                </w:tcPr>
                <w:p>
                  <w:pPr>
                    <w:pStyle w:val="KepalaTabel"/>
                    <w:keepNext/>
                    <w:suppressAutoHyphens/>
                  </w:pPr>
                  <w:r>
                    <w:t xml:space="preserve">RENDAH</w:t>
                  </w:r>
                </w:p>
              </w:tc>
              <w:tc>
                <w:tcPr>
                  <w:tcW w:w="1103" w:type="dxa"/>
                  <w:shd w:val="clear" w:color="auto" w:fill="051C2C"/>
                  <w:vAlign w:val="center"/>
                </w:tcPr>
                <w:p>
                  <w:pPr>
                    <w:pStyle w:val="KepalaTabel"/>
                    <w:keepNext/>
                    <w:suppressAutoHyphens/>
                  </w:pPr>
                  <w:r>
                    <w:t xml:space="preserve">TINGGI</w:t>
                  </w:r>
                </w:p>
              </w:tc>
              <w:tc>
                <w:tcPr>
                  <w:tcW w:w="1695" w:type="dxa"/>
                  <w:shd w:val="clear" w:color="auto" w:fill="051C2C"/>
                  <w:vAlign w:val="center"/>
                </w:tcPr>
                <w:p>
                  <w:pPr>
                    <w:pStyle w:val="KepalaTabel"/>
                    <w:keepNext/>
                    <w:suppressAutoHyphens/>
                  </w:pPr>
                  <w:r>
                    <w:t xml:space="preserve">KEYAKINAN</w:t>
                  </w:r>
                </w:p>
              </w:tc>
              <w:tc>
                <w:tcPr>
                  <w:tcW w:w="1708" w:type="dxa"/>
                  <w:shd w:val="clear" w:color="auto" w:fill="051C2C"/>
                  <w:vAlign w:val="center"/>
                </w:tcPr>
                <w:p>
                  <w:pPr>
                    <w:pStyle w:val="KepalaTabel"/>
                    <w:keepNext/>
                    <w:suppressAutoHyphens/>
                  </w:pPr>
                  <w:r>
                    <w:t xml:space="preserve">SUMBER</w:t>
                  </w:r>
                </w:p>
              </w:tc>
            </w:tr>
            <w:tr>
              <w:trPr>
                <w:cantSplit/>
              </w:trPr>
              <w:tc>
                <w:tcPr>
                  <w:tcW w:w="3846" w:type="dxa"/>
                </w:tcPr>
                <w:p>
                  <w:pPr>
                    <w:pStyle w:val="IsiTabel"/>
                    <w:keepNext/>
                    <w:suppressAutoHyphens/>
                    <w:jc w:val="left"/>
                  </w:pPr>
                  <w:r>
                    <w:t xml:space="preserve">Kependudukan, meninggal dan hilang, lantai 2025/2026</w:t>
                  </w:r>
                </w:p>
              </w:tc>
              <w:tc>
                <w:tcPr>
                  <w:tcW w:w="1002" w:type="dxa"/>
                </w:tcPr>
                <w:p>
                  <w:pPr>
                    <w:pStyle w:val="IsiTabel"/>
                    <w:keepNext/>
                    <w:suppressAutoHyphens/>
                    <w:jc w:val="right"/>
                  </w:pPr>
                  <w:r>
                    <w:t xml:space="preserve">1.692</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DIBI BNPB</w:t>
                  </w:r>
                </w:p>
              </w:tc>
            </w:tr>
            <w:tr>
              <w:trPr>
                <w:cantSplit/>
              </w:trPr>
              <w:tc>
                <w:tcPr>
                  <w:tcW w:w="3846" w:type="dxa"/>
                </w:tcPr>
                <w:p>
                  <w:pPr>
                    <w:pStyle w:val="IsiTabel"/>
                    <w:keepNext/>
                    <w:suppressAutoHyphens/>
                    <w:jc w:val="left"/>
                  </w:pPr>
                  <w:r>
                    <w:t xml:space="preserve">Kependudukan, meninggal dan hilang, kasus Sumatra 2025</w:t>
                  </w:r>
                </w:p>
              </w:tc>
              <w:tc>
                <w:tcPr>
                  <w:tcW w:w="1002" w:type="dxa"/>
                </w:tcPr>
                <w:p>
                  <w:pPr>
                    <w:pStyle w:val="IsiTabel"/>
                    <w:keepNext/>
                    <w:suppressAutoHyphens/>
                    <w:jc w:val="right"/>
                  </w:pPr>
                  <w:r>
                    <w:t xml:space="preserve">1.342</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DIBI BNPB; </w:t>
                  </w:r>
                  <w:r>
                    <w:t xml:space="preserve">79,3%</w:t>
                  </w:r>
                  <w:r>
                    <w:t xml:space="preserve"> lantai</w:t>
                  </w:r>
                </w:p>
              </w:tc>
            </w:tr>
            <w:tr>
              <w:trPr>
                <w:cantSplit/>
              </w:trPr>
              <w:tc>
                <w:tcPr>
                  <w:tcW w:w="3846" w:type="dxa"/>
                </w:tcPr>
                <w:p>
                  <w:pPr>
                    <w:pStyle w:val="IsiTabel"/>
                    <w:keepNext/>
                    <w:suppressAutoHyphens/>
                    <w:jc w:val="left"/>
                  </w:pPr>
                  <w:r>
                    <w:t xml:space="preserve">Kependudukan, meninggal dan hilang, model rasio pembanding</w:t>
                  </w:r>
                </w:p>
              </w:tc>
              <w:tc>
                <w:tcPr>
                  <w:tcW w:w="1002" w:type="dxa"/>
                </w:tcPr>
                <w:p>
                  <w:pPr>
                    <w:pStyle w:val="IsiTabel"/>
                    <w:keepNext/>
                    <w:suppressAutoHyphens/>
                    <w:jc w:val="right"/>
                  </w:pPr>
                  <w:r>
                    <w:t xml:space="preserve">400</w:t>
                  </w:r>
                </w:p>
              </w:tc>
              <w:tc>
                <w:tcPr>
                  <w:tcW w:w="1103" w:type="dxa"/>
                </w:tcPr>
                <w:p>
                  <w:pPr>
                    <w:pStyle w:val="IsiTabel"/>
                    <w:keepNext/>
                    <w:suppressAutoHyphens/>
                    <w:jc w:val="right"/>
                  </w:pPr>
                  <w:r>
                    <w:t xml:space="preserve">950</w:t>
                  </w:r>
                </w:p>
              </w:tc>
              <w:tc>
                <w:tcPr>
                  <w:tcW w:w="1695" w:type="dxa"/>
                </w:tcPr>
                <w:p>
                  <w:pPr>
                    <w:pStyle w:val="IsiTabel"/>
                    <w:keepNext/>
                    <w:suppressAutoHyphens/>
                    <w:jc w:val="left"/>
                  </w:pPr>
                  <w:r>
                    <w:rPr>
                      <w:b/>
                      <w:bCs/>
                      <w:color w:val="1A1A1A"/>
                      <w:sz w:val="16"/>
                      <w:szCs w:val="16"/>
                      <w:bdr w:val="single" w:sz="6" w:space="0" w:color="D9600B"/>
                    </w:rPr>
                    <w:t xml:space="preserve">  Estimasi model  </w:t>
                  </w:r>
                </w:p>
              </w:tc>
              <w:tc>
                <w:tcPr>
                  <w:tcW w:w="1708" w:type="dxa"/>
                </w:tcPr>
                <w:p>
                  <w:pPr>
                    <w:pStyle w:val="IsiTabel"/>
                    <w:keepNext/>
                    <w:suppressAutoHyphens/>
                    <w:jc w:val="left"/>
                  </w:pPr>
                  <w:r>
                    <w:t xml:space="preserve">belum diuji balik; tidak menangkap kejadian katastrofik</w:t>
                  </w:r>
                </w:p>
              </w:tc>
            </w:tr>
            <w:tr>
              <w:trPr>
                <w:cantSplit/>
              </w:trPr>
              <w:tc>
                <w:tcPr>
                  <w:tcW w:w="3846" w:type="dxa"/>
                </w:tcPr>
                <w:p>
                  <w:pPr>
                    <w:pStyle w:val="IsiTabel"/>
                    <w:keepNext/>
                    <w:suppressAutoHyphens/>
                    <w:jc w:val="left"/>
                  </w:pPr>
                  <w:r>
                    <w:t xml:space="preserve">Kependudukan, pengungsi tercatat semusim</w:t>
                  </w:r>
                </w:p>
              </w:tc>
              <w:tc>
                <w:tcPr>
                  <w:tcW w:w="1002" w:type="dxa"/>
                </w:tcPr>
                <w:p>
                  <w:pPr>
                    <w:pStyle w:val="IsiTabel"/>
                    <w:keepNext/>
                    <w:suppressAutoHyphens/>
                    <w:jc w:val="right"/>
                  </w:pPr>
                  <w:r>
                    <w:t xml:space="preserve">1.043.740</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DIBI BNPB; jumlah semusim, bukan serentak</w:t>
                  </w:r>
                </w:p>
              </w:tc>
            </w:tr>
            <w:tr>
              <w:trPr>
                <w:cantSplit/>
              </w:trPr>
              <w:tc>
                <w:tcPr>
                  <w:tcW w:w="3846" w:type="dxa"/>
                </w:tcPr>
                <w:p>
                  <w:pPr>
                    <w:pStyle w:val="IsiTabel"/>
                    <w:keepNext/>
                    <w:suppressAutoHyphens/>
                    <w:jc w:val="left"/>
                  </w:pPr>
                  <w:r>
                    <w:t xml:space="preserve">Kependudukan, pengungsi-hari</w:t>
                  </w:r>
                </w:p>
              </w:tc>
              <w:tc>
                <w:tcPr>
                  <w:tcW w:w="1002" w:type="dxa"/>
                </w:tcPr>
                <w:p>
                  <w:pPr>
                    <w:pStyle w:val="IsiTabel"/>
                    <w:keepNext/>
                    <w:suppressAutoHyphens/>
                    <w:jc w:val="right"/>
                  </w:pPr>
                  <w:r>
                    <w:t xml:space="preserve">3.131.220</w:t>
                  </w:r>
                </w:p>
              </w:tc>
              <w:tc>
                <w:tcPr>
                  <w:tcW w:w="1103" w:type="dxa"/>
                </w:tcPr>
                <w:p>
                  <w:pPr>
                    <w:pStyle w:val="IsiTabel"/>
                    <w:keepNext/>
                    <w:suppressAutoHyphens/>
                    <w:jc w:val="right"/>
                  </w:pPr>
                  <w:r>
                    <w:t xml:space="preserve">31.312.200</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1708" w:type="dxa"/>
                </w:tcPr>
                <w:p>
                  <w:pPr>
                    <w:pStyle w:val="IsiTabel"/>
                    <w:keepNext/>
                    <w:suppressAutoHyphens/>
                    <w:jc w:val="left"/>
                  </w:pPr>
                  <w:r>
                    <w:t xml:space="preserve">pengungsi tercatat dikali asumsi lama mengungsi</w:t>
                  </w:r>
                </w:p>
              </w:tc>
            </w:tr>
            <w:tr>
              <w:trPr>
                <w:cantSplit/>
              </w:trPr>
              <w:tc>
                <w:tcPr>
                  <w:tcW w:w="3846" w:type="dxa"/>
                </w:tcPr>
                <w:p>
                  <w:pPr>
                    <w:pStyle w:val="IsiTabel"/>
                    <w:keepNext/>
                    <w:suppressAutoHyphens/>
                    <w:jc w:val="left"/>
                  </w:pPr>
                  <w:r>
                    <w:t xml:space="preserve">Kependudukan, menderita</w:t>
                  </w:r>
                </w:p>
              </w:tc>
              <w:tc>
                <w:tcPr>
                  <w:tcW w:w="1002" w:type="dxa"/>
                </w:tcPr>
                <w:p>
                  <w:pPr>
                    <w:pStyle w:val="IsiTabel"/>
                    <w:keepNext/>
                    <w:suppressAutoHyphens/>
                    <w:jc w:val="right"/>
                  </w:pPr>
                  <w:r>
                    <w:t xml:space="preserve">8.242.120</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DIBI BNPB</w:t>
                  </w:r>
                </w:p>
              </w:tc>
            </w:tr>
            <w:tr>
              <w:trPr>
                <w:cantSplit/>
              </w:trPr>
              <w:tc>
                <w:tcPr>
                  <w:tcW w:w="3846" w:type="dxa"/>
                </w:tcPr>
                <w:p>
                  <w:pPr>
                    <w:pStyle w:val="IsiTabel"/>
                    <w:keepNext/>
                    <w:suppressAutoHyphens/>
                    <w:jc w:val="left"/>
                  </w:pPr>
                  <w:r>
                    <w:t xml:space="preserve">Infrastruktur/fisik, rumah rusak berat</w:t>
                  </w:r>
                </w:p>
              </w:tc>
              <w:tc>
                <w:tcPr>
                  <w:tcW w:w="1002" w:type="dxa"/>
                </w:tcPr>
                <w:p>
                  <w:pPr>
                    <w:pStyle w:val="IsiTabel"/>
                    <w:keepNext/>
                    <w:suppressAutoHyphens/>
                    <w:jc w:val="right"/>
                  </w:pPr>
                  <w:r>
                    <w:t xml:space="preserve">65.929</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DIBI BNPB</w:t>
                  </w:r>
                </w:p>
              </w:tc>
            </w:tr>
            <w:tr>
              <w:trPr>
                <w:cantSplit/>
              </w:trPr>
              <w:tc>
                <w:tcPr>
                  <w:tcW w:w="3846" w:type="dxa"/>
                </w:tcPr>
                <w:p>
                  <w:pPr>
                    <w:pStyle w:val="IsiTabel"/>
                    <w:keepNext/>
                    <w:suppressAutoHyphens/>
                    <w:jc w:val="left"/>
                  </w:pPr>
                  <w:r>
                    <w:t xml:space="preserve">Infrastruktur/fisik, rumah rusak sedang</w:t>
                  </w:r>
                </w:p>
              </w:tc>
              <w:tc>
                <w:tcPr>
                  <w:tcW w:w="1002" w:type="dxa"/>
                </w:tcPr>
                <w:p>
                  <w:pPr>
                    <w:pStyle w:val="IsiTabel"/>
                    <w:keepNext/>
                    <w:suppressAutoHyphens/>
                    <w:jc w:val="right"/>
                  </w:pPr>
                  <w:r>
                    <w:t xml:space="preserve">57.141</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DIBI BNPB</w:t>
                  </w:r>
                </w:p>
              </w:tc>
            </w:tr>
            <w:tr>
              <w:trPr>
                <w:cantSplit/>
              </w:trPr>
              <w:tc>
                <w:tcPr>
                  <w:tcW w:w="3846" w:type="dxa"/>
                </w:tcPr>
                <w:p>
                  <w:pPr>
                    <w:pStyle w:val="IsiTabel"/>
                    <w:keepNext/>
                    <w:suppressAutoHyphens/>
                    <w:jc w:val="left"/>
                  </w:pPr>
                  <w:r>
                    <w:t xml:space="preserve">Infrastruktur/fisik, rumah rusak ringan</w:t>
                  </w:r>
                </w:p>
              </w:tc>
              <w:tc>
                <w:tcPr>
                  <w:tcW w:w="1002" w:type="dxa"/>
                </w:tcPr>
                <w:p>
                  <w:pPr>
                    <w:pStyle w:val="IsiTabel"/>
                    <w:keepNext/>
                    <w:suppressAutoHyphens/>
                    <w:jc w:val="right"/>
                  </w:pPr>
                  <w:r>
                    <w:t xml:space="preserve">131.235</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DIBI BNPB</w:t>
                  </w:r>
                </w:p>
              </w:tc>
            </w:tr>
            <w:tr>
              <w:trPr>
                <w:cantSplit/>
              </w:trPr>
              <w:tc>
                <w:tcPr>
                  <w:tcW w:w="3846" w:type="dxa"/>
                </w:tcPr>
                <w:p>
                  <w:pPr>
                    <w:pStyle w:val="IsiTabel"/>
                    <w:keepNext/>
                    <w:suppressAutoHyphens/>
                    <w:jc w:val="left"/>
                  </w:pPr>
                  <w:bookmarkStart w:id="461" w:name="_Ekor056a"/>
                  <w:bookmarkEnd w:id="461"/>
                  <w:r>
                    <w:t xml:space="preserve">Ekonomi, kerugian kejadian</w:t>
                  </w:r>
                </w:p>
              </w:tc>
              <w:tc>
                <w:tcPr>
                  <w:tcW w:w="1002" w:type="dxa"/>
                </w:tcPr>
                <w:p>
                  <w:pPr>
                    <w:pStyle w:val="IsiTabel"/>
                    <w:keepNext/>
                    <w:suppressAutoHyphens/>
                    <w:jc w:val="right"/>
                  </w:pPr>
                  <w:r>
                    <w:t xml:space="preserve">–</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08" w:type="dxa"/>
                </w:tcPr>
                <w:p>
                  <w:pPr>
                    <w:pStyle w:val="IsiTabel"/>
                    <w:keepNext/>
                    <w:suppressAutoHyphens/>
                    <w:jc w:val="left"/>
                  </w:pPr>
                  <w:r>
                    <w:t xml:space="preserve">PDNA dan R3P Sumatra 2025 tidak ditemukan; stimulan rumah semua jenis tidak ditampilkan karena didominasi banjir genangan</w:t>
                  </w:r>
                </w:p>
              </w:tc>
            </w:tr>
            <w:tr>
              <w:trPr>
                <w:cantSplit/>
              </w:trPr>
              <w:tc>
                <w:tcPr>
                  <w:tcW w:w="3846" w:type="dxa"/>
                </w:tcPr>
                <w:p>
                  <w:pPr>
                    <w:pStyle w:val="IsiTabel"/>
                    <w:keepNext/>
                    <w:suppressAutoHyphens/>
                    <w:jc w:val="left"/>
                  </w:pPr>
                  <w:r>
                    <w:t xml:space="preserve">Lingkungan, luas genangan</w:t>
                  </w:r>
                </w:p>
              </w:tc>
              <w:tc>
                <w:tcPr>
                  <w:tcW w:w="1002" w:type="dxa"/>
                </w:tcPr>
                <w:p>
                  <w:pPr>
                    <w:pStyle w:val="IsiTabel"/>
                    <w:keepNext/>
                    <w:suppressAutoHyphens/>
                    <w:jc w:val="right"/>
                  </w:pPr>
                  <w:r>
                    <w:t xml:space="preserve">–</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08" w:type="dxa"/>
                </w:tcPr>
                <w:p>
                  <w:pPr>
                    <w:pStyle w:val="IsiTabel"/>
                    <w:keepNext/>
                    <w:suppressAutoHyphens/>
                    <w:jc w:val="left"/>
                  </w:pPr>
                  <w:r>
                    <w:t xml:space="preserve">luas genangan per kejadian tidak tersedia secara nasional</w:t>
                  </w:r>
                </w:p>
              </w:tc>
            </w:tr>
            <w:tr>
              <w:trPr>
                <w:cantSplit/>
              </w:trPr>
              <w:tc>
                <w:tcPr>
                  <w:tcW w:w="3846" w:type="dxa"/>
                </w:tcPr>
                <w:p>
                  <w:pPr>
                    <w:pStyle w:val="IsiTabel"/>
                    <w:keepNext/>
                    <w:suppressAutoHyphens/>
                    <w:jc w:val="left"/>
                  </w:pPr>
                  <w:r>
                    <w:t xml:space="preserve">Layanan sipil, fasilitas rusak</w:t>
                  </w:r>
                </w:p>
              </w:tc>
              <w:tc>
                <w:tcPr>
                  <w:tcW w:w="1002" w:type="dxa"/>
                </w:tcPr>
                <w:p>
                  <w:pPr>
                    <w:pStyle w:val="IsiTabel"/>
                    <w:keepNext/>
                    <w:suppressAutoHyphens/>
                    <w:jc w:val="right"/>
                  </w:pPr>
                  <w:r>
                    <w:t xml:space="preserve">–</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08" w:type="dxa"/>
                </w:tcPr>
                <w:p>
                  <w:pPr>
                    <w:pStyle w:val="IsiTabel"/>
                    <w:keepNext/>
                    <w:suppressAutoHyphens/>
                    <w:jc w:val="left"/>
                  </w:pPr>
                  <w:r>
                    <w:t xml:space="preserve">fasilitas rusak per musim tidak dimuat paket data</w:t>
                  </w:r>
                </w:p>
              </w:tc>
            </w:tr>
            <w:tr>
              <w:trPr>
                <w:cantSplit/>
              </w:trPr>
              <w:tc>
                <w:tcPr>
                  <w:tcW w:w="3846" w:type="dxa"/>
                </w:tcPr>
                <w:p>
                  <w:pPr>
                    <w:pStyle w:val="IsiTabel"/>
                    <w:keepNext/>
                    <w:suppressAutoHyphens/>
                    <w:jc w:val="left"/>
                  </w:pPr>
                  <w:bookmarkStart w:id="462" w:name="_Ekor056z"/>
                  <w:bookmarkEnd w:id="462"/>
                  <w:r>
                    <w:t xml:space="preserve">Kebutuhan respons, pengungsi per kejadian Sumatra 2025</w:t>
                  </w:r>
                </w:p>
              </w:tc>
              <w:tc>
                <w:tcPr>
                  <w:tcW w:w="1002" w:type="dxa"/>
                </w:tcPr>
                <w:p>
                  <w:pPr>
                    <w:pStyle w:val="IsiTabel"/>
                    <w:keepNext/>
                    <w:suppressAutoHyphens/>
                    <w:jc w:val="right"/>
                  </w:pPr>
                  <w:r>
                    <w:t xml:space="preserve">970.876</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708" w:type="dxa"/>
                </w:tcPr>
                <w:p>
                  <w:pPr>
                    <w:pStyle w:val="IsiTabel"/>
                    <w:keepNext/>
                    <w:suppressAutoHyphens/>
                    <w:jc w:val="left"/>
                  </w:pPr>
                  <w:r>
                    <w:t xml:space="preserve">jumlah lintas laporan kab/kota, batas atas; puncak serentak tidak tersedia di DIBI</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Bila cakupan peringatan dini naik dari proyeksi 2025 ke target 2029 Renas PB indikator 1.c, korban lantai tanpa longsor sebanyak </w:t>
                  </w:r>
                  <w:r>
                    <w:t xml:space="preserve">1.490 jiwa</w:t>
                  </w:r>
                  <w:r>
                    <w:t xml:space="preserve"> dihitung turun menjadi </w:t>
                  </w:r>
                  <w:r>
                    <w:t xml:space="preserve">899,1 jiwa</w:t>
                  </w:r>
                  <w:r>
                    <w:t xml:space="preserve">; lintasan indikator kinerja program (IKP) Renstra memberi </w:t>
                  </w:r>
                  <w:r>
                    <w:t xml:space="preserve">1.487 jiwa</w:t>
                  </w:r>
                  <w:r>
                    <w:t xml:space="preserve">. Kedua angka bergantung pada koefisien asosiasi lintas negara dan berlabel asumsi kebijakan.</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659"/>
              <w:gridCol w:w="854"/>
              <w:gridCol w:w="992"/>
              <w:gridCol w:w="3985"/>
              <w:gridCol w:w="1864"/>
            </w:tblGrid>
            <w:tr>
              <w:trPr>
                <w:cantSplit/>
                <w:tblHeader/>
              </w:trPr>
              <w:tc>
                <w:tcPr>
                  <w:tcW w:w="1659" w:type="dxa"/>
                  <w:shd w:val="clear" w:color="auto" w:fill="051C2C"/>
                  <w:vAlign w:val="center"/>
                </w:tcPr>
                <w:p>
                  <w:pPr>
                    <w:pStyle w:val="KepalaTabel"/>
                    <w:keepNext/>
                    <w:suppressAutoHyphens/>
                  </w:pPr>
                  <w:r>
                    <w:t xml:space="preserve">TUAS</w:t>
                  </w:r>
                </w:p>
              </w:tc>
              <w:tc>
                <w:tcPr>
                  <w:tcW w:w="854"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3985" w:type="dxa"/>
                  <w:shd w:val="clear" w:color="auto" w:fill="051C2C"/>
                  <w:vAlign w:val="center"/>
                </w:tcPr>
                <w:p>
                  <w:pPr>
                    <w:pStyle w:val="KepalaTabel"/>
                    <w:keepNext/>
                    <w:suppressAutoHyphens/>
                  </w:pPr>
                  <w:r>
                    <w:t xml:space="preserve">KORBAN JIWA</w:t>
                  </w:r>
                </w:p>
              </w:tc>
              <w:tc>
                <w:tcPr>
                  <w:tcW w:w="1864" w:type="dxa"/>
                  <w:shd w:val="clear" w:color="auto" w:fill="051C2C"/>
                  <w:vAlign w:val="center"/>
                </w:tcPr>
                <w:p>
                  <w:pPr>
                    <w:pStyle w:val="KepalaTabel"/>
                    <w:keepNext/>
                    <w:suppressAutoHyphens/>
                  </w:pPr>
                  <w:r>
                    <w:t xml:space="preserve">KERUGIAN MATERIIL</w:t>
                  </w:r>
                </w:p>
              </w:tc>
            </w:tr>
            <w:tr>
              <w:trPr>
                <w:cantSplit/>
              </w:trPr>
              <w:tc>
                <w:tcPr>
                  <w:tcW w:w="1659" w:type="dxa"/>
                </w:tcPr>
                <w:p>
                  <w:pPr>
                    <w:pStyle w:val="IsiTabel"/>
                    <w:keepNext/>
                    <w:suppressAutoHyphens/>
                    <w:jc w:val="left"/>
                  </w:pPr>
                  <w:bookmarkStart w:id="463" w:name="_Ekor057a"/>
                  <w:bookmarkEnd w:id="463"/>
                  <w:r>
                    <w:t xml:space="preserve">Cakupan peringatan dini Renas 1.c, longsor tidak dihitung</w:t>
                  </w:r>
                </w:p>
              </w:tc>
              <w:tc>
                <w:tcPr>
                  <w:tcW w:w="854" w:type="dxa"/>
                </w:tcPr>
                <w:p>
                  <w:pPr>
                    <w:pStyle w:val="IsiTabel"/>
                    <w:keepNext/>
                    <w:suppressAutoHyphens/>
                    <w:jc w:val="right"/>
                  </w:pPr>
                  <w:r>
                    <w:t xml:space="preserve">11,06%</w:t>
                  </w:r>
                </w:p>
              </w:tc>
              <w:tc>
                <w:tcPr>
                  <w:tcW w:w="992" w:type="dxa"/>
                </w:tcPr>
                <w:p>
                  <w:pPr>
                    <w:pStyle w:val="IsiTabel"/>
                    <w:keepNext/>
                    <w:suppressAutoHyphens/>
                    <w:jc w:val="right"/>
                  </w:pPr>
                  <w:r>
                    <w:t xml:space="preserve">52%</w:t>
                  </w:r>
                </w:p>
              </w:tc>
              <w:tc>
                <w:tcPr>
                  <w:tcW w:w="3985" w:type="dxa"/>
                </w:tcPr>
                <w:p>
                  <w:pPr>
                    <w:pStyle w:val="IsiTabel"/>
                    <w:keepNext/>
                    <w:suppressAutoHyphens/>
                    <w:jc w:val="right"/>
                  </w:pPr>
                  <w:r>
                    <w:t xml:space="preserve">899,1</w:t>
                  </w:r>
                </w:p>
              </w:tc>
              <w:tc>
                <w:tcPr>
                  <w:tcW w:w="1864" w:type="dxa"/>
                </w:tcPr>
                <w:p>
                  <w:pPr>
                    <w:pStyle w:val="IsiTabel"/>
                    <w:keepNext/>
                    <w:suppressAutoHyphens/>
                    <w:jc w:val="left"/>
                  </w:pPr>
                  <w:r>
                    <w:t xml:space="preserve">tidak berubah: peringatan dini tidak mengurangi rumah rusak</w:t>
                  </w:r>
                </w:p>
              </w:tc>
            </w:tr>
            <w:tr>
              <w:trPr>
                <w:cantSplit/>
              </w:trPr>
              <w:tc>
                <w:tcPr>
                  <w:tcW w:w="1659" w:type="dxa"/>
                </w:tcPr>
                <w:p>
                  <w:pPr>
                    <w:pStyle w:val="IsiTabel"/>
                    <w:keepNext/>
                    <w:suppressAutoHyphens/>
                    <w:jc w:val="left"/>
                  </w:pPr>
                  <w:r>
                    <w:t xml:space="preserve">Cakupan peringatan dini IKP Renstra, longsor tidak dihitung</w:t>
                  </w:r>
                </w:p>
              </w:tc>
              <w:tc>
                <w:tcPr>
                  <w:tcW w:w="854" w:type="dxa"/>
                </w:tcPr>
                <w:p>
                  <w:pPr>
                    <w:pStyle w:val="IsiTabel"/>
                    <w:keepNext/>
                    <w:suppressAutoHyphens/>
                    <w:jc w:val="right"/>
                  </w:pPr>
                  <w:r>
                    <w:t xml:space="preserve">6,10%</w:t>
                  </w:r>
                </w:p>
              </w:tc>
              <w:tc>
                <w:tcPr>
                  <w:tcW w:w="992" w:type="dxa"/>
                </w:tcPr>
                <w:p>
                  <w:pPr>
                    <w:pStyle w:val="IsiTabel"/>
                    <w:keepNext/>
                    <w:suppressAutoHyphens/>
                    <w:jc w:val="right"/>
                  </w:pPr>
                  <w:r>
                    <w:t xml:space="preserve">6,32%</w:t>
                  </w:r>
                </w:p>
              </w:tc>
              <w:tc>
                <w:tcPr>
                  <w:tcW w:w="3985" w:type="dxa"/>
                </w:tcPr>
                <w:p>
                  <w:pPr>
                    <w:pStyle w:val="IsiTabel"/>
                    <w:keepNext/>
                    <w:suppressAutoHyphens/>
                    <w:jc w:val="right"/>
                  </w:pPr>
                  <w:r>
                    <w:t xml:space="preserve">1.487</w:t>
                  </w:r>
                </w:p>
              </w:tc>
              <w:tc>
                <w:tcPr>
                  <w:tcW w:w="1864" w:type="dxa"/>
                </w:tcPr>
                <w:p>
                  <w:pPr>
                    <w:pStyle w:val="IsiTabel"/>
                    <w:keepNext/>
                    <w:suppressAutoHyphens/>
                    <w:jc w:val="left"/>
                  </w:pPr>
                  <w:r>
                    <w:t xml:space="preserve">tidak berubah</w:t>
                  </w:r>
                </w:p>
              </w:tc>
            </w:tr>
            <w:tr>
              <w:trPr>
                <w:cantSplit/>
              </w:trPr>
              <w:tc>
                <w:tcPr>
                  <w:tcW w:w="1659" w:type="dxa"/>
                </w:tcPr>
                <w:p>
                  <w:pPr>
                    <w:pStyle w:val="IsiTabel"/>
                    <w:keepNext/>
                    <w:suppressAutoHyphens/>
                    <w:jc w:val="left"/>
                  </w:pPr>
                  <w:bookmarkStart w:id="464" w:name="_Ekor057z"/>
                  <w:bookmarkEnd w:id="464"/>
                  <w:r>
                    <w:t xml:space="preserve">Rekaman Kota Bekasi 2020 dalam pemilihan musim terberat</w:t>
                  </w:r>
                </w:p>
              </w:tc>
              <w:tc>
                <w:tcPr>
                  <w:tcW w:w="854" w:type="dxa"/>
                </w:tcPr>
                <w:p>
                  <w:pPr>
                    <w:pStyle w:val="IsiTabel"/>
                    <w:keepNext/>
                    <w:suppressAutoHyphens/>
                    <w:jc w:val="right"/>
                  </w:pPr>
                  <w:r>
                    <w:t xml:space="preserve">573.336</w:t>
                  </w:r>
                </w:p>
              </w:tc>
              <w:tc>
                <w:tcPr>
                  <w:tcW w:w="992" w:type="dxa"/>
                </w:tcPr>
                <w:p>
                  <w:pPr>
                    <w:pStyle w:val="IsiTabel"/>
                    <w:keepNext/>
                    <w:suppressAutoHyphens/>
                    <w:jc w:val="right"/>
                  </w:pPr>
                  <w:r>
                    <w:t xml:space="preserve">207.062</w:t>
                  </w:r>
                </w:p>
              </w:tc>
              <w:tc>
                <w:tcPr>
                  <w:tcW w:w="3985" w:type="dxa"/>
                </w:tcPr>
                <w:p>
                  <w:pPr>
                    <w:pStyle w:val="IsiTabel"/>
                    <w:keepNext/>
                    <w:suppressAutoHyphens/>
                    <w:jc w:val="right"/>
                  </w:pPr>
                  <w:r>
                    <w:t xml:space="preserve">tidak berubah: musim terberat tetap 2025/2026</w:t>
                  </w:r>
                </w:p>
              </w:tc>
              <w:tc>
                <w:tcPr>
                  <w:tcW w:w="1864" w:type="dxa"/>
                </w:tcPr>
                <w:p>
                  <w:pPr>
                    <w:pStyle w:val="IsiTabel"/>
                    <w:keepNext/>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BPBD menerima prakiraan awal musim per zona musim dan mengkaji ulang rencana kontinjensi banjir dan longsor sebelum puncak musim (</w:t>
                  </w:r>
                  <w:r>
                    <w:fldChar w:fldCharType="begin"/>
                  </w:r>
                  <w:r>
                    <w:instrText xml:space="preserve"> REF _Ref0074 \h \* CHARFORMAT </w:instrText>
                  </w:r>
                  <w:r>
                    <w:fldChar w:fldCharType="separate"/>
                  </w:r>
                  <w:r>
                    <w:t xml:space="preserve">06</w:t>
                  </w:r>
                  <w:r>
                    <w:fldChar w:fldCharType="end"/>
                  </w:r>
                  <w:r>
                    <w:t xml:space="preserve">).</w:t>
                  </w:r>
                </w:p>
                <w:p>
                  <w:pPr>
                    <w:pStyle w:val="DaftarTabel"/>
                    <w:keepNext/>
                    <w:numPr>
                      <w:ilvl w:val="0"/>
                      <w:numId w:val="1"/>
                    </w:numPr>
                    <w:suppressAutoHyphens/>
                  </w:pPr>
                  <w:r>
                    <w:t xml:space="preserve">Cadangan logistik per wilayah dibandingkan dengan kebutuhan pengungsi lantai, karena puncak serentak tidak tersedia di DIBI (</w:t>
                  </w:r>
                  <w:r>
                    <w:fldChar w:fldCharType="begin"/>
                  </w:r>
                  <w:r>
                    <w:instrText xml:space="preserve"> REF _Ref0076 \h \* CHARFORMAT </w:instrText>
                  </w:r>
                  <w:r>
                    <w:fldChar w:fldCharType="separate"/>
                  </w:r>
                  <w:r>
                    <w:t xml:space="preserve">08</w:t>
                  </w:r>
                  <w:r>
                    <w:fldChar w:fldCharType="end"/>
                  </w:r>
                  <w:r>
                    <w:t xml:space="preserve">).</w:t>
                  </w:r>
                </w:p>
                <w:p>
                  <w:pPr>
                    <w:pStyle w:val="DaftarTabel"/>
                    <w:keepNext/>
                    <w:numPr>
                      <w:ilvl w:val="0"/>
                      <w:numId w:val="1"/>
                    </w:numPr>
                    <w:suppressAutoHyphens/>
                  </w:pPr>
                  <w:r>
                    <w:t xml:space="preserve">Rencana kontinjensi provinsi memuat lantai musim, bukan pita model (</w:t>
                  </w:r>
                  <w:r>
                    <w:fldChar w:fldCharType="begin"/>
                  </w:r>
                  <w:r>
                    <w:instrText xml:space="preserve"> REF _Ref0079 \h \* CHARFORMAT </w:instrText>
                  </w:r>
                  <w:r>
                    <w:fldChar w:fldCharType="separate"/>
                  </w:r>
                  <w:r>
                    <w:t xml:space="preserve">13</w:t>
                  </w:r>
                  <w:r>
                    <w:fldChar w:fldCharType="end"/>
                  </w:r>
                  <w:r>
                    <w:t xml:space="preserve">).</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PDNA dan R3P Sumatra 2025 ditarik untuk mengisi kerugian kejadian terberat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Rumah rusak per jenis dicatat terpisah supaya stimulan rumah longsor dan banjir bandang dapat dihitung.</w:t>
                  </w:r>
                </w:p>
                <w:p>
                  <w:pPr>
                    <w:pStyle w:val="DaftarTabel"/>
                    <w:keepNext/>
                    <w:numPr>
                      <w:ilvl w:val="0"/>
                      <w:numId w:val="1"/>
                    </w:numPr>
                    <w:suppressAutoHyphens/>
                  </w:pPr>
                  <w:r>
                    <w:t xml:space="preserve">Lantai musim diperbarui dari DIBI tiap akhir musim (</w:t>
                  </w:r>
                  <w:r>
                    <w:fldChar w:fldCharType="begin"/>
                  </w:r>
                  <w:r>
                    <w:instrText xml:space="preserve"> REF _Ref0105 \h \* CHARFORMAT </w:instrText>
                  </w:r>
                  <w:r>
                    <w:fldChar w:fldCharType="separate"/>
                  </w:r>
                  <w:r>
                    <w:t xml:space="preserve">30</w:t>
                  </w:r>
                  <w:r>
                    <w:fldChar w:fldCharType="end"/>
                  </w:r>
                  <w:r>
                    <w:t xml:space="preserve">).</w:t>
                  </w:r>
                </w:p>
              </w:tc>
            </w:tr>
          </w:tbl>
          <w:p>
            <w:pPr>
              <w:pStyle w:val="IsiTabel"/>
              <w:keepNext/>
              <w:spacing w:before="80"/>
            </w:pPr>
            <w:r>
              <w:rPr>
                <w:i/>
                <w:iCs/>
                <w:color w:val="2E3440"/>
                <w:sz w:val="17"/>
                <w:szCs w:val="17"/>
              </w:rPr>
              <w:t xml:space="preserve">Lantai dari DIBI resmi; pita model rasio belum diuji balik; kemungkinan dari posisi plot Weibull atas delapan belas musim; tidak menggantikan kartu per jenis.</w:t>
            </w:r>
          </w:p>
          <w:p>
            <w:pPr>
              <w:pStyle w:val="IsiTabel"/>
              <w:keepNext/>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65" w:name="_Kartu013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NOAA CPC, ONI </w:t>
      </w:r>
      <w:r>
        <w:rPr>
          <w:color w:val="6B7280"/>
          <w:sz w:val="17"/>
          <w:szCs w:val="17"/>
        </w:rPr>
        <w:t xml:space="preserve">(NOAA Climate Prediction Center, 2026b)</w:t>
      </w:r>
      <w:r>
        <w:rPr>
          <w:color w:val="6B7280"/>
          <w:sz w:val="17"/>
          <w:szCs w:val="17"/>
        </w:rPr>
        <w:t xml:space="preserve">; Perban BNPB 2/2023 </w:t>
      </w:r>
      <w:r>
        <w:rPr>
          <w:color w:val="6B7280"/>
          <w:sz w:val="17"/>
          <w:szCs w:val="17"/>
        </w:rPr>
        <w:t xml:space="preserve">(BNPB, 2023c)</w:t>
      </w:r>
      <w:r>
        <w:rPr>
          <w:color w:val="6B7280"/>
          <w:sz w:val="17"/>
          <w:szCs w:val="17"/>
        </w:rPr>
        <w:t xml:space="preserve">; paket skenario hidrometeorologi kajian ini</w:t>
      </w:r>
      <w:r>
        <w:rPr>
          <w:color w:val="6B7280"/>
          <w:sz w:val="17"/>
          <w:szCs w:val="17"/>
        </w:rPr>
        <w:t xml:space="preserve">; data per </w:t>
      </w:r>
      <w:r>
        <w:rPr>
          <w:color w:val="6B7280"/>
          <w:sz w:val="17"/>
          <w:szCs w:val="17"/>
        </w:rPr>
        <w:t xml:space="preserve">23 Okt 2026</w:t>
      </w:r>
      <w:bookmarkEnd w:id="465"/>
    </w:p>
    <w:p>
      <w:pPr>
        <w:pStyle w:val="IsiTemuan"/>
      </w:pPr>
      <w:r>
        <w:rPr>
          <w:b/>
          <w:bCs/>
          <w:color w:val="051C2C"/>
        </w:rPr>
        <w:t xml:space="preserve">Musim hujan 2026/2027 dimulai di bawah El Niño sangat kuat: ONI Juli–September 2026 bernilai </w:t>
      </w:r>
      <w:r>
        <w:rPr>
          <w:b/>
          <w:bCs/>
          <w:color w:val="051C2C"/>
        </w:rPr>
        <w:t xml:space="preserve">2,16</w:t>
      </w:r>
      <w:r>
        <w:rPr>
          <w:b/>
          <w:bCs/>
          <w:color w:val="051C2C"/>
        </w:rPr>
        <w:t xml:space="preserve">, tertinggi dalam seri Juli–September sejak 1950.</w:t>
      </w:r>
      <w:r>
        <w:t xml:space="preserve"> Nilai berikutnya adalah 1997 (</w:t>
      </w:r>
      <w:r>
        <w:t xml:space="preserve">1,79</w:t>
      </w:r>
      <w:r>
        <w:t xml:space="preserve">) dan 2015 (</w:t>
      </w:r>
      <w:r>
        <w:t xml:space="preserve">1,73</w:t>
      </w:r>
      <w:r>
        <w:t xml:space="preserve">) </w:t>
      </w:r>
      <w:r>
        <w:t xml:space="preserve">(NOAA Climate Prediction Center, 2026b)</w:t>
      </w:r>
      <w:r>
        <w:t xml:space="preserve">. BMKG mencatat indeks ENSO Juli–September </w:t>
      </w:r>
      <w:r>
        <w:t xml:space="preserve">2,63</w:t>
      </w:r>
      <w:r>
        <w:t xml:space="preserve"> dan Agustus–Oktober </w:t>
      </w:r>
      <w:r>
        <w:t xml:space="preserve">3,08</w:t>
      </w:r>
      <w:r>
        <w:t xml:space="preserve">, serta Niño 3.4 dasarian I Oktober </w:t>
      </w:r>
      <w:r>
        <w:t xml:space="preserve">3,33</w:t>
      </w:r>
      <w:r>
        <w:t xml:space="preserve"> </w:t>
      </w:r>
      <w:r>
        <w:t xml:space="preserve">(BMKG, 2026c, 2026a)</w:t>
      </w:r>
      <w:r>
        <w:t xml:space="preserve">. Indeks itu berbeda periode dan metode, sehingga masing-masing ditulis dengan namanya. CPC pada 8 Oktober 2026 memprakirakan El Niño kuat sampai sangat kuat bertahan sampai Januari–Maret 2027, dengan peluang </w:t>
      </w:r>
      <w:r>
        <w:t xml:space="preserve">83%</w:t>
      </w:r>
      <w:r>
        <w:t xml:space="preserve"> untuk kejadian berkekuatan historis pada Oktober–Desember 2026 </w:t>
      </w:r>
      <w:r>
        <w:t xml:space="preserve">(NOAA Climate Prediction Center, 2026a)</w:t>
      </w:r>
      <w:r>
        <w:t xml:space="preserve">.</w:t>
      </w:r>
    </w:p>
    <w:p>
      <w:pPr>
        <w:pStyle w:val="IsiTemuan"/>
      </w:pPr>
      <w:r>
        <w:rPr>
          <w:b/>
          <w:bCs/>
          <w:color w:val="051C2C"/>
        </w:rPr>
        <w:t xml:space="preserve">BMKG memprakirakan awal musim hujan 2026/2027 mundur di </w:t>
      </w:r>
      <w:r>
        <w:rPr>
          <w:b/>
          <w:bCs/>
          <w:color w:val="051C2C"/>
        </w:rPr>
        <w:t xml:space="preserve">529</w:t>
      </w:r>
      <w:r>
        <w:rPr>
          <w:b/>
          <w:bCs/>
          <w:color w:val="051C2C"/>
        </w:rPr>
        <w:t xml:space="preserve"> zona musim (ZOM), meliputi </w:t>
      </w:r>
      <w:r>
        <w:rPr>
          <w:b/>
          <w:bCs/>
          <w:color w:val="051C2C"/>
        </w:rPr>
        <w:t xml:space="preserve">61,08%</w:t>
      </w:r>
      <w:r>
        <w:rPr>
          <w:b/>
          <w:bCs/>
          <w:color w:val="051C2C"/>
        </w:rPr>
        <w:t xml:space="preserve"> luas wilayah.</w:t>
      </w:r>
      <w:r>
        <w:t xml:space="preserve"> Awal musim jatuh pada November di </w:t>
      </w:r>
      <w:r>
        <w:t xml:space="preserve">185</w:t>
      </w:r>
      <w:r>
        <w:t xml:space="preserve"> ZOM dan Desember di </w:t>
      </w:r>
      <w:r>
        <w:t xml:space="preserve">266</w:t>
      </w:r>
      <w:r>
        <w:t xml:space="preserve"> ZOM, sedangkan puncak musim terbanyak jatuh pada Februari 2027 di </w:t>
      </w:r>
      <w:r>
        <w:t xml:space="preserve">190</w:t>
      </w:r>
      <w:r>
        <w:t xml:space="preserve"> ZOM </w:t>
      </w:r>
      <w:r>
        <w:t xml:space="preserve">(BMKG, 2026c)</w:t>
      </w:r>
      <w:r>
        <w:t xml:space="preserve">. Di Jawa awal musim terbanyak jatuh pada Desember dan puncaknya pada Februari 2027. Sifat hujan atas normal diprakirakan di </w:t>
      </w:r>
      <w:r>
        <w:t xml:space="preserve">147</w:t>
      </w:r>
      <w:r>
        <w:t xml:space="preserve"> ZOM, atau </w:t>
      </w:r>
      <w:r>
        <w:t xml:space="preserve">18,55%</w:t>
      </w:r>
      <w:r>
        <w:t xml:space="preserve"> luas daratan; semua persentase siaran adalah persen luas, bukan persen jumlah ZOM. Siaran itu merekomendasikan kesiapan evakuasi banjir dan longsor pemerintah daerah pada awal dan puncak musim.</w:t>
      </w:r>
    </w:p>
    <w:p>
      <w:pPr>
        <w:pStyle w:val="IsiTemuan"/>
      </w:pPr>
      <w:r>
        <w:rPr>
          <w:b/>
          <w:bCs/>
          <w:color w:val="051C2C"/>
        </w:rPr>
        <w:t xml:space="preserve">Tiga musim hujan dengan El Niño kuat, 2009/2010, 2015/2016, dan 2023/2024, mencatat </w:t>
      </w:r>
      <w:r>
        <w:rPr>
          <w:b/>
          <w:bCs/>
          <w:color w:val="051C2C"/>
        </w:rPr>
        <w:t xml:space="preserve">373</w:t>
      </w:r>
      <w:r>
        <w:rPr>
          <w:b/>
          <w:bCs/>
          <w:color w:val="051C2C"/>
        </w:rPr>
        <w:t xml:space="preserve">, </w:t>
      </w:r>
      <w:r>
        <w:rPr>
          <w:b/>
          <w:bCs/>
          <w:color w:val="051C2C"/>
        </w:rPr>
        <w:t xml:space="preserve">199</w:t>
      </w:r>
      <w:r>
        <w:rPr>
          <w:b/>
          <w:bCs/>
          <w:color w:val="051C2C"/>
        </w:rPr>
        <w:t xml:space="preserve">, dan </w:t>
      </w:r>
      <w:r>
        <w:rPr>
          <w:b/>
          <w:bCs/>
          <w:color w:val="051C2C"/>
        </w:rPr>
        <w:t xml:space="preserve">246</w:t>
      </w:r>
      <w:r>
        <w:rPr>
          <w:b/>
          <w:bCs/>
          <w:color w:val="051C2C"/>
        </w:rPr>
        <w:t xml:space="preserve"> meninggal dan hilang, semuanya di bawah lantai.</w:t>
      </w:r>
      <w:r>
        <w:t xml:space="preserve"> Ketiganya musim dengan El Niño kuat yang sedang berlangsung, sama dengan posisi 2026/2027 </w:t>
      </w:r>
      <w:r>
        <w:t xml:space="preserve">(BNPB, t.t.-a)</w:t>
      </w:r>
      <w:r>
        <w:t xml:space="preserve">. Dengan demikian, kartu pada </w:t>
      </w:r>
      <w:r>
        <w:fldChar w:fldCharType="begin"/>
      </w:r>
      <w:r>
        <w:instrText xml:space="preserve"> REF _Ref0267 \h \* CHARFORMAT </w:instrText>
      </w:r>
      <w:r>
        <w:fldChar w:fldCharType="separate"/>
      </w:r>
      <w:r>
        <w:t xml:space="preserve">Tabel 7.9</w:t>
      </w:r>
      <w:r>
        <w:fldChar w:fldCharType="end"/>
      </w:r>
      <w:r>
        <w:t xml:space="preserve"> memisahkan ekspektasi dari skenario terburuk sebesar lantai, sebab tidak ada dasar peluang untuk menyisihkan musim 2025/2026.</w:t>
      </w:r>
    </w:p>
    <w:p>
      <w:pPr>
        <w:pStyle w:val="IsiTemuan"/>
      </w:pPr>
      <w:r>
        <w:rPr>
          <w:b/>
          <w:bCs/>
          <w:color w:val="051C2C"/>
        </w:rPr>
        <w:t xml:space="preserve">Pada musim sesudah El Niño kuat, jumlah kejadian naik </w:t>
      </w:r>
      <w:r>
        <w:rPr>
          <w:b/>
          <w:bCs/>
          <w:color w:val="051C2C"/>
        </w:rPr>
        <w:t xml:space="preserve">53,6%</w:t>
      </w:r>
      <w:r>
        <w:rPr>
          <w:b/>
          <w:bCs/>
          <w:color w:val="051C2C"/>
        </w:rPr>
        <w:t xml:space="preserve"> pada 2016/2017 dan </w:t>
      </w:r>
      <w:r>
        <w:rPr>
          <w:b/>
          <w:bCs/>
          <w:color w:val="051C2C"/>
        </w:rPr>
        <w:t xml:space="preserve">148,2%</w:t>
      </w:r>
      <w:r>
        <w:rPr>
          <w:b/>
          <w:bCs/>
          <w:color w:val="051C2C"/>
        </w:rPr>
        <w:t xml:space="preserve"> pada 2024/2025, tetapi </w:t>
      </w:r>
      <w:r>
        <w:rPr>
          <w:b/>
          <w:bCs/>
          <w:color w:val="051C2C"/>
        </w:rPr>
        <w:t xml:space="preserve">turun 2,5%</w:t>
      </w:r>
      <w:r>
        <w:rPr>
          <w:b/>
          <w:bCs/>
          <w:color w:val="051C2C"/>
        </w:rPr>
        <w:t xml:space="preserve"> pada 2010/2011.</w:t>
      </w:r>
      <w:r>
        <w:t xml:space="preserve"> Pola tercatat dari tiga pasang musim ini dipengaruhi patahan kategori 2018 dan 2024 </w:t>
      </w:r>
      <w:r>
        <w:t xml:space="preserve">(BNPB, t.t.-a)</w:t>
      </w:r>
      <w:r>
        <w:t xml:space="preserve">. Atas dasar itu, kalender kesiapan juga perlu menjangkau musim 2027/2028.</w:t>
      </w:r>
    </w:p>
    <w:p>
      <w:pPr>
        <w:pStyle w:val="Caption"/>
        <w:pageBreakBefore/>
      </w:pPr>
      <w:bookmarkStart w:id="467" w:name="_Toc00149"/>
      <w:bookmarkStart w:id="466" w:name="_Ref026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466"/>
      <w:r>
        <w:rPr>
          <w:b/>
          <w:bCs/>
          <w:color w:val="051C2C"/>
        </w:rPr>
        <w:t xml:space="preserve"> </w:t>
      </w:r>
      <w:r>
        <w:t xml:space="preserve">Musim hujan 2026/2027 di bawah El Niño sangat kuat, kartu agregat operasional</w:t>
      </w:r>
      <w:bookmarkEnd w:id="467"/>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keepNext/>
                    <w:spacing w:after="0"/>
                  </w:pPr>
                  <w:bookmarkStart w:id="469" w:name="_Kartu014a"/>
                  <w:bookmarkStart w:id="468" w:name="_Obj0047"/>
                  <w:r>
                    <w:rPr>
                      <w:position w:val="-10"/>
                    </w:rPr>
                    <w:drawing>
                      <wp:inline distT="0" distB="0" distL="0" distR="0">
                        <wp:extent cx="216000" cy="216000"/>
                        <wp:effectExtent l="0" t="0" r="0" b="0"/>
                        <wp:docPr id="134" name="Gambar 134"/>
                        <wp:cNvGraphicFramePr>
                          <a:graphicFrameLocks noChangeAspect="1"/>
                        </wp:cNvGraphicFramePr>
                        <a:graphic>
                          <a:graphicData uri="http://schemas.openxmlformats.org/drawingml/2006/picture">
                            <pic:pic>
                              <pic:nvPicPr>
                                <pic:cNvPr id="134" name="banjir-deck-banjir-FFFFFF-2F86D1.png"/>
                                <pic:cNvPicPr/>
                              </pic:nvPicPr>
                              <pic:blipFill>
                                <a:blip r:embed="rId58"/>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468"/>
                  <w:bookmarkEnd w:id="469"/>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Ekspektasi dari tiga musim hujan dengan El Niño kuat 2008/2009–2025/2026; skenario terburuk = lantai musim 2025/2026 karena tidak ada dasar peluang untuk menyisihkannya.</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1A1A1A"/>
                            <w:sz w:val="16"/>
                            <w:szCs w:val="16"/>
                            <w:bdr w:val="single" w:sz="6" w:space="0" w:color="BFC5CC"/>
                          </w:rPr>
                          <w:t xml:space="preserve">  1–5%  </w:t>
                        </w:r>
                        <w:r>
                          <w:t xml:space="preserve"> </w:t>
                        </w:r>
                        <w:r>
                          <w:rPr>
                            <w:b/>
                            <w:bCs/>
                            <w:color w:val="FFFFFF"/>
                            <w:sz w:val="16"/>
                            <w:szCs w:val="16"/>
                            <w:shd w:val="clear" w:color="auto" w:fill="051C2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135" name="Gambar 135"/>
                              <wp:cNvGraphicFramePr>
                                <a:graphicFrameLocks noChangeAspect="1"/>
                              </wp:cNvGraphicFramePr>
                              <a:graphic>
                                <a:graphicData uri="http://schemas.openxmlformats.org/drawingml/2006/picture">
                                  <pic:pic>
                                    <pic:nvPicPr>
                                      <pic:cNvPr id="13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36" name="Gambar 136"/>
                              <wp:cNvGraphicFramePr>
                                <a:graphicFrameLocks noChangeAspect="1"/>
                              </wp:cNvGraphicFramePr>
                              <a:graphic>
                                <a:graphicData uri="http://schemas.openxmlformats.org/drawingml/2006/picture">
                                  <pic:pic>
                                    <pic:nvPicPr>
                                      <pic:cNvPr id="13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7" name="Gambar 137"/>
                              <wp:cNvGraphicFramePr>
                                <a:graphicFrameLocks noChangeAspect="1"/>
                              </wp:cNvGraphicFramePr>
                              <a:graphic>
                                <a:graphicData uri="http://schemas.openxmlformats.org/drawingml/2006/picture">
                                  <pic:pic>
                                    <pic:nvPicPr>
                                      <pic:cNvPr id="13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8" name="Gambar 138"/>
                              <wp:cNvGraphicFramePr>
                                <a:graphicFrameLocks noChangeAspect="1"/>
                              </wp:cNvGraphicFramePr>
                              <a:graphic>
                                <a:graphicData uri="http://schemas.openxmlformats.org/drawingml/2006/picture">
                                  <pic:pic>
                                    <pic:nvPicPr>
                                      <pic:cNvPr id="13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9" name="Gambar 139"/>
                              <wp:cNvGraphicFramePr>
                                <a:graphicFrameLocks noChangeAspect="1"/>
                              </wp:cNvGraphicFramePr>
                              <a:graphic>
                                <a:graphicData uri="http://schemas.openxmlformats.org/drawingml/2006/picture">
                                  <pic:pic>
                                    <pic:nvPicPr>
                                      <pic:cNvPr id="13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290385"/>
                        <wp:effectExtent l="0" t="0" r="0" b="0"/>
                        <wp:docPr id="140" name="Gambar 140"/>
                        <wp:cNvGraphicFramePr>
                          <a:graphicFrameLocks noChangeAspect="1"/>
                        </wp:cNvGraphicFramePr>
                        <a:graphic>
                          <a:graphicData uri="http://schemas.openxmlformats.org/drawingml/2006/picture">
                            <pic:pic>
                              <pic:nvPicPr>
                                <pic:cNvPr id="140" name="bab07-kartu-banjir.png"/>
                                <pic:cNvPicPr/>
                              </pic:nvPicPr>
                              <pic:blipFill>
                                <a:blip r:embed="rId59"/>
                                <a:stretch>
                                  <a:fillRect/>
                                </a:stretch>
                              </pic:blipFill>
                              <pic:spPr>
                                <a:xfrm>
                                  <a:off x="0" y="0"/>
                                  <a:ext cx="1882800" cy="2290385"/>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472"/>
              <w:gridCol w:w="1002"/>
              <w:gridCol w:w="854"/>
              <w:gridCol w:w="1267"/>
              <w:gridCol w:w="3759"/>
            </w:tblGrid>
            <w:tr>
              <w:trPr>
                <w:cantSplit/>
                <w:tblHeader/>
              </w:trPr>
              <w:tc>
                <w:tcPr>
                  <w:tcW w:w="2472" w:type="dxa"/>
                  <w:shd w:val="clear" w:color="auto" w:fill="051C2C"/>
                  <w:vAlign w:val="center"/>
                </w:tcPr>
                <w:p>
                  <w:pPr>
                    <w:pStyle w:val="KepalaTabel"/>
                    <w:keepNext/>
                    <w:suppressAutoHyphens/>
                  </w:pPr>
                  <w:r>
                    <w:t xml:space="preserve">BESARAN</w:t>
                  </w:r>
                </w:p>
              </w:tc>
              <w:tc>
                <w:tcPr>
                  <w:tcW w:w="1002" w:type="dxa"/>
                  <w:shd w:val="clear" w:color="auto" w:fill="051C2C"/>
                  <w:vAlign w:val="center"/>
                </w:tcPr>
                <w:p>
                  <w:pPr>
                    <w:pStyle w:val="KepalaTabel"/>
                    <w:keepNext/>
                    <w:suppressAutoHyphens/>
                  </w:pPr>
                  <w:r>
                    <w:t xml:space="preserve">RENDAH</w:t>
                  </w:r>
                </w:p>
              </w:tc>
              <w:tc>
                <w:tcPr>
                  <w:tcW w:w="854" w:type="dxa"/>
                  <w:shd w:val="clear" w:color="auto" w:fill="051C2C"/>
                  <w:vAlign w:val="center"/>
                </w:tcPr>
                <w:p>
                  <w:pPr>
                    <w:pStyle w:val="KepalaTabel"/>
                    <w:keepNext/>
                    <w:suppressAutoHyphens/>
                  </w:pPr>
                  <w:r>
                    <w:t xml:space="preserve">TINGGI</w:t>
                  </w:r>
                </w:p>
              </w:tc>
              <w:tc>
                <w:tcPr>
                  <w:tcW w:w="1267" w:type="dxa"/>
                  <w:shd w:val="clear" w:color="auto" w:fill="051C2C"/>
                  <w:vAlign w:val="center"/>
                </w:tcPr>
                <w:p>
                  <w:pPr>
                    <w:pStyle w:val="KepalaTabel"/>
                    <w:keepNext/>
                    <w:suppressAutoHyphens/>
                  </w:pPr>
                  <w:r>
                    <w:t xml:space="preserve">KEYAKINAN</w:t>
                  </w:r>
                </w:p>
              </w:tc>
              <w:tc>
                <w:tcPr>
                  <w:tcW w:w="3759" w:type="dxa"/>
                  <w:shd w:val="clear" w:color="auto" w:fill="051C2C"/>
                  <w:vAlign w:val="center"/>
                </w:tcPr>
                <w:p>
                  <w:pPr>
                    <w:pStyle w:val="KepalaTabel"/>
                    <w:keepNext/>
                    <w:suppressAutoHyphens/>
                  </w:pPr>
                  <w:r>
                    <w:t xml:space="preserve">SUMBER</w:t>
                  </w:r>
                </w:p>
              </w:tc>
            </w:tr>
            <w:tr>
              <w:trPr>
                <w:cantSplit/>
              </w:trPr>
              <w:tc>
                <w:tcPr>
                  <w:tcW w:w="2472" w:type="dxa"/>
                </w:tcPr>
                <w:p>
                  <w:pPr>
                    <w:pStyle w:val="IsiTabel"/>
                    <w:keepNext/>
                    <w:suppressAutoHyphens/>
                    <w:jc w:val="left"/>
                  </w:pPr>
                  <w:r>
                    <w:t xml:space="preserve">Kependudukan, meninggal dan hilang, skenario terburuk (lantai)</w:t>
                  </w:r>
                </w:p>
              </w:tc>
              <w:tc>
                <w:tcPr>
                  <w:tcW w:w="1002" w:type="dxa"/>
                </w:tcPr>
                <w:p>
                  <w:pPr>
                    <w:pStyle w:val="IsiTabel"/>
                    <w:keepNext/>
                    <w:suppressAutoHyphens/>
                    <w:jc w:val="right"/>
                  </w:pPr>
                  <w:r>
                    <w:t xml:space="preserve">1.692</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3759" w:type="dxa"/>
                </w:tcPr>
                <w:p>
                  <w:pPr>
                    <w:pStyle w:val="IsiTabel"/>
                    <w:keepNext/>
                    <w:suppressAutoHyphens/>
                    <w:jc w:val="left"/>
                  </w:pPr>
                  <w:r>
                    <w:t xml:space="preserve">DIBI BNPB, musim 2025/2026</w:t>
                  </w:r>
                </w:p>
              </w:tc>
            </w:tr>
            <w:tr>
              <w:trPr>
                <w:cantSplit/>
              </w:trPr>
              <w:tc>
                <w:tcPr>
                  <w:tcW w:w="2472" w:type="dxa"/>
                </w:tcPr>
                <w:p>
                  <w:pPr>
                    <w:pStyle w:val="IsiTabel"/>
                    <w:keepNext/>
                    <w:suppressAutoHyphens/>
                    <w:jc w:val="left"/>
                  </w:pPr>
                  <w:r>
                    <w:t xml:space="preserve">Kependudukan, meninggal dan hilang, ekspektasi tiga musim El Niño kuat</w:t>
                  </w:r>
                </w:p>
              </w:tc>
              <w:tc>
                <w:tcPr>
                  <w:tcW w:w="1002" w:type="dxa"/>
                </w:tcPr>
                <w:p>
                  <w:pPr>
                    <w:pStyle w:val="IsiTabel"/>
                    <w:keepNext/>
                    <w:suppressAutoHyphens/>
                    <w:jc w:val="right"/>
                  </w:pPr>
                  <w:r>
                    <w:t xml:space="preserve">199</w:t>
                  </w:r>
                </w:p>
              </w:tc>
              <w:tc>
                <w:tcPr>
                  <w:tcW w:w="854" w:type="dxa"/>
                </w:tcPr>
                <w:p>
                  <w:pPr>
                    <w:pStyle w:val="IsiTabel"/>
                    <w:keepNext/>
                    <w:suppressAutoHyphens/>
                    <w:jc w:val="right"/>
                  </w:pPr>
                  <w:r>
                    <w:t xml:space="preserve">373</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3759" w:type="dxa"/>
                </w:tcPr>
                <w:p>
                  <w:pPr>
                    <w:pStyle w:val="IsiTabel"/>
                    <w:keepNext/>
                    <w:suppressAutoHyphens/>
                    <w:jc w:val="left"/>
                  </w:pPr>
                  <w:r>
                    <w:t xml:space="preserve">DIBI BNPB</w:t>
                  </w:r>
                </w:p>
              </w:tc>
            </w:tr>
            <w:tr>
              <w:trPr>
                <w:cantSplit/>
              </w:trPr>
              <w:tc>
                <w:tcPr>
                  <w:tcW w:w="2472" w:type="dxa"/>
                </w:tcPr>
                <w:p>
                  <w:pPr>
                    <w:pStyle w:val="IsiTabel"/>
                    <w:keepNext/>
                    <w:suppressAutoHyphens/>
                    <w:jc w:val="left"/>
                  </w:pPr>
                  <w:r>
                    <w:t xml:space="preserve">Kependudukan, pengungsi tercatat semusim, tiga musim El Niño kuat</w:t>
                  </w:r>
                </w:p>
              </w:tc>
              <w:tc>
                <w:tcPr>
                  <w:tcW w:w="1002" w:type="dxa"/>
                </w:tcPr>
                <w:p>
                  <w:pPr>
                    <w:pStyle w:val="IsiTabel"/>
                    <w:keepNext/>
                    <w:suppressAutoHyphens/>
                    <w:jc w:val="right"/>
                  </w:pPr>
                  <w:r>
                    <w:t xml:space="preserve">247.675</w:t>
                  </w:r>
                </w:p>
              </w:tc>
              <w:tc>
                <w:tcPr>
                  <w:tcW w:w="854" w:type="dxa"/>
                </w:tcPr>
                <w:p>
                  <w:pPr>
                    <w:pStyle w:val="IsiTabel"/>
                    <w:keepNext/>
                    <w:suppressAutoHyphens/>
                    <w:jc w:val="right"/>
                  </w:pPr>
                  <w:r>
                    <w:t xml:space="preserve">359.202</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3759" w:type="dxa"/>
                </w:tcPr>
                <w:p>
                  <w:pPr>
                    <w:pStyle w:val="IsiTabel"/>
                    <w:keepNext/>
                    <w:suppressAutoHyphens/>
                    <w:jc w:val="left"/>
                  </w:pPr>
                  <w:r>
                    <w:t xml:space="preserve">DIBI BNPB; jumlah semusim</w:t>
                  </w:r>
                </w:p>
              </w:tc>
            </w:tr>
            <w:tr>
              <w:trPr>
                <w:cantSplit/>
              </w:trPr>
              <w:tc>
                <w:tcPr>
                  <w:tcW w:w="2472" w:type="dxa"/>
                </w:tcPr>
                <w:p>
                  <w:pPr>
                    <w:pStyle w:val="IsiTabel"/>
                    <w:keepNext/>
                    <w:suppressAutoHyphens/>
                    <w:jc w:val="left"/>
                  </w:pPr>
                  <w:r>
                    <w:t xml:space="preserve">Kependudukan, pengungsi tercatat semusim, lantai</w:t>
                  </w:r>
                </w:p>
              </w:tc>
              <w:tc>
                <w:tcPr>
                  <w:tcW w:w="1002" w:type="dxa"/>
                </w:tcPr>
                <w:p>
                  <w:pPr>
                    <w:pStyle w:val="IsiTabel"/>
                    <w:keepNext/>
                    <w:suppressAutoHyphens/>
                    <w:jc w:val="right"/>
                  </w:pPr>
                  <w:r>
                    <w:t xml:space="preserve">1.043.740</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3759" w:type="dxa"/>
                </w:tcPr>
                <w:p>
                  <w:pPr>
                    <w:pStyle w:val="IsiTabel"/>
                    <w:keepNext/>
                    <w:suppressAutoHyphens/>
                    <w:jc w:val="left"/>
                  </w:pPr>
                  <w:r>
                    <w:t xml:space="preserve">DIBI BNPB; jumlah semusim, bukan serentak</w:t>
                  </w:r>
                </w:p>
              </w:tc>
            </w:tr>
            <w:tr>
              <w:trPr>
                <w:cantSplit/>
              </w:trPr>
              <w:tc>
                <w:tcPr>
                  <w:tcW w:w="2472" w:type="dxa"/>
                </w:tcPr>
                <w:p>
                  <w:pPr>
                    <w:pStyle w:val="IsiTabel"/>
                    <w:keepNext/>
                    <w:suppressAutoHyphens/>
                    <w:jc w:val="left"/>
                  </w:pPr>
                  <w:r>
                    <w:t xml:space="preserve">Infrastruktur/fisik, rumah rusak berat, tiga musim El Niño kuat</w:t>
                  </w:r>
                </w:p>
              </w:tc>
              <w:tc>
                <w:tcPr>
                  <w:tcW w:w="1002" w:type="dxa"/>
                </w:tcPr>
                <w:p>
                  <w:pPr>
                    <w:pStyle w:val="IsiTabel"/>
                    <w:keepNext/>
                    <w:suppressAutoHyphens/>
                    <w:jc w:val="right"/>
                  </w:pPr>
                  <w:r>
                    <w:t xml:space="preserve">2.494</w:t>
                  </w:r>
                </w:p>
              </w:tc>
              <w:tc>
                <w:tcPr>
                  <w:tcW w:w="854" w:type="dxa"/>
                </w:tcPr>
                <w:p>
                  <w:pPr>
                    <w:pStyle w:val="IsiTabel"/>
                    <w:keepNext/>
                    <w:suppressAutoHyphens/>
                    <w:jc w:val="right"/>
                  </w:pPr>
                  <w:r>
                    <w:t xml:space="preserve">10.472</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3759" w:type="dxa"/>
                </w:tcPr>
                <w:p>
                  <w:pPr>
                    <w:pStyle w:val="IsiTabel"/>
                    <w:keepNext/>
                    <w:suppressAutoHyphens/>
                    <w:jc w:val="left"/>
                  </w:pPr>
                  <w:r>
                    <w:t xml:space="preserve">DIBI BNPB</w:t>
                  </w:r>
                </w:p>
              </w:tc>
            </w:tr>
            <w:tr>
              <w:trPr>
                <w:cantSplit/>
              </w:trPr>
              <w:tc>
                <w:tcPr>
                  <w:tcW w:w="2472" w:type="dxa"/>
                </w:tcPr>
                <w:p>
                  <w:pPr>
                    <w:pStyle w:val="IsiTabel"/>
                    <w:keepNext/>
                    <w:suppressAutoHyphens/>
                    <w:jc w:val="left"/>
                  </w:pPr>
                  <w:bookmarkStart w:id="470" w:name="_Ekor058a"/>
                  <w:bookmarkEnd w:id="470"/>
                  <w:r>
                    <w:t xml:space="preserve">Ekonomi, kerugian kejadian</w:t>
                  </w:r>
                </w:p>
              </w:tc>
              <w:tc>
                <w:tcPr>
                  <w:tcW w:w="1002"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759" w:type="dxa"/>
                </w:tcPr>
                <w:p>
                  <w:pPr>
                    <w:pStyle w:val="IsiTabel"/>
                    <w:keepNext/>
                    <w:suppressAutoHyphens/>
                    <w:jc w:val="left"/>
                  </w:pPr>
                  <w:r>
                    <w:t xml:space="preserve">tidak ada penilaian kerugian untuk musim analog</w:t>
                  </w:r>
                </w:p>
              </w:tc>
            </w:tr>
            <w:tr>
              <w:trPr>
                <w:cantSplit/>
              </w:trPr>
              <w:tc>
                <w:tcPr>
                  <w:tcW w:w="2472" w:type="dxa"/>
                </w:tcPr>
                <w:p>
                  <w:pPr>
                    <w:pStyle w:val="IsiTabel"/>
                    <w:keepNext/>
                    <w:suppressAutoHyphens/>
                    <w:jc w:val="left"/>
                  </w:pPr>
                  <w:r>
                    <w:t xml:space="preserve">Lingkungan, luas genangan</w:t>
                  </w:r>
                </w:p>
              </w:tc>
              <w:tc>
                <w:tcPr>
                  <w:tcW w:w="1002"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759" w:type="dxa"/>
                </w:tcPr>
                <w:p>
                  <w:pPr>
                    <w:pStyle w:val="IsiTabel"/>
                    <w:keepNext/>
                    <w:suppressAutoHyphens/>
                    <w:jc w:val="left"/>
                  </w:pPr>
                  <w:r>
                    <w:t xml:space="preserve">luas genangan per kejadian tidak tersedia secara nasional</w:t>
                  </w:r>
                </w:p>
              </w:tc>
            </w:tr>
            <w:tr>
              <w:trPr>
                <w:cantSplit/>
              </w:trPr>
              <w:tc>
                <w:tcPr>
                  <w:tcW w:w="2472" w:type="dxa"/>
                </w:tcPr>
                <w:p>
                  <w:pPr>
                    <w:pStyle w:val="IsiTabel"/>
                    <w:keepNext/>
                    <w:suppressAutoHyphens/>
                    <w:jc w:val="left"/>
                  </w:pPr>
                  <w:r>
                    <w:t xml:space="preserve">Layanan sipil, fasilitas rusak</w:t>
                  </w:r>
                </w:p>
              </w:tc>
              <w:tc>
                <w:tcPr>
                  <w:tcW w:w="1002"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759" w:type="dxa"/>
                </w:tcPr>
                <w:p>
                  <w:pPr>
                    <w:pStyle w:val="IsiTabel"/>
                    <w:keepNext/>
                    <w:suppressAutoHyphens/>
                    <w:jc w:val="left"/>
                  </w:pPr>
                  <w:r>
                    <w:t xml:space="preserve">fasilitas rusak per musim tidak dimuat paket data</w:t>
                  </w:r>
                </w:p>
              </w:tc>
            </w:tr>
            <w:tr>
              <w:trPr>
                <w:cantSplit/>
              </w:trPr>
              <w:tc>
                <w:tcPr>
                  <w:tcW w:w="2472" w:type="dxa"/>
                </w:tcPr>
                <w:p>
                  <w:pPr>
                    <w:pStyle w:val="IsiTabel"/>
                    <w:keepNext/>
                    <w:suppressAutoHyphens/>
                    <w:jc w:val="left"/>
                  </w:pPr>
                  <w:bookmarkStart w:id="471" w:name="_Ekor058z"/>
                  <w:bookmarkEnd w:id="471"/>
                  <w:r>
                    <w:t xml:space="preserve">Kebutuhan respons, ZOM berawal musim November dan Desember</w:t>
                  </w:r>
                </w:p>
              </w:tc>
              <w:tc>
                <w:tcPr>
                  <w:tcW w:w="1002" w:type="dxa"/>
                </w:tcPr>
                <w:p>
                  <w:pPr>
                    <w:pStyle w:val="IsiTabel"/>
                    <w:keepNext/>
                    <w:suppressAutoHyphens/>
                    <w:jc w:val="right"/>
                  </w:pPr>
                  <w:r>
                    <w:t xml:space="preserve">185</w:t>
                  </w:r>
                </w:p>
              </w:tc>
              <w:tc>
                <w:tcPr>
                  <w:tcW w:w="854" w:type="dxa"/>
                </w:tcPr>
                <w:p>
                  <w:pPr>
                    <w:pStyle w:val="IsiTabel"/>
                    <w:keepNext/>
                    <w:suppressAutoHyphens/>
                    <w:jc w:val="right"/>
                  </w:pPr>
                  <w:r>
                    <w:t xml:space="preserve">266</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3759" w:type="dxa"/>
                </w:tcPr>
                <w:p>
                  <w:pPr>
                    <w:pStyle w:val="IsiTabel"/>
                    <w:keepNext/>
                    <w:suppressAutoHyphens/>
                    <w:jc w:val="left"/>
                  </w:pPr>
                  <w:r>
                    <w:t xml:space="preserve">BMKG; urutan kaji ulang rencana kontinjensi BPBD</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Peluang paling sedikit satu musim seburuk lantai dalam lima musim </w:t>
                  </w:r>
                  <w:r>
                    <w:t xml:space="preserve">23,7%</w:t>
                  </w:r>
                  <w:r>
                    <w:t xml:space="preserve">, sehingga Rencana Aksi Musim Hujan 2026/2027 memakai lantai </w:t>
                  </w:r>
                  <w:r>
                    <w:t xml:space="preserve">1.692 jiwa</w:t>
                  </w:r>
                  <w:r>
                    <w:t xml:space="preserve"> meninggal dan hilang, bukan ekspektasi </w:t>
                  </w:r>
                  <w:r>
                    <w:t xml:space="preserve">199</w:t>
                  </w:r>
                  <w:r>
                    <w:t xml:space="preserve"> sampai </w:t>
                  </w:r>
                  <w:r>
                    <w:t xml:space="preserve">373 jiwa</w:t>
                  </w:r>
                  <w:r>
                    <w:t xml:space="preserve">.</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026"/>
              <w:gridCol w:w="897"/>
              <w:gridCol w:w="1908"/>
              <w:gridCol w:w="1231"/>
              <w:gridCol w:w="1292"/>
            </w:tblGrid>
            <w:tr>
              <w:trPr>
                <w:cantSplit/>
                <w:tblHeader/>
              </w:trPr>
              <w:tc>
                <w:tcPr>
                  <w:tcW w:w="4026" w:type="dxa"/>
                  <w:shd w:val="clear" w:color="auto" w:fill="051C2C"/>
                  <w:vAlign w:val="center"/>
                </w:tcPr>
                <w:p>
                  <w:pPr>
                    <w:pStyle w:val="KepalaTabel"/>
                    <w:keepNext/>
                    <w:suppressAutoHyphens/>
                  </w:pPr>
                  <w:r>
                    <w:t xml:space="preserve">TUAS</w:t>
                  </w:r>
                </w:p>
              </w:tc>
              <w:tc>
                <w:tcPr>
                  <w:tcW w:w="897" w:type="dxa"/>
                  <w:shd w:val="clear" w:color="auto" w:fill="051C2C"/>
                  <w:vAlign w:val="center"/>
                </w:tcPr>
                <w:p>
                  <w:pPr>
                    <w:pStyle w:val="KepalaTabel"/>
                    <w:keepNext/>
                    <w:suppressAutoHyphens/>
                  </w:pPr>
                  <w:r>
                    <w:t xml:space="preserve">NILAI DASAR</w:t>
                  </w:r>
                </w:p>
              </w:tc>
              <w:tc>
                <w:tcPr>
                  <w:tcW w:w="1908" w:type="dxa"/>
                  <w:shd w:val="clear" w:color="auto" w:fill="051C2C"/>
                  <w:vAlign w:val="center"/>
                </w:tcPr>
                <w:p>
                  <w:pPr>
                    <w:pStyle w:val="KepalaTabel"/>
                    <w:keepNext/>
                    <w:suppressAutoHyphens/>
                  </w:pPr>
                  <w:r>
                    <w:t xml:space="preserve">NILAI DIGESER</w:t>
                  </w:r>
                </w:p>
              </w:tc>
              <w:tc>
                <w:tcPr>
                  <w:tcW w:w="1231" w:type="dxa"/>
                  <w:shd w:val="clear" w:color="auto" w:fill="051C2C"/>
                  <w:vAlign w:val="center"/>
                </w:tcPr>
                <w:p>
                  <w:pPr>
                    <w:pStyle w:val="KepalaTabel"/>
                    <w:keepNext/>
                    <w:suppressAutoHyphens/>
                  </w:pPr>
                  <w:r>
                    <w:t xml:space="preserve">KORBAN JIWA</w:t>
                  </w:r>
                </w:p>
              </w:tc>
              <w:tc>
                <w:tcPr>
                  <w:tcW w:w="1292" w:type="dxa"/>
                  <w:shd w:val="clear" w:color="auto" w:fill="051C2C"/>
                  <w:vAlign w:val="center"/>
                </w:tcPr>
                <w:p>
                  <w:pPr>
                    <w:pStyle w:val="KepalaTabel"/>
                    <w:keepNext/>
                    <w:suppressAutoHyphens/>
                  </w:pPr>
                  <w:r>
                    <w:t xml:space="preserve">KERUGIAN MATERIIL</w:t>
                  </w:r>
                </w:p>
              </w:tc>
            </w:tr>
            <w:tr>
              <w:trPr>
                <w:cantSplit/>
              </w:trPr>
              <w:tc>
                <w:tcPr>
                  <w:tcW w:w="4026" w:type="dxa"/>
                </w:tcPr>
                <w:p>
                  <w:pPr>
                    <w:pStyle w:val="IsiTabel"/>
                    <w:keepNext/>
                    <w:suppressAutoHyphens/>
                    <w:jc w:val="left"/>
                  </w:pPr>
                  <w:bookmarkStart w:id="472" w:name="_Ekor059a"/>
                  <w:bookmarkEnd w:id="472"/>
                  <w:r>
                    <w:t xml:space="preserve">Dasar skenario, musim El Niño kuat lawan seluruh musim acuan</w:t>
                  </w:r>
                </w:p>
              </w:tc>
              <w:tc>
                <w:tcPr>
                  <w:tcW w:w="897" w:type="dxa"/>
                </w:tcPr>
                <w:p>
                  <w:pPr>
                    <w:pStyle w:val="IsiTabel"/>
                    <w:keepNext/>
                    <w:suppressAutoHyphens/>
                    <w:jc w:val="right"/>
                  </w:pPr>
                  <w:r>
                    <w:t xml:space="preserve">3</w:t>
                  </w:r>
                  <w:r>
                    <w:t xml:space="preserve"> musim</w:t>
                  </w:r>
                </w:p>
              </w:tc>
              <w:tc>
                <w:tcPr>
                  <w:tcW w:w="1908" w:type="dxa"/>
                </w:tcPr>
                <w:p>
                  <w:pPr>
                    <w:pStyle w:val="IsiTabel"/>
                    <w:keepNext/>
                    <w:suppressAutoHyphens/>
                    <w:jc w:val="right"/>
                  </w:pPr>
                  <w:r>
                    <w:t xml:space="preserve">delapan belas musim</w:t>
                  </w:r>
                </w:p>
              </w:tc>
              <w:tc>
                <w:tcPr>
                  <w:tcW w:w="1231" w:type="dxa"/>
                </w:tcPr>
                <w:p>
                  <w:pPr>
                    <w:pStyle w:val="IsiTabel"/>
                    <w:keepNext/>
                    <w:suppressAutoHyphens/>
                    <w:jc w:val="right"/>
                  </w:pPr>
                  <w:r>
                    <w:t xml:space="preserve">373</w:t>
                  </w:r>
                  <w:r>
                    <w:t xml:space="preserve"> ke </w:t>
                  </w:r>
                  <w:r>
                    <w:t xml:space="preserve">1.692</w:t>
                  </w:r>
                </w:p>
              </w:tc>
              <w:tc>
                <w:tcPr>
                  <w:tcW w:w="1292" w:type="dxa"/>
                </w:tcPr>
                <w:p>
                  <w:pPr>
                    <w:pStyle w:val="IsiTabel"/>
                    <w:keepNext/>
                    <w:suppressAutoHyphens/>
                    <w:jc w:val="left"/>
                  </w:pPr>
                  <w:r>
                    <w:t xml:space="preserve">tidak dihitung</w:t>
                  </w:r>
                </w:p>
              </w:tc>
            </w:tr>
            <w:tr>
              <w:trPr>
                <w:cantSplit/>
              </w:trPr>
              <w:tc>
                <w:tcPr>
                  <w:tcW w:w="4026" w:type="dxa"/>
                </w:tcPr>
                <w:p>
                  <w:pPr>
                    <w:pStyle w:val="IsiTabel"/>
                    <w:keepNext/>
                    <w:suppressAutoHyphens/>
                    <w:jc w:val="left"/>
                  </w:pPr>
                  <w:bookmarkStart w:id="473" w:name="_Ekor059z"/>
                  <w:bookmarkEnd w:id="473"/>
                  <w:r>
                    <w:t xml:space="preserve">Cakupan peringatan dini Renas 1.c, longsor tidak dihitung</w:t>
                  </w:r>
                </w:p>
              </w:tc>
              <w:tc>
                <w:tcPr>
                  <w:tcW w:w="897" w:type="dxa"/>
                </w:tcPr>
                <w:p>
                  <w:pPr>
                    <w:pStyle w:val="IsiTabel"/>
                    <w:keepNext/>
                    <w:suppressAutoHyphens/>
                    <w:jc w:val="right"/>
                  </w:pPr>
                  <w:r>
                    <w:t xml:space="preserve">11,06%</w:t>
                  </w:r>
                </w:p>
              </w:tc>
              <w:tc>
                <w:tcPr>
                  <w:tcW w:w="1908" w:type="dxa"/>
                </w:tcPr>
                <w:p>
                  <w:pPr>
                    <w:pStyle w:val="IsiTabel"/>
                    <w:keepNext/>
                    <w:suppressAutoHyphens/>
                    <w:jc w:val="right"/>
                  </w:pPr>
                  <w:r>
                    <w:t xml:space="preserve">52%</w:t>
                  </w:r>
                </w:p>
              </w:tc>
              <w:tc>
                <w:tcPr>
                  <w:tcW w:w="1231" w:type="dxa"/>
                </w:tcPr>
                <w:p>
                  <w:pPr>
                    <w:pStyle w:val="IsiTabel"/>
                    <w:keepNext/>
                    <w:suppressAutoHyphens/>
                    <w:jc w:val="right"/>
                  </w:pPr>
                  <w:r>
                    <w:t xml:space="preserve">899,1</w:t>
                  </w:r>
                </w:p>
              </w:tc>
              <w:tc>
                <w:tcPr>
                  <w:tcW w:w="1292" w:type="dxa"/>
                </w:tcPr>
                <w:p>
                  <w:pPr>
                    <w:pStyle w:val="IsiTabel"/>
                    <w:keepNext/>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Kaji ulang rencana kontinjensi didahulukan untuk ZOM yang awal musimnya November, lalu Desember (</w:t>
                  </w:r>
                  <w:r>
                    <w:fldChar w:fldCharType="begin"/>
                  </w:r>
                  <w:r>
                    <w:instrText xml:space="preserve"> REF _Ref0074 \h \* CHARFORMAT </w:instrText>
                  </w:r>
                  <w:r>
                    <w:fldChar w:fldCharType="separate"/>
                  </w:r>
                  <w:r>
                    <w:t xml:space="preserve">06</w:t>
                  </w:r>
                  <w:r>
                    <w:fldChar w:fldCharType="end"/>
                  </w:r>
                  <w:r>
                    <w:t xml:space="preserve">).</w:t>
                  </w:r>
                </w:p>
                <w:p>
                  <w:pPr>
                    <w:pStyle w:val="DaftarTabel"/>
                    <w:keepNext/>
                    <w:numPr>
                      <w:ilvl w:val="0"/>
                      <w:numId w:val="1"/>
                    </w:numPr>
                    <w:suppressAutoHyphens/>
                  </w:pPr>
                  <w:r>
                    <w:t xml:space="preserve">Peta jalan menempatkan hari ke-100 pada Desember 2026 sampai Februari 2027, bertepatan dengan puncak musim di Jawa </w:t>
                  </w:r>
                  <w:r>
                    <w:t xml:space="preserve">(BMKG, 2026c)</w:t>
                  </w:r>
                  <w:r>
                    <w:t xml:space="preserve">.</w:t>
                  </w:r>
                </w:p>
                <w:p>
                  <w:pPr>
                    <w:pStyle w:val="DaftarTabel"/>
                    <w:keepNext/>
                    <w:numPr>
                      <w:ilvl w:val="0"/>
                      <w:numId w:val="1"/>
                    </w:numPr>
                    <w:suppressAutoHyphens/>
                  </w:pPr>
                  <w:r>
                    <w:t xml:space="preserve">Logistik disiapkan terhadap lantai, bukan terhadap ekspektasi musim El Niño (</w:t>
                  </w:r>
                  <w:r>
                    <w:fldChar w:fldCharType="begin"/>
                  </w:r>
                  <w:r>
                    <w:instrText xml:space="preserve"> REF _Ref0076 \h \* CHARFORMAT </w:instrText>
                  </w:r>
                  <w:r>
                    <w:fldChar w:fldCharType="separate"/>
                  </w:r>
                  <w:r>
                    <w:t xml:space="preserve">08</w:t>
                  </w:r>
                  <w:r>
                    <w:fldChar w:fldCharType="end"/>
                  </w:r>
                  <w:r>
                    <w:t xml:space="preserve">).</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Kejadian musim 2026/2027 dicatat per jenis, termasuk rumah rusak, untuk memperbarui lantai (</w:t>
                  </w:r>
                  <w:r>
                    <w:fldChar w:fldCharType="begin"/>
                  </w:r>
                  <w:r>
                    <w:instrText xml:space="preserve"> REF _Ref0105 \h \* CHARFORMAT </w:instrText>
                  </w:r>
                  <w:r>
                    <w:fldChar w:fldCharType="separate"/>
                  </w:r>
                  <w:r>
                    <w:t xml:space="preserve">30</w:t>
                  </w:r>
                  <w:r>
                    <w:fldChar w:fldCharType="end"/>
                  </w:r>
                  <w:r>
                    <w:t xml:space="preserve">).</w:t>
                  </w:r>
                </w:p>
                <w:p>
                  <w:pPr>
                    <w:pStyle w:val="DaftarTabel"/>
                    <w:keepNext/>
                    <w:numPr>
                      <w:ilvl w:val="0"/>
                      <w:numId w:val="1"/>
                    </w:numPr>
                    <w:suppressAutoHyphens/>
                  </w:pPr>
                  <w:r>
                    <w:t xml:space="preserve">Data kerusakan dan kerugian R3P ditarik supaya kerugian musim dapat dinyatakan (</w:t>
                  </w:r>
                  <w:r>
                    <w:fldChar w:fldCharType="begin"/>
                  </w:r>
                  <w:r>
                    <w:instrText xml:space="preserve"> REF _Ref0102 \h \* CHARFORMAT </w:instrText>
                  </w:r>
                  <w:r>
                    <w:fldChar w:fldCharType="separate"/>
                  </w:r>
                  <w:r>
                    <w:t xml:space="preserve">27</w:t>
                  </w:r>
                  <w:r>
                    <w:fldChar w:fldCharType="end"/>
                  </w:r>
                  <w:r>
                    <w:t xml:space="preserve">).</w:t>
                  </w:r>
                </w:p>
                <w:p>
                  <w:pPr>
                    <w:pStyle w:val="DaftarTabel"/>
                    <w:keepNext/>
                    <w:numPr>
                      <w:ilvl w:val="0"/>
                      <w:numId w:val="1"/>
                    </w:numPr>
                    <w:suppressAutoHyphens/>
                  </w:pPr>
                  <w:r>
                    <w:t xml:space="preserve">Data pengungsi puncak serentak per kejadian diminta dari BPBD selama tanggap darurat (</w:t>
                  </w:r>
                  <w:r>
                    <w:fldChar w:fldCharType="begin"/>
                  </w:r>
                  <w:r>
                    <w:instrText xml:space="preserve"> REF _Ref0076 \h \* CHARFORMAT </w:instrText>
                  </w:r>
                  <w:r>
                    <w:fldChar w:fldCharType="separate"/>
                  </w:r>
                  <w:r>
                    <w:t xml:space="preserve">08</w:t>
                  </w:r>
                  <w:r>
                    <w:fldChar w:fldCharType="end"/>
                  </w:r>
                  <w:r>
                    <w:t xml:space="preserve">).</w:t>
                  </w:r>
                </w:p>
              </w:tc>
            </w:tr>
          </w:tbl>
          <w:p>
            <w:pPr>
              <w:pStyle w:val="IsiTabel"/>
              <w:keepNext/>
              <w:spacing w:before="80"/>
            </w:pPr>
            <w:r>
              <w:rPr>
                <w:i/>
                <w:iCs/>
                <w:color w:val="2E3440"/>
                <w:sz w:val="17"/>
                <w:szCs w:val="17"/>
              </w:rPr>
              <w:t xml:space="preserve">Kemungkinan adalah peluang paling sedikit satu musim seburuk lantai dalam lima musim (posisi plot Weibull); persen BMKG adalah persen luas, bukan persen jumlah ZOM.</w:t>
            </w:r>
          </w:p>
          <w:p>
            <w:pPr>
              <w:pStyle w:val="IsiTabel"/>
              <w:keepNext/>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74" w:name="_Kartu014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BMKG </w:t>
      </w:r>
      <w:r>
        <w:rPr>
          <w:color w:val="6B7280"/>
          <w:sz w:val="17"/>
          <w:szCs w:val="17"/>
        </w:rPr>
        <w:t xml:space="preserve">(BMKG, 2026c)</w:t>
      </w:r>
      <w:r>
        <w:rPr>
          <w:color w:val="6B7280"/>
          <w:sz w:val="17"/>
          <w:szCs w:val="17"/>
        </w:rPr>
        <w:t xml:space="preserve">; NOAA CPC </w:t>
      </w:r>
      <w:r>
        <w:rPr>
          <w:color w:val="6B7280"/>
          <w:sz w:val="17"/>
          <w:szCs w:val="17"/>
        </w:rPr>
        <w:t xml:space="preserve">(NOAA Climate Prediction Center, 2026a)</w:t>
      </w:r>
      <w:r>
        <w:rPr>
          <w:color w:val="6B7280"/>
          <w:sz w:val="17"/>
          <w:szCs w:val="17"/>
        </w:rPr>
        <w:t xml:space="preserve">; data per </w:t>
      </w:r>
      <w:r>
        <w:rPr>
          <w:color w:val="6B7280"/>
          <w:sz w:val="17"/>
          <w:szCs w:val="17"/>
        </w:rPr>
        <w:t xml:space="preserve">23 Okt 2026</w:t>
      </w:r>
      <w:bookmarkEnd w:id="474"/>
    </w:p>
    <w:p>
      <w:pPr>
        <w:pStyle w:val="IsiTemuan"/>
      </w:pPr>
      <w:r>
        <w:rPr>
          <w:b/>
          <w:bCs/>
          <w:color w:val="051C2C"/>
        </w:rPr>
        <w:t xml:space="preserve">November menyumbang </w:t>
      </w:r>
      <w:r>
        <w:rPr>
          <w:b/>
          <w:bCs/>
          <w:color w:val="051C2C"/>
        </w:rPr>
        <w:t xml:space="preserve">21,6%</w:t>
      </w:r>
      <w:r>
        <w:rPr>
          <w:b/>
          <w:bCs/>
          <w:color w:val="051C2C"/>
        </w:rPr>
        <w:t xml:space="preserve"> meninggal dan hilang lima jenis musim hujan nasional 2008–2026, porsi bulanan terbesar, meskipun porsi itu dipengaruhi kuat oleh Sumatra 2025.</w:t>
      </w:r>
      <w:r>
        <w:t xml:space="preserve"> Kalender yang sama menunjukkan </w:t>
      </w:r>
      <w:r>
        <w:t xml:space="preserve">84%</w:t>
      </w:r>
      <w:r>
        <w:t xml:space="preserve"> kejadian kekeringan menumpuk pada Juni–September dan </w:t>
      </w:r>
      <w:r>
        <w:t xml:space="preserve">69%</w:t>
      </w:r>
      <w:r>
        <w:t xml:space="preserve"> kejadian karhutla pada Juli–Oktober </w:t>
      </w:r>
      <w:r>
        <w:t xml:space="preserve">(BNPB, t.t.-a)</w:t>
      </w:r>
      <w:r>
        <w:t xml:space="preserve">. Porsi November tanpa 2025 tidak dapat dihitung dari berkas kalender. Kalender bulanan tampil pada </w:t>
      </w:r>
      <w:r>
        <w:fldChar w:fldCharType="begin"/>
      </w:r>
      <w:r>
        <w:instrText xml:space="preserve"> REF _Ref0038 \h \* CHARFORMAT </w:instrText>
      </w:r>
      <w:r>
        <w:fldChar w:fldCharType="separate"/>
      </w:r>
      <w:r>
        <w:t xml:space="preserve">Gambar 7.7</w:t>
      </w:r>
      <w:r>
        <w:fldChar w:fldCharType="end"/>
      </w:r>
      <w:r>
        <w:t xml:space="preserve">.</w:t>
      </w:r>
    </w:p>
    <w:p>
      <w:pPr>
        <w:pStyle w:val="Caption"/>
      </w:pPr>
      <w:bookmarkStart w:id="476" w:name="_Toc00150"/>
      <w:bookmarkStart w:id="475" w:name="_Ref003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475"/>
      <w:r>
        <w:rPr>
          <w:b/>
          <w:bCs/>
          <w:color w:val="051C2C"/>
        </w:rPr>
        <w:t xml:space="preserve"> </w:t>
      </w:r>
      <w:r>
        <w:t xml:space="preserve">Porsi bulanan meninggal dan hilang lima jenis musim hujan serta kejadian kekeringan dan karhutla di Indonesia, 2008–2026 (persen)</w:t>
      </w:r>
      <w:bookmarkEnd w:id="476"/>
    </w:p>
    <w:p xmlns:a="http://schemas.openxmlformats.org/drawingml/2006/main" xmlns:pic="http://schemas.openxmlformats.org/drawingml/2006/picture">
      <w:pPr>
        <w:keepNext/>
        <w:spacing w:after="0" w:line="240" w:lineRule="auto"/>
        <w:jc w:val="center"/>
      </w:pPr>
      <w:bookmarkStart w:id="477" w:name="_Obj0048"/>
      <w:r>
        <w:drawing>
          <wp:inline distT="0" distB="0" distL="0" distR="0">
            <wp:extent cx="5940000" cy="1361631"/>
            <wp:effectExtent l="0" t="0" r="0" b="0"/>
            <wp:docPr id="141" name="Gambar 141"/>
            <wp:cNvGraphicFramePr>
              <a:graphicFrameLocks noChangeAspect="1"/>
            </wp:cNvGraphicFramePr>
            <a:graphic>
              <a:graphicData uri="http://schemas.openxmlformats.org/drawingml/2006/picture">
                <pic:pic>
                  <pic:nvPicPr>
                    <pic:cNvPr id="141" name="bab07-g16-kalender.png"/>
                    <pic:cNvPicPr/>
                  </pic:nvPicPr>
                  <pic:blipFill>
                    <a:blip r:embed="rId74"/>
                    <a:stretch>
                      <a:fillRect/>
                    </a:stretch>
                  </pic:blipFill>
                  <pic:spPr>
                    <a:xfrm>
                      <a:off x="0" y="0"/>
                      <a:ext cx="5940000" cy="1361631"/>
                    </a:xfrm>
                    <a:prstGeom prst="rect">
                      <a:avLst/>
                    </a:prstGeom>
                  </pic:spPr>
                </pic:pic>
              </a:graphicData>
            </a:graphic>
          </wp:inline>
        </w:drawing>
      </w:r>
      <w:bookmarkEnd w:id="477"/>
    </w:p>
    <w:p>
      <w:pPr>
        <w:pStyle w:val="Sumber"/>
        <w:spacing w:after="40"/>
      </w:pPr>
      <w:r>
        <w:rPr>
          <w:b/>
          <w:bCs/>
          <w:color w:val="6B7280"/>
          <w:sz w:val="17"/>
          <w:szCs w:val="17"/>
        </w:rPr>
        <w:t xml:space="preserve">Sumber: </w:t>
      </w:r>
      <w:r>
        <w:rPr>
          <w:color w:val="6B7280"/>
          <w:sz w:val="17"/>
          <w:szCs w:val="17"/>
        </w:rPr>
        <w:t xml:space="preserve">BNPB, DIBI dasbor publik;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Tabel peta panas. Porsi November dipengaruhi banjir dan longsor Sumatra 2025; angka 2026 sementara.</w:t>
      </w:r>
    </w:p>
    <w:p>
      <w:pPr>
        <w:pStyle w:val="Heading2"/>
      </w:pPr>
      <w:bookmarkStart w:id="479" w:name="_Toc00151"/>
      <w:bookmarkStart w:id="478" w:name="_Ref0142"/>
      <w:r>
        <w:t xml:space="preserve">7.8</w:t>
      </w:r>
      <w:bookmarkEnd w:id="478"/>
      <w:r>
        <w:tab/>
      </w:r>
      <w:r>
        <w:t xml:space="preserve">Kartu Agregat Musim Kemarau</w:t>
      </w:r>
      <w:bookmarkEnd w:id="479"/>
    </w:p>
    <w:p>
      <w:pPr>
        <w:pStyle w:val="IsiTemuan"/>
      </w:pPr>
      <w:r>
        <w:rPr>
          <w:b/>
          <w:bCs/>
          <w:color w:val="051C2C"/>
        </w:rPr>
        <w:t xml:space="preserve">Kemarau 2026 mencatat </w:t>
      </w:r>
      <w:r>
        <w:rPr>
          <w:b/>
          <w:bCs/>
          <w:color w:val="051C2C"/>
        </w:rPr>
        <w:t xml:space="preserve">122</w:t>
      </w:r>
      <w:r>
        <w:rPr>
          <w:b/>
          <w:bCs/>
          <w:color w:val="051C2C"/>
        </w:rPr>
        <w:t xml:space="preserve"> kejadian kekeringan dengan </w:t>
      </w:r>
      <w:r>
        <w:rPr>
          <w:b/>
          <w:bCs/>
          <w:color w:val="051C2C"/>
        </w:rPr>
        <w:t xml:space="preserve">1.949.544</w:t>
      </w:r>
      <w:r>
        <w:rPr>
          <w:b/>
          <w:bCs/>
          <w:color w:val="051C2C"/>
        </w:rPr>
        <w:t xml:space="preserve"> jiwa terdampak dan </w:t>
      </w:r>
      <w:r>
        <w:rPr>
          <w:b/>
          <w:bCs/>
          <w:color w:val="051C2C"/>
        </w:rPr>
        <w:t xml:space="preserve">1.024</w:t>
      </w:r>
      <w:r>
        <w:rPr>
          <w:b/>
          <w:bCs/>
          <w:color w:val="051C2C"/>
        </w:rPr>
        <w:t xml:space="preserve"> kejadian karhutla sampai 23 Oktober 2026.</w:t>
      </w:r>
      <w:r>
        <w:t xml:space="preserve"> Karhutla tahun itu mencatat </w:t>
      </w:r>
      <w:r>
        <w:t xml:space="preserve">8</w:t>
      </w:r>
      <w:r>
        <w:t xml:space="preserve"> meninggal dan </w:t>
      </w:r>
      <w:r>
        <w:t xml:space="preserve">6</w:t>
      </w:r>
      <w:r>
        <w:t xml:space="preserve"> hilang; semua angka masih sementara </w:t>
      </w:r>
      <w:r>
        <w:t xml:space="preserve">(BNPB, t.t.-a)</w:t>
      </w:r>
      <w:r>
        <w:t xml:space="preserve">. SiPongi mencatat </w:t>
      </w:r>
      <w:r>
        <w:t xml:space="preserve">202.010,96 ha</w:t>
      </w:r>
      <w:r>
        <w:t xml:space="preserve"> terbakar sampai Juli 2026, sebelum puncak kebakaran Agustus–Oktober, sehingga luas itu tidak dibandingkan dengan tahun penuh </w:t>
      </w:r>
      <w:r>
        <w:t xml:space="preserve">(SiPongi, 2026)</w:t>
      </w:r>
      <w:r>
        <w:t xml:space="preserve">. Pada 20 Oktober 2026 BMKG melakukan penyemaian es kering untuk mengurai asap karhutla di Sumatra dan Kalimantan dengan dukungan koordinasi BNPB </w:t>
      </w:r>
      <w:r>
        <w:t xml:space="preserve">(BMKG, 2026d)</w:t>
      </w:r>
      <w:r>
        <w:t xml:space="preserve">.</w:t>
      </w:r>
    </w:p>
    <w:p>
      <w:pPr>
        <w:pStyle w:val="IsiTemuan"/>
      </w:pPr>
      <w:r>
        <w:rPr>
          <w:b/>
          <w:bCs/>
          <w:color w:val="051C2C"/>
        </w:rPr>
        <w:t xml:space="preserve">BMKG menetapkan peringatan dini kekeringan meteorologis kategori Awas di sebagian kab/kota pada </w:t>
      </w:r>
      <w:r>
        <w:rPr>
          <w:b/>
          <w:bCs/>
          <w:color w:val="051C2C"/>
        </w:rPr>
        <w:t xml:space="preserve">22</w:t>
      </w:r>
      <w:r>
        <w:rPr>
          <w:b/>
          <w:bCs/>
          <w:color w:val="051C2C"/>
        </w:rPr>
        <w:t xml:space="preserve"> provinsi untuk dasarian II Oktober 2026.</w:t>
      </w:r>
      <w:r>
        <w:t xml:space="preserve"> Provinsi itu meliputi Sumatera Selatan, Bangka Belitung, Lampung, seluruh provinsi di Jawa, Bali, Nusa Tenggara Barat, Nusa Tenggara Timur, Kalimantan Tengah, Kalimantan Selatan, Sulawesi Utara, Gorontalo, Sulawesi Tengah, Sulawesi Selatan, Sulawesi Tenggara, Maluku, Maluku Utara, dan Papua Selatan </w:t>
      </w:r>
      <w:r>
        <w:t xml:space="preserve">(BMKG, 2026a)</w:t>
      </w:r>
      <w:r>
        <w:t xml:space="preserve">.</w:t>
      </w:r>
    </w:p>
    <w:p>
      <w:pPr>
        <w:pStyle w:val="IsiTemuan"/>
      </w:pPr>
      <w:r>
        <w:rPr>
          <w:b/>
          <w:bCs/>
          <w:color w:val="051C2C"/>
        </w:rPr>
        <w:t xml:space="preserve">Delapan episode El Niño kuat sejak 1950 tidak satu pun bertahan sampai Juli–September tahun berikutnya; ONI Juli–September sesudahnya paling tinggi </w:t>
      </w:r>
      <w:r>
        <w:rPr>
          <w:b/>
          <w:bCs/>
          <w:color w:val="051C2C"/>
        </w:rPr>
        <w:t xml:space="preserve">0,32</w:t>
      </w:r>
      <w:r>
        <w:rPr>
          <w:b/>
          <w:bCs/>
          <w:color w:val="051C2C"/>
        </w:rPr>
        <w:t xml:space="preserve">.</w:t>
      </w:r>
      <w:r>
        <w:t xml:space="preserve"> Prakiraan fase ENSO resmi dari BMKG atau CPC untuk Juni–September 2027 tidak ada di sumber yang dibuka, dan prakiraan musim kemarau BMKG lazimnya terbit awal tahun </w:t>
      </w:r>
      <w:r>
        <w:t xml:space="preserve">(NOAA Climate Prediction Center, 2026b, 2026a)</w:t>
      </w:r>
      <w:r>
        <w:t xml:space="preserve">. Menurut catatan itu kemarau 2027 lebih mungkin netral atau La Niña, tetapi catatan sejarah bukan prakiraan. El Niño dua tahun pernah tercatat pada 1986–1987 di luar kelompok El Niño kuat, dan 2015 adalah tahun kedua episode 2014–2016. Kemungkinan kemarau tahun kedua karena itu ditulis "tidak dinilai" dan menjadi baris kepekaan di kartu kekeringan dan karhutla.</w:t>
      </w:r>
    </w:p>
    <w:p>
      <w:pPr>
        <w:pStyle w:val="IsiTemuan"/>
      </w:pPr>
      <w:r>
        <w:rPr>
          <w:b/>
          <w:bCs/>
          <w:color w:val="051C2C"/>
        </w:rPr>
        <w:t xml:space="preserve">Pada tahun sesudah El Niño kuat, luas karhutla SiPongi turun menjadi </w:t>
      </w:r>
      <w:r>
        <w:rPr>
          <w:b/>
          <w:bCs/>
          <w:color w:val="051C2C"/>
        </w:rPr>
        <w:t xml:space="preserve">438.363,19 ha</w:t>
      </w:r>
      <w:r>
        <w:rPr>
          <w:b/>
          <w:bCs/>
          <w:color w:val="051C2C"/>
        </w:rPr>
        <w:t xml:space="preserve"> pada 2016 dan </w:t>
      </w:r>
      <w:r>
        <w:rPr>
          <w:b/>
          <w:bCs/>
          <w:color w:val="051C2C"/>
        </w:rPr>
        <w:t xml:space="preserve">376.805,05 ha</w:t>
      </w:r>
      <w:r>
        <w:rPr>
          <w:b/>
          <w:bCs/>
          <w:color w:val="051C2C"/>
        </w:rPr>
        <w:t xml:space="preserve"> pada 2024.</w:t>
      </w:r>
      <w:r>
        <w:t xml:space="preserve"> Tahun El Niño sebelumnya mencatat </w:t>
      </w:r>
      <w:r>
        <w:t xml:space="preserve">2.611.411,44 ha</w:t>
      </w:r>
      <w:r>
        <w:t xml:space="preserve"> pada 2015 dan </w:t>
      </w:r>
      <w:r>
        <w:t xml:space="preserve">1.161.192,9 ha</w:t>
      </w:r>
      <w:r>
        <w:t xml:space="preserve"> pada 2023 </w:t>
      </w:r>
      <w:r>
        <w:t xml:space="preserve">(SiPongi, 2026)</w:t>
      </w:r>
      <w:r>
        <w:t xml:space="preserve">. Pola tercatat itu tidak memberi peluang, sehingga lantai kemarau diambil dari tercatat terburuk 2008–2025 pada kartu angka berikut. Pemicu Kesiapan Musim Kemarau 2027 memakai lantai yang sama (</w:t>
      </w:r>
      <w:r>
        <w:fldChar w:fldCharType="begin"/>
      </w:r>
      <w:r>
        <w:instrText xml:space="preserve"> REF _Ref0080 \h \* CHARFORMAT </w:instrText>
      </w:r>
      <w:r>
        <w:fldChar w:fldCharType="separate"/>
      </w:r>
      <w:r>
        <w:t xml:space="preserve">32</w:t>
      </w:r>
      <w:r>
        <w:fldChar w:fldCharType="end"/>
      </w:r>
      <w:r>
        <w:t xml:space="preserve">).</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480" w:name="_Obj0049"/>
            <w:r>
              <w:rPr>
                <w:b/>
                <w:bCs/>
                <w:color w:val="FFFFFF"/>
                <w:sz w:val="16"/>
                <w:szCs w:val="16"/>
                <w:shd w:val="clear" w:color="auto" w:fill="051C2C"/>
              </w:rPr>
              <w:t xml:space="preserve">  LANTAI KEMARAU  </w:t>
            </w:r>
            <w:bookmarkEnd w:id="480"/>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42" name="Gambar 142"/>
                        <wp:cNvGraphicFramePr>
                          <a:graphicFrameLocks noChangeAspect="1"/>
                        </wp:cNvGraphicFramePr>
                        <a:graphic>
                          <a:graphicData uri="http://schemas.openxmlformats.org/drawingml/2006/picture">
                            <pic:pic>
                              <pic:nvPicPr>
                                <pic:cNvPr id="142" name="kekeringan-lucide-sun-051C2C-E6EAF0.png"/>
                                <pic:cNvPicPr/>
                              </pic:nvPicPr>
                              <pic:blipFill>
                                <a:blip r:embed="rId7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7.798.763</w:t>
                  </w:r>
                  <w:r>
                    <w:t xml:space="preserve"> </w:t>
                  </w:r>
                  <w:r>
                    <w:rPr>
                      <w:color w:val="2E3440"/>
                      <w:sz w:val="17"/>
                      <w:szCs w:val="17"/>
                    </w:rPr>
                    <w:t xml:space="preserve">jiwa terdampak</w:t>
                  </w:r>
                </w:p>
                <w:p>
                  <w:pPr>
                    <w:pStyle w:val="IsiKotak"/>
                    <w:suppressAutoHyphens/>
                    <w:spacing w:after="0" w:line="240" w:lineRule="auto"/>
                  </w:pPr>
                  <w:r>
                    <w:rPr>
                      <w:color w:val="6B7280"/>
                      <w:sz w:val="17"/>
                      <w:szCs w:val="17"/>
                    </w:rPr>
                    <w:t xml:space="preserve">kekeringan 2018</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43" name="Gambar 143"/>
                        <wp:cNvGraphicFramePr>
                          <a:graphicFrameLocks noChangeAspect="1"/>
                        </wp:cNvGraphicFramePr>
                        <a:graphic>
                          <a:graphicData uri="http://schemas.openxmlformats.org/drawingml/2006/picture">
                            <pic:pic>
                              <pic:nvPicPr>
                                <pic:cNvPr id="143" name="jiwa-deck-orang-051C2C-E6EAF0.png"/>
                                <pic:cNvPicPr/>
                              </pic:nvPicPr>
                              <pic:blipFill>
                                <a:blip r:embed="rId17"/>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6</w:t>
                  </w:r>
                  <w:r>
                    <w:t xml:space="preserve"> </w:t>
                  </w:r>
                  <w:r>
                    <w:rPr>
                      <w:color w:val="2E3440"/>
                      <w:sz w:val="17"/>
                      <w:szCs w:val="17"/>
                    </w:rPr>
                    <w:t xml:space="preserve">jiwa meninggal</w:t>
                  </w:r>
                </w:p>
                <w:p>
                  <w:pPr>
                    <w:pStyle w:val="IsiKotak"/>
                    <w:suppressAutoHyphens/>
                    <w:spacing w:after="0" w:line="240" w:lineRule="auto"/>
                  </w:pPr>
                  <w:r>
                    <w:rPr>
                      <w:color w:val="6B7280"/>
                      <w:sz w:val="17"/>
                      <w:szCs w:val="17"/>
                    </w:rPr>
                    <w:t xml:space="preserve">kekeringan 2023</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44" name="Gambar 144"/>
                        <wp:cNvGraphicFramePr>
                          <a:graphicFrameLocks noChangeAspect="1"/>
                        </wp:cNvGraphicFramePr>
                        <a:graphic>
                          <a:graphicData uri="http://schemas.openxmlformats.org/drawingml/2006/picture">
                            <pic:pic>
                              <pic:nvPicPr>
                                <pic:cNvPr id="144" name="karhutla-deck-api-051C2C-E6EAF0.png"/>
                                <pic:cNvPicPr/>
                              </pic:nvPicPr>
                              <pic:blipFill>
                                <a:blip r:embed="rId7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2.611.411</w:t>
                  </w:r>
                  <w:r>
                    <w:t xml:space="preserve"> </w:t>
                  </w:r>
                  <w:r>
                    <w:rPr>
                      <w:color w:val="2E3440"/>
                      <w:sz w:val="17"/>
                      <w:szCs w:val="17"/>
                    </w:rPr>
                    <w:t xml:space="preserve">ha terbakar</w:t>
                  </w:r>
                </w:p>
                <w:p>
                  <w:pPr>
                    <w:pStyle w:val="IsiKotak"/>
                    <w:suppressAutoHyphens/>
                    <w:spacing w:after="0" w:line="240" w:lineRule="auto"/>
                  </w:pPr>
                  <w:r>
                    <w:rPr>
                      <w:color w:val="6B7280"/>
                      <w:sz w:val="17"/>
                      <w:szCs w:val="17"/>
                    </w:rPr>
                    <w:t xml:space="preserve">karhutla 2015</w:t>
                  </w:r>
                </w:p>
              </w:tc>
            </w:tr>
          </w:tbl>
          <w:p>
            <w:pPr>
              <w:pStyle w:val="Sumber"/>
            </w:pPr>
            <w:r>
              <w:rPr>
                <w:b/>
                <w:bCs/>
                <w:color w:val="2E3440"/>
                <w:sz w:val="17"/>
                <w:szCs w:val="17"/>
              </w:rPr>
              <w:t xml:space="preserve">Sumber: </w:t>
            </w:r>
            <w:r>
              <w:rPr>
                <w:color w:val="2E3440"/>
                <w:sz w:val="17"/>
                <w:szCs w:val="17"/>
              </w:rPr>
              <w:t xml:space="preserve">BNPB, DIBI dasbor publik; Kementerian Kehutanan, SiPongi</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Heading2"/>
      </w:pPr>
      <w:bookmarkStart w:id="482" w:name="_Toc00152"/>
      <w:bookmarkStart w:id="481" w:name="_Ref0146"/>
      <w:r>
        <w:t xml:space="preserve">7.9</w:t>
      </w:r>
      <w:bookmarkEnd w:id="481"/>
      <w:r>
        <w:tab/>
      </w:r>
      <w:r>
        <w:t xml:space="preserve">Kepekaan Peringatan Dini</w:t>
      </w:r>
      <w:bookmarkEnd w:id="482"/>
    </w:p>
    <w:p>
      <w:pPr>
        <w:pStyle w:val="IsiTemuan"/>
      </w:pPr>
      <w:r>
        <w:rPr>
          <w:b/>
          <w:bCs/>
          <w:color w:val="051C2C"/>
        </w:rPr>
        <w:t xml:space="preserve">Renas PB 2025–2029 indikator 1.c memproyeksikan </w:t>
      </w:r>
      <w:r>
        <w:rPr>
          <w:b/>
          <w:bCs/>
          <w:color w:val="051C2C"/>
        </w:rPr>
        <w:t xml:space="preserve">11,06%</w:t>
      </w:r>
      <w:r>
        <w:rPr>
          <w:b/>
          <w:bCs/>
          <w:color w:val="051C2C"/>
        </w:rPr>
        <w:t xml:space="preserve"> penduduk daerah berisiko tercakup peringatan dini pada 2025 dan menargetkan </w:t>
      </w:r>
      <w:r>
        <w:rPr>
          <w:b/>
          <w:bCs/>
          <w:color w:val="051C2C"/>
        </w:rPr>
        <w:t xml:space="preserve">52%</w:t>
      </w:r>
      <w:r>
        <w:rPr>
          <w:b/>
          <w:bCs/>
          <w:color w:val="051C2C"/>
        </w:rPr>
        <w:t xml:space="preserve"> pada 2029.</w:t>
      </w:r>
      <w:r>
        <w:t xml:space="preserve"> Kolom 2025 bernama proyeksi, bukan capaian terukur </w:t>
      </w:r>
      <w:r>
        <w:t xml:space="preserve">(BNPB, 2025c, hlm. 32)</w:t>
      </w:r>
      <w:r>
        <w:t xml:space="preserve">. Renstra BNPB menetapkan IKP cakupan layanan peringatan dini dari </w:t>
      </w:r>
      <w:r>
        <w:t xml:space="preserve">6,10%</w:t>
      </w:r>
      <w:r>
        <w:t xml:space="preserve"> pada 2025 menjadi </w:t>
      </w:r>
      <w:r>
        <w:t xml:space="preserve">6,32%</w:t>
      </w:r>
      <w:r>
        <w:t xml:space="preserve"> pada 2029 </w:t>
      </w:r>
      <w:r>
        <w:t xml:space="preserve">(BNPB, 2025e, hlm. 133, 161)</w:t>
      </w:r>
      <w:r>
        <w:t xml:space="preserve">. Rencana Pembangunan Jangka Menengah Nasional (RPJMN) 2025–2029 memuat baseline </w:t>
      </w:r>
      <w:r>
        <w:t xml:space="preserve">6,00%</w:t>
      </w:r>
      <w:r>
        <w:t xml:space="preserve"> untuk indikator yang sama </w:t>
      </w:r>
      <w:r>
        <w:t xml:space="preserve">(Republik Indonesia, 2025b, hlm. 913)</w:t>
      </w:r>
      <w:r>
        <w:t xml:space="preserve">.</w:t>
      </w:r>
    </w:p>
    <w:p>
      <w:pPr>
        <w:pStyle w:val="IsiTemuan"/>
      </w:pPr>
      <w:r>
        <w:rPr>
          <w:b/>
          <w:bCs/>
          <w:color w:val="051C2C"/>
        </w:rPr>
        <w:t xml:space="preserve">Selisih kedua lintasan adalah selisih definisi: IKP Renstra naik </w:t>
      </w:r>
      <w:r>
        <w:rPr>
          <w:b/>
          <w:bCs/>
          <w:color w:val="051C2C"/>
        </w:rPr>
        <w:t xml:space="preserve">0,22</w:t>
      </w:r>
      <w:r>
        <w:rPr>
          <w:b/>
          <w:bCs/>
          <w:color w:val="051C2C"/>
        </w:rPr>
        <w:t xml:space="preserve"> poin persen dalam lima tahun, sedangkan Renas 1.c berpenyebut penduduk daerah berisiko.</w:t>
      </w:r>
      <w:r>
        <w:t xml:space="preserve"> Renstra juga mengutip isu RPJMN bahwa keterpenuhan sistem peringatan dini baru </w:t>
      </w:r>
      <w:r>
        <w:t xml:space="preserve">6%</w:t>
      </w:r>
      <w:r>
        <w:t xml:space="preserve"> dari masyarakat terpapar di kawasan berisiko tinggi, penyebut ketiga yang berbeda lagi </w:t>
      </w:r>
      <w:r>
        <w:t xml:space="preserve">(BNPB, 2025e, hlm. 70)</w:t>
      </w:r>
      <w:r>
        <w:t xml:space="preserve">. Perban BNPB 2/2024 menetapkan platform peringatan dini multiancaman di bawah Deputi Bidang Pencegahan (Pasal 3) dan analisis dampak berupa potensi jiwa dan aset terpapar (Pasal 11), tetapi tidak mendefinisikan cara menghitung cakupan </w:t>
      </w:r>
      <w:r>
        <w:t xml:space="preserve">(BNPB, 2024c)</w:t>
      </w:r>
      <w:r>
        <w:t xml:space="preserve">. Garis dasar cakupan per provinsi dan kab/kota karena itu belum ada (</w:t>
      </w:r>
      <w:r>
        <w:fldChar w:fldCharType="begin"/>
      </w:r>
      <w:r>
        <w:instrText xml:space="preserve"> REF _Ref0082 \h \* CHARFORMAT </w:instrText>
      </w:r>
      <w:r>
        <w:fldChar w:fldCharType="separate"/>
      </w:r>
      <w:r>
        <w:t xml:space="preserve">16</w:t>
      </w:r>
      <w:r>
        <w:fldChar w:fldCharType="end"/>
      </w:r>
      <w:r>
        <w:t xml:space="preserve">), dan penyelarasan target menjadi keputusan KD-2 Kepala BNPB (</w:t>
      </w:r>
      <w:r>
        <w:fldChar w:fldCharType="begin"/>
      </w:r>
      <w:r>
        <w:instrText xml:space="preserve"> REF _Ref0081 \h \* CHARFORMAT </w:instrText>
      </w:r>
      <w:r>
        <w:fldChar w:fldCharType="separate"/>
      </w:r>
      <w:r>
        <w:t xml:space="preserve">33</w:t>
      </w:r>
      <w:r>
        <w:fldChar w:fldCharType="end"/>
      </w:r>
      <w:r>
        <w:t xml:space="preserve">).</w:t>
      </w:r>
    </w:p>
    <w:p>
      <w:pPr>
        <w:pStyle w:val="IsiTemuan"/>
      </w:pPr>
      <w:r>
        <w:rPr>
          <w:b/>
          <w:bCs/>
          <w:color w:val="051C2C"/>
        </w:rPr>
        <w:t xml:space="preserve">Kepekaan peringatan dini memakai koefisien asosiasi lintas negara: laporan </w:t>
      </w:r>
      <w:r>
        <w:rPr>
          <w:b/>
          <w:bCs/>
          <w:i/>
          <w:iCs/>
          <w:color w:val="051C2C"/>
        </w:rPr>
        <w:t xml:space="preserve">United Nations Office for Disaster Risk Reduction</w:t>
      </w:r>
      <w:r>
        <w:rPr>
          <w:b/>
          <w:bCs/>
          <w:color w:val="051C2C"/>
        </w:rPr>
        <w:t xml:space="preserve"> (UNDRR) dan Organisasi Meteorologi Dunia (</w:t>
      </w:r>
      <w:r>
        <w:rPr>
          <w:b/>
          <w:bCs/>
          <w:i/>
          <w:iCs/>
          <w:color w:val="051C2C"/>
        </w:rPr>
        <w:t xml:space="preserve">World Meteorological Organization</w:t>
      </w:r>
      <w:r>
        <w:rPr>
          <w:b/>
          <w:bCs/>
          <w:color w:val="051C2C"/>
        </w:rPr>
        <w:t xml:space="preserve">, WMO) mencatat mortalitas bencana di negara bercakupan peringatan dini terbatas </w:t>
      </w:r>
      <w:r>
        <w:rPr>
          <w:b/>
          <w:bCs/>
          <w:color w:val="051C2C"/>
        </w:rPr>
        <w:t xml:space="preserve">8 kali</w:t>
      </w:r>
      <w:r>
        <w:rPr>
          <w:b/>
          <w:bCs/>
          <w:color w:val="051C2C"/>
        </w:rPr>
        <w:t xml:space="preserve"> negara bercakupan substansial atau lebih.</w:t>
      </w:r>
      <w:r>
        <w:t xml:space="preserve"> Dalam rumus kepekaan, penduduk tercakup diberi mortalitas seperdelapan penduduk tak tercakup </w:t>
      </w:r>
      <w:r>
        <w:t xml:space="preserve">(World Meteorological Organization [WMO], 2022)</w:t>
      </w:r>
      <w:r>
        <w:t xml:space="preserve">. Koefisien itu asosiasi, bukan efek kausal. Uji kausal untuk korban banjir di Indonesia tidak ada. Dengan koefisien yang sama, lintasan Renas 1.c menurunkan korban lantai </w:t>
      </w:r>
      <w:r>
        <w:t xml:space="preserve">39,7%</w:t>
      </w:r>
      <w:r>
        <w:t xml:space="preserve"> dan lintasan IKP Renstra </w:t>
      </w:r>
      <w:r>
        <w:t xml:space="preserve">0,2%</w:t>
      </w:r>
      <w:r>
        <w:t xml:space="preserve">. Hasil per jenis adalah batas atas ilustratif berlabel asumsi kebijakan dan tampil pada baris kepekaan tiap kartu serta </w:t>
      </w:r>
      <w:r>
        <w:fldChar w:fldCharType="begin"/>
      </w:r>
      <w:r>
        <w:instrText xml:space="preserve"> REF _Ref0040 \h \* CHARFORMAT </w:instrText>
      </w:r>
      <w:r>
        <w:fldChar w:fldCharType="separate"/>
      </w:r>
      <w:r>
        <w:t xml:space="preserve">Gambar 7.8</w:t>
      </w:r>
      <w:r>
        <w:fldChar w:fldCharType="end"/>
      </w:r>
      <w:r>
        <w:t xml:space="preserve">.</w:t>
      </w:r>
    </w:p>
    <w:p>
      <w:pPr>
        <w:pStyle w:val="IsiTemuan"/>
      </w:pPr>
      <w:r>
        <w:rPr>
          <w:b/>
          <w:bCs/>
          <w:color w:val="051C2C"/>
        </w:rPr>
        <w:t xml:space="preserve">Banjir menyumbang </w:t>
      </w:r>
      <w:r>
        <w:rPr>
          <w:b/>
          <w:bCs/>
          <w:color w:val="051C2C"/>
        </w:rPr>
        <w:t xml:space="preserve">1.421</w:t>
      </w:r>
      <w:r>
        <w:rPr>
          <w:b/>
          <w:bCs/>
          <w:color w:val="051C2C"/>
        </w:rPr>
        <w:t xml:space="preserve"> dari </w:t>
      </w:r>
      <w:r>
        <w:rPr>
          <w:b/>
          <w:bCs/>
          <w:color w:val="051C2C"/>
        </w:rPr>
        <w:t xml:space="preserve">1.490</w:t>
      </w:r>
      <w:r>
        <w:rPr>
          <w:b/>
          <w:bCs/>
          <w:color w:val="051C2C"/>
        </w:rPr>
        <w:t xml:space="preserve"> korban lantai 2025/2026 di luar tanah longsor, sehingga hampir seluruh selisih antarlintasan berasal dari banjir.</w:t>
      </w:r>
      <w:r>
        <w:t xml:space="preserve"> Faktor diterapkan pada semua jenis kecuali tanah longsor, termasuk gelombang ekstrem pada lantai 2011. Paket data juga menghitung total termasuk longsor; total itu tidak dipakai karena koefisien yang sama melebih-lebihkan manfaat untuk longsor yang waktu tunggunya pendek. Peringatan dini tidak mengurangi rumah rusak dan pengungsi, sehingga faktor hanya diterapkan pada korban jiwa.</w:t>
      </w:r>
    </w:p>
    <w:p>
      <w:pPr>
        <w:pStyle w:val="Caption"/>
      </w:pPr>
      <w:bookmarkStart w:id="484" w:name="_Toc00153"/>
      <w:bookmarkStart w:id="483" w:name="_Ref004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8</w:t>
      </w:r>
      <w:r>
        <w:rPr>
          <w:b/>
          <w:bCs/>
          <w:color w:val="051C2C"/>
        </w:rPr>
        <w:fldChar w:fldCharType="end"/>
      </w:r>
      <w:bookmarkEnd w:id="483"/>
      <w:r>
        <w:rPr>
          <w:b/>
          <w:bCs/>
          <w:color w:val="051C2C"/>
        </w:rPr>
        <w:t xml:space="preserve"> </w:t>
      </w:r>
      <w:r>
        <w:t xml:space="preserve">Korban jiwa lantai musim hujan 2025/2026 nasional pada cakupan peringatan dini 2025, lintasan IKP Renstra, lintasan Renas PB 1.c, dan cakupan penuh (jiwa)</w:t>
      </w:r>
      <w:bookmarkEnd w:id="484"/>
    </w:p>
    <w:p xmlns:a="http://schemas.openxmlformats.org/drawingml/2006/main" xmlns:pic="http://schemas.openxmlformats.org/drawingml/2006/picture">
      <w:pPr>
        <w:keepNext/>
        <w:spacing w:after="0" w:line="240" w:lineRule="auto"/>
        <w:jc w:val="center"/>
      </w:pPr>
      <w:bookmarkStart w:id="485" w:name="_Obj0050"/>
      <w:r>
        <w:drawing>
          <wp:inline distT="0" distB="0" distL="0" distR="0">
            <wp:extent cx="5940000" cy="2494800"/>
            <wp:effectExtent l="0" t="0" r="0" b="0"/>
            <wp:docPr id="145" name="Gambar 145"/>
            <wp:cNvGraphicFramePr>
              <a:graphicFrameLocks noChangeAspect="1"/>
            </wp:cNvGraphicFramePr>
            <a:graphic>
              <a:graphicData uri="http://schemas.openxmlformats.org/drawingml/2006/picture">
                <pic:pic>
                  <pic:nvPicPr>
                    <pic:cNvPr id="145" name="bab07-g14-peringatan-dini.png"/>
                    <pic:cNvPicPr/>
                  </pic:nvPicPr>
                  <pic:blipFill>
                    <a:blip r:embed="rId77"/>
                    <a:stretch>
                      <a:fillRect/>
                    </a:stretch>
                  </pic:blipFill>
                  <pic:spPr>
                    <a:xfrm>
                      <a:off x="0" y="0"/>
                      <a:ext cx="5940000" cy="2494800"/>
                    </a:xfrm>
                    <a:prstGeom prst="rect">
                      <a:avLst/>
                    </a:prstGeom>
                  </pic:spPr>
                </pic:pic>
              </a:graphicData>
            </a:graphic>
          </wp:inline>
        </w:drawing>
      </w:r>
      <w:bookmarkEnd w:id="485"/>
    </w:p>
    <w:p>
      <w:pPr>
        <w:pStyle w:val="Sumber"/>
        <w:spacing w:after="40"/>
      </w:pPr>
      <w:r>
        <w:rPr>
          <w:b/>
          <w:bCs/>
          <w:color w:val="6B7280"/>
          <w:sz w:val="17"/>
          <w:szCs w:val="17"/>
        </w:rPr>
        <w:t xml:space="preserve">Sumber: </w:t>
      </w:r>
      <w:r>
        <w:rPr>
          <w:color w:val="6B7280"/>
          <w:sz w:val="17"/>
          <w:szCs w:val="17"/>
        </w:rPr>
        <w:t xml:space="preserve">BNPB, DIBI dasbor publik; Renas PB 2025–2029; Renstra BNPB 2025–2029; WMO (2022);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Penyebut kedua indikator berbeda. Koefisien </w:t>
      </w:r>
      <w:r>
        <w:rPr>
          <w:color w:val="6B7280"/>
          <w:sz w:val="17"/>
          <w:szCs w:val="17"/>
        </w:rPr>
        <w:t xml:space="preserve">8 kali</w:t>
      </w:r>
      <w:r>
        <w:rPr>
          <w:color w:val="6B7280"/>
          <w:sz w:val="17"/>
          <w:szCs w:val="17"/>
        </w:rPr>
        <w:t xml:space="preserve"> adalah asosiasi lintas negara, bukan efek kausal; hasilnya batas atas ilustratif.</w:t>
      </w:r>
    </w:p>
    <w:p>
      <w:pPr>
        <w:pStyle w:val="IsiTemuan"/>
      </w:pPr>
      <w:r>
        <w:rPr>
          <w:b/>
          <w:bCs/>
          <w:color w:val="051C2C"/>
        </w:rPr>
        <w:t xml:space="preserve">Di hulu rantai, ringkasan Badan Keahlian Dewan Perwakilan Rakyat (DPR) atas pemeriksaan kinerja Badan Pemeriksa Keuangan (BPK) 2022 mencatat hanya </w:t>
      </w:r>
      <w:r>
        <w:rPr>
          <w:b/>
          <w:bCs/>
          <w:color w:val="051C2C"/>
        </w:rPr>
        <w:t xml:space="preserve">19,68%</w:t>
      </w:r>
      <w:r>
        <w:rPr>
          <w:b/>
          <w:bCs/>
          <w:color w:val="051C2C"/>
        </w:rPr>
        <w:t xml:space="preserve"> kejadian banjir yang mendapat peringatan dini berbasis dampak.</w:t>
      </w:r>
      <w:r>
        <w:t xml:space="preserve"> Akurasi prakiraan cuaca tercatat </w:t>
      </w:r>
      <w:r>
        <w:t xml:space="preserve">82,82%</w:t>
      </w:r>
      <w:r>
        <w:t xml:space="preserve"> terhadap target </w:t>
      </w:r>
      <w:r>
        <w:t xml:space="preserve">87%</w:t>
      </w:r>
      <w:r>
        <w:t xml:space="preserve">, dengan kekurangan </w:t>
      </w:r>
      <w:r>
        <w:t xml:space="preserve">40</w:t>
      </w:r>
      <w:r>
        <w:t xml:space="preserve"> radar, </w:t>
      </w:r>
      <w:r>
        <w:t xml:space="preserve">311</w:t>
      </w:r>
      <w:r>
        <w:t xml:space="preserve"> stasiun cuaca otomatis, dan </w:t>
      </w:r>
      <w:r>
        <w:t xml:space="preserve">6.536</w:t>
      </w:r>
      <w:r>
        <w:t xml:space="preserve"> penakar hujan otomatis </w:t>
      </w:r>
      <w:r>
        <w:t xml:space="preserve">(Pusat Kajian Akuntabilitas Keuangan Negara, Badan Keahlian DPR RI, 2022, hlm. 3–4)</w:t>
      </w:r>
      <w:r>
        <w:t xml:space="preserve">. Laporan hasil pemeriksaan BPK sendiri tidak dibuka dan periode datanya tidak disebut. Angka hulu dan hilir berbeda ukuran tetapi searah, sehingga faktor kepekaan tidak dibaca sebagai capaian yang sudah dekat.</w:t>
      </w:r>
    </w:p>
    <w:p>
      <w:pPr>
        <w:pStyle w:val="IsiTemuan"/>
      </w:pPr>
      <w:r>
        <w:rPr>
          <w:b/>
          <w:bCs/>
          <w:color w:val="051C2C"/>
        </w:rPr>
        <w:t xml:space="preserve">Kematian siklon di Bangladesh turun lebih dari </w:t>
      </w:r>
      <w:r>
        <w:rPr>
          <w:b/>
          <w:bCs/>
          <w:color w:val="051C2C"/>
        </w:rPr>
        <w:t xml:space="preserve">100 kali</w:t>
      </w:r>
      <w:r>
        <w:rPr>
          <w:b/>
          <w:bCs/>
          <w:color w:val="051C2C"/>
        </w:rPr>
        <w:t xml:space="preserve"> pada 1970–2007, tetapi tidak satu pun program Indonesia yang terkait peringatan dini dalam kompendium program kajian ini berkekuatan bukti kuat.</w:t>
      </w:r>
      <w:r>
        <w:t xml:space="preserve"> Kesiapsiagaan siklon Bangladesh berkekuatan kuat, meskipun efek tiap komponennya belum terpisah </w:t>
      </w:r>
      <w:r>
        <w:t xml:space="preserve">(Haque dkk., 2012)</w:t>
      </w:r>
      <w:r>
        <w:t xml:space="preserve">, dan kekuatan bukti itu tidak dialihkan ke program Indonesia. Sistem peringatan dini tsunami </w:t>
      </w:r>
      <w:r>
        <w:rPr>
          <w:i/>
          <w:iCs/>
        </w:rPr>
        <w:t xml:space="preserve">Indonesia Tsunami Early Warning System</w:t>
      </w:r>
      <w:r>
        <w:t xml:space="preserve"> (InaTEWS) berkekuatan sedang dengan posisi program berjalan yang wajib dievaluasi dampaknya; Sekolah Lapang Iklim berkekuatan lemah.</w:t>
      </w:r>
    </w:p>
    <w:p>
      <w:pPr>
        <w:pStyle w:val="Heading2"/>
      </w:pPr>
      <w:bookmarkStart w:id="487" w:name="_Toc00154"/>
      <w:bookmarkStart w:id="486" w:name="_Ref0143"/>
      <w:r>
        <w:t xml:space="preserve">7.10</w:t>
      </w:r>
      <w:bookmarkEnd w:id="486"/>
      <w:r>
        <w:tab/>
      </w:r>
      <w:r>
        <w:t xml:space="preserve">Kesenjangan Spesifik dan Implikasi</w:t>
      </w:r>
      <w:bookmarkEnd w:id="487"/>
    </w:p>
    <w:p>
      <w:pPr>
        <w:pStyle w:val="IsiTemuan"/>
      </w:pPr>
      <w:r>
        <w:rPr>
          <w:b/>
          <w:bCs/>
          <w:color w:val="051C2C"/>
        </w:rPr>
        <w:t xml:space="preserve">Enam kartu per jenis belum memuat lantai final, karena turunan lantai per jenis paket skenario hidrometeorologi belum dibangun per 24 Oktober 2026.</w:t>
      </w:r>
      <w:r>
        <w:t xml:space="preserve"> Sel lantai tiga kartu musim hujan per jenis karena itu kosong beralasan. Korban musim 2025/2026 di ketiga kartu itu dapat lebih ringan daripada tahun tercatat terburuk per jenis, sedangkan angka </w:t>
      </w:r>
      <w:r>
        <w:t xml:space="preserve">36</w:t>
      </w:r>
      <w:r>
        <w:t xml:space="preserve"> meninggal dan hilang gelombang 2011, </w:t>
      </w:r>
      <w:r>
        <w:t xml:space="preserve">6</w:t>
      </w:r>
      <w:r>
        <w:t xml:space="preserve"> meninggal kekeringan 2023, dan </w:t>
      </w:r>
      <w:r>
        <w:t xml:space="preserve">2.611.411 ha</w:t>
      </w:r>
      <w:r>
        <w:t xml:space="preserve"> karhutla 2015 berstatus kandidat. Rumah rusak per jenis juga tidak ada di paket data, sehingga stimulan rumah longsor dan banjir bandang belum dapat dihitung. Pemutakhiran lantai tercakup dalam </w:t>
      </w:r>
      <w:r>
        <w:fldChar w:fldCharType="begin"/>
      </w:r>
      <w:r>
        <w:instrText xml:space="preserve"> REF _Ref0105 \h \* CHARFORMAT </w:instrText>
      </w:r>
      <w:r>
        <w:fldChar w:fldCharType="separate"/>
      </w:r>
      <w:r>
        <w:t xml:space="preserve">30</w:t>
      </w:r>
      <w:r>
        <w:fldChar w:fldCharType="end"/>
      </w:r>
      <w:r>
        <w:t xml:space="preserve">, dan pemuatan lantai ke rencana kontinjensi provinsi dalam </w:t>
      </w:r>
      <w:r>
        <w:fldChar w:fldCharType="begin"/>
      </w:r>
      <w:r>
        <w:instrText xml:space="preserve"> REF _Ref0079 \h \* CHARFORMAT </w:instrText>
      </w:r>
      <w:r>
        <w:fldChar w:fldCharType="separate"/>
      </w:r>
      <w:r>
        <w:t xml:space="preserve">13</w:t>
      </w:r>
      <w:r>
        <w:fldChar w:fldCharType="end"/>
      </w:r>
      <w:r>
        <w:t xml:space="preserve">.</w:t>
      </w:r>
    </w:p>
    <w:p>
      <w:pPr>
        <w:pStyle w:val="IsiTemuan"/>
      </w:pPr>
      <w:r>
        <w:rPr>
          <w:b/>
          <w:bCs/>
          <w:color w:val="051C2C"/>
        </w:rPr>
        <w:t xml:space="preserve">DIBI menjumlahkan pengungsi per laporan, sehingga kebutuhan respons untuk musim lantai (</w:t>
      </w:r>
      <w:r>
        <w:rPr>
          <w:b/>
          <w:bCs/>
          <w:color w:val="051C2C"/>
        </w:rPr>
        <w:t xml:space="preserve">1.043.740</w:t>
      </w:r>
      <w:r>
        <w:rPr>
          <w:b/>
          <w:bCs/>
          <w:color w:val="051C2C"/>
        </w:rPr>
        <w:t xml:space="preserve"> jiwa) dan kasus Sumatra (</w:t>
      </w:r>
      <w:r>
        <w:rPr>
          <w:b/>
          <w:bCs/>
          <w:color w:val="051C2C"/>
        </w:rPr>
        <w:t xml:space="preserve">970.876</w:t>
      </w:r>
      <w:r>
        <w:rPr>
          <w:b/>
          <w:bCs/>
          <w:color w:val="051C2C"/>
        </w:rPr>
        <w:t xml:space="preserve"> jiwa) hanya dapat ditulis sebagai batas atas.</w:t>
      </w:r>
      <w:r>
        <w:t xml:space="preserve"> Aturan kartu kajian meminta pengungsi tercatat puncak tanggap darurat, tetapi angka puncak itu tidak tersedia di DIBI </w:t>
      </w:r>
      <w:r>
        <w:t xml:space="preserve">(BNPB, t.t.-a)</w:t>
      </w:r>
      <w:r>
        <w:t xml:space="preserve">. Inventarisasi logistik terhadap lantai (</w:t>
      </w:r>
      <w:r>
        <w:fldChar w:fldCharType="begin"/>
      </w:r>
      <w:r>
        <w:instrText xml:space="preserve"> REF _Ref0076 \h \* CHARFORMAT </w:instrText>
      </w:r>
      <w:r>
        <w:fldChar w:fldCharType="separate"/>
      </w:r>
      <w:r>
        <w:t xml:space="preserve">08</w:t>
      </w:r>
      <w:r>
        <w:fldChar w:fldCharType="end"/>
      </w:r>
      <w:r>
        <w:t xml:space="preserve">) dihitung dari batas atas itu sampai data puncak per kejadian diterima dari BPBD.</w:t>
      </w:r>
    </w:p>
    <w:p>
      <w:pPr>
        <w:pStyle w:val="IsiTemuan"/>
      </w:pPr>
      <w:r>
        <w:rPr>
          <w:b/>
          <w:bCs/>
          <w:color w:val="051C2C"/>
        </w:rPr>
        <w:t xml:space="preserve">Kemarau 2027 belum punya dasar prakiraan resmi, dan data operasional kemarau 2026 belum masuk ke BNPB, padahal keduanya menjadi dasar Kesiapan Musim Kemarau 2027.</w:t>
      </w:r>
      <w:r>
        <w:t xml:space="preserve"> Tabel prakiraan per ZOM belum tersedia dalam format data, dan puso per kab/kota belum ditarik </w:t>
      </w:r>
      <w:r>
        <w:t xml:space="preserve">(BMKG, 2026c)</w:t>
      </w:r>
      <w:r>
        <w:t xml:space="preserve">. Untuk sementara, pemicu kemarau 2027 memakai lantai tercatat </w:t>
      </w:r>
      <w:r>
        <w:t xml:space="preserve">7.798.763</w:t>
      </w:r>
      <w:r>
        <w:t xml:space="preserve"> jiwa terdampak dan </w:t>
      </w:r>
      <w:r>
        <w:t xml:space="preserve">2.611.411 ha</w:t>
      </w:r>
      <w:r>
        <w:t xml:space="preserve"> terbakar (</w:t>
      </w:r>
      <w:r>
        <w:fldChar w:fldCharType="begin"/>
      </w:r>
      <w:r>
        <w:instrText xml:space="preserve"> REF _Ref0080 \h \* CHARFORMAT </w:instrText>
      </w:r>
      <w:r>
        <w:fldChar w:fldCharType="separate"/>
      </w:r>
      <w:r>
        <w:t xml:space="preserve">32</w:t>
      </w:r>
      <w:r>
        <w:fldChar w:fldCharType="end"/>
      </w:r>
      <w:r>
        <w:t xml:space="preserve">), sedangkan permintaan data kemarau 2026 ke BPBD provinsi menjadi langkah empat belas hari pertama (</w:t>
      </w:r>
      <w:r>
        <w:fldChar w:fldCharType="begin"/>
      </w:r>
      <w:r>
        <w:instrText xml:space="preserve"> REF _Ref0075 \h \* CHARFORMAT </w:instrText>
      </w:r>
      <w:r>
        <w:fldChar w:fldCharType="separate"/>
      </w:r>
      <w:r>
        <w:t xml:space="preserve">07</w:t>
      </w:r>
      <w:r>
        <w:fldChar w:fldCharType="end"/>
      </w:r>
      <w:r>
        <w:t xml:space="preserve">). Daftar kesenjangan lengkap dan pemegang datanya ada pada </w:t>
      </w:r>
      <w:r>
        <w:fldChar w:fldCharType="begin"/>
      </w:r>
      <w:r>
        <w:instrText xml:space="preserve"> REF _Ref0265 \h \* CHARFORMAT </w:instrText>
      </w:r>
      <w:r>
        <w:fldChar w:fldCharType="separate"/>
      </w:r>
      <w:r>
        <w:t xml:space="preserve">Tabel 7.10</w:t>
      </w:r>
      <w:r>
        <w:fldChar w:fldCharType="end"/>
      </w:r>
      <w:r>
        <w:t xml:space="preserve">.</w:t>
      </w:r>
    </w:p>
    <w:p>
      <w:pPr>
        <w:pStyle w:val="Caption"/>
      </w:pPr>
      <w:bookmarkStart w:id="489" w:name="_Toc00155"/>
      <w:bookmarkStart w:id="488" w:name="_Ref026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488"/>
      <w:r>
        <w:rPr>
          <w:b/>
          <w:bCs/>
          <w:color w:val="051C2C"/>
        </w:rPr>
        <w:t xml:space="preserve"> </w:t>
      </w:r>
      <w:r>
        <w:t xml:space="preserve">Kesenjangan data hidrometeorologi nasional dan lembaga pemegangnya, status Oktober 2026</w:t>
      </w:r>
      <w:bookmarkEnd w:id="48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137"/>
        <w:gridCol w:w="1366"/>
        <w:gridCol w:w="2338"/>
        <w:gridCol w:w="1513"/>
      </w:tblGrid>
      <w:tr>
        <w:trPr>
          <w:cantSplit/>
          <w:tblHeader/>
        </w:trPr>
        <w:tc>
          <w:tcPr>
            <w:tcW w:w="4137" w:type="dxa"/>
            <w:shd w:val="clear" w:color="auto" w:fill="051C2C"/>
            <w:vAlign w:val="center"/>
          </w:tcPr>
          <w:p>
            <w:pPr>
              <w:pStyle w:val="KepalaTabel"/>
              <w:suppressAutoHyphens/>
            </w:pPr>
            <w:r>
              <w:t xml:space="preserve">YANG BELUM TERSEDIA</w:t>
            </w:r>
          </w:p>
        </w:tc>
        <w:tc>
          <w:tcPr>
            <w:tcW w:w="1366" w:type="dxa"/>
            <w:shd w:val="clear" w:color="auto" w:fill="051C2C"/>
            <w:vAlign w:val="center"/>
          </w:tcPr>
          <w:p>
            <w:pPr>
              <w:pStyle w:val="KepalaTabel"/>
              <w:suppressAutoHyphens/>
            </w:pPr>
            <w:r>
              <w:t xml:space="preserve">AKIBAT BAGI KARTU</w:t>
            </w:r>
          </w:p>
        </w:tc>
        <w:tc>
          <w:tcPr>
            <w:tcW w:w="2338" w:type="dxa"/>
            <w:shd w:val="clear" w:color="auto" w:fill="051C2C"/>
            <w:vAlign w:val="center"/>
          </w:tcPr>
          <w:p>
            <w:pPr>
              <w:pStyle w:val="KepalaTabel"/>
              <w:suppressAutoHyphens/>
            </w:pPr>
            <w:r>
              <w:t xml:space="preserve">PEMEGANG DATA</w:t>
            </w:r>
          </w:p>
        </w:tc>
        <w:tc>
          <w:tcPr>
            <w:tcW w:w="1513" w:type="dxa"/>
            <w:shd w:val="clear" w:color="auto" w:fill="051C2C"/>
            <w:vAlign w:val="center"/>
          </w:tcPr>
          <w:p>
            <w:pPr>
              <w:pStyle w:val="KepalaTabel"/>
              <w:suppressAutoHyphens/>
            </w:pPr>
            <w:r>
              <w:t xml:space="preserve">TINDAK LANJUT</w:t>
            </w:r>
          </w:p>
        </w:tc>
      </w:tr>
      <w:tr>
        <w:trPr>
          <w:cantSplit/>
        </w:trPr>
        <w:tc>
          <w:tcPr>
            <w:tcW w:w="4137" w:type="dxa"/>
          </w:tcPr>
          <w:p>
            <w:pPr>
              <w:pStyle w:val="IsiTabel"/>
              <w:suppressAutoHyphens/>
              <w:jc w:val="left"/>
            </w:pPr>
            <w:r>
              <w:t xml:space="preserve">Lantai kejadian tunggal dan tahun tercatat terburuk per jenis</w:t>
            </w:r>
          </w:p>
        </w:tc>
        <w:tc>
          <w:tcPr>
            <w:tcW w:w="1366" w:type="dxa"/>
          </w:tcPr>
          <w:p>
            <w:pPr>
              <w:pStyle w:val="IsiTabel"/>
              <w:suppressAutoHyphens/>
              <w:jc w:val="left"/>
            </w:pPr>
            <w:r>
              <w:t xml:space="preserve">sel lantai kartu banjir, longsor, dan cuaca ekstrem kosong</w:t>
            </w:r>
          </w:p>
        </w:tc>
        <w:tc>
          <w:tcPr>
            <w:tcW w:w="2338" w:type="dxa"/>
          </w:tcPr>
          <w:p>
            <w:pPr>
              <w:pStyle w:val="IsiTabel"/>
              <w:suppressAutoHyphens/>
              <w:jc w:val="left"/>
            </w:pPr>
            <w:r>
              <w:t xml:space="preserve">tim penyusun kajian ini, turunan paket data skenario hidrometeorologi</w:t>
            </w:r>
          </w:p>
        </w:tc>
        <w:tc>
          <w:tcPr>
            <w:tcW w:w="1513" w:type="dxa"/>
          </w:tcPr>
          <w:p>
            <w:pPr>
              <w:pStyle w:val="IsiTabel"/>
              <w:suppressAutoHyphens/>
              <w:jc w:val="left"/>
            </w:pPr>
            <w:r>
              <w:fldChar w:fldCharType="begin"/>
            </w:r>
            <w:r>
              <w:instrText xml:space="preserve"> REF _Ref0105 \h \* CHARFORMAT </w:instrText>
            </w:r>
            <w:r>
              <w:fldChar w:fldCharType="separate"/>
            </w:r>
            <w:r>
              <w:t xml:space="preserve">30</w:t>
            </w:r>
            <w:r>
              <w:fldChar w:fldCharType="end"/>
            </w:r>
          </w:p>
        </w:tc>
      </w:tr>
      <w:tr>
        <w:trPr>
          <w:cantSplit/>
        </w:trPr>
        <w:tc>
          <w:tcPr>
            <w:tcW w:w="4137" w:type="dxa"/>
          </w:tcPr>
          <w:p>
            <w:pPr>
              <w:pStyle w:val="IsiTabel"/>
              <w:suppressAutoHyphens/>
              <w:jc w:val="left"/>
            </w:pPr>
            <w:r>
              <w:t xml:space="preserve">Rumah rusak per jenis untuk musim 2025/2026 dan Sumatra 2025</w:t>
            </w:r>
          </w:p>
        </w:tc>
        <w:tc>
          <w:tcPr>
            <w:tcW w:w="1366" w:type="dxa"/>
          </w:tcPr>
          <w:p>
            <w:pPr>
              <w:pStyle w:val="IsiTabel"/>
              <w:suppressAutoHyphens/>
              <w:jc w:val="left"/>
            </w:pPr>
            <w:r>
              <w:t xml:space="preserve">stimulan rumah longsor dan banjir bandang tidak dihitung</w:t>
            </w:r>
          </w:p>
        </w:tc>
        <w:tc>
          <w:tcPr>
            <w:tcW w:w="2338" w:type="dxa"/>
          </w:tcPr>
          <w:p>
            <w:pPr>
              <w:pStyle w:val="IsiTabel"/>
              <w:suppressAutoHyphens/>
              <w:jc w:val="left"/>
            </w:pPr>
            <w:r>
              <w:t xml:space="preserve">Pusat Data, Informasi, dan Komunikasi Kebencanaan</w:t>
            </w:r>
          </w:p>
        </w:tc>
        <w:tc>
          <w:tcPr>
            <w:tcW w:w="1513" w:type="dxa"/>
          </w:tcPr>
          <w:p>
            <w:pPr>
              <w:pStyle w:val="IsiTabel"/>
              <w:suppressAutoHyphens/>
              <w:jc w:val="left"/>
            </w:pPr>
            <w:r>
              <w:fldChar w:fldCharType="begin"/>
            </w:r>
            <w:r>
              <w:instrText xml:space="preserve"> REF _Ref0105 \h \* CHARFORMAT </w:instrText>
            </w:r>
            <w:r>
              <w:fldChar w:fldCharType="separate"/>
            </w:r>
            <w:r>
              <w:t xml:space="preserve">30</w:t>
            </w:r>
            <w:r>
              <w:fldChar w:fldCharType="end"/>
            </w:r>
          </w:p>
        </w:tc>
      </w:tr>
      <w:tr>
        <w:trPr>
          <w:cantSplit/>
        </w:trPr>
        <w:tc>
          <w:tcPr>
            <w:tcW w:w="4137" w:type="dxa"/>
          </w:tcPr>
          <w:p>
            <w:pPr>
              <w:pStyle w:val="IsiTabel"/>
              <w:suppressAutoHyphens/>
              <w:jc w:val="left"/>
            </w:pPr>
            <w:r>
              <w:t xml:space="preserve">PDNA atau R3P Sumatra 2025</w:t>
            </w:r>
          </w:p>
        </w:tc>
        <w:tc>
          <w:tcPr>
            <w:tcW w:w="1366" w:type="dxa"/>
          </w:tcPr>
          <w:p>
            <w:pPr>
              <w:pStyle w:val="IsiTabel"/>
              <w:suppressAutoHyphens/>
              <w:jc w:val="left"/>
            </w:pPr>
            <w:r>
              <w:t xml:space="preserve">kerugian kejadian terberat tidak dinyatakan</w:t>
            </w:r>
          </w:p>
        </w:tc>
        <w:tc>
          <w:tcPr>
            <w:tcW w:w="2338" w:type="dxa"/>
          </w:tcPr>
          <w:p>
            <w:pPr>
              <w:pStyle w:val="IsiTabel"/>
              <w:suppressAutoHyphens/>
              <w:jc w:val="left"/>
            </w:pPr>
            <w:r>
              <w:t xml:space="preserve">Deputi Bidang Rehabilitasi dan Rekonstruksi</w:t>
            </w:r>
          </w:p>
        </w:tc>
        <w:tc>
          <w:tcPr>
            <w:tcW w:w="1513" w:type="dxa"/>
          </w:tcPr>
          <w:p>
            <w:pPr>
              <w:pStyle w:val="IsiTabel"/>
              <w:suppressAutoHyphens/>
              <w:jc w:val="left"/>
            </w:pPr>
            <w:r>
              <w:fldChar w:fldCharType="begin"/>
            </w:r>
            <w:r>
              <w:instrText xml:space="preserve"> REF _Ref0102 \h \* CHARFORMAT </w:instrText>
            </w:r>
            <w:r>
              <w:fldChar w:fldCharType="separate"/>
            </w:r>
            <w:r>
              <w:t xml:space="preserve">27</w:t>
            </w:r>
            <w:r>
              <w:fldChar w:fldCharType="end"/>
            </w:r>
          </w:p>
        </w:tc>
      </w:tr>
      <w:tr>
        <w:trPr>
          <w:cantSplit/>
        </w:trPr>
        <w:tc>
          <w:tcPr>
            <w:tcW w:w="4137" w:type="dxa"/>
          </w:tcPr>
          <w:p>
            <w:pPr>
              <w:pStyle w:val="IsiTabel"/>
              <w:suppressAutoHyphens/>
              <w:jc w:val="left"/>
            </w:pPr>
            <w:r>
              <w:t xml:space="preserve">Pengungsi puncak serentak per kejadian</w:t>
            </w:r>
          </w:p>
        </w:tc>
        <w:tc>
          <w:tcPr>
            <w:tcW w:w="1366" w:type="dxa"/>
          </w:tcPr>
          <w:p>
            <w:pPr>
              <w:pStyle w:val="IsiTabel"/>
              <w:suppressAutoHyphens/>
              <w:jc w:val="left"/>
            </w:pPr>
            <w:r>
              <w:t xml:space="preserve">kebutuhan respons hanya batas atas</w:t>
            </w:r>
          </w:p>
        </w:tc>
        <w:tc>
          <w:tcPr>
            <w:tcW w:w="2338" w:type="dxa"/>
          </w:tcPr>
          <w:p>
            <w:pPr>
              <w:pStyle w:val="IsiTabel"/>
              <w:suppressAutoHyphens/>
              <w:jc w:val="left"/>
            </w:pPr>
            <w:r>
              <w:t xml:space="preserve">BPBD provinsi</w:t>
            </w:r>
          </w:p>
        </w:tc>
        <w:tc>
          <w:tcPr>
            <w:tcW w:w="1513" w:type="dxa"/>
          </w:tcPr>
          <w:p>
            <w:pPr>
              <w:pStyle w:val="IsiTabel"/>
              <w:suppressAutoHyphens/>
              <w:jc w:val="left"/>
            </w:pPr>
            <w:r>
              <w:fldChar w:fldCharType="begin"/>
            </w:r>
            <w:r>
              <w:instrText xml:space="preserve"> REF _Ref0076 \h \* CHARFORMAT </w:instrText>
            </w:r>
            <w:r>
              <w:fldChar w:fldCharType="separate"/>
            </w:r>
            <w:r>
              <w:t xml:space="preserve">08</w:t>
            </w:r>
            <w:r>
              <w:fldChar w:fldCharType="end"/>
            </w:r>
          </w:p>
        </w:tc>
      </w:tr>
      <w:tr>
        <w:trPr>
          <w:cantSplit/>
        </w:trPr>
        <w:tc>
          <w:tcPr>
            <w:tcW w:w="4137" w:type="dxa"/>
          </w:tcPr>
          <w:p>
            <w:pPr>
              <w:pStyle w:val="IsiTabel"/>
              <w:suppressAutoHyphens/>
              <w:jc w:val="left"/>
            </w:pPr>
            <w:r>
              <w:t xml:space="preserve">Garis dasar cakupan peringatan dini per provinsi dan kab/kota; cara hitung "tercakup"</w:t>
            </w:r>
          </w:p>
        </w:tc>
        <w:tc>
          <w:tcPr>
            <w:tcW w:w="1366" w:type="dxa"/>
          </w:tcPr>
          <w:p>
            <w:pPr>
              <w:pStyle w:val="IsiTabel"/>
              <w:suppressAutoHyphens/>
              <w:jc w:val="left"/>
            </w:pPr>
            <w:r>
              <w:t xml:space="preserve">kepekaan peringatan dini hanya tingkat nasional</w:t>
            </w:r>
          </w:p>
        </w:tc>
        <w:tc>
          <w:tcPr>
            <w:tcW w:w="2338" w:type="dxa"/>
          </w:tcPr>
          <w:p>
            <w:pPr>
              <w:pStyle w:val="IsiTabel"/>
              <w:suppressAutoHyphens/>
              <w:jc w:val="left"/>
            </w:pPr>
            <w:r>
              <w:t xml:space="preserve">Direktorat Peringatan Dini</w:t>
            </w:r>
          </w:p>
        </w:tc>
        <w:tc>
          <w:tcPr>
            <w:tcW w:w="1513" w:type="dxa"/>
          </w:tcPr>
          <w:p>
            <w:pPr>
              <w:pStyle w:val="IsiTabel"/>
              <w:suppressAutoHyphens/>
              <w:jc w:val="left"/>
            </w:pPr>
            <w:r>
              <w:fldChar w:fldCharType="begin"/>
            </w:r>
            <w:r>
              <w:instrText xml:space="preserve"> REF _Ref0082 \h \* CHARFORMAT </w:instrText>
            </w:r>
            <w:r>
              <w:fldChar w:fldCharType="separate"/>
            </w:r>
            <w:r>
              <w:t xml:space="preserve">16</w:t>
            </w:r>
            <w:r>
              <w:fldChar w:fldCharType="end"/>
            </w:r>
          </w:p>
        </w:tc>
      </w:tr>
      <w:tr>
        <w:trPr>
          <w:cantSplit/>
        </w:trPr>
        <w:tc>
          <w:tcPr>
            <w:tcW w:w="4137" w:type="dxa"/>
          </w:tcPr>
          <w:p>
            <w:pPr>
              <w:pStyle w:val="IsiTabel"/>
              <w:suppressAutoHyphens/>
              <w:jc w:val="left"/>
            </w:pPr>
            <w:r>
              <w:t xml:space="preserve">Prakiraan musim kemarau 2027 dan tabel ZOM dalam format data</w:t>
            </w:r>
          </w:p>
        </w:tc>
        <w:tc>
          <w:tcPr>
            <w:tcW w:w="1366" w:type="dxa"/>
          </w:tcPr>
          <w:p>
            <w:pPr>
              <w:pStyle w:val="IsiTabel"/>
              <w:suppressAutoHyphens/>
              <w:jc w:val="left"/>
            </w:pPr>
            <w:r>
              <w:t xml:space="preserve">kemungkinan kemarau tahun kedua tidak dinilai</w:t>
            </w:r>
          </w:p>
        </w:tc>
        <w:tc>
          <w:tcPr>
            <w:tcW w:w="2338" w:type="dxa"/>
          </w:tcPr>
          <w:p>
            <w:pPr>
              <w:pStyle w:val="IsiTabel"/>
              <w:suppressAutoHyphens/>
              <w:jc w:val="left"/>
            </w:pPr>
            <w:r>
              <w:t xml:space="preserve">BMKG, Kedeputian Bidang Klimatologi</w:t>
            </w:r>
          </w:p>
        </w:tc>
        <w:tc>
          <w:tcPr>
            <w:tcW w:w="1513" w:type="dxa"/>
          </w:tcPr>
          <w:p>
            <w:pPr>
              <w:pStyle w:val="IsiTabel"/>
              <w:suppressAutoHyphens/>
              <w:jc w:val="left"/>
            </w:pPr>
            <w:r>
              <w:fldChar w:fldCharType="begin"/>
            </w:r>
            <w:r>
              <w:instrText xml:space="preserve"> REF _Ref0080 \h \* CHARFORMAT </w:instrText>
            </w:r>
            <w:r>
              <w:fldChar w:fldCharType="separate"/>
            </w:r>
            <w:r>
              <w:t xml:space="preserve">32</w:t>
            </w:r>
            <w:r>
              <w:fldChar w:fldCharType="end"/>
            </w:r>
          </w:p>
        </w:tc>
      </w:tr>
      <w:tr>
        <w:trPr>
          <w:cantSplit/>
        </w:trPr>
        <w:tc>
          <w:tcPr>
            <w:tcW w:w="4137" w:type="dxa"/>
          </w:tcPr>
          <w:p>
            <w:pPr>
              <w:pStyle w:val="IsiTabel"/>
              <w:suppressAutoHyphens/>
              <w:jc w:val="left"/>
            </w:pPr>
            <w:r>
              <w:t xml:space="preserve">Status darurat, distribusi air, dan desa terdampak kemarau 2026</w:t>
            </w:r>
          </w:p>
        </w:tc>
        <w:tc>
          <w:tcPr>
            <w:tcW w:w="1366" w:type="dxa"/>
          </w:tcPr>
          <w:p>
            <w:pPr>
              <w:pStyle w:val="IsiTabel"/>
              <w:suppressAutoHyphens/>
              <w:jc w:val="left"/>
            </w:pPr>
            <w:r>
              <w:t xml:space="preserve">kerugian imateriil kekeringan hanya terdampak DIBI</w:t>
            </w:r>
          </w:p>
        </w:tc>
        <w:tc>
          <w:tcPr>
            <w:tcW w:w="2338" w:type="dxa"/>
          </w:tcPr>
          <w:p>
            <w:pPr>
              <w:pStyle w:val="IsiTabel"/>
              <w:suppressAutoHyphens/>
              <w:jc w:val="left"/>
            </w:pPr>
            <w:r>
              <w:t xml:space="preserve">BPBD provinsi; pusat pengendalian operasi</w:t>
            </w:r>
          </w:p>
        </w:tc>
        <w:tc>
          <w:tcPr>
            <w:tcW w:w="1513" w:type="dxa"/>
          </w:tcPr>
          <w:p>
            <w:pPr>
              <w:pStyle w:val="IsiTabel"/>
              <w:suppressAutoHyphens/>
              <w:jc w:val="left"/>
            </w:pPr>
            <w:r>
              <w:fldChar w:fldCharType="begin"/>
            </w:r>
            <w:r>
              <w:instrText xml:space="preserve"> REF _Ref0075 \h \* CHARFORMAT </w:instrText>
            </w:r>
            <w:r>
              <w:fldChar w:fldCharType="separate"/>
            </w:r>
            <w:r>
              <w:t xml:space="preserve">07</w:t>
            </w:r>
            <w:r>
              <w:fldChar w:fldCharType="end"/>
            </w:r>
          </w:p>
        </w:tc>
      </w:tr>
      <w:tr>
        <w:trPr>
          <w:cantSplit/>
        </w:trPr>
        <w:tc>
          <w:tcPr>
            <w:tcW w:w="4137" w:type="dxa"/>
          </w:tcPr>
          <w:p>
            <w:pPr>
              <w:pStyle w:val="IsiTabel"/>
              <w:keepNext/>
              <w:suppressAutoHyphens/>
              <w:jc w:val="left"/>
            </w:pPr>
            <w:bookmarkStart w:id="490" w:name="_Ekor060a"/>
            <w:bookmarkEnd w:id="490"/>
            <w:r>
              <w:t xml:space="preserve">Rekap ISPA karhutla 2015, 2019, 2023, dan 2026</w:t>
            </w:r>
          </w:p>
        </w:tc>
        <w:tc>
          <w:tcPr>
            <w:tcW w:w="1366" w:type="dxa"/>
          </w:tcPr>
          <w:p>
            <w:pPr>
              <w:pStyle w:val="IsiTabel"/>
              <w:keepNext/>
              <w:suppressAutoHyphens/>
              <w:jc w:val="left"/>
            </w:pPr>
            <w:r>
              <w:t xml:space="preserve">layanan sipil karhutla kosong</w:t>
            </w:r>
          </w:p>
        </w:tc>
        <w:tc>
          <w:tcPr>
            <w:tcW w:w="2338" w:type="dxa"/>
          </w:tcPr>
          <w:p>
            <w:pPr>
              <w:pStyle w:val="IsiTabel"/>
              <w:keepNext/>
              <w:suppressAutoHyphens/>
              <w:jc w:val="left"/>
            </w:pPr>
            <w:r>
              <w:t xml:space="preserve">Pusat Data, Informasi, dan Komunikasi Kebencanaan; Kementerian Kesehatan</w:t>
            </w:r>
          </w:p>
        </w:tc>
        <w:tc>
          <w:tcPr>
            <w:tcW w:w="1513" w:type="dxa"/>
          </w:tcPr>
          <w:p>
            <w:pPr>
              <w:pStyle w:val="IsiTabel"/>
              <w:keepNext/>
              <w:suppressAutoHyphens/>
              <w:jc w:val="left"/>
            </w:pPr>
            <w:r>
              <w:t xml:space="preserve">permintaan data</w:t>
            </w:r>
          </w:p>
        </w:tc>
      </w:tr>
      <w:tr>
        <w:trPr>
          <w:cantSplit/>
        </w:trPr>
        <w:tc>
          <w:tcPr>
            <w:tcW w:w="4137" w:type="dxa"/>
          </w:tcPr>
          <w:p>
            <w:pPr>
              <w:pStyle w:val="IsiTabel"/>
              <w:keepNext/>
              <w:suppressAutoHyphens/>
              <w:jc w:val="left"/>
            </w:pPr>
            <w:r>
              <w:t xml:space="preserve">Luas karhutla final 2025</w:t>
            </w:r>
          </w:p>
        </w:tc>
        <w:tc>
          <w:tcPr>
            <w:tcW w:w="1366" w:type="dxa"/>
          </w:tcPr>
          <w:p>
            <w:pPr>
              <w:pStyle w:val="IsiTabel"/>
              <w:keepNext/>
              <w:suppressAutoHyphens/>
              <w:jc w:val="left"/>
            </w:pPr>
            <w:r>
              <w:t xml:space="preserve">seri SiPongi 2025 tidak dipakai karena dua tarikan bertentangan</w:t>
            </w:r>
          </w:p>
        </w:tc>
        <w:tc>
          <w:tcPr>
            <w:tcW w:w="2338" w:type="dxa"/>
          </w:tcPr>
          <w:p>
            <w:pPr>
              <w:pStyle w:val="IsiTabel"/>
              <w:keepNext/>
              <w:suppressAutoHyphens/>
              <w:jc w:val="left"/>
            </w:pPr>
            <w:r>
              <w:t xml:space="preserve">Kementerian Kehutanan, Direktorat Pengendalian Kebakaran Hutan dan Lahan</w:t>
            </w:r>
          </w:p>
        </w:tc>
        <w:tc>
          <w:tcPr>
            <w:tcW w:w="1513" w:type="dxa"/>
          </w:tcPr>
          <w:p>
            <w:pPr>
              <w:pStyle w:val="IsiTabel"/>
              <w:keepNext/>
              <w:suppressAutoHyphens/>
              <w:jc w:val="left"/>
            </w:pPr>
            <w:r>
              <w:t xml:space="preserve">permintaan data</w:t>
            </w:r>
          </w:p>
        </w:tc>
      </w:tr>
      <w:tr>
        <w:trPr>
          <w:cantSplit/>
        </w:trPr>
        <w:tc>
          <w:tcPr>
            <w:tcW w:w="4137" w:type="dxa"/>
          </w:tcPr>
          <w:p>
            <w:pPr>
              <w:pStyle w:val="IsiTabel"/>
              <w:keepNext/>
              <w:suppressAutoHyphens/>
              <w:jc w:val="left"/>
            </w:pPr>
            <w:r>
              <w:t xml:space="preserve">Luas genangan rob di luar WS Jratunseluna; debit sungai dan luas genangan banjir per kejadian</w:t>
            </w:r>
          </w:p>
        </w:tc>
        <w:tc>
          <w:tcPr>
            <w:tcW w:w="1366" w:type="dxa"/>
          </w:tcPr>
          <w:p>
            <w:pPr>
              <w:pStyle w:val="IsiTabel"/>
              <w:keepNext/>
              <w:suppressAutoHyphens/>
              <w:jc w:val="left"/>
            </w:pPr>
            <w:r>
              <w:t xml:space="preserve">luas terdampak banjir dan rob tidak dikuantifikasi</w:t>
            </w:r>
          </w:p>
        </w:tc>
        <w:tc>
          <w:tcPr>
            <w:tcW w:w="2338" w:type="dxa"/>
          </w:tcPr>
          <w:p>
            <w:pPr>
              <w:pStyle w:val="IsiTabel"/>
              <w:keepNext/>
              <w:suppressAutoHyphens/>
              <w:jc w:val="left"/>
            </w:pPr>
            <w:r>
              <w:t xml:space="preserve">Kementerian Pekerjaan Umum; BMKG</w:t>
            </w:r>
          </w:p>
        </w:tc>
        <w:tc>
          <w:tcPr>
            <w:tcW w:w="1513" w:type="dxa"/>
          </w:tcPr>
          <w:p>
            <w:pPr>
              <w:pStyle w:val="IsiTabel"/>
              <w:keepNext/>
              <w:suppressAutoHyphens/>
              <w:jc w:val="left"/>
            </w:pPr>
            <w:r>
              <w:t xml:space="preserve">permintaan data</w:t>
            </w:r>
          </w:p>
        </w:tc>
      </w:tr>
      <w:tr>
        <w:trPr>
          <w:cantSplit/>
        </w:trPr>
        <w:tc>
          <w:tcPr>
            <w:tcW w:w="4137" w:type="dxa"/>
          </w:tcPr>
          <w:p>
            <w:pPr>
              <w:pStyle w:val="IsiTabel"/>
              <w:suppressAutoHyphens/>
              <w:jc w:val="left"/>
            </w:pPr>
            <w:bookmarkStart w:id="491" w:name="_Ekor060z"/>
            <w:bookmarkEnd w:id="491"/>
            <w:r>
              <w:t xml:space="preserve">Laporan kejadian dan rekaman peringatan BMKG untuk Sumatra 2025</w:t>
            </w:r>
          </w:p>
        </w:tc>
        <w:tc>
          <w:tcPr>
            <w:tcW w:w="1366" w:type="dxa"/>
          </w:tcPr>
          <w:p>
            <w:pPr>
              <w:pStyle w:val="IsiTabel"/>
              <w:suppressAutoHyphens/>
              <w:jc w:val="left"/>
            </w:pPr>
            <w:r>
              <w:t xml:space="preserve">pemicu meteorologis tidak disebut</w:t>
            </w:r>
          </w:p>
        </w:tc>
        <w:tc>
          <w:tcPr>
            <w:tcW w:w="2338" w:type="dxa"/>
          </w:tcPr>
          <w:p>
            <w:pPr>
              <w:pStyle w:val="IsiTabel"/>
              <w:suppressAutoHyphens/>
              <w:jc w:val="left"/>
            </w:pPr>
            <w:r>
              <w:t xml:space="preserve">BMKG, Kedeputian Bidang Meteorologi</w:t>
            </w:r>
          </w:p>
        </w:tc>
        <w:tc>
          <w:tcPr>
            <w:tcW w:w="1513" w:type="dxa"/>
          </w:tcPr>
          <w:p>
            <w:pPr>
              <w:pStyle w:val="IsiTabel"/>
              <w:suppressAutoHyphens/>
              <w:jc w:val="left"/>
            </w:pPr>
            <w:r>
              <w:t xml:space="preserve">permintaan data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atas Subbab 7.1 sampai 7.9, sampai 24 Oktober 2026</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08"/>
        </w:numPr>
      </w:pPr>
      <w:bookmarkStart w:id="493" w:name="_Toc00156"/>
      <w:r>
        <w:rPr>
          <w:sz w:val="18"/>
          <w:szCs w:val="18"/>
        </w:rPr>
        <w:br/>
      </w:r>
      <w:bookmarkStart w:id="492" w:name="_Ref0008"/>
      <w:r>
        <w:t xml:space="preserve">BENCANA NONALAM</w:t>
      </w:r>
      <w:bookmarkEnd w:id="492"/>
      <w:bookmarkEnd w:id="493"/>
    </w:p>
    <w:p>
      <w:pPr>
        <w:pStyle w:val="Pertanyaan"/>
      </w:pPr>
      <w:r>
        <w:t xml:space="preserve">Siapa menetapkan status epidemi menurut UU 17/2023, dan kapan status keadaan darurat bencana berlaku? Berapa korban, luas, dan kerugian pada kejadian analog terburuk pandemi, kebakaran industri, dan kebakaran TPA? Rezim apa yang menjadi lini pertama kebakaran industri dan kebakaran TPA, dan di mana peran BNPB?</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46" name="Gambar 146"/>
                  <wp:cNvGraphicFramePr>
                    <a:graphicFrameLocks noChangeAspect="1"/>
                  </wp:cNvGraphicFramePr>
                  <a:graphic>
                    <a:graphicData uri="http://schemas.openxmlformats.org/drawingml/2006/picture">
                      <pic:pic>
                        <pic:nvPicPr>
                          <pic:cNvPr id="146"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Pandemi COVID-19 adalah analog nonalam terberat dengan </w:t>
            </w:r>
            <w:r>
              <w:t xml:space="preserve">161.870</w:t>
            </w:r>
            <w:r>
              <w:t xml:space="preserve"> meninggal tercatat; model Organisasi Kesehatan Dunia (</w:t>
            </w:r>
            <w:r>
              <w:rPr>
                <w:i/>
                <w:iCs/>
              </w:rPr>
              <w:t xml:space="preserve">World Health Organization</w:t>
            </w:r>
            <w:r>
              <w:t xml:space="preserve">, WHO) memberi kematian berlebih 2020–2021 </w:t>
            </w:r>
            <w:r>
              <w:t xml:space="preserve">810.000–1.300.000</w:t>
            </w:r>
            <w:r>
              <w:t xml:space="preserve"> jiwa, atau </w:t>
            </w:r>
            <w:r>
              <w:t xml:space="preserve">5,6–9,3</w:t>
            </w:r>
            <w:r>
              <w:t xml:space="preserve"> kali kematian terlapor pada dua tahun yang sama.</w:t>
            </w:r>
          </w:p>
          <w:p>
            <w:pPr>
              <w:pStyle w:val="DaftarKotak"/>
              <w:numPr>
                <w:ilvl w:val="0"/>
                <w:numId w:val="1"/>
              </w:numPr>
            </w:pPr>
            <w:r>
              <w:t xml:space="preserve">Pengait status kesehatan dengan status keadaan darurat bencana hanya tertulis untuk skala nasional (UU 17/2023 Pasal 369–370); untuk provinsi dan kab/kota pengait tidak ditemukan. Pada COVID-19, sebelum norma nasional itu ada, kedua status nasional ditetapkan berselang </w:t>
            </w:r>
            <w:r>
              <w:t xml:space="preserve">13 hari</w:t>
            </w:r>
            <w:r>
              <w:t xml:space="preserve">.</w:t>
            </w:r>
          </w:p>
          <w:p>
            <w:pPr>
              <w:pStyle w:val="DaftarKotak"/>
              <w:numPr>
                <w:ilvl w:val="0"/>
                <w:numId w:val="1"/>
              </w:numPr>
            </w:pPr>
            <w:r>
              <w:t xml:space="preserve">Catatan Badan Nasional Penanggulangan Bencana (BNPB) memuat </w:t>
            </w:r>
            <w:r>
              <w:t xml:space="preserve">16</w:t>
            </w:r>
            <w:r>
              <w:t xml:space="preserve"> tempat pemrosesan akhir (TPA) terbakar hebat pada kemarau 2023. Pada kemarau 2026 rilis BNPB serta Kementerian Lingkungan Hidup/Badan Pengendalian Lingkungan Hidup (KLH/BPLH) mencatat </w:t>
            </w:r>
            <w:r>
              <w:t xml:space="preserve">4 TPA</w:t>
            </w:r>
            <w:r>
              <w:t xml:space="preserve"> terbakar, lebih dari tiga belas tahun setelah tenggat penutupan TPA pembuangan terbuka menurut UU 18/2008 (</w:t>
            </w:r>
            <w:r>
              <w:t xml:space="preserve">7 Mei 2013</w:t>
            </w:r>
            <w:r>
              <w:t xml:space="preserve">).</w:t>
            </w:r>
          </w:p>
          <w:p>
            <w:pPr>
              <w:pStyle w:val="IsiKotak"/>
            </w:pPr>
            <w:r>
              <w:rPr>
                <w:b/>
                <w:bCs/>
                <w:color w:val="1A1A1A"/>
              </w:rPr>
              <w:t xml:space="preserve">Angka kunci: </w:t>
            </w:r>
          </w:p>
          <w:p>
            <w:pPr>
              <w:pStyle w:val="DaftarKotak"/>
              <w:numPr>
                <w:ilvl w:val="0"/>
                <w:numId w:val="1"/>
              </w:numPr>
            </w:pPr>
            <w:r>
              <w:t xml:space="preserve">1.165 hari</w:t>
            </w:r>
            <w:r>
              <w:t xml:space="preserve"> status bencana nasional nonalam COVID-19, 13 April 2020 sampai 21 Juni 2023 </w:t>
            </w:r>
            <w:r>
              <w:t xml:space="preserve">(Republik Indonesia, 2020c, 2023a)</w:t>
            </w:r>
            <w:r>
              <w:t xml:space="preserve">.</w:t>
            </w:r>
          </w:p>
          <w:p>
            <w:pPr>
              <w:pStyle w:val="DaftarKotak"/>
              <w:numPr>
                <w:ilvl w:val="0"/>
                <w:numId w:val="1"/>
              </w:numPr>
            </w:pPr>
            <w:r>
              <w:t xml:space="preserve">29</w:t>
            </w:r>
            <w:r>
              <w:t xml:space="preserve"> meninggal dalam kebakaran Terminal Bahan Bakar Minyak (BBM) Plumpang, Jakarta Utara, per 18 Maret 2023 </w:t>
            </w:r>
            <w:r>
              <w:t xml:space="preserve">(Pemerintah Provinsi DKI Jakarta [Pemprov DKI], 2023)</w:t>
            </w:r>
            <w:r>
              <w:t xml:space="preserve">.</w:t>
            </w:r>
          </w:p>
          <w:p>
            <w:pPr>
              <w:pStyle w:val="DaftarKotak"/>
              <w:numPr>
                <w:ilvl w:val="0"/>
                <w:numId w:val="1"/>
              </w:numPr>
            </w:pPr>
            <w:r>
              <w:t xml:space="preserve">369</w:t>
            </w:r>
            <w:r>
              <w:t xml:space="preserve"> dari </w:t>
            </w:r>
            <w:r>
              <w:t xml:space="preserve">485</w:t>
            </w:r>
            <w:r>
              <w:t xml:space="preserve"> TPA masih "perlu segera bertransformasi" dari pembuangan terbuka pada April 2026 </w:t>
            </w:r>
            <w:r>
              <w:t xml:space="preserve">(Kementerian Lingkungan Hidup/Badan Pengendalian Lingkungan Hidup [KLH/BPLH], 2026d)</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_Ref0092 \h \* CHARFORMAT </w:instrText>
            </w:r>
            <w:r>
              <w:fldChar w:fldCharType="separate"/>
            </w:r>
            <w:r>
              <w:t xml:space="preserve">36</w:t>
            </w:r>
            <w:r>
              <w:fldChar w:fldCharType="end"/>
            </w:r>
            <w:r>
              <w:t xml:space="preserve"> Tetapkan norma pengait status "kejadian luar biasa" (KLB) dan darurat bencana (Usulan baru; Kementerian Kesehatan memimpin lewat rapat koordinasi Kementerian Koordinator Bidang Pembangunan Manusia dan Kebudayaan (Kemenko PMK), BNPB melalui Direktorat Sistem Penanggulangan Bencana dan Deputi Bidang Penanganan Darurat; 2026–2027).</w:t>
            </w:r>
          </w:p>
          <w:p>
            <w:pPr>
              <w:pStyle w:val="DaftarKotak"/>
              <w:numPr>
                <w:ilvl w:val="0"/>
                <w:numId w:val="1"/>
              </w:numPr>
            </w:pPr>
            <w:r>
              <w:fldChar w:fldCharType="begin"/>
            </w:r>
            <w:r>
              <w:instrText xml:space="preserve"> REF _Ref0088 \h \* CHARFORMAT </w:instrText>
            </w:r>
            <w:r>
              <w:fldChar w:fldCharType="separate"/>
            </w:r>
            <w:r>
              <w:t xml:space="preserve">14</w:t>
            </w:r>
            <w:r>
              <w:fldChar w:fldCharType="end"/>
            </w:r>
            <w:r>
              <w:t xml:space="preserve"> Susun pedoman keadaan tertentu Perpres 46/2026 (Sudah ada, perlu dikembangkan; Deputi Bidang Penanganan Darurat dengan Biro Hukum, Organisasi, dan Kerja Sama; rapat koordinasi Kemenko PMK; 100 hari).</w:t>
            </w:r>
          </w:p>
          <w:p>
            <w:pPr>
              <w:pStyle w:val="DaftarKotak"/>
              <w:numPr>
                <w:ilvl w:val="0"/>
                <w:numId w:val="1"/>
              </w:numPr>
            </w:pPr>
            <w:r>
              <w:fldChar w:fldCharType="begin"/>
            </w:r>
            <w:r>
              <w:instrText xml:space="preserve"> REF _Ref0096 \h \* CHARFORMAT </w:instrText>
            </w:r>
            <w:r>
              <w:fldChar w:fldCharType="separate"/>
            </w:r>
            <w:r>
              <w:t xml:space="preserve">23</w:t>
            </w:r>
            <w:r>
              <w:fldChar w:fldCharType="end"/>
            </w:r>
            <w:r>
              <w:t xml:space="preserve"> Tetapkan Perban analisis risiko pembangunan berisiko tinggi (Sudah ada, perlu dikembangkan; Direktorat Pemetaan dan Evaluasi Risiko Bencana dengan Biro Hukum, Organisasi, dan Kerja Sama; Kementerian Energi dan Sumber Daya Mineral (ESDM) dan Kementerian Perindustrian; 2026–2027).</w:t>
            </w:r>
          </w:p>
          <w:p>
            <w:pPr>
              <w:pStyle w:val="DaftarKotak"/>
              <w:numPr>
                <w:ilvl w:val="0"/>
                <w:numId w:val="1"/>
              </w:numPr>
            </w:pPr>
            <w:r>
              <w:fldChar w:fldCharType="begin"/>
            </w:r>
            <w:r>
              <w:instrText xml:space="preserve"> REF _Ref0100 \h \* CHARFORMAT </w:instrText>
            </w:r>
            <w:r>
              <w:fldChar w:fldCharType="separate"/>
            </w:r>
            <w:r>
              <w:t xml:space="preserve">38</w:t>
            </w:r>
            <w:r>
              <w:fldChar w:fldCharType="end"/>
            </w:r>
            <w:r>
              <w:t xml:space="preserve"> Masukkan TPA pembuangan terbuka ke kesiapan kemarau (Usulan baru; KLH/BPLH dan pemerintah kab/kota memimpin, BNPB melalui Direktorat Kesiapsiagaan; 2026–2027).</w:t>
            </w:r>
          </w:p>
          <w:p>
            <w:pPr>
              <w:pStyle w:val="DaftarKotak"/>
              <w:numPr>
                <w:ilvl w:val="0"/>
                <w:numId w:val="1"/>
              </w:numPr>
            </w:pPr>
            <w:r>
              <w:fldChar w:fldCharType="begin"/>
            </w:r>
            <w:r>
              <w:instrText xml:space="preserve"> REF _Ref0093 \h \* CHARFORMAT </w:instrText>
            </w:r>
            <w:r>
              <w:fldChar w:fldCharType="separate"/>
            </w:r>
            <w:r>
              <w:t xml:space="preserve">20</w:t>
            </w:r>
            <w:r>
              <w:fldChar w:fldCharType="end"/>
            </w:r>
            <w:r>
              <w:t xml:space="preserve"> Rapikan pencatatan nonalam dan sosial di Data dan Informasi Bencana Indonesia (DIBI) (Sudah ada, perlu dikembangkan; Pusat Data, Informasi, dan Komunikasi Kebencanaan (Pusdatinkom) dengan Direktorat Koordinasi Pengendalian Operasi Darurat; Kementerian Kesehatan, KLH/BPLH, dan Kementerian ESDM sebagai pemasok data; 2026–2027).</w:t>
            </w:r>
          </w:p>
        </w:tc>
      </w:tr>
    </w:tbl>
    <w:p>
      <w:pPr>
        <w:pStyle w:val="Jarak"/>
      </w:pPr>
    </w:p>
    <w:p>
      <w:pPr>
        <w:pStyle w:val="Heading2"/>
      </w:pPr>
      <w:bookmarkStart w:id="495" w:name="_Toc00157"/>
      <w:bookmarkStart w:id="494" w:name="_Ref0121"/>
      <w:r>
        <w:t xml:space="preserve">8.1</w:t>
      </w:r>
      <w:bookmarkEnd w:id="494"/>
      <w:r>
        <w:tab/>
      </w:r>
      <w:r>
        <w:t xml:space="preserve">Epidemi dan Pandemi</w:t>
      </w:r>
      <w:bookmarkEnd w:id="495"/>
    </w:p>
    <w:p>
      <w:pPr>
        <w:pStyle w:val="Heading3"/>
      </w:pPr>
      <w:bookmarkStart w:id="497" w:name="_Toc00158"/>
      <w:bookmarkStart w:id="496" w:name="_Ref0214"/>
      <w:r>
        <w:t xml:space="preserve">8.1.1</w:t>
      </w:r>
      <w:bookmarkEnd w:id="496"/>
      <w:r>
        <w:tab/>
      </w:r>
      <w:r>
        <w:t xml:space="preserve">Penetapan Status Epidemi dan Status Bencana</w:t>
      </w:r>
      <w:bookmarkEnd w:id="497"/>
    </w:p>
    <w:p>
      <w:pPr>
        <w:pStyle w:val="IsiTemuan"/>
      </w:pPr>
      <w:r>
        <w:rPr>
          <w:b/>
          <w:bCs/>
          <w:color w:val="051C2C"/>
        </w:rPr>
        <w:t xml:space="preserve">Sejak Agustus 2023 satu kejadian epidemi di Indonesia dapat memperoleh status dari dua undang-undang dengan penetap yang berbeda.</w:t>
      </w:r>
      <w:r>
        <w:t xml:space="preserve"> UU 24/2007 Pasal 1 angka 3 menggolongkan epidemi dan wabah penyakit sebagai bencana nonalam </w:t>
      </w:r>
      <w:r>
        <w:t xml:space="preserve">(Republik Indonesia, 2007)</w:t>
      </w:r>
      <w:r>
        <w:t xml:space="preserve">. Kepala daerah atau Menteri wajib menetapkan KLB bila kriterianya terpenuhi dan mencabutnya bila tidak lagi terpenuhi, serta segera menanggulanginya (UU 17/2023 tentang Kesehatan Pasal 353–354); penetapan Daerah Terjangkit Wabah ada pada Menteri (Pasal 368) </w:t>
      </w:r>
      <w:r>
        <w:t xml:space="preserve">(Republik Indonesia, 2023b)</w:t>
      </w:r>
      <w:r>
        <w:t xml:space="preserve">. Status keadaan darurat bencana ditetapkan menurut skala, oleh Presiden sampai bupati/wali kota, dan mencakup siaga darurat sampai transisi darurat ke pemulihan </w:t>
      </w:r>
      <w:r>
        <w:t xml:space="preserve">(Republik Indonesia, 2007, 2018c)</w:t>
      </w:r>
      <w:r>
        <w:t xml:space="preserve">. Pasal 454 UU 17/2023 mencabut UU 4/1984 tentang Wabah Penyakit Menular dan UU 6/2018 tentang Kekarantinaan Kesehatan. Dengan pencabutan itu, kedaruratan kesehatan masyarakat bukan lagi status yang berlaku; istilah itu melekat pada penetapan COVID-19 tahun 2020.</w:t>
      </w:r>
    </w:p>
    <w:p>
      <w:pPr>
        <w:pStyle w:val="IsiTemuan"/>
      </w:pPr>
      <w:r>
        <w:rPr>
          <w:b/>
          <w:bCs/>
          <w:color w:val="051C2C"/>
        </w:rPr>
        <w:t xml:space="preserve">Pengait status kesehatan dengan status bencana hanya tertulis untuk skala nasional, dalam UU 17/2023 Pasal 369–370.</w:t>
      </w:r>
      <w:r>
        <w:t xml:space="preserve"> Bila Wabah berdampak luas, Menteri mengusulkan penetapannya sebagai bencana nasional nonalam dan Presiden menetapkannya </w:t>
      </w:r>
      <w:r>
        <w:t xml:space="preserve">(Republik Indonesia, 2023b)</w:t>
      </w:r>
      <w:r>
        <w:t xml:space="preserve">. Teks lengkap UU 17/2023, Perpres 17/2018 jo. Perpres 46/2026, dan teks rancangan Permenkes 1/2026 tidak memuat norma yang mengaitkan KLB atau Daerah Terjangkit Wabah dengan status keadaan darurat bencana provinsi atau kab/kota</w:t>
      </w:r>
      <w:r>
        <w:rPr>
          <w:rStyle w:val="FootnoteReference"/>
        </w:rPr>
        <w:footnoteReference w:id="3"/>
      </w:r>
      <w:r>
        <w:t xml:space="preserve">. Permenkes 1/2026 justru menambahkan status lain, yaitu Krisis Kesehatan, yang ditetapkan kepala dinas kesehatan atau Menteri. Peraturan itu memasukkan klaster kesehatan ke dalam klaster bencana dan perencanaan krisis kesehatan ke dalam perencanaan PB, tetapi tidak mengaitkan penetapan status </w:t>
      </w:r>
      <w:r>
        <w:t xml:space="preserve">(Kementerian Kesehatan Republik Indonesia [Kemenkes], 2026)</w:t>
      </w:r>
      <w:r>
        <w:t xml:space="preserve">. PP 28/2024 sebagai peraturan pelaksana UU 17/2023 belum dibaca. Simpulan bab ini karena itu terbatas: pengait skala daerah tidak ditemukan pada peraturan yang dibaca, bukan tidak ada.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Paket kelembagaan kajian ini semula menyimpulkan tidak ada norma yang mengaitkan penetapan KLB atau wabah dengan status keadaan darurat bencana (celah C09), dari salinan UU 17/2023 yang tidak lengkap. Teks lengkap memuat pengait skala nasional pada Pasal 369–370; yang tetap tidak ditemukan adalah pengait skala provinsi dan kab/kota. Skor </w:t>
            </w:r>
            <w:r>
              <w:rPr>
                <w:i/>
                <w:iCs/>
              </w:rPr>
              <w:t xml:space="preserve">Joint External Evaluation</w:t>
            </w:r>
            <w:r>
              <w:t xml:space="preserve"> (JEE) 2023 untuk keterkaitan otoritas kesehatan masyarakat dan keamanan, </w:t>
            </w:r>
            <w:r>
              <w:t xml:space="preserve">4</w:t>
            </w:r>
            <w:r>
              <w:t xml:space="preserve"> dari 5, menilai hubungan dengan otoritas keamanan, bukan dengan rezim status bencana, sehingga tidak dapat dipakai sebagai bukti adanya pengait </w:t>
            </w:r>
            <w:r>
              <w:t xml:space="preserve">(World Health Organization, 2024)</w:t>
            </w:r>
            <w:r>
              <w:t xml:space="preserve">.</w:t>
            </w:r>
          </w:p>
        </w:tc>
      </w:tr>
    </w:tbl>
    <w:p>
      <w:pPr>
        <w:pStyle w:val="Jarak"/>
      </w:pPr>
    </w:p>
    <w:p>
      <w:pPr>
        <w:pStyle w:val="IsiTemuan"/>
      </w:pPr>
      <w:r>
        <w:rPr>
          <w:b/>
          <w:bCs/>
          <w:color w:val="051C2C"/>
        </w:rPr>
        <w:t xml:space="preserve">Pada COVID-19 status kesehatan ditetapkan 31 Maret 2020 dan status bencana nasional </w:t>
      </w:r>
      <w:r>
        <w:rPr>
          <w:b/>
          <w:bCs/>
          <w:color w:val="051C2C"/>
        </w:rPr>
        <w:t xml:space="preserve">13 hari</w:t>
      </w:r>
      <w:r>
        <w:rPr>
          <w:b/>
          <w:bCs/>
          <w:color w:val="051C2C"/>
        </w:rPr>
        <w:t xml:space="preserve"> kemudian, lalu keduanya dicabut oleh satu Keppres pada 2023.</w:t>
      </w:r>
      <w:r>
        <w:t xml:space="preserve"> Keppres 11/2020 menetapkan kedaruratan kesehatan masyarakat atas dasar UU 6/2018, sedangkan Keppres 12/2020 menetapkan penyebaran COVID-19 sebagai bencana nasional nonalam atas dasar UU 4/1984 dan UU 24/2007 </w:t>
      </w:r>
      <w:r>
        <w:t xml:space="preserve">(Republik Indonesia, 2020b, 2020c)</w:t>
      </w:r>
      <w:r>
        <w:t xml:space="preserve">. Perpres 82/2020 mengganti Gugus Tugas dengan Komite dan Satuan Tugas Penanganan COVID-19 </w:t>
      </w:r>
      <w:r>
        <w:t xml:space="preserve">(Republik Indonesia, 2020e)</w:t>
      </w:r>
      <w:r>
        <w:t xml:space="preserve">. Keppres 17/2023, yang berlaku 21 Juni 2023, mencabut kedua status sekaligus, dan Perpres 48/2023 mengakhiri Satuan Tugas </w:t>
      </w:r>
      <w:r>
        <w:t xml:space="preserve">(Republik Indonesia, 2023a; Setkab, 2023a)</w:t>
      </w:r>
      <w:r>
        <w:t xml:space="preserve">. Status bencana nasional berlangsung </w:t>
      </w:r>
      <w:r>
        <w:t xml:space="preserve">1.165 hari</w:t>
      </w:r>
      <w:r>
        <w:t xml:space="preserve"> kalender inklusif; Rencana Strategis (Renstra) BNPB mencatat BNPB menjadi Satuan Tugas Penanganan COVID-19 </w:t>
      </w:r>
      <w:r>
        <w:t xml:space="preserve">(BNPB, 2025e, hlm. 56)</w:t>
      </w:r>
      <w:r>
        <w:t xml:space="preserve">.</w:t>
      </w:r>
    </w:p>
    <w:p>
      <w:pPr>
        <w:pStyle w:val="Isi"/>
      </w:pPr>
      <w:r>
        <w:t xml:space="preserve">Kajian ini membaca selisih penetapan itu sebagai jeda keputusan Presiden per kejadian, bukan konflik kewenangan. UU 17/2023 Pasal 369–370 kini menuliskan jalur yang sama sebagai norma, yaitu usul Menteri dan penetapan Presiden. Untuk epidemi skala daerah tidak ditemukan preseden tertulis: kunjungan Kepala BNPB ke Kupang pada Juni 2024 untuk rabies yang disebut bencana nonalam tidak disertai keterangan status yang ditetapkan </w:t>
      </w:r>
      <w:r>
        <w:t xml:space="preserve">(BNPB, 2024h)</w:t>
      </w:r>
      <w:r>
        <w:t xml:space="preserve">. Sejak 16 Juli 2026 Perpres 46/2026 membuka penyelenggaraan PB dalam keadaan tertentu bila ada potensi bencana nonalam dengan tingkat ancaman maksimum, setelah rapat koordinasi menteri koordinator dan dengan pedoman yang ditetapkan Kepala BNPB </w:t>
      </w:r>
      <w:r>
        <w:t xml:space="preserve">(Republik Indonesia, 2026a)</w:t>
      </w:r>
      <w:r>
        <w:t xml:space="preserve">. Pedoman itu adalah instrumen BNPB yang sudah tersedia untuk menuliskan kapan status kesehatan di bawah ambang bencana nasional memicu rapat koordinasi (</w:t>
      </w:r>
      <w:r>
        <w:fldChar w:fldCharType="begin"/>
      </w:r>
      <w:r>
        <w:instrText xml:space="preserve"> REF _Ref0088 \h \* CHARFORMAT </w:instrText>
      </w:r>
      <w:r>
        <w:fldChar w:fldCharType="separate"/>
      </w:r>
      <w:r>
        <w:t xml:space="preserve">14</w:t>
      </w:r>
      <w:r>
        <w:fldChar w:fldCharType="end"/>
      </w:r>
      <w:r>
        <w:t xml:space="preserve">). Tiga jalur status tampil pada </w:t>
      </w:r>
      <w:r>
        <w:fldChar w:fldCharType="begin"/>
      </w:r>
      <w:r>
        <w:instrText xml:space="preserve"> REF _Ref0058 \h \* CHARFORMAT </w:instrText>
      </w:r>
      <w:r>
        <w:fldChar w:fldCharType="separate"/>
      </w:r>
      <w:r>
        <w:t xml:space="preserve">Gambar 8.1</w:t>
      </w:r>
      <w:r>
        <w:fldChar w:fldCharType="end"/>
      </w:r>
      <w:r>
        <w:t xml:space="preserve">.</w:t>
      </w:r>
    </w:p>
    <w:p>
      <w:pPr>
        <w:pStyle w:val="Caption"/>
      </w:pPr>
      <w:bookmarkStart w:id="499" w:name="_Toc00159"/>
      <w:bookmarkStart w:id="498" w:name="_Ref005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498"/>
      <w:r>
        <w:rPr>
          <w:b/>
          <w:bCs/>
          <w:color w:val="051C2C"/>
        </w:rPr>
        <w:t xml:space="preserve"> </w:t>
      </w:r>
      <w:r>
        <w:t xml:space="preserve">Garis waktu penetapan status epidemi menurut rezim bencana, rezim kesehatan, dan krisis kesehatan di Indonesia, 2018–2026</w:t>
      </w:r>
      <w:bookmarkEnd w:id="499"/>
    </w:p>
    <w:p xmlns:a="http://schemas.openxmlformats.org/drawingml/2006/main" xmlns:pic="http://schemas.openxmlformats.org/drawingml/2006/picture">
      <w:pPr>
        <w:keepNext/>
        <w:spacing w:after="0" w:line="240" w:lineRule="auto"/>
        <w:jc w:val="center"/>
      </w:pPr>
      <w:bookmarkStart w:id="500" w:name="_Obj0051"/>
      <w:r>
        <w:drawing>
          <wp:inline distT="0" distB="0" distL="0" distR="0">
            <wp:extent cx="5940000" cy="2857292"/>
            <wp:effectExtent l="0" t="0" r="0" b="0"/>
            <wp:docPr id="147" name="Gambar 147"/>
            <wp:cNvGraphicFramePr>
              <a:graphicFrameLocks noChangeAspect="1"/>
            </wp:cNvGraphicFramePr>
            <a:graphic>
              <a:graphicData uri="http://schemas.openxmlformats.org/drawingml/2006/picture">
                <pic:pic>
                  <pic:nvPicPr>
                    <pic:cNvPr id="147" name="bab08-g23-garis-waktu-status-epidemi.png"/>
                    <pic:cNvPicPr/>
                  </pic:nvPicPr>
                  <pic:blipFill>
                    <a:blip r:embed="rId78"/>
                    <a:stretch>
                      <a:fillRect/>
                    </a:stretch>
                  </pic:blipFill>
                  <pic:spPr>
                    <a:xfrm>
                      <a:off x="0" y="0"/>
                      <a:ext cx="5940000" cy="2857292"/>
                    </a:xfrm>
                    <a:prstGeom prst="rect">
                      <a:avLst/>
                    </a:prstGeom>
                  </pic:spPr>
                </pic:pic>
              </a:graphicData>
            </a:graphic>
          </wp:inline>
        </w:drawing>
      </w:r>
      <w:bookmarkEnd w:id="500"/>
    </w:p>
    <w:p>
      <w:pPr>
        <w:pStyle w:val="Sumber"/>
        <w:spacing w:after="40"/>
      </w:pPr>
      <w:r>
        <w:rPr>
          <w:b/>
          <w:bCs/>
          <w:color w:val="6B7280"/>
          <w:sz w:val="17"/>
          <w:szCs w:val="17"/>
        </w:rPr>
        <w:t xml:space="preserve">Sumber: </w:t>
      </w:r>
      <w:r>
        <w:rPr>
          <w:color w:val="6B7280"/>
          <w:sz w:val="17"/>
          <w:szCs w:val="17"/>
        </w:rPr>
        <w:t xml:space="preserve">Keppres 11/2020, 12/2020, dan 17/2023; Perpres 17/2018, 82/2020, 48/2023, dan 46/2026; UU 17/2023; Permenkes 1/2026 (teks rancangan); pengolahan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Satu jalur per rezim. Penghubung jalur kesehatan ke jalur bencana hanya pada skala nasional (UU 17/2023 Pasal 369–370, diundangkan 8 Agustus 2023); skala daerah tanpa penghubung. Jalur Krisis Kesehatan berpil teks rancangan sampai salinan final dibaca.</w:t>
      </w:r>
    </w:p>
    <w:p>
      <w:pPr>
        <w:pStyle w:val="Heading3"/>
      </w:pPr>
      <w:bookmarkStart w:id="502" w:name="_Toc00160"/>
      <w:bookmarkStart w:id="501" w:name="_Ref0115"/>
      <w:r>
        <w:t xml:space="preserve">8.1.2</w:t>
      </w:r>
      <w:bookmarkEnd w:id="501"/>
      <w:r>
        <w:tab/>
      </w:r>
      <w:r>
        <w:t xml:space="preserve">Analog Pandemi COVID-19</w:t>
      </w:r>
      <w:bookmarkEnd w:id="502"/>
    </w:p>
    <w:p>
      <w:pPr>
        <w:pStyle w:val="IsiTemuan"/>
      </w:pPr>
      <w:r>
        <w:rPr>
          <w:b/>
          <w:bCs/>
          <w:color w:val="051C2C"/>
        </w:rPr>
        <w:t xml:space="preserve">Kementerian Kesehatan mencatat </w:t>
      </w:r>
      <w:r>
        <w:rPr>
          <w:b/>
          <w:bCs/>
          <w:color w:val="051C2C"/>
        </w:rPr>
        <w:t xml:space="preserve">6.811.945</w:t>
      </w:r>
      <w:r>
        <w:rPr>
          <w:b/>
          <w:bCs/>
          <w:color w:val="051C2C"/>
        </w:rPr>
        <w:t xml:space="preserve"> kasus terkonfirmasi dan </w:t>
      </w:r>
      <w:r>
        <w:rPr>
          <w:b/>
          <w:bCs/>
          <w:color w:val="051C2C"/>
        </w:rPr>
        <w:t xml:space="preserve">161.870</w:t>
      </w:r>
      <w:r>
        <w:rPr>
          <w:b/>
          <w:bCs/>
          <w:color w:val="051C2C"/>
        </w:rPr>
        <w:t xml:space="preserve"> meninggal akibat COVID-19 di Indonesia sampai sekitar akhir Juni 2023.</w:t>
      </w:r>
      <w:r>
        <w:t xml:space="preserve"> Angka itu dikutip Renstra BNPB </w:t>
      </w:r>
      <w:r>
        <w:t xml:space="preserve">(BNPB, 2025e, hlm. 14)</w:t>
      </w:r>
      <w:r>
        <w:t xml:space="preserve">. Kumulatif WHO sebesar </w:t>
      </w:r>
      <w:r>
        <w:t xml:space="preserve">162.059</w:t>
      </w:r>
      <w:r>
        <w:t xml:space="preserve"> adalah pemutakhiran sesudahnya, bukan angka yang bertentangan </w:t>
      </w:r>
      <w:r>
        <w:t xml:space="preserve">(WHO, 2026c)</w:t>
      </w:r>
      <w:r>
        <w:t xml:space="preserve">. Kematian terlapor </w:t>
      </w:r>
      <w:r>
        <w:t xml:space="preserve">22.138</w:t>
      </w:r>
      <w:r>
        <w:t xml:space="preserve"> pada 2020 dan </w:t>
      </w:r>
      <w:r>
        <w:t xml:space="preserve">121.956</w:t>
      </w:r>
      <w:r>
        <w:t xml:space="preserve"> pada 2021, dengan minggu puncak </w:t>
      </w:r>
      <w:r>
        <w:t xml:space="preserve">12.444</w:t>
      </w:r>
      <w:r>
        <w:t xml:space="preserve"> meninggal pada pekan 26 Juli sampai 1 Agustus 2021, saat gelombang Delta </w:t>
      </w:r>
      <w:r>
        <w:t xml:space="preserve">(Satuan Tugas Penanganan COVID-19, 2022)</w:t>
      </w:r>
      <w:r>
        <w:t xml:space="preserve">. Data provinsi berhenti pada 30 September 2022. Pada tanggal itu kematian per 100.000 penduduk tertinggi tercatat di DI Yogyakarta (</w:t>
      </w:r>
      <w:r>
        <w:t xml:space="preserve">161,4</w:t>
      </w:r>
      <w:r>
        <w:t xml:space="preserve">) dan jumlah terbanyak di Jawa Tengah (</w:t>
      </w:r>
      <w:r>
        <w:t xml:space="preserve">33.543</w:t>
      </w:r>
      <w:r>
        <w:t xml:space="preserve">). DIBI tidak memuat satu baris pun untuk COVID-19 </w:t>
      </w:r>
      <w:r>
        <w:t xml:space="preserve">(BNPB, t.t.-a)</w:t>
      </w:r>
      <w:r>
        <w:t xml:space="preserve">.</w:t>
      </w:r>
    </w:p>
    <w:p>
      <w:pPr>
        <w:pStyle w:val="IsiTemuan"/>
      </w:pPr>
      <w:r>
        <w:rPr>
          <w:b/>
          <w:bCs/>
          <w:color w:val="051C2C"/>
        </w:rPr>
        <w:t xml:space="preserve">Model WHO memperkirakan kematian berlebih Indonesia 2020–2021 sebesar </w:t>
      </w:r>
      <w:r>
        <w:rPr>
          <w:b/>
          <w:bCs/>
          <w:color w:val="051C2C"/>
        </w:rPr>
        <w:t xml:space="preserve">810.000–1.300.000</w:t>
      </w:r>
      <w:r>
        <w:rPr>
          <w:b/>
          <w:bCs/>
          <w:color w:val="051C2C"/>
        </w:rPr>
        <w:t xml:space="preserve"> jiwa, </w:t>
      </w:r>
      <w:r>
        <w:rPr>
          <w:b/>
          <w:bCs/>
          <w:color w:val="051C2C"/>
        </w:rPr>
        <w:t xml:space="preserve">5,6–9,3</w:t>
      </w:r>
      <w:r>
        <w:rPr>
          <w:b/>
          <w:bCs/>
          <w:color w:val="051C2C"/>
        </w:rPr>
        <w:t xml:space="preserve"> kali </w:t>
      </w:r>
      <w:r>
        <w:rPr>
          <w:b/>
          <w:bCs/>
          <w:color w:val="051C2C"/>
        </w:rPr>
        <w:t xml:space="preserve">144.094</w:t>
      </w:r>
      <w:r>
        <w:rPr>
          <w:b/>
          <w:bCs/>
          <w:color w:val="051C2C"/>
        </w:rPr>
        <w:t xml:space="preserve"> kematian terlapor.</w:t>
      </w:r>
      <w:r>
        <w:t xml:space="preserve"> Rentang tahunannya </w:t>
      </w:r>
      <w:r>
        <w:t xml:space="preserve">200.000–520.000</w:t>
      </w:r>
      <w:r>
        <w:t xml:space="preserve"> pada 2020 dan </w:t>
      </w:r>
      <w:r>
        <w:t xml:space="preserve">540.000–890.000</w:t>
      </w:r>
      <w:r>
        <w:t xml:space="preserve"> pada 2021, pada selang kepercayaan 95% </w:t>
      </w:r>
      <w:r>
        <w:t xml:space="preserve">(WHO, 2023)</w:t>
      </w:r>
      <w:r>
        <w:t xml:space="preserve">. WHO memodelkan Indonesia dari data kematian bulanan Jakarta dan data tahunan historis, dan menyatakan hasilnya bukan statistik resmi nasional. Rentang itu menunjukkan kematian semua sebab jauh di atas kematian COVID-19 terlapor. Batas atasnya dua pertiga lebih tinggi daripada batas bawah dan basis datanya satu kota, sehingga kajian ini memakainya sebagai pembanding, bukan pengganti angka tercatat. Perbandingan per tahun tampil pada </w:t>
      </w:r>
      <w:r>
        <w:fldChar w:fldCharType="begin"/>
      </w:r>
      <w:r>
        <w:instrText xml:space="preserve"> REF _Ref0042 \h \* CHARFORMAT </w:instrText>
      </w:r>
      <w:r>
        <w:fldChar w:fldCharType="separate"/>
      </w:r>
      <w:r>
        <w:t xml:space="preserve">Gambar 8.2</w:t>
      </w:r>
      <w:r>
        <w:fldChar w:fldCharType="end"/>
      </w:r>
      <w:r>
        <w:t xml:space="preserve">.</w:t>
      </w:r>
    </w:p>
    <w:p>
      <w:pPr>
        <w:pStyle w:val="Caption"/>
      </w:pPr>
      <w:bookmarkStart w:id="504" w:name="_Toc00161"/>
      <w:bookmarkStart w:id="503" w:name="_Ref004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503"/>
      <w:r>
        <w:rPr>
          <w:b/>
          <w:bCs/>
          <w:color w:val="051C2C"/>
        </w:rPr>
        <w:t xml:space="preserve"> </w:t>
      </w:r>
      <w:r>
        <w:t xml:space="preserve">Kematian COVID-19 terlapor per pekan di Indonesia, Maret 2020–Juni 2023 (jiwa)</w:t>
      </w:r>
      <w:bookmarkEnd w:id="504"/>
    </w:p>
    <w:p xmlns:a="http://schemas.openxmlformats.org/drawingml/2006/main" xmlns:pic="http://schemas.openxmlformats.org/drawingml/2006/picture">
      <w:pPr>
        <w:keepNext/>
        <w:spacing w:after="0" w:line="240" w:lineRule="auto"/>
        <w:jc w:val="center"/>
      </w:pPr>
      <w:bookmarkStart w:id="505" w:name="_Obj0052"/>
      <w:r>
        <w:drawing>
          <wp:inline distT="0" distB="0" distL="0" distR="0">
            <wp:extent cx="5940000" cy="2857292"/>
            <wp:effectExtent l="0" t="0" r="0" b="0"/>
            <wp:docPr id="148" name="Gambar 148"/>
            <wp:cNvGraphicFramePr>
              <a:graphicFrameLocks noChangeAspect="1"/>
            </wp:cNvGraphicFramePr>
            <a:graphic>
              <a:graphicData uri="http://schemas.openxmlformats.org/drawingml/2006/picture">
                <pic:pic>
                  <pic:nvPicPr>
                    <pic:cNvPr id="148" name="bab08-g11-kematian-covid19-pekan.png"/>
                    <pic:cNvPicPr/>
                  </pic:nvPicPr>
                  <pic:blipFill>
                    <a:blip r:embed="rId79"/>
                    <a:stretch>
                      <a:fillRect/>
                    </a:stretch>
                  </pic:blipFill>
                  <pic:spPr>
                    <a:xfrm>
                      <a:off x="0" y="0"/>
                      <a:ext cx="5940000" cy="2857292"/>
                    </a:xfrm>
                    <a:prstGeom prst="rect">
                      <a:avLst/>
                    </a:prstGeom>
                  </pic:spPr>
                </pic:pic>
              </a:graphicData>
            </a:graphic>
          </wp:inline>
        </w:drawing>
      </w:r>
      <w:bookmarkEnd w:id="505"/>
    </w:p>
    <w:p>
      <w:pPr>
        <w:pStyle w:val="Sumber"/>
        <w:spacing w:after="40"/>
      </w:pPr>
      <w:r>
        <w:rPr>
          <w:b/>
          <w:bCs/>
          <w:color w:val="6B7280"/>
          <w:sz w:val="17"/>
          <w:szCs w:val="17"/>
        </w:rPr>
        <w:t xml:space="preserve">Sumber: </w:t>
      </w:r>
      <w:r>
        <w:rPr>
          <w:color w:val="6B7280"/>
          <w:sz w:val="17"/>
          <w:szCs w:val="17"/>
        </w:rPr>
        <w:t xml:space="preserve">WHO, data global COVID-19 (laporan Kementerian Kesehatan)</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Garis mingguan adalah kematian terlapor. Kematian berlebih tahunan menurut model WHO ditulis di teks dan tidak digambar, karena estimasinya tahunan.</w:t>
      </w:r>
    </w:p>
    <w:p>
      <w:pPr>
        <w:pStyle w:val="IsiTemuan"/>
      </w:pPr>
      <w:r>
        <w:rPr>
          <w:b/>
          <w:bCs/>
          <w:color w:val="051C2C"/>
        </w:rPr>
        <w:t xml:space="preserve">Cakupan imunisasi DTP3 (vaksin difteri-tetanus-pertusis dosis ketiga) anak usia satu tahun di Indonesia turun dari </w:t>
      </w:r>
      <w:r>
        <w:rPr>
          <w:b/>
          <w:bCs/>
          <w:color w:val="051C2C"/>
        </w:rPr>
        <w:t xml:space="preserve">85%</w:t>
      </w:r>
      <w:r>
        <w:rPr>
          <w:b/>
          <w:bCs/>
          <w:color w:val="051C2C"/>
        </w:rPr>
        <w:t xml:space="preserve"> pada 2019 menjadi </w:t>
      </w:r>
      <w:r>
        <w:rPr>
          <w:b/>
          <w:bCs/>
          <w:color w:val="051C2C"/>
        </w:rPr>
        <w:t xml:space="preserve">67%</w:t>
      </w:r>
      <w:r>
        <w:rPr>
          <w:b/>
          <w:bCs/>
          <w:color w:val="051C2C"/>
        </w:rPr>
        <w:t xml:space="preserve"> pada 2021.</w:t>
      </w:r>
      <w:r>
        <w:t xml:space="preserve"> Pada periode yang sama cakupan campak dosis pertama (MCV1) turun dari </w:t>
      </w:r>
      <w:r>
        <w:t xml:space="preserve">88%</w:t>
      </w:r>
      <w:r>
        <w:t xml:space="preserve"> menjadi </w:t>
      </w:r>
      <w:r>
        <w:t xml:space="preserve">72%</w:t>
      </w:r>
      <w:r>
        <w:t xml:space="preserve">, dan notifikasi tuberkulosis turun dari </w:t>
      </w:r>
      <w:r>
        <w:t xml:space="preserve">566.846</w:t>
      </w:r>
      <w:r>
        <w:t xml:space="preserve"> kasus pada 2019 menjadi </w:t>
      </w:r>
      <w:r>
        <w:t xml:space="preserve">393.323</w:t>
      </w:r>
      <w:r>
        <w:t xml:space="preserve"> pada 2020 </w:t>
      </w:r>
      <w:r>
        <w:t xml:space="preserve">(WHO, 2026a)</w:t>
      </w:r>
      <w:r>
        <w:t xml:space="preserve">. DTP3 naik pada 2022 lalu turun lagi pada 2023 dan 2024, sehingga cakupannya belum dapat disebut pulih. Sumber data tidak menyatakan sebab penurunan; kaitannya dengan pandemi adalah penilaian kajian ini, dan penurunan 2023–2024 tidak dikaitkan.</w:t>
      </w:r>
    </w:p>
    <w:p>
      <w:pPr>
        <w:pStyle w:val="Isi"/>
      </w:pPr>
      <w:r>
        <w:t xml:space="preserve">Penilaian kerugian ekonomi COVID-19 yang resmi tidak ditemukan. Pagu BNPB 2020 dan 2021 yang memuat alokasi COVID-19 adalah anggaran penanganan, bukan kerugian </w:t>
      </w:r>
      <w:r>
        <w:t xml:space="preserve">(BNPB, 2025e, hlm. 55–56)</w:t>
      </w:r>
      <w:r>
        <w:t xml:space="preserve">. Skenario pandemi resmi berangka juga tidak ada; Kepmenkes 300/2009 hanya memuat tingkat kematian kasus pandemi historis sebagai narasi </w:t>
      </w:r>
      <w:r>
        <w:t xml:space="preserve">(Kemenkes, 2009)</w:t>
      </w:r>
      <w:r>
        <w:t xml:space="preserve">.</w:t>
      </w:r>
    </w:p>
    <w:p>
      <w:pPr>
        <w:pStyle w:val="IsiTemuan"/>
      </w:pPr>
      <w:r>
        <w:rPr>
          <w:b/>
          <w:bCs/>
          <w:color w:val="051C2C"/>
        </w:rPr>
        <w:t xml:space="preserve">Kajian Risiko Bencana (KRB) 2022–2026 mencatat </w:t>
      </w:r>
      <w:r>
        <w:rPr>
          <w:b/>
          <w:bCs/>
          <w:color w:val="051C2C"/>
        </w:rPr>
        <w:t xml:space="preserve">1.181.863 ha</w:t>
      </w:r>
      <w:r>
        <w:rPr>
          <w:b/>
          <w:bCs/>
          <w:color w:val="051C2C"/>
        </w:rPr>
        <w:t xml:space="preserve"> kelas bahaya tinggi COVID-19, </w:t>
      </w:r>
      <w:r>
        <w:rPr>
          <w:b/>
          <w:bCs/>
          <w:color w:val="051C2C"/>
        </w:rPr>
        <w:t xml:space="preserve">971.660 ha</w:t>
      </w:r>
      <w:r>
        <w:rPr>
          <w:b/>
          <w:bCs/>
          <w:color w:val="051C2C"/>
        </w:rPr>
        <w:t xml:space="preserve"> di antaranya di Pulau Jawa.</w:t>
      </w:r>
      <w:r>
        <w:t xml:space="preserve"> Kelas risiko tinggi terpusat di Papua dengan </w:t>
      </w:r>
      <w:r>
        <w:t xml:space="preserve">3.716 ha</w:t>
      </w:r>
      <w:r>
        <w:t xml:space="preserve">, menurut tabel KRB dalam Rencana Nasional Penanggulangan Bencana (Renas PB) 2025–2029 </w:t>
      </w:r>
      <w:r>
        <w:t xml:space="preserve">(BNPB, 2025c)</w:t>
      </w:r>
      <w:r>
        <w:t xml:space="preserve">. Kajian ini membaca perbedaan itu sebagai akibat kelas bahaya yang mengikuti kepadatan penduduk dan kelas risiko yang memperhitungkan kapasitas; angka ini tidak dipakai untuk memeringkat provinsi. Penduduk terpapar COVID-19 maupun epidemi dan wabah penyakit adalah praktis seluruh penduduk (</w:t>
      </w:r>
      <w:r>
        <w:fldChar w:fldCharType="begin"/>
      </w:r>
      <w:r>
        <w:instrText xml:space="preserve"> REF _Ref0306 \h \* CHARFORMAT </w:instrText>
      </w:r>
      <w:r>
        <w:fldChar w:fldCharType="separate"/>
      </w:r>
      <w:r>
        <w:t xml:space="preserve">Tabel 8.1</w:t>
      </w:r>
      <w:r>
        <w:fldChar w:fldCharType="end"/>
      </w:r>
      <w:r>
        <w:t xml:space="preserve">). Oleh sebab itu, kartu analog pandemi pada </w:t>
      </w:r>
      <w:r>
        <w:fldChar w:fldCharType="begin"/>
      </w:r>
      <w:r>
        <w:instrText xml:space="preserve"> REF _Ref0291 \h \* CHARFORMAT </w:instrText>
      </w:r>
      <w:r>
        <w:fldChar w:fldCharType="separate"/>
      </w:r>
      <w:r>
        <w:t xml:space="preserve">Tabel 8.2</w:t>
      </w:r>
      <w:r>
        <w:fldChar w:fldCharType="end"/>
      </w:r>
      <w:r>
        <w:t xml:space="preserve"> tidak mengalikan penduduk terpapar dan tidak memproyeksikan korban per wilayah.</w:t>
      </w:r>
    </w:p>
    <w:p>
      <w:pPr>
        <w:pStyle w:val="Caption"/>
      </w:pPr>
      <w:bookmarkStart w:id="507" w:name="_Toc00162"/>
      <w:bookmarkStart w:id="506" w:name="_Ref030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06"/>
      <w:r>
        <w:rPr>
          <w:b/>
          <w:bCs/>
          <w:color w:val="051C2C"/>
        </w:rPr>
        <w:t xml:space="preserve"> </w:t>
      </w:r>
      <w:r>
        <w:t xml:space="preserve">Luas bahaya, penduduk terpapar, dan potensi kerugian bencana nonalam nasional menurut KRB 2022–2026</w:t>
      </w:r>
      <w:bookmarkEnd w:id="50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05"/>
        <w:gridCol w:w="2284"/>
        <w:gridCol w:w="2284"/>
        <w:gridCol w:w="1381"/>
      </w:tblGrid>
      <w:tr>
        <w:trPr>
          <w:cantSplit/>
          <w:tblHeader/>
        </w:trPr>
        <w:tc>
          <w:tcPr>
            <w:tcW w:w="3405" w:type="dxa"/>
            <w:shd w:val="clear" w:color="auto" w:fill="051C2C"/>
            <w:vAlign w:val="center"/>
          </w:tcPr>
          <w:p>
            <w:pPr>
              <w:pStyle w:val="KepalaTabel"/>
              <w:suppressAutoHyphens/>
            </w:pPr>
            <w:r>
              <w:t xml:space="preserve">BESARAN</w:t>
            </w:r>
          </w:p>
        </w:tc>
        <w:tc>
          <w:tcPr>
            <w:tcW w:w="2284" w:type="dxa"/>
            <w:shd w:val="clear" w:color="auto" w:fill="051C2C"/>
            <w:vAlign w:val="center"/>
          </w:tcPr>
          <w:p>
            <w:pPr>
              <w:pStyle w:val="KepalaTabel"/>
              <w:suppressAutoHyphens/>
            </w:pPr>
            <w:r>
              <w:t xml:space="preserve">COVID-19</w:t>
            </w:r>
          </w:p>
        </w:tc>
        <w:tc>
          <w:tcPr>
            <w:tcW w:w="2284" w:type="dxa"/>
            <w:shd w:val="clear" w:color="auto" w:fill="051C2C"/>
            <w:vAlign w:val="center"/>
          </w:tcPr>
          <w:p>
            <w:pPr>
              <w:pStyle w:val="KepalaTabel"/>
              <w:suppressAutoHyphens/>
            </w:pPr>
            <w:r>
              <w:t xml:space="preserve">EPIDEMI DAN WABAH PENYAKIT</w:t>
            </w:r>
          </w:p>
        </w:tc>
        <w:tc>
          <w:tcPr>
            <w:tcW w:w="1381" w:type="dxa"/>
            <w:shd w:val="clear" w:color="auto" w:fill="051C2C"/>
            <w:vAlign w:val="center"/>
          </w:tcPr>
          <w:p>
            <w:pPr>
              <w:pStyle w:val="KepalaTabel"/>
              <w:suppressAutoHyphens/>
            </w:pPr>
            <w:r>
              <w:t xml:space="preserve">KEGAGALAN TEKNOLOGI</w:t>
            </w:r>
          </w:p>
        </w:tc>
      </w:tr>
      <w:tr>
        <w:trPr>
          <w:cantSplit/>
        </w:trPr>
        <w:tc>
          <w:tcPr>
            <w:tcW w:w="3405" w:type="dxa"/>
          </w:tcPr>
          <w:p>
            <w:pPr>
              <w:pStyle w:val="IsiTabel"/>
              <w:suppressAutoHyphens/>
              <w:jc w:val="left"/>
            </w:pPr>
            <w:r>
              <w:t xml:space="preserve">Luas bahaya total (ha)</w:t>
            </w:r>
          </w:p>
        </w:tc>
        <w:tc>
          <w:tcPr>
            <w:tcW w:w="2284" w:type="dxa"/>
          </w:tcPr>
          <w:p>
            <w:pPr>
              <w:pStyle w:val="IsiTabel"/>
              <w:suppressAutoHyphens/>
              <w:jc w:val="right"/>
            </w:pPr>
            <w:r>
              <w:t xml:space="preserve">192.473.073</w:t>
            </w:r>
          </w:p>
        </w:tc>
        <w:tc>
          <w:tcPr>
            <w:tcW w:w="2284" w:type="dxa"/>
          </w:tcPr>
          <w:p>
            <w:pPr>
              <w:pStyle w:val="IsiTabel"/>
              <w:suppressAutoHyphens/>
              <w:jc w:val="right"/>
            </w:pPr>
            <w:r>
              <w:t xml:space="preserve">192.473.075</w:t>
            </w:r>
          </w:p>
        </w:tc>
        <w:tc>
          <w:tcPr>
            <w:tcW w:w="1381" w:type="dxa"/>
          </w:tcPr>
          <w:p>
            <w:pPr>
              <w:pStyle w:val="IsiTabel"/>
              <w:suppressAutoHyphens/>
              <w:jc w:val="right"/>
            </w:pPr>
            <w:r>
              <w:t xml:space="preserve">186.940</w:t>
            </w:r>
          </w:p>
        </w:tc>
      </w:tr>
      <w:tr>
        <w:trPr>
          <w:cantSplit/>
        </w:trPr>
        <w:tc>
          <w:tcPr>
            <w:tcW w:w="3405" w:type="dxa"/>
          </w:tcPr>
          <w:p>
            <w:pPr>
              <w:pStyle w:val="IsiTabel"/>
              <w:suppressAutoHyphens/>
              <w:jc w:val="left"/>
            </w:pPr>
            <w:r>
              <w:t xml:space="preserve">Luas bahaya sedang (ha)</w:t>
            </w:r>
          </w:p>
        </w:tc>
        <w:tc>
          <w:tcPr>
            <w:tcW w:w="2284" w:type="dxa"/>
          </w:tcPr>
          <w:p>
            <w:pPr>
              <w:pStyle w:val="IsiTabel"/>
              <w:suppressAutoHyphens/>
              <w:jc w:val="right"/>
            </w:pPr>
            <w:r>
              <w:t xml:space="preserve">3.433.775</w:t>
            </w:r>
          </w:p>
        </w:tc>
        <w:tc>
          <w:tcPr>
            <w:tcW w:w="2284" w:type="dxa"/>
          </w:tcPr>
          <w:p>
            <w:pPr>
              <w:pStyle w:val="IsiTabel"/>
              <w:suppressAutoHyphens/>
              <w:jc w:val="right"/>
            </w:pPr>
            <w:r>
              <w:t xml:space="preserve">1.217.305</w:t>
            </w:r>
          </w:p>
        </w:tc>
        <w:tc>
          <w:tcPr>
            <w:tcW w:w="1381" w:type="dxa"/>
          </w:tcPr>
          <w:p>
            <w:pPr>
              <w:pStyle w:val="IsiTabel"/>
              <w:suppressAutoHyphens/>
              <w:jc w:val="right"/>
            </w:pPr>
            <w:r>
              <w:t xml:space="preserve">3.794</w:t>
            </w:r>
          </w:p>
        </w:tc>
      </w:tr>
      <w:tr>
        <w:trPr>
          <w:cantSplit/>
        </w:trPr>
        <w:tc>
          <w:tcPr>
            <w:tcW w:w="3405" w:type="dxa"/>
          </w:tcPr>
          <w:p>
            <w:pPr>
              <w:pStyle w:val="IsiTabel"/>
              <w:suppressAutoHyphens/>
              <w:jc w:val="left"/>
            </w:pPr>
            <w:r>
              <w:t xml:space="preserve">Luas bahaya tinggi (ha)</w:t>
            </w:r>
          </w:p>
        </w:tc>
        <w:tc>
          <w:tcPr>
            <w:tcW w:w="2284" w:type="dxa"/>
          </w:tcPr>
          <w:p>
            <w:pPr>
              <w:pStyle w:val="IsiTabel"/>
              <w:suppressAutoHyphens/>
              <w:jc w:val="right"/>
            </w:pPr>
            <w:r>
              <w:t xml:space="preserve">1.181.863</w:t>
            </w:r>
          </w:p>
        </w:tc>
        <w:tc>
          <w:tcPr>
            <w:tcW w:w="2284" w:type="dxa"/>
          </w:tcPr>
          <w:p>
            <w:pPr>
              <w:pStyle w:val="IsiTabel"/>
              <w:suppressAutoHyphens/>
              <w:jc w:val="right"/>
            </w:pPr>
            <w:r>
              <w:t xml:space="preserve">385.762</w:t>
            </w:r>
          </w:p>
        </w:tc>
        <w:tc>
          <w:tcPr>
            <w:tcW w:w="1381" w:type="dxa"/>
          </w:tcPr>
          <w:p>
            <w:pPr>
              <w:pStyle w:val="IsiTabel"/>
              <w:suppressAutoHyphens/>
              <w:jc w:val="right"/>
            </w:pPr>
            <w:r>
              <w:t xml:space="preserve">3.600</w:t>
            </w:r>
          </w:p>
        </w:tc>
      </w:tr>
      <w:tr>
        <w:trPr>
          <w:cantSplit/>
        </w:trPr>
        <w:tc>
          <w:tcPr>
            <w:tcW w:w="3405" w:type="dxa"/>
          </w:tcPr>
          <w:p>
            <w:pPr>
              <w:pStyle w:val="IsiTabel"/>
              <w:suppressAutoHyphens/>
              <w:jc w:val="left"/>
            </w:pPr>
            <w:r>
              <w:t xml:space="preserve">Penduduk terpapar (jiwa)</w:t>
            </w:r>
          </w:p>
        </w:tc>
        <w:tc>
          <w:tcPr>
            <w:tcW w:w="2284" w:type="dxa"/>
          </w:tcPr>
          <w:p>
            <w:pPr>
              <w:pStyle w:val="IsiTabel"/>
              <w:suppressAutoHyphens/>
              <w:jc w:val="right"/>
            </w:pPr>
            <w:r>
              <w:t xml:space="preserve">praktis seluruh penduduk</w:t>
            </w:r>
          </w:p>
        </w:tc>
        <w:tc>
          <w:tcPr>
            <w:tcW w:w="2284" w:type="dxa"/>
          </w:tcPr>
          <w:p>
            <w:pPr>
              <w:pStyle w:val="IsiTabel"/>
              <w:suppressAutoHyphens/>
              <w:jc w:val="right"/>
            </w:pPr>
            <w:r>
              <w:t xml:space="preserve">praktis seluruh penduduk</w:t>
            </w:r>
          </w:p>
        </w:tc>
        <w:tc>
          <w:tcPr>
            <w:tcW w:w="1381" w:type="dxa"/>
          </w:tcPr>
          <w:p>
            <w:pPr>
              <w:pStyle w:val="IsiTabel"/>
              <w:suppressAutoHyphens/>
              <w:jc w:val="right"/>
            </w:pPr>
            <w:r>
              <w:t xml:space="preserve">713.784</w:t>
            </w:r>
          </w:p>
        </w:tc>
      </w:tr>
      <w:tr>
        <w:trPr>
          <w:cantSplit/>
        </w:trPr>
        <w:tc>
          <w:tcPr>
            <w:tcW w:w="3405" w:type="dxa"/>
          </w:tcPr>
          <w:p>
            <w:pPr>
              <w:pStyle w:val="IsiTabel"/>
              <w:keepNext/>
              <w:suppressAutoHyphens/>
              <w:jc w:val="left"/>
            </w:pPr>
            <w:bookmarkStart w:id="508" w:name="_Ekor061a"/>
            <w:bookmarkEnd w:id="508"/>
            <w:r>
              <w:t xml:space="preserve">Terpapar kelompok umur rentan (jiwa)</w:t>
            </w:r>
          </w:p>
        </w:tc>
        <w:tc>
          <w:tcPr>
            <w:tcW w:w="2284" w:type="dxa"/>
          </w:tcPr>
          <w:p>
            <w:pPr>
              <w:pStyle w:val="IsiTabel"/>
              <w:keepNext/>
              <w:suppressAutoHyphens/>
              <w:jc w:val="right"/>
            </w:pPr>
            <w:r>
              <w:t xml:space="preserve">28.208.985</w:t>
            </w:r>
          </w:p>
        </w:tc>
        <w:tc>
          <w:tcPr>
            <w:tcW w:w="2284" w:type="dxa"/>
          </w:tcPr>
          <w:p>
            <w:pPr>
              <w:pStyle w:val="IsiTabel"/>
              <w:keepNext/>
              <w:suppressAutoHyphens/>
              <w:jc w:val="right"/>
            </w:pPr>
            <w:r>
              <w:t xml:space="preserve">28.208.985</w:t>
            </w:r>
          </w:p>
        </w:tc>
        <w:tc>
          <w:tcPr>
            <w:tcW w:w="1381" w:type="dxa"/>
          </w:tcPr>
          <w:p>
            <w:pPr>
              <w:pStyle w:val="IsiTabel"/>
              <w:keepNext/>
              <w:suppressAutoHyphens/>
              <w:jc w:val="right"/>
            </w:pPr>
            <w:r>
              <w:t xml:space="preserve">94.387</w:t>
            </w:r>
          </w:p>
        </w:tc>
      </w:tr>
      <w:tr>
        <w:trPr>
          <w:cantSplit/>
        </w:trPr>
        <w:tc>
          <w:tcPr>
            <w:tcW w:w="3405" w:type="dxa"/>
          </w:tcPr>
          <w:p>
            <w:pPr>
              <w:pStyle w:val="IsiTabel"/>
              <w:keepNext/>
              <w:suppressAutoHyphens/>
              <w:jc w:val="left"/>
            </w:pPr>
            <w:r>
              <w:t xml:space="preserve">Terpapar penduduk miskin (jiwa)</w:t>
            </w:r>
          </w:p>
        </w:tc>
        <w:tc>
          <w:tcPr>
            <w:tcW w:w="2284" w:type="dxa"/>
          </w:tcPr>
          <w:p>
            <w:pPr>
              <w:pStyle w:val="IsiTabel"/>
              <w:keepNext/>
              <w:suppressAutoHyphens/>
              <w:jc w:val="right"/>
            </w:pPr>
            <w:r>
              <w:t xml:space="preserve">27.413.330</w:t>
            </w:r>
          </w:p>
        </w:tc>
        <w:tc>
          <w:tcPr>
            <w:tcW w:w="2284" w:type="dxa"/>
          </w:tcPr>
          <w:p>
            <w:pPr>
              <w:pStyle w:val="IsiTabel"/>
              <w:keepNext/>
              <w:suppressAutoHyphens/>
              <w:jc w:val="right"/>
            </w:pPr>
            <w:r>
              <w:t xml:space="preserve">27.413.330</w:t>
            </w:r>
          </w:p>
        </w:tc>
        <w:tc>
          <w:tcPr>
            <w:tcW w:w="1381" w:type="dxa"/>
          </w:tcPr>
          <w:p>
            <w:pPr>
              <w:pStyle w:val="IsiTabel"/>
              <w:keepNext/>
              <w:suppressAutoHyphens/>
              <w:jc w:val="right"/>
            </w:pPr>
            <w:r>
              <w:t xml:space="preserve">221.154</w:t>
            </w:r>
          </w:p>
        </w:tc>
      </w:tr>
      <w:tr>
        <w:trPr>
          <w:cantSplit/>
        </w:trPr>
        <w:tc>
          <w:tcPr>
            <w:tcW w:w="3405" w:type="dxa"/>
          </w:tcPr>
          <w:p>
            <w:pPr>
              <w:pStyle w:val="IsiTabel"/>
              <w:keepNext/>
              <w:suppressAutoHyphens/>
              <w:jc w:val="left"/>
            </w:pPr>
            <w:r>
              <w:t xml:space="preserve">Terpapar penyandang disabilitas (jiwa)</w:t>
            </w:r>
          </w:p>
        </w:tc>
        <w:tc>
          <w:tcPr>
            <w:tcW w:w="2284" w:type="dxa"/>
          </w:tcPr>
          <w:p>
            <w:pPr>
              <w:pStyle w:val="IsiTabel"/>
              <w:keepNext/>
              <w:suppressAutoHyphens/>
              <w:jc w:val="right"/>
            </w:pPr>
            <w:r>
              <w:t xml:space="preserve">957.980</w:t>
            </w:r>
          </w:p>
        </w:tc>
        <w:tc>
          <w:tcPr>
            <w:tcW w:w="2284" w:type="dxa"/>
          </w:tcPr>
          <w:p>
            <w:pPr>
              <w:pStyle w:val="IsiTabel"/>
              <w:keepNext/>
              <w:suppressAutoHyphens/>
              <w:jc w:val="right"/>
            </w:pPr>
            <w:r>
              <w:t xml:space="preserve">957.980</w:t>
            </w:r>
          </w:p>
        </w:tc>
        <w:tc>
          <w:tcPr>
            <w:tcW w:w="1381" w:type="dxa"/>
          </w:tcPr>
          <w:p>
            <w:pPr>
              <w:pStyle w:val="IsiTabel"/>
              <w:keepNext/>
              <w:suppressAutoHyphens/>
              <w:jc w:val="right"/>
            </w:pPr>
            <w:r>
              <w:t xml:space="preserve">1.732</w:t>
            </w:r>
          </w:p>
        </w:tc>
      </w:tr>
      <w:tr>
        <w:trPr>
          <w:cantSplit/>
        </w:trPr>
        <w:tc>
          <w:tcPr>
            <w:tcW w:w="3405" w:type="dxa"/>
          </w:tcPr>
          <w:p>
            <w:pPr>
              <w:pStyle w:val="IsiTabel"/>
              <w:suppressAutoHyphens/>
              <w:jc w:val="left"/>
            </w:pPr>
            <w:bookmarkStart w:id="509" w:name="_Ekor061z"/>
            <w:bookmarkEnd w:id="509"/>
            <w:r>
              <w:t xml:space="preserve">Potensi kerugian fisik (juta Rp)</w:t>
            </w:r>
          </w:p>
        </w:tc>
        <w:tc>
          <w:tcPr>
            <w:tcW w:w="2284" w:type="dxa"/>
          </w:tcPr>
          <w:p>
            <w:pPr>
              <w:pStyle w:val="IsiTabel"/>
              <w:suppressAutoHyphens/>
              <w:jc w:val="right"/>
            </w:pPr>
            <w:r>
              <w:t xml:space="preserve">–</w:t>
            </w:r>
          </w:p>
        </w:tc>
        <w:tc>
          <w:tcPr>
            <w:tcW w:w="2284" w:type="dxa"/>
          </w:tcPr>
          <w:p>
            <w:pPr>
              <w:pStyle w:val="IsiTabel"/>
              <w:suppressAutoHyphens/>
              <w:jc w:val="right"/>
            </w:pPr>
            <w:r>
              <w:t xml:space="preserve">–</w:t>
            </w:r>
          </w:p>
        </w:tc>
        <w:tc>
          <w:tcPr>
            <w:tcW w:w="1381" w:type="dxa"/>
          </w:tcPr>
          <w:p>
            <w:pPr>
              <w:pStyle w:val="IsiTabel"/>
              <w:suppressAutoHyphens/>
              <w:jc w:val="right"/>
            </w:pPr>
            <w:r>
              <w:t xml:space="preserve">584.288</w:t>
            </w:r>
          </w:p>
        </w:tc>
      </w:tr>
    </w:tbl>
    <w:p>
      <w:pPr>
        <w:pStyle w:val="Sumber"/>
        <w:spacing w:after="40"/>
      </w:pPr>
      <w:r>
        <w:rPr>
          <w:b/>
          <w:bCs/>
          <w:color w:val="6B7280"/>
          <w:sz w:val="17"/>
          <w:szCs w:val="17"/>
        </w:rPr>
        <w:t xml:space="preserve">Sumber: </w:t>
      </w:r>
      <w:r>
        <w:rPr>
          <w:color w:val="6B7280"/>
          <w:sz w:val="17"/>
          <w:szCs w:val="17"/>
        </w:rPr>
        <w:t xml:space="preserve">Renas PB 2025–2029 (Perban BNPB 1/2025) Tabel 2.2, 2.5, dan 2.6, sumber asli Kajian Risiko Bencana 2022–2026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Penduduk terpapar COVID-19 serta epidemi dan wabah penyakit tercatat </w:t>
      </w:r>
      <w:r>
        <w:rPr>
          <w:color w:val="6B7280"/>
          <w:sz w:val="17"/>
          <w:szCs w:val="17"/>
        </w:rPr>
        <w:t xml:space="preserve">272.566.688</w:t>
      </w:r>
      <w:r>
        <w:rPr>
          <w:color w:val="6B7280"/>
          <w:sz w:val="17"/>
          <w:szCs w:val="17"/>
        </w:rPr>
        <w:t xml:space="preserve"> jiwa, melebihi penduduk KRB karena terpapar lima kabupaten Sulawesi Barat terhitung ganda, sehingga ditulis praktis seluruh penduduk. Potensi kerugian fisik adalah batas atas nilai aset terpapar, bukan kerugian; KRB tidak menghitungnya untuk COVID-19 serta epidemi dan wabah penyakit.</w:t>
      </w:r>
    </w:p>
    <w:p>
      <w:r>
        <w:br w:type="page"/>
      </w:r>
    </w:p>
    <w:p>
      <w:pPr>
        <w:pStyle w:val="Caption"/>
        <w:pageBreakBefore/>
      </w:pPr>
      <w:bookmarkStart w:id="511" w:name="_Toc00163"/>
      <w:bookmarkStart w:id="510" w:name="_Ref029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10"/>
      <w:r>
        <w:rPr>
          <w:b/>
          <w:bCs/>
          <w:color w:val="051C2C"/>
        </w:rPr>
        <w:t xml:space="preserve"> </w:t>
      </w:r>
      <w:r>
        <w:t xml:space="preserve">Pandemi setara COVID-19 2020–2023</w:t>
      </w:r>
      <w:bookmarkEnd w:id="511"/>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3EDE8"/>
                  <w:tcMar>
                    <w:top w:w="45" w:type="dxa"/>
                    <w:left w:w="170" w:type="dxa"/>
                    <w:bottom w:w="45" w:type="dxa"/>
                    <w:right w:w="170" w:type="dxa"/>
                  </w:tcMar>
                </w:tcPr>
                <w:p>
                  <w:pPr>
                    <w:pStyle w:val="JudulKotak"/>
                    <w:keepNext/>
                    <w:spacing w:after="0"/>
                  </w:pPr>
                  <w:bookmarkStart w:id="513" w:name="_Kartu015a"/>
                  <w:bookmarkStart w:id="512" w:name="_Obj0053"/>
                  <w:r>
                    <w:rPr>
                      <w:position w:val="-10"/>
                    </w:rPr>
                    <w:drawing>
                      <wp:inline distT="0" distB="0" distL="0" distR="0">
                        <wp:extent cx="216000" cy="216000"/>
                        <wp:effectExtent l="0" t="0" r="0" b="0"/>
                        <wp:docPr id="149" name="Gambar 149"/>
                        <wp:cNvGraphicFramePr>
                          <a:graphicFrameLocks noChangeAspect="1"/>
                        </wp:cNvGraphicFramePr>
                        <a:graphic>
                          <a:graphicData uri="http://schemas.openxmlformats.org/drawingml/2006/picture">
                            <pic:pic>
                              <pic:nvPicPr>
                                <pic:cNvPr id="149" name="pandemi-lucide-virus-FFFFFF-3D6B5A.png"/>
                                <pic:cNvPicPr/>
                              </pic:nvPicPr>
                              <pic:blipFill>
                                <a:blip r:embed="rId80"/>
                                <a:stretch>
                                  <a:fillRect/>
                                </a:stretch>
                              </pic:blipFill>
                              <pic:spPr>
                                <a:xfrm>
                                  <a:off x="0" y="0"/>
                                  <a:ext cx="216000" cy="216000"/>
                                </a:xfrm>
                                <a:prstGeom prst="rect">
                                  <a:avLst/>
                                </a:prstGeom>
                              </pic:spPr>
                            </pic:pic>
                          </a:graphicData>
                        </a:graphic>
                      </wp:inline>
                    </w:drawing>
                  </w:r>
                  <w:r>
                    <w:t xml:space="preserve"> </w:t>
                  </w:r>
                  <w:r>
                    <w:rPr>
                      <w:b/>
                      <w:bCs/>
                    </w:rPr>
                    <w:t xml:space="preserve">Epidemi dan pandemi</w:t>
                  </w:r>
                  <w:r>
                    <w:rPr>
                      <w:color w:val="2E3440"/>
                    </w:rPr>
                    <w:t xml:space="preserve">  Nonalam</w:t>
                  </w:r>
                  <w:bookmarkEnd w:id="512"/>
                  <w:bookmarkEnd w:id="513"/>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keepNext/>
                    <w:suppressAutoHyphens/>
                    <w:spacing w:before="0" w:after="0"/>
                  </w:pPr>
                  <w:r>
                    <w:t xml:space="preserve">DASAR</w:t>
                  </w:r>
                </w:p>
              </w:tc>
              <w:tc>
                <w:tcPr>
                  <w:tcW w:w="7653" w:type="dxa"/>
                </w:tcPr>
                <w:p>
                  <w:pPr>
                    <w:pStyle w:val="IsiTabel"/>
                    <w:keepNext/>
                    <w:suppressAutoHyphens/>
                    <w:spacing w:after="0"/>
                  </w:pPr>
                  <w:r>
                    <w:t xml:space="preserve">Analog terbesar dalam 30 tahun terakhir; tanpa perkalian dan tanpa proyeksi per wilayah. Pandemi influenza dan H5N1 disisihkan karena Indonesia tidak punya skenario resmi berangka untuk keduanya.</w:t>
                  </w:r>
                </w:p>
              </w:tc>
            </w:tr>
            <w:tr>
              <w:trPr>
                <w:cantSplit/>
              </w:trPr>
              <w:tc>
                <w:tcPr>
                  <w:tcW w:w="1701" w:type="dxa"/>
                </w:tcPr>
                <w:p>
                  <w:pPr>
                    <w:pStyle w:val="LabelBagian"/>
                    <w:keepNext/>
                    <w:suppressAutoHyphens/>
                    <w:spacing w:before="0" w:after="0"/>
                  </w:pPr>
                  <w:r>
                    <w:t xml:space="preserve">KEJADIAN ANALOG</w:t>
                  </w:r>
                </w:p>
              </w:tc>
              <w:tc>
                <w:tcPr>
                  <w:tcW w:w="7653" w:type="dxa"/>
                </w:tcPr>
                <w:p>
                  <w:pPr>
                    <w:pStyle w:val="IsiTabel"/>
                    <w:keepNext/>
                    <w:suppressAutoHyphens/>
                    <w:spacing w:after="0"/>
                  </w:pPr>
                  <w:r>
                    <w:t xml:space="preserve">Pandemi COVID-19, status bencana nasional nonalam 13 April 2020 sampai 21 Juni 2023</w:t>
                  </w:r>
                </w:p>
              </w:tc>
            </w:tr>
            <w:tr>
              <w:trPr>
                <w:cantSplit/>
              </w:trPr>
              <w:tc>
                <w:tcPr>
                  <w:tcW w:w="1701" w:type="dxa"/>
                </w:tcPr>
                <w:p>
                  <w:pPr>
                    <w:pStyle w:val="LabelBagian"/>
                    <w:keepNext/>
                    <w:suppressAutoHyphens/>
                    <w:spacing w:before="0" w:after="0"/>
                  </w:pPr>
                  <w:r>
                    <w:t xml:space="preserve">LEMBAGA</w:t>
                  </w:r>
                </w:p>
              </w:tc>
              <w:tc>
                <w:tcPr>
                  <w:tcW w:w="7653" w:type="dxa"/>
                </w:tcPr>
                <w:p>
                  <w:pPr>
                    <w:pStyle w:val="IsiTabel"/>
                    <w:keepNext/>
                    <w:suppressAutoHyphens/>
                    <w:spacing w:after="0"/>
                  </w:pPr>
                  <w:r>
                    <w:rPr>
                      <w:position w:val="-5"/>
                    </w:rPr>
                    <w:drawing>
                      <wp:inline distT="0" distB="0" distL="0" distR="0">
                        <wp:extent cx="162000" cy="162000"/>
                        <wp:effectExtent l="0" t="0" r="0" b="0"/>
                        <wp:docPr id="150" name="Gambar 150"/>
                        <wp:cNvGraphicFramePr>
                          <a:graphicFrameLocks noChangeAspect="1"/>
                        </wp:cNvGraphicFramePr>
                        <a:graphic>
                          <a:graphicData uri="http://schemas.openxmlformats.org/drawingml/2006/picture">
                            <pic:pic>
                              <pic:nvPicPr>
                                <pic:cNvPr id="15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Kementerian Kesehatan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51" name="Gambar 151"/>
                        <wp:cNvGraphicFramePr>
                          <a:graphicFrameLocks noChangeAspect="1"/>
                        </wp:cNvGraphicFramePr>
                        <a:graphic>
                          <a:graphicData uri="http://schemas.openxmlformats.org/drawingml/2006/picture">
                            <pic:pic>
                              <pic:nvPicPr>
                                <pic:cNvPr id="15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52" name="Gambar 152"/>
                        <wp:cNvGraphicFramePr>
                          <a:graphicFrameLocks noChangeAspect="1"/>
                        </wp:cNvGraphicFramePr>
                        <a:graphic>
                          <a:graphicData uri="http://schemas.openxmlformats.org/drawingml/2006/picture">
                            <pic:pic>
                              <pic:nvPicPr>
                                <pic:cNvPr id="15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dinas kesehatan provinsi dan kab/kota</w:t>
                  </w:r>
                  <w:r>
                    <w:t xml:space="preserve"> </w:t>
                  </w:r>
                  <w:r>
                    <w:rPr>
                      <w:b/>
                      <w:bCs/>
                      <w:color w:val="1A1A1A"/>
                      <w:sz w:val="16"/>
                      <w:szCs w:val="16"/>
                      <w:bdr w:val="single" w:sz="6" w:space="0" w:color="051C2C"/>
                    </w:rPr>
                    <w:t xml:space="preserve">  Pendukung  </w:t>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968"/>
              <w:gridCol w:w="3193"/>
              <w:gridCol w:w="1525"/>
              <w:gridCol w:w="1668"/>
            </w:tblGrid>
            <w:tr>
              <w:trPr>
                <w:cantSplit/>
                <w:tblHeader/>
              </w:trPr>
              <w:tc>
                <w:tcPr>
                  <w:tcW w:w="2968" w:type="dxa"/>
                  <w:shd w:val="clear" w:color="auto" w:fill="051C2C"/>
                  <w:vAlign w:val="center"/>
                </w:tcPr>
                <w:p>
                  <w:pPr>
                    <w:pStyle w:val="KepalaTabel"/>
                    <w:keepNext/>
                    <w:suppressAutoHyphens/>
                  </w:pPr>
                  <w:r>
                    <w:t xml:space="preserve">INDIKATOR</w:t>
                  </w:r>
                </w:p>
              </w:tc>
              <w:tc>
                <w:tcPr>
                  <w:tcW w:w="3193" w:type="dxa"/>
                  <w:shd w:val="clear" w:color="auto" w:fill="051C2C"/>
                  <w:vAlign w:val="center"/>
                </w:tcPr>
                <w:p>
                  <w:pPr>
                    <w:pStyle w:val="KepalaTabel"/>
                    <w:keepNext/>
                    <w:suppressAutoHyphens/>
                  </w:pPr>
                  <w:r>
                    <w:t xml:space="preserve">NILAI</w:t>
                  </w:r>
                </w:p>
              </w:tc>
              <w:tc>
                <w:tcPr>
                  <w:tcW w:w="1525" w:type="dxa"/>
                  <w:shd w:val="clear" w:color="auto" w:fill="051C2C"/>
                  <w:vAlign w:val="center"/>
                </w:tcPr>
                <w:p>
                  <w:pPr>
                    <w:pStyle w:val="KepalaTabel"/>
                    <w:keepNext/>
                    <w:suppressAutoHyphens/>
                  </w:pPr>
                  <w:r>
                    <w:t xml:space="preserve">KEYAKINAN</w:t>
                  </w:r>
                </w:p>
              </w:tc>
              <w:tc>
                <w:tcPr>
                  <w:tcW w:w="1668" w:type="dxa"/>
                  <w:shd w:val="clear" w:color="auto" w:fill="051C2C"/>
                  <w:vAlign w:val="center"/>
                </w:tcPr>
                <w:p>
                  <w:pPr>
                    <w:pStyle w:val="KepalaTabel"/>
                    <w:keepNext/>
                    <w:suppressAutoHyphens/>
                  </w:pPr>
                  <w:r>
                    <w:t xml:space="preserve">SUMBER</w:t>
                  </w:r>
                </w:p>
              </w:tc>
            </w:tr>
            <w:tr>
              <w:trPr>
                <w:cantSplit/>
              </w:trPr>
              <w:tc>
                <w:tcPr>
                  <w:tcW w:w="2968" w:type="dxa"/>
                </w:tcPr>
                <w:p>
                  <w:pPr>
                    <w:pStyle w:val="IsiTabel"/>
                    <w:keepNext/>
                    <w:suppressAutoHyphens/>
                    <w:jc w:val="left"/>
                  </w:pPr>
                  <w:r>
                    <w:t xml:space="preserve">Korban jiwa</w:t>
                  </w:r>
                </w:p>
              </w:tc>
              <w:tc>
                <w:tcPr>
                  <w:tcW w:w="3193" w:type="dxa"/>
                </w:tcPr>
                <w:p>
                  <w:pPr>
                    <w:pStyle w:val="IsiTabel"/>
                    <w:keepNext/>
                    <w:suppressAutoHyphens/>
                    <w:jc w:val="left"/>
                  </w:pPr>
                  <w:r>
                    <w:t xml:space="preserve">161.870 jiwa</w:t>
                  </w:r>
                  <w:r>
                    <w:t xml:space="preserve"> meninggal</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668" w:type="dxa"/>
                </w:tcPr>
                <w:p>
                  <w:pPr>
                    <w:pStyle w:val="IsiTabel"/>
                    <w:keepNext/>
                    <w:suppressAutoHyphens/>
                    <w:jc w:val="left"/>
                  </w:pPr>
                  <w:r>
                    <w:t xml:space="preserve">Kementerian Kesehatan, kumulatif sampai sekitar akhir Juni 2023</w:t>
                  </w:r>
                </w:p>
              </w:tc>
            </w:tr>
            <w:tr>
              <w:trPr>
                <w:cantSplit/>
              </w:trPr>
              <w:tc>
                <w:tcPr>
                  <w:tcW w:w="2968" w:type="dxa"/>
                </w:tcPr>
                <w:p>
                  <w:pPr>
                    <w:pStyle w:val="IsiTabel"/>
                    <w:keepNext/>
                    <w:suppressAutoHyphens/>
                    <w:jc w:val="left"/>
                  </w:pPr>
                  <w:r>
                    <w:t xml:space="preserve">Luas terdampak</w:t>
                  </w:r>
                </w:p>
              </w:tc>
              <w:tc>
                <w:tcPr>
                  <w:tcW w:w="3193" w:type="dxa"/>
                </w:tcPr>
                <w:p>
                  <w:pPr>
                    <w:pStyle w:val="IsiTabel"/>
                    <w:keepNext/>
                    <w:suppressAutoHyphens/>
                    <w:jc w:val="left"/>
                  </w:pPr>
                  <w:r>
                    <w:t xml:space="preserve">1.181.863 ha</w:t>
                  </w:r>
                  <w:r>
                    <w:t xml:space="preserve"> kelas bahaya tinggi; penduduk terpapar praktis seluruh penduduk</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668" w:type="dxa"/>
                </w:tcPr>
                <w:p>
                  <w:pPr>
                    <w:pStyle w:val="IsiTabel"/>
                    <w:keepNext/>
                    <w:suppressAutoHyphens/>
                    <w:jc w:val="left"/>
                  </w:pPr>
                  <w:r>
                    <w:t xml:space="preserve">KRB 2022–2026 dalam Renas PB Tabel 2.2 dan 2.5</w:t>
                  </w:r>
                </w:p>
              </w:tc>
            </w:tr>
            <w:tr>
              <w:trPr>
                <w:cantSplit/>
              </w:trPr>
              <w:tc>
                <w:tcPr>
                  <w:tcW w:w="2968" w:type="dxa"/>
                </w:tcPr>
                <w:p>
                  <w:pPr>
                    <w:pStyle w:val="IsiTabel"/>
                    <w:keepNext/>
                    <w:suppressAutoHyphens/>
                    <w:jc w:val="left"/>
                  </w:pPr>
                  <w:r>
                    <w:t xml:space="preserve">Kerugian materiil</w:t>
                  </w:r>
                </w:p>
              </w:tc>
              <w:tc>
                <w:tcPr>
                  <w:tcW w:w="3193" w:type="dxa"/>
                </w:tcPr>
                <w:p>
                  <w:pPr>
                    <w:pStyle w:val="IsiTabel"/>
                    <w:keepNext/>
                    <w:suppressAutoHyphens/>
                    <w:jc w:val="left"/>
                  </w:pPr>
                  <w:r>
                    <w:t xml:space="preserve">–</w:t>
                  </w:r>
                </w:p>
              </w:tc>
              <w:tc>
                <w:tcPr>
                  <w:tcW w:w="1525" w:type="dxa"/>
                </w:tcPr>
                <w:p>
                  <w:pPr>
                    <w:pStyle w:val="IsiTabel"/>
                    <w:keepNext/>
                    <w:suppressAutoHyphens/>
                    <w:jc w:val="left"/>
                  </w:pPr>
                  <w:r>
                    <w:t xml:space="preserve">–</w:t>
                  </w:r>
                </w:p>
              </w:tc>
              <w:tc>
                <w:tcPr>
                  <w:tcW w:w="1668" w:type="dxa"/>
                </w:tcPr>
                <w:p>
                  <w:pPr>
                    <w:pStyle w:val="IsiTabel"/>
                    <w:keepNext/>
                    <w:suppressAutoHyphens/>
                    <w:jc w:val="left"/>
                  </w:pPr>
                  <w:r>
                    <w:t xml:space="preserve">tidak ada penilaian kerugian ekonomi resmi; pagu BNPB 2020–2021 adalah anggaran penanganan</w:t>
                  </w:r>
                </w:p>
              </w:tc>
            </w:tr>
            <w:tr>
              <w:trPr>
                <w:cantSplit/>
              </w:trPr>
              <w:tc>
                <w:tcPr>
                  <w:tcW w:w="2968" w:type="dxa"/>
                </w:tcPr>
                <w:p>
                  <w:pPr>
                    <w:pStyle w:val="IsiTabel"/>
                    <w:keepNext/>
                    <w:suppressAutoHyphens/>
                    <w:jc w:val="left"/>
                  </w:pPr>
                  <w:bookmarkStart w:id="514" w:name="_Ekor062a"/>
                  <w:bookmarkEnd w:id="514"/>
                  <w:r>
                    <w:t xml:space="preserve">Kerugian imateriil, durasi status</w:t>
                  </w:r>
                </w:p>
              </w:tc>
              <w:tc>
                <w:tcPr>
                  <w:tcW w:w="3193" w:type="dxa"/>
                </w:tcPr>
                <w:p>
                  <w:pPr>
                    <w:pStyle w:val="IsiTabel"/>
                    <w:keepNext/>
                    <w:suppressAutoHyphens/>
                    <w:jc w:val="left"/>
                  </w:pPr>
                  <w:r>
                    <w:t xml:space="preserve">1.165 hari</w:t>
                  </w:r>
                  <w:r>
                    <w:t xml:space="preserve"> status bencana nasional</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668" w:type="dxa"/>
                </w:tcPr>
                <w:p>
                  <w:pPr>
                    <w:pStyle w:val="IsiTabel"/>
                    <w:keepNext/>
                    <w:suppressAutoHyphens/>
                    <w:jc w:val="left"/>
                  </w:pPr>
                  <w:r>
                    <w:t xml:space="preserve">Keppres 12/2020 dan 17/2023</w:t>
                  </w:r>
                </w:p>
              </w:tc>
            </w:tr>
            <w:tr>
              <w:trPr>
                <w:cantSplit/>
              </w:trPr>
              <w:tc>
                <w:tcPr>
                  <w:tcW w:w="2968" w:type="dxa"/>
                </w:tcPr>
                <w:p>
                  <w:pPr>
                    <w:pStyle w:val="IsiTabel"/>
                    <w:keepNext/>
                    <w:suppressAutoHyphens/>
                    <w:jc w:val="left"/>
                  </w:pPr>
                  <w:r>
                    <w:t xml:space="preserve">Kerugian imateriil, layanan dasar</w:t>
                  </w:r>
                </w:p>
              </w:tc>
              <w:tc>
                <w:tcPr>
                  <w:tcW w:w="3193" w:type="dxa"/>
                </w:tcPr>
                <w:p>
                  <w:pPr>
                    <w:pStyle w:val="IsiTabel"/>
                    <w:keepNext/>
                    <w:suppressAutoHyphens/>
                    <w:jc w:val="left"/>
                  </w:pPr>
                  <w:r>
                    <w:t xml:space="preserve">DTP3 </w:t>
                  </w:r>
                  <w:r>
                    <w:t xml:space="preserve">85%</w:t>
                  </w:r>
                  <w:r>
                    <w:t xml:space="preserve"> (2019) ke </w:t>
                  </w:r>
                  <w:r>
                    <w:t xml:space="preserve">67%</w:t>
                  </w:r>
                  <w:r>
                    <w:t xml:space="preserve"> (2021); notifikasi TB </w:t>
                  </w:r>
                  <w:r>
                    <w:t xml:space="preserve">566.846</w:t>
                  </w:r>
                  <w:r>
                    <w:t xml:space="preserve"> (2019) ke </w:t>
                  </w:r>
                  <w:r>
                    <w:t xml:space="preserve">393.323</w:t>
                  </w:r>
                  <w:r>
                    <w:t xml:space="preserve"> (2020)</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668" w:type="dxa"/>
                </w:tcPr>
                <w:p>
                  <w:pPr>
                    <w:pStyle w:val="IsiTabel"/>
                    <w:keepNext/>
                    <w:suppressAutoHyphens/>
                    <w:jc w:val="left"/>
                  </w:pPr>
                  <w:r>
                    <w:t xml:space="preserve">WUENIC dan WHO GHO; kaitan dengan pandemi penilaian kajian ini</w:t>
                  </w:r>
                </w:p>
              </w:tc>
            </w:tr>
            <w:tr>
              <w:trPr>
                <w:cantSplit/>
              </w:trPr>
              <w:tc>
                <w:tcPr>
                  <w:tcW w:w="2968" w:type="dxa"/>
                </w:tcPr>
                <w:p>
                  <w:pPr>
                    <w:pStyle w:val="IsiTabel"/>
                    <w:keepNext/>
                    <w:suppressAutoHyphens/>
                    <w:jc w:val="left"/>
                  </w:pPr>
                  <w:r>
                    <w:t xml:space="preserve">Kepekaan, versi model 2020–2021</w:t>
                  </w:r>
                </w:p>
              </w:tc>
              <w:tc>
                <w:tcPr>
                  <w:tcW w:w="3193" w:type="dxa"/>
                </w:tcPr>
                <w:p>
                  <w:pPr>
                    <w:pStyle w:val="IsiTabel"/>
                    <w:keepNext/>
                    <w:suppressAutoHyphens/>
                    <w:jc w:val="left"/>
                  </w:pPr>
                  <w:r>
                    <w:t xml:space="preserve">810.000–1.300.000 jiwa</w:t>
                  </w:r>
                  <w:r>
                    <w:t xml:space="preserve"> kematian berlebih, </w:t>
                  </w:r>
                  <w:r>
                    <w:t xml:space="preserve">5,6–9,3</w:t>
                  </w:r>
                  <w:r>
                    <w:t xml:space="preserve"> kali terlapor</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668" w:type="dxa"/>
                </w:tcPr>
                <w:p>
                  <w:pPr>
                    <w:pStyle w:val="IsiTabel"/>
                    <w:keepNext/>
                    <w:suppressAutoHyphens/>
                    <w:jc w:val="left"/>
                  </w:pPr>
                  <w:r>
                    <w:t xml:space="preserve">WHO (2023); terlapor pada dua tahun yang sama </w:t>
                  </w:r>
                  <w:r>
                    <w:t xml:space="preserve">144.094</w:t>
                  </w:r>
                </w:p>
              </w:tc>
            </w:tr>
            <w:tr>
              <w:trPr>
                <w:cantSplit/>
              </w:trPr>
              <w:tc>
                <w:tcPr>
                  <w:tcW w:w="2968" w:type="dxa"/>
                </w:tcPr>
                <w:p>
                  <w:pPr>
                    <w:pStyle w:val="IsiTabel"/>
                    <w:keepNext/>
                    <w:suppressAutoHyphens/>
                    <w:jc w:val="left"/>
                  </w:pPr>
                  <w:bookmarkStart w:id="515" w:name="_Ekor062z"/>
                  <w:bookmarkEnd w:id="515"/>
                  <w:r>
                    <w:t xml:space="preserve">Kepekaan, versi terverifikasi</w:t>
                  </w:r>
                </w:p>
              </w:tc>
              <w:tc>
                <w:tcPr>
                  <w:tcW w:w="3193" w:type="dxa"/>
                </w:tcPr>
                <w:p>
                  <w:pPr>
                    <w:pStyle w:val="IsiTabel"/>
                    <w:keepNext/>
                    <w:suppressAutoHyphens/>
                    <w:jc w:val="left"/>
                  </w:pPr>
                  <w:r>
                    <w:t xml:space="preserve">162.059 jiwa</w:t>
                  </w:r>
                  <w:r>
                    <w:t xml:space="preserve"> meninggal</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668" w:type="dxa"/>
                </w:tcPr>
                <w:p>
                  <w:pPr>
                    <w:pStyle w:val="IsiTabel"/>
                    <w:keepNext/>
                    <w:suppressAutoHyphens/>
                    <w:jc w:val="left"/>
                  </w:pPr>
                  <w:r>
                    <w:t xml:space="preserve">WHO, data global COVID-19; pemutakhiran sesudah Juni 2023</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Penetapan KLB dan Daerah Terjangkit Wabah serta penanggulangannya oleh kepala daerah dan Menteri Kesehatan (UU 17/2023 Pasal 353–354, 368).</w:t>
                  </w:r>
                </w:p>
                <w:p>
                  <w:pPr>
                    <w:pStyle w:val="DaftarTabel"/>
                    <w:keepNext/>
                    <w:numPr>
                      <w:ilvl w:val="0"/>
                      <w:numId w:val="1"/>
                    </w:numPr>
                    <w:suppressAutoHyphens/>
                  </w:pPr>
                  <w:r>
                    <w:t xml:space="preserve">Penetapan Wabah sebagai bencana nasional nonalam oleh Presiden atas usul Menteri, dengan dukungan BNPB setelah status ditetapkan (Pasal 369–370).</w:t>
                  </w:r>
                </w:p>
                <w:p>
                  <w:pPr>
                    <w:pStyle w:val="DaftarTabel"/>
                    <w:keepNext/>
                    <w:numPr>
                      <w:ilvl w:val="0"/>
                      <w:numId w:val="1"/>
                    </w:numPr>
                    <w:suppressAutoHyphens/>
                  </w:pPr>
                  <w:r>
                    <w:t xml:space="preserve">Public Safety Center di </w:t>
                  </w:r>
                  <w:r>
                    <w:t xml:space="preserve">510 kab/kota</w:t>
                  </w:r>
                  <w:r>
                    <w:t xml:space="preserve"> pada 2029 dan gladi krisis kesehatan di </w:t>
                  </w:r>
                  <w:r>
                    <w:t xml:space="preserve">192 rumah sakit</w:t>
                  </w:r>
                  <w:r>
                    <w:t xml:space="preserve">, dengan penanggung jawab Kementerian Kesehatan (Renas PB 1.2.1.f–g).</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Pencabutan status kesehatan dan status bencana dalam satu keputusan Presiden, seperti Keppres 17/2023.</w:t>
                  </w:r>
                </w:p>
                <w:p>
                  <w:pPr>
                    <w:pStyle w:val="DaftarTabel"/>
                    <w:keepNext/>
                    <w:numPr>
                      <w:ilvl w:val="0"/>
                      <w:numId w:val="1"/>
                    </w:numPr>
                    <w:suppressAutoHyphens/>
                  </w:pPr>
                  <w:r>
                    <w:t xml:space="preserve">Pemantauan cakupan imunisasi dan penemuan kasus tuberkulosis yang turun selama pandemi.</w:t>
                  </w:r>
                </w:p>
                <w:p>
                  <w:pPr>
                    <w:pStyle w:val="DaftarTabel"/>
                    <w:keepNext/>
                    <w:numPr>
                      <w:ilvl w:val="0"/>
                      <w:numId w:val="1"/>
                    </w:numPr>
                    <w:suppressAutoHyphens/>
                  </w:pPr>
                  <w:r>
                    <w:t xml:space="preserve">Perencanaan krisis kesehatan di dalam perencanaan PB tiap tingkat pemerintahan (Permenkes 1/2026, teks rancangan).</w:t>
                  </w:r>
                </w:p>
              </w:tc>
            </w:tr>
          </w:tbl>
          <w:p>
            <w:pPr>
              <w:pStyle w:val="IsiTabel"/>
              <w:keepNext/>
              <w:spacing w:before="80"/>
            </w:pPr>
            <w:r>
              <w:rPr>
                <w:i/>
                <w:iCs/>
                <w:color w:val="2E3440"/>
                <w:sz w:val="17"/>
                <w:szCs w:val="17"/>
              </w:rPr>
              <w:t xml:space="preserve">Kejadian analog, bukan proyeksi model; kematian berlebih adalah estimasi model WHO, bukan statistik resmi nasional.</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16" w:name="_Kartu015z"/>
      <w:r>
        <w:rPr>
          <w:b/>
          <w:bCs/>
          <w:color w:val="6B7280"/>
          <w:sz w:val="17"/>
          <w:szCs w:val="17"/>
        </w:rPr>
        <w:t xml:space="preserve">Sumber: </w:t>
      </w:r>
      <w:r>
        <w:rPr>
          <w:color w:val="6B7280"/>
          <w:sz w:val="17"/>
          <w:szCs w:val="17"/>
        </w:rPr>
        <w:t xml:space="preserve">Kementerian Kesehatan dikutip Renstra BNPB 2025–2029; WHO (2023); Keppres 12/2020 dan 17/2023; Renas PB 2025–2029; WHO GHO</w:t>
      </w:r>
      <w:r>
        <w:rPr>
          <w:color w:val="6B7280"/>
          <w:sz w:val="17"/>
          <w:szCs w:val="17"/>
        </w:rPr>
        <w:t xml:space="preserve">; data per </w:t>
      </w:r>
      <w:r>
        <w:rPr>
          <w:color w:val="6B7280"/>
          <w:sz w:val="17"/>
          <w:szCs w:val="17"/>
        </w:rPr>
        <w:t xml:space="preserve">24 Okt 2026</w:t>
      </w:r>
      <w:bookmarkEnd w:id="516"/>
    </w:p>
    <w:p>
      <w:pPr>
        <w:pStyle w:val="Heading2"/>
      </w:pPr>
      <w:bookmarkStart w:id="518" w:name="_Toc00164"/>
      <w:bookmarkStart w:id="517" w:name="_Ref0149"/>
      <w:r>
        <w:t xml:space="preserve">8.2</w:t>
      </w:r>
      <w:bookmarkEnd w:id="517"/>
      <w:r>
        <w:tab/>
      </w:r>
      <w:r>
        <w:t xml:space="preserve">Kebakaran Industri dan Kegagalan Teknologi</w:t>
      </w:r>
      <w:bookmarkEnd w:id="518"/>
    </w:p>
    <w:p>
      <w:pPr>
        <w:pStyle w:val="Heading3"/>
      </w:pPr>
      <w:bookmarkStart w:id="520" w:name="_Toc00165"/>
      <w:bookmarkStart w:id="519" w:name="_Ref0109"/>
      <w:r>
        <w:t xml:space="preserve">8.2.1</w:t>
      </w:r>
      <w:bookmarkEnd w:id="519"/>
      <w:r>
        <w:tab/>
      </w:r>
      <w:r>
        <w:t xml:space="preserve">Kejadian Analog dan Lingkup Kartu</w:t>
      </w:r>
      <w:bookmarkEnd w:id="520"/>
    </w:p>
    <w:p>
      <w:pPr>
        <w:pStyle w:val="IsiTemuan"/>
      </w:pPr>
      <w:r>
        <w:rPr>
          <w:b/>
          <w:bCs/>
          <w:color w:val="051C2C"/>
        </w:rPr>
        <w:t xml:space="preserve">Kebakaran Terminal BBM Plumpang, Jakarta Utara, pada 3 Maret 2023 menewaskan </w:t>
      </w:r>
      <w:r>
        <w:rPr>
          <w:b/>
          <w:bCs/>
          <w:color w:val="051C2C"/>
        </w:rPr>
        <w:t xml:space="preserve">29</w:t>
      </w:r>
      <w:r>
        <w:rPr>
          <w:b/>
          <w:bCs/>
          <w:color w:val="051C2C"/>
        </w:rPr>
        <w:t xml:space="preserve"> orang per 18 Maret 2023 menurut Pemprov DKI Jakarta.</w:t>
      </w:r>
      <w:r>
        <w:t xml:space="preserve"> Angka itu bersumber dari data Dinas Kesehatan DKI yang disampaikan Badan Penanggulangan Bencana Daerah (BPBD) DKI </w:t>
      </w:r>
      <w:r>
        <w:t xml:space="preserve">(Pemprov DKI, 2023)</w:t>
      </w:r>
      <w:r>
        <w:t xml:space="preserve">. Per 5 Maret 2023 Kepala BNPB menyebut </w:t>
      </w:r>
      <w:r>
        <w:t xml:space="preserve">17</w:t>
      </w:r>
      <w:r>
        <w:t xml:space="preserve"> meninggal, </w:t>
      </w:r>
      <w:r>
        <w:t xml:space="preserve">18</w:t>
      </w:r>
      <w:r>
        <w:t xml:space="preserve"> hilang, dan </w:t>
      </w:r>
      <w:r>
        <w:t xml:space="preserve">1.085</w:t>
      </w:r>
      <w:r>
        <w:t xml:space="preserve"> pengungsi </w:t>
      </w:r>
      <w:r>
        <w:t xml:space="preserve">(Setkab, 2023b)</w:t>
      </w:r>
      <w:r>
        <w:t xml:space="preserve">. Korban luka bakar terus meninggal di rumah sakit, sehingga angka 18 Maret masih batas bawah, dan rekap akhir dari instansi pemerintah tidak ditemukan. Depo itu berada di tengah permukiman.</w:t>
      </w:r>
    </w:p>
    <w:p>
      <w:pPr>
        <w:pStyle w:val="IsiTemuan"/>
      </w:pPr>
      <w:r>
        <w:rPr>
          <w:b/>
          <w:bCs/>
          <w:color w:val="051C2C"/>
        </w:rPr>
        <w:t xml:space="preserve">Kebakaran kilang Balongan, Indramayu, pada 29 Maret 2021 membuat </w:t>
      </w:r>
      <w:r>
        <w:rPr>
          <w:b/>
          <w:bCs/>
          <w:color w:val="051C2C"/>
        </w:rPr>
        <w:t xml:space="preserve">932</w:t>
      </w:r>
      <w:r>
        <w:rPr>
          <w:b/>
          <w:bCs/>
          <w:color w:val="051C2C"/>
        </w:rPr>
        <w:t xml:space="preserve"> warga dari lima desa mengungsi dan menewaskan satu orang.</w:t>
      </w:r>
      <w:r>
        <w:t xml:space="preserve"> Data itu berasal dari laporan BNPB 29 dan 30 Maret 2021 </w:t>
      </w:r>
      <w:r>
        <w:t xml:space="preserve">(BNPB, 2021)</w:t>
      </w:r>
      <w:r>
        <w:t xml:space="preserve">. Renstra BNPB menyebut kejadian itu sebagai contoh kegagalan teknologi yang memaksa penduduk mengungsi </w:t>
      </w:r>
      <w:r>
        <w:t xml:space="preserve">(BNPB, 2025e, hlm. 14)</w:t>
      </w:r>
      <w:r>
        <w:t xml:space="preserve">. Ledakan tungku smelter di kawasan industri Morowali pada Desember 2023 tidak dipakai sebagai analog, karena angka korban dari instansi pemerintah tidak ditemukan. Plumpang, Balongan, dan Morowali tidak tercatat di DIBI.</w:t>
      </w:r>
    </w:p>
    <w:p>
      <w:pPr>
        <w:pStyle w:val="IsiTemuan"/>
      </w:pPr>
      <w:r>
        <w:rPr>
          <w:b/>
          <w:bCs/>
          <w:color w:val="051C2C"/>
        </w:rPr>
        <w:t xml:space="preserve">DIBI mencatat </w:t>
      </w:r>
      <w:r>
        <w:rPr>
          <w:b/>
          <w:bCs/>
          <w:color w:val="051C2C"/>
        </w:rPr>
        <w:t xml:space="preserve">10</w:t>
      </w:r>
      <w:r>
        <w:rPr>
          <w:b/>
          <w:bCs/>
          <w:color w:val="051C2C"/>
        </w:rPr>
        <w:t xml:space="preserve"> kejadian kegagalan teknologi dengan </w:t>
      </w:r>
      <w:r>
        <w:rPr>
          <w:b/>
          <w:bCs/>
          <w:color w:val="051C2C"/>
        </w:rPr>
        <w:t xml:space="preserve">90</w:t>
      </w:r>
      <w:r>
        <w:rPr>
          <w:b/>
          <w:bCs/>
          <w:color w:val="051C2C"/>
        </w:rPr>
        <w:t xml:space="preserve"> meninggal pada 2018–2026 (2026 sementara), termasuk </w:t>
      </w:r>
      <w:r>
        <w:rPr>
          <w:b/>
          <w:bCs/>
          <w:color w:val="051C2C"/>
        </w:rPr>
        <w:t xml:space="preserve">63</w:t>
      </w:r>
      <w:r>
        <w:rPr>
          <w:b/>
          <w:bCs/>
          <w:color w:val="051C2C"/>
        </w:rPr>
        <w:t xml:space="preserve"> korban ambruknya musala pesantren di Sidoarjo pada 2025.</w:t>
      </w:r>
      <w:r>
        <w:t xml:space="preserve"> Musala Pondok Pesantren Al Khoziny ambruk pada 29 September 2025, dan DIBI menggolongkannya sebagai gagal teknologi </w:t>
      </w:r>
      <w:r>
        <w:t xml:space="preserve">(BNPB, t.t.-a)</w:t>
      </w:r>
      <w:r>
        <w:t xml:space="preserve">. Renas PB juga memasukkan kecelakaan konstruksi dan transportasi ke dalam kegagalan teknologi </w:t>
      </w:r>
      <w:r>
        <w:t xml:space="preserve">(BNPB, 2025c, hlm. 6)</w:t>
      </w:r>
      <w:r>
        <w:t xml:space="preserve">. Dengan demikian, kartu yang mencakup seluruh kegagalan teknologi berlantai </w:t>
      </w:r>
      <w:r>
        <w:t xml:space="preserve">63 jiwa</w:t>
      </w:r>
      <w:r>
        <w:t xml:space="preserve">, dan kartu dengan angka Plumpang akan berada di bawah lantai tercatat. Kartu 8.2 dibatasi pada kebakaran dan ledakan industri sesuai lingkup nonalam kajian ini. Al Khoziny disisihkan sebagai runtuhnya bangunan yang diatur rezim bangunan gedung, bukan rezim keselamatan industri; baris Bekasi Timur 2026 diduga kecelakaan kereta dan baris Gunungkidul 2025 diduga kejadian pantai.</w:t>
      </w:r>
    </w:p>
    <w:p>
      <w:pPr>
        <w:pStyle w:val="Isi"/>
      </w:pPr>
      <w:r>
        <w:t xml:space="preserve">Renas PB menilai potensi bencana gagal teknologi naik karena industri berbahan migas dan kimia berbahaya serta industri nuklir meluas di hampir seluruh wilayah, diperbesar oleh permukiman yang tidak terkendali </w:t>
      </w:r>
      <w:r>
        <w:t xml:space="preserve">(BNPB, 2025c, hlm. 29)</w:t>
      </w:r>
      <w:r>
        <w:t xml:space="preserve">. KRB mencatat </w:t>
      </w:r>
      <w:r>
        <w:t xml:space="preserve">186.940 ha</w:t>
      </w:r>
      <w:r>
        <w:t xml:space="preserve"> luas bahaya kegagalan teknologi dan </w:t>
      </w:r>
      <w:r>
        <w:t xml:space="preserve">713.784 jiwa</w:t>
      </w:r>
      <w:r>
        <w:t xml:space="preserve"> terpapar (</w:t>
      </w:r>
      <w:r>
        <w:fldChar w:fldCharType="begin"/>
      </w:r>
      <w:r>
        <w:instrText xml:space="preserve"> REF _Ref0306 \h \* CHARFORMAT </w:instrText>
      </w:r>
      <w:r>
        <w:fldChar w:fldCharType="separate"/>
      </w:r>
      <w:r>
        <w:t xml:space="preserve">Tabel 8.1</w:t>
      </w:r>
      <w:r>
        <w:fldChar w:fldCharType="end"/>
      </w:r>
      <w:r>
        <w:t xml:space="preserve">). Sebarannya per kab/kota tidak tersedia, karena layanan InaRISK tidak memuat ringkasan kajian kegagalan teknologi.</w:t>
      </w:r>
    </w:p>
    <w:p>
      <w:pPr>
        <w:pStyle w:val="Caption"/>
      </w:pPr>
      <w:bookmarkStart w:id="522" w:name="_Toc00166"/>
      <w:bookmarkStart w:id="521" w:name="_Ref028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521"/>
      <w:r>
        <w:rPr>
          <w:b/>
          <w:bCs/>
          <w:color w:val="051C2C"/>
        </w:rPr>
        <w:t xml:space="preserve"> </w:t>
      </w:r>
      <w:r>
        <w:t xml:space="preserve">Kebakaran dan ledakan industri setara Plumpang 2023</w:t>
      </w:r>
      <w:bookmarkEnd w:id="522"/>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3EDE8"/>
                  <w:tcMar>
                    <w:top w:w="45" w:type="dxa"/>
                    <w:left w:w="170" w:type="dxa"/>
                    <w:bottom w:w="45" w:type="dxa"/>
                    <w:right w:w="170" w:type="dxa"/>
                  </w:tcMar>
                </w:tcPr>
                <w:p>
                  <w:pPr>
                    <w:pStyle w:val="JudulKotak"/>
                    <w:keepNext/>
                    <w:spacing w:after="0"/>
                  </w:pPr>
                  <w:bookmarkStart w:id="524" w:name="_Kartu016a"/>
                  <w:bookmarkStart w:id="523" w:name="_Obj0054"/>
                  <w:r>
                    <w:rPr>
                      <w:position w:val="-10"/>
                    </w:rPr>
                    <w:drawing>
                      <wp:inline distT="0" distB="0" distL="0" distR="0">
                        <wp:extent cx="216000" cy="216000"/>
                        <wp:effectExtent l="0" t="0" r="0" b="0"/>
                        <wp:docPr id="153" name="Gambar 153"/>
                        <wp:cNvGraphicFramePr>
                          <a:graphicFrameLocks noChangeAspect="1"/>
                        </wp:cNvGraphicFramePr>
                        <a:graphic>
                          <a:graphicData uri="http://schemas.openxmlformats.org/drawingml/2006/picture">
                            <pic:pic>
                              <pic:nvPicPr>
                                <pic:cNvPr id="153" name="kebakaran-industri-lucide-factory-FFFFFF-3D6B5A.png"/>
                                <pic:cNvPicPr/>
                              </pic:nvPicPr>
                              <pic:blipFill>
                                <a:blip r:embed="rId81"/>
                                <a:stretch>
                                  <a:fillRect/>
                                </a:stretch>
                              </pic:blipFill>
                              <pic:spPr>
                                <a:xfrm>
                                  <a:off x="0" y="0"/>
                                  <a:ext cx="216000" cy="216000"/>
                                </a:xfrm>
                                <a:prstGeom prst="rect">
                                  <a:avLst/>
                                </a:prstGeom>
                              </pic:spPr>
                            </pic:pic>
                          </a:graphicData>
                        </a:graphic>
                      </wp:inline>
                    </w:drawing>
                  </w:r>
                  <w:r>
                    <w:t xml:space="preserve"> </w:t>
                  </w:r>
                  <w:r>
                    <w:rPr>
                      <w:b/>
                      <w:bCs/>
                    </w:rPr>
                    <w:t xml:space="preserve">Kebakaran industri</w:t>
                  </w:r>
                  <w:r>
                    <w:rPr>
                      <w:color w:val="2E3440"/>
                    </w:rPr>
                    <w:t xml:space="preserve">  Nonalam</w:t>
                  </w:r>
                  <w:bookmarkEnd w:id="523"/>
                  <w:bookmarkEnd w:id="524"/>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keepNext/>
                    <w:suppressAutoHyphens/>
                    <w:spacing w:before="0" w:after="0"/>
                  </w:pPr>
                  <w:r>
                    <w:t xml:space="preserve">DASAR</w:t>
                  </w:r>
                </w:p>
              </w:tc>
              <w:tc>
                <w:tcPr>
                  <w:tcW w:w="7653" w:type="dxa"/>
                </w:tcPr>
                <w:p>
                  <w:pPr>
                    <w:pStyle w:val="IsiTabel"/>
                    <w:keepNext/>
                    <w:suppressAutoHyphens/>
                    <w:spacing w:after="0"/>
                  </w:pPr>
                  <w:r>
                    <w:t xml:space="preserve">Analog terbesar dengan angka resmi dalam lingkup kebakaran dan ledakan industri; tanpa perkalian dan tanpa proyeksi per wilayah. Al Khoziny 2025 (runtuh bangunan), Bekasi Timur 2026 (dugaan kecelakaan kereta), dan Gunungkidul 2025 (dugaan kejadian pantai) disisihkan; Morowali 2023 menunggu angka resmi.</w:t>
                  </w:r>
                </w:p>
              </w:tc>
            </w:tr>
            <w:tr>
              <w:trPr>
                <w:cantSplit/>
              </w:trPr>
              <w:tc>
                <w:tcPr>
                  <w:tcW w:w="1701" w:type="dxa"/>
                </w:tcPr>
                <w:p>
                  <w:pPr>
                    <w:pStyle w:val="LabelBagian"/>
                    <w:keepNext/>
                    <w:suppressAutoHyphens/>
                    <w:spacing w:before="0" w:after="0"/>
                  </w:pPr>
                  <w:r>
                    <w:t xml:space="preserve">KEJADIAN ANALOG</w:t>
                  </w:r>
                </w:p>
              </w:tc>
              <w:tc>
                <w:tcPr>
                  <w:tcW w:w="7653" w:type="dxa"/>
                </w:tcPr>
                <w:p>
                  <w:pPr>
                    <w:pStyle w:val="IsiTabel"/>
                    <w:keepNext/>
                    <w:suppressAutoHyphens/>
                    <w:spacing w:after="0"/>
                  </w:pPr>
                  <w:r>
                    <w:t xml:space="preserve">Kebakaran Terminal BBM Plumpang, Jakarta Utara, 3 Maret 2023</w:t>
                  </w:r>
                </w:p>
              </w:tc>
            </w:tr>
            <w:tr>
              <w:trPr>
                <w:cantSplit/>
              </w:trPr>
              <w:tc>
                <w:tcPr>
                  <w:tcW w:w="1701" w:type="dxa"/>
                </w:tcPr>
                <w:p>
                  <w:pPr>
                    <w:pStyle w:val="LabelBagian"/>
                    <w:keepNext/>
                    <w:suppressAutoHyphens/>
                    <w:spacing w:before="0" w:after="0"/>
                  </w:pPr>
                  <w:r>
                    <w:t xml:space="preserve">LEMBAGA</w:t>
                  </w:r>
                </w:p>
              </w:tc>
              <w:tc>
                <w:tcPr>
                  <w:tcW w:w="7653" w:type="dxa"/>
                </w:tcPr>
                <w:p>
                  <w:pPr>
                    <w:pStyle w:val="IsiTabel"/>
                    <w:keepNext/>
                    <w:suppressAutoHyphens/>
                    <w:spacing w:after="0"/>
                  </w:pPr>
                  <w:r>
                    <w:rPr>
                      <w:position w:val="-5"/>
                    </w:rPr>
                    <w:drawing>
                      <wp:inline distT="0" distB="0" distL="0" distR="0">
                        <wp:extent cx="162000" cy="162000"/>
                        <wp:effectExtent l="0" t="0" r="0" b="0"/>
                        <wp:docPr id="154" name="Gambar 154"/>
                        <wp:cNvGraphicFramePr>
                          <a:graphicFrameLocks noChangeAspect="1"/>
                        </wp:cNvGraphicFramePr>
                        <a:graphic>
                          <a:graphicData uri="http://schemas.openxmlformats.org/drawingml/2006/picture">
                            <pic:pic>
                              <pic:nvPicPr>
                                <pic:cNvPr id="15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Kementerian ESDM</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55" name="Gambar 155"/>
                        <wp:cNvGraphicFramePr>
                          <a:graphicFrameLocks noChangeAspect="1"/>
                        </wp:cNvGraphicFramePr>
                        <a:graphic>
                          <a:graphicData uri="http://schemas.openxmlformats.org/drawingml/2006/picture">
                            <pic:pic>
                              <pic:nvPicPr>
                                <pic:cNvPr id="15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pemerintah kab/kota (pemadam kebakaran)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56" name="Gambar 156"/>
                        <wp:cNvGraphicFramePr>
                          <a:graphicFrameLocks noChangeAspect="1"/>
                        </wp:cNvGraphicFramePr>
                        <a:graphic>
                          <a:graphicData uri="http://schemas.openxmlformats.org/drawingml/2006/picture">
                            <pic:pic>
                              <pic:nvPicPr>
                                <pic:cNvPr id="15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57" name="Gambar 157"/>
                        <wp:cNvGraphicFramePr>
                          <a:graphicFrameLocks noChangeAspect="1"/>
                        </wp:cNvGraphicFramePr>
                        <a:graphic>
                          <a:graphicData uri="http://schemas.openxmlformats.org/drawingml/2006/picture">
                            <pic:pic>
                              <pic:nvPicPr>
                                <pic:cNvPr id="15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867"/>
              <w:gridCol w:w="1143"/>
              <w:gridCol w:w="1267"/>
              <w:gridCol w:w="4077"/>
            </w:tblGrid>
            <w:tr>
              <w:trPr>
                <w:cantSplit/>
                <w:tblHeader/>
              </w:trPr>
              <w:tc>
                <w:tcPr>
                  <w:tcW w:w="2867" w:type="dxa"/>
                  <w:shd w:val="clear" w:color="auto" w:fill="051C2C"/>
                  <w:vAlign w:val="center"/>
                </w:tcPr>
                <w:p>
                  <w:pPr>
                    <w:pStyle w:val="KepalaTabel"/>
                    <w:keepNext/>
                    <w:suppressAutoHyphens/>
                  </w:pPr>
                  <w:r>
                    <w:t xml:space="preserve">INDIKATOR</w:t>
                  </w:r>
                </w:p>
              </w:tc>
              <w:tc>
                <w:tcPr>
                  <w:tcW w:w="1143" w:type="dxa"/>
                  <w:shd w:val="clear" w:color="auto" w:fill="051C2C"/>
                  <w:vAlign w:val="center"/>
                </w:tcPr>
                <w:p>
                  <w:pPr>
                    <w:pStyle w:val="KepalaTabel"/>
                    <w:keepNext/>
                    <w:suppressAutoHyphens/>
                  </w:pPr>
                  <w:r>
                    <w:t xml:space="preserve">NILAI</w:t>
                  </w:r>
                </w:p>
              </w:tc>
              <w:tc>
                <w:tcPr>
                  <w:tcW w:w="1267" w:type="dxa"/>
                  <w:shd w:val="clear" w:color="auto" w:fill="051C2C"/>
                  <w:vAlign w:val="center"/>
                </w:tcPr>
                <w:p>
                  <w:pPr>
                    <w:pStyle w:val="KepalaTabel"/>
                    <w:keepNext/>
                    <w:suppressAutoHyphens/>
                  </w:pPr>
                  <w:r>
                    <w:t xml:space="preserve">KEYAKINAN</w:t>
                  </w:r>
                </w:p>
              </w:tc>
              <w:tc>
                <w:tcPr>
                  <w:tcW w:w="4077" w:type="dxa"/>
                  <w:shd w:val="clear" w:color="auto" w:fill="051C2C"/>
                  <w:vAlign w:val="center"/>
                </w:tcPr>
                <w:p>
                  <w:pPr>
                    <w:pStyle w:val="KepalaTabel"/>
                    <w:keepNext/>
                    <w:suppressAutoHyphens/>
                  </w:pPr>
                  <w:r>
                    <w:t xml:space="preserve">SUMBER</w:t>
                  </w:r>
                </w:p>
              </w:tc>
            </w:tr>
            <w:tr>
              <w:trPr>
                <w:cantSplit/>
              </w:trPr>
              <w:tc>
                <w:tcPr>
                  <w:tcW w:w="2867" w:type="dxa"/>
                </w:tcPr>
                <w:p>
                  <w:pPr>
                    <w:pStyle w:val="IsiTabel"/>
                    <w:keepNext/>
                    <w:suppressAutoHyphens/>
                    <w:jc w:val="left"/>
                  </w:pPr>
                  <w:r>
                    <w:t xml:space="preserve">Korban jiwa</w:t>
                  </w:r>
                </w:p>
              </w:tc>
              <w:tc>
                <w:tcPr>
                  <w:tcW w:w="1143" w:type="dxa"/>
                </w:tcPr>
                <w:p>
                  <w:pPr>
                    <w:pStyle w:val="IsiTabel"/>
                    <w:keepNext/>
                    <w:suppressAutoHyphens/>
                    <w:jc w:val="left"/>
                  </w:pPr>
                  <w:r>
                    <w:t xml:space="preserve">29 jiwa</w:t>
                  </w:r>
                  <w:r>
                    <w:t xml:space="preserve"> meninggal per 18 Maret 2023</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Pemprov DKI Jakarta, data Dinas Kesehatan DKI</w:t>
                  </w:r>
                </w:p>
              </w:tc>
            </w:tr>
            <w:tr>
              <w:trPr>
                <w:cantSplit/>
              </w:trPr>
              <w:tc>
                <w:tcPr>
                  <w:tcW w:w="2867" w:type="dxa"/>
                </w:tcPr>
                <w:p>
                  <w:pPr>
                    <w:pStyle w:val="IsiTabel"/>
                    <w:keepNext/>
                    <w:suppressAutoHyphens/>
                    <w:jc w:val="left"/>
                  </w:pPr>
                  <w:r>
                    <w:t xml:space="preserve">Korban jiwa, deret awal</w:t>
                  </w:r>
                </w:p>
              </w:tc>
              <w:tc>
                <w:tcPr>
                  <w:tcW w:w="1143" w:type="dxa"/>
                </w:tcPr>
                <w:p>
                  <w:pPr>
                    <w:pStyle w:val="IsiTabel"/>
                    <w:keepNext/>
                    <w:suppressAutoHyphens/>
                    <w:jc w:val="left"/>
                  </w:pPr>
                  <w:r>
                    <w:t xml:space="preserve">17 jiwa</w:t>
                  </w:r>
                  <w:r>
                    <w:t xml:space="preserve"> meninggal dan </w:t>
                  </w:r>
                  <w:r>
                    <w:t xml:space="preserve">18</w:t>
                  </w:r>
                  <w:r>
                    <w:t xml:space="preserve"> hilang per 5 Maret 2023</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Kepala BNPB dikutip Sekretariat Kabinet</w:t>
                  </w:r>
                </w:p>
              </w:tc>
            </w:tr>
            <w:tr>
              <w:trPr>
                <w:cantSplit/>
              </w:trPr>
              <w:tc>
                <w:tcPr>
                  <w:tcW w:w="2867" w:type="dxa"/>
                </w:tcPr>
                <w:p>
                  <w:pPr>
                    <w:pStyle w:val="IsiTabel"/>
                    <w:keepNext/>
                    <w:suppressAutoHyphens/>
                    <w:jc w:val="left"/>
                  </w:pPr>
                  <w:r>
                    <w:t xml:space="preserve">Luas terdampak</w:t>
                  </w:r>
                </w:p>
              </w:tc>
              <w:tc>
                <w:tcPr>
                  <w:tcW w:w="1143"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4077" w:type="dxa"/>
                </w:tcPr>
                <w:p>
                  <w:pPr>
                    <w:pStyle w:val="IsiTabel"/>
                    <w:keepNext/>
                    <w:suppressAutoHyphens/>
                    <w:jc w:val="left"/>
                  </w:pPr>
                  <w:r>
                    <w:t xml:space="preserve">radius dampak tidak ada di sumber resmi; luas bahaya KRB nasional hanya konteks (</w:t>
                  </w:r>
                  <w:r>
                    <w:fldChar w:fldCharType="begin"/>
                  </w:r>
                  <w:r>
                    <w:instrText xml:space="preserve"> REF _Ref0306 \h \* CHARFORMAT </w:instrText>
                  </w:r>
                  <w:r>
                    <w:fldChar w:fldCharType="separate"/>
                  </w:r>
                  <w:r>
                    <w:t xml:space="preserve">Tabel 8.1</w:t>
                  </w:r>
                  <w:r>
                    <w:fldChar w:fldCharType="end"/>
                  </w:r>
                  <w:r>
                    <w:t xml:space="preserve">)</w:t>
                  </w:r>
                </w:p>
              </w:tc>
            </w:tr>
            <w:tr>
              <w:trPr>
                <w:cantSplit/>
              </w:trPr>
              <w:tc>
                <w:tcPr>
                  <w:tcW w:w="2867" w:type="dxa"/>
                </w:tcPr>
                <w:p>
                  <w:pPr>
                    <w:pStyle w:val="IsiTabel"/>
                    <w:keepNext/>
                    <w:suppressAutoHyphens/>
                    <w:jc w:val="left"/>
                  </w:pPr>
                  <w:bookmarkStart w:id="525" w:name="_Ekor063a"/>
                  <w:bookmarkEnd w:id="525"/>
                  <w:r>
                    <w:t xml:space="preserve">Kerugian materiil</w:t>
                  </w:r>
                </w:p>
              </w:tc>
              <w:tc>
                <w:tcPr>
                  <w:tcW w:w="1143"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4077" w:type="dxa"/>
                </w:tcPr>
                <w:p>
                  <w:pPr>
                    <w:pStyle w:val="IsiTabel"/>
                    <w:keepNext/>
                    <w:suppressAutoHyphens/>
                    <w:jc w:val="left"/>
                  </w:pPr>
                  <w:r>
                    <w:t xml:space="preserve">tidak ada penilaian kerugian resmi; potensi kerugian fisik KRB nasional </w:t>
                  </w:r>
                  <w:r>
                    <w:t xml:space="preserve">584.288</w:t>
                  </w:r>
                  <w:r>
                    <w:t xml:space="preserve"> juta rupiah adalah batas atas aset terpapar</w:t>
                  </w:r>
                </w:p>
              </w:tc>
            </w:tr>
            <w:tr>
              <w:trPr>
                <w:cantSplit/>
              </w:trPr>
              <w:tc>
                <w:tcPr>
                  <w:tcW w:w="2867" w:type="dxa"/>
                </w:tcPr>
                <w:p>
                  <w:pPr>
                    <w:pStyle w:val="IsiTabel"/>
                    <w:keepNext/>
                    <w:suppressAutoHyphens/>
                    <w:jc w:val="left"/>
                  </w:pPr>
                  <w:r>
                    <w:t xml:space="preserve">Kerugian imateriil, pengungsi</w:t>
                  </w:r>
                </w:p>
              </w:tc>
              <w:tc>
                <w:tcPr>
                  <w:tcW w:w="1143" w:type="dxa"/>
                </w:tcPr>
                <w:p>
                  <w:pPr>
                    <w:pStyle w:val="IsiTabel"/>
                    <w:keepNext/>
                    <w:suppressAutoHyphens/>
                    <w:jc w:val="left"/>
                  </w:pPr>
                  <w:r>
                    <w:t xml:space="preserve">1.085 jiwa</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Kepala BNPB per 5 Maret 2023</w:t>
                  </w:r>
                </w:p>
              </w:tc>
            </w:tr>
            <w:tr>
              <w:trPr>
                <w:cantSplit/>
              </w:trPr>
              <w:tc>
                <w:tcPr>
                  <w:tcW w:w="2867" w:type="dxa"/>
                </w:tcPr>
                <w:p>
                  <w:pPr>
                    <w:pStyle w:val="IsiTabel"/>
                    <w:keepNext/>
                    <w:suppressAutoHyphens/>
                    <w:jc w:val="left"/>
                  </w:pPr>
                  <w:r>
                    <w:t xml:space="preserve">Kepekaan, analog Balongan 2021</w:t>
                  </w:r>
                </w:p>
              </w:tc>
              <w:tc>
                <w:tcPr>
                  <w:tcW w:w="1143" w:type="dxa"/>
                </w:tcPr>
                <w:p>
                  <w:pPr>
                    <w:pStyle w:val="IsiTabel"/>
                    <w:keepNext/>
                    <w:suppressAutoHyphens/>
                    <w:jc w:val="left"/>
                  </w:pPr>
                  <w:r>
                    <w:t xml:space="preserve">932 jiwa</w:t>
                  </w:r>
                  <w:r>
                    <w:t xml:space="preserve"> mengungsi, satu meninggal</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BNPB 30 Maret 2021</w:t>
                  </w:r>
                </w:p>
              </w:tc>
            </w:tr>
            <w:tr>
              <w:trPr>
                <w:cantSplit/>
              </w:trPr>
              <w:tc>
                <w:tcPr>
                  <w:tcW w:w="2867" w:type="dxa"/>
                </w:tcPr>
                <w:p>
                  <w:pPr>
                    <w:pStyle w:val="IsiTabel"/>
                    <w:keepNext/>
                    <w:suppressAutoHyphens/>
                    <w:jc w:val="left"/>
                  </w:pPr>
                  <w:bookmarkStart w:id="526" w:name="_Ekor063z"/>
                  <w:bookmarkEnd w:id="526"/>
                  <w:r>
                    <w:t xml:space="preserve">Kepekaan, lingkup seluruh kegagalan teknologi</w:t>
                  </w:r>
                </w:p>
              </w:tc>
              <w:tc>
                <w:tcPr>
                  <w:tcW w:w="1143" w:type="dxa"/>
                </w:tcPr>
                <w:p>
                  <w:pPr>
                    <w:pStyle w:val="IsiTabel"/>
                    <w:keepNext/>
                    <w:suppressAutoHyphens/>
                    <w:jc w:val="left"/>
                  </w:pPr>
                  <w:r>
                    <w:t xml:space="preserve">63 jiwa</w:t>
                  </w:r>
                  <w:r>
                    <w:t xml:space="preserve"> meninggal, Al Khoziny 2025</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DIBI BNPB; lantai bila kartu tidak dibatasi pada kebakaran dan ledakan industri</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Pemadaman kebakaran oleh pemerintah kab/kota, termasuk penyelamatan dan penanganan bahan berbahaya (UU 23/2014 Lampiran).</w:t>
                  </w:r>
                </w:p>
                <w:p>
                  <w:pPr>
                    <w:pStyle w:val="DaftarTabel"/>
                    <w:keepNext/>
                    <w:numPr>
                      <w:ilvl w:val="0"/>
                      <w:numId w:val="1"/>
                    </w:numPr>
                    <w:suppressAutoHyphens/>
                  </w:pPr>
                  <w:r>
                    <w:t xml:space="preserve">Komando tanggap darurat BPBD dan BNPB bila status keadaan darurat ditetapkan, atau keadaan tertentu untuk ancaman nonalam (Perpres 46/2026).</w:t>
                  </w:r>
                </w:p>
                <w:p>
                  <w:pPr>
                    <w:pStyle w:val="DaftarTabel"/>
                    <w:keepNext/>
                    <w:numPr>
                      <w:ilvl w:val="0"/>
                      <w:numId w:val="1"/>
                    </w:numPr>
                    <w:suppressAutoHyphens/>
                  </w:pPr>
                  <w:r>
                    <w:t xml:space="preserve">Kedaruratan limbah bahan berbahaya dan beracun (B3) skala provinsi sebagai bagian program PB provinsi (PP 22/2021 Pasal 433 ayat (2)).</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Penanganan pengungsi dan pemulihan oleh pemerintah daerah, dengan dukungan BNPB bila status ditetapkan (UU 24/2007).</w:t>
                  </w:r>
                </w:p>
                <w:p>
                  <w:pPr>
                    <w:pStyle w:val="DaftarTabel"/>
                    <w:keepNext/>
                    <w:numPr>
                      <w:ilvl w:val="0"/>
                      <w:numId w:val="1"/>
                    </w:numPr>
                    <w:suppressAutoHyphens/>
                  </w:pPr>
                  <w:r>
                    <w:t xml:space="preserve">Pendanaan pascabencana melalui Dana Bersama bila status ditetapkan.</w:t>
                  </w:r>
                </w:p>
                <w:p>
                  <w:pPr>
                    <w:pStyle w:val="DaftarTabel"/>
                    <w:keepNext/>
                    <w:numPr>
                      <w:ilvl w:val="0"/>
                      <w:numId w:val="1"/>
                    </w:numPr>
                    <w:suppressAutoHyphens/>
                  </w:pPr>
                  <w:r>
                    <w:t xml:space="preserve">Pemutakhiran KRB kegagalan teknologi dengan kejadian baru.</w:t>
                  </w:r>
                </w:p>
              </w:tc>
            </w:tr>
          </w:tbl>
          <w:p>
            <w:pPr>
              <w:pStyle w:val="IsiTabel"/>
              <w:keepNext/>
              <w:spacing w:before="80"/>
            </w:pPr>
            <w:r>
              <w:rPr>
                <w:i/>
                <w:iCs/>
                <w:color w:val="2E3440"/>
                <w:sz w:val="17"/>
                <w:szCs w:val="17"/>
              </w:rPr>
              <w:t xml:space="preserve">Kejadian analog, bukan proyeksi model; angka meninggal per 18 Maret 2023 masih batas bawah.</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27" w:name="_Kartu016z"/>
      <w:r>
        <w:rPr>
          <w:b/>
          <w:bCs/>
          <w:color w:val="6B7280"/>
          <w:sz w:val="17"/>
          <w:szCs w:val="17"/>
        </w:rPr>
        <w:t xml:space="preserve">Sumber: </w:t>
      </w:r>
      <w:r>
        <w:rPr>
          <w:color w:val="6B7280"/>
          <w:sz w:val="17"/>
          <w:szCs w:val="17"/>
        </w:rPr>
        <w:t xml:space="preserve">Pemprov DKI Jakarta (18 Maret 2023); Sekretariat Kabinet (5 Maret 2023); BNPB (30 Maret 2021); KRB 2022–2026 dalam Renas PB; DIBI BNPB</w:t>
      </w:r>
      <w:r>
        <w:rPr>
          <w:color w:val="6B7280"/>
          <w:sz w:val="17"/>
          <w:szCs w:val="17"/>
        </w:rPr>
        <w:t xml:space="preserve">; data per </w:t>
      </w:r>
      <w:r>
        <w:rPr>
          <w:color w:val="6B7280"/>
          <w:sz w:val="17"/>
          <w:szCs w:val="17"/>
        </w:rPr>
        <w:t xml:space="preserve">24 Okt 2026</w:t>
      </w:r>
      <w:bookmarkEnd w:id="527"/>
    </w:p>
    <w:p>
      <w:pPr>
        <w:pStyle w:val="Heading3"/>
      </w:pPr>
      <w:bookmarkStart w:id="529" w:name="_Toc00167"/>
      <w:bookmarkStart w:id="528" w:name="_Ref0207"/>
      <w:r>
        <w:t xml:space="preserve">8.2.2</w:t>
      </w:r>
      <w:bookmarkEnd w:id="528"/>
      <w:r>
        <w:tab/>
      </w:r>
      <w:r>
        <w:t xml:space="preserve">Rezim Keselamatan Industri dan Peran BNPB</w:t>
      </w:r>
      <w:bookmarkEnd w:id="529"/>
    </w:p>
    <w:p>
      <w:pPr>
        <w:pStyle w:val="IsiTemuan"/>
      </w:pPr>
      <w:r>
        <w:rPr>
          <w:b/>
          <w:bCs/>
          <w:color w:val="051C2C"/>
        </w:rPr>
        <w:t xml:space="preserve">Empat peraturan sektoral, dari UU 1/1970 sampai Permen ESDM 32/2021, menempatkan pengawasan keselamatan kebakaran industri pada tiga menteri, dan tidak satu pun menyebut BNPB.</w:t>
      </w:r>
      <w:r>
        <w:t xml:space="preserve"> Keselamatan migas, termasuk depo penyimpanan dan niaga, berada dalam wewenang Menteri ESDM yang dilimpahkan kepada Direktur Jenderal Migas dan dilaksanakan Kepala Inspeksi. Permen ESDM 32/2021 mewajibkan pemegang izin menjamin keselamatan instalasi dan menjalani inspeksi teknis </w:t>
      </w:r>
      <w:r>
        <w:t xml:space="preserve">(Republik Indonesia, 1979; Kementerian ESDM, 2021)</w:t>
      </w:r>
      <w:r>
        <w:t xml:space="preserve">. Menteri Perindustrian mengawasi keamanan dan keselamatan proses dan penyimpanan industri menurut UU 3/2014 Pasal 117 ayat (3) huruf j, dalam teks 2014 yang belum dicocokkan ke versi konsolidasi </w:t>
      </w:r>
      <w:r>
        <w:t xml:space="preserve">(Republik Indonesia, 2014b)</w:t>
      </w:r>
      <w:r>
        <w:t xml:space="preserve">. Menteri Ketenagakerjaan mengawasi syarat keselamatan kerja, termasuk pencegahan dan pemadaman kebakaran di tempat kerja </w:t>
      </w:r>
      <w:r>
        <w:t xml:space="preserve">(Republik Indonesia, 1970)</w:t>
      </w:r>
      <w:r>
        <w:t xml:space="preserve">. Permen ESDM 32/2021 menetapkan daerah terbatas dan terlarang hanya untuk instalasi lepas pantai, sedangkan Plumpang adalah depo darat. Kekosongan aturan zona untuk depo darat belum disimpulkan sebelum peraturan tata ruang dibaca. JEE 2023 memberi skor </w:t>
      </w:r>
      <w:r>
        <w:t xml:space="preserve">3</w:t>
      </w:r>
      <w:r>
        <w:t xml:space="preserve"> dari 5 untuk deteksi dan respons kejadian kimia dan </w:t>
      </w:r>
      <w:r>
        <w:t xml:space="preserve">3</w:t>
      </w:r>
      <w:r>
        <w:t xml:space="preserve"> untuk lingkungan pemungkinnya </w:t>
      </w:r>
      <w:r>
        <w:t xml:space="preserve">(World Health Organization, 2024)</w:t>
      </w:r>
      <w:r>
        <w:t xml:space="preserve">.</w:t>
      </w:r>
    </w:p>
    <w:p>
      <w:pPr>
        <w:pStyle w:val="IsiTemuan"/>
      </w:pPr>
      <w:r>
        <w:rPr>
          <w:b/>
          <w:bCs/>
          <w:color w:val="051C2C"/>
        </w:rPr>
        <w:t xml:space="preserve">Peran prabencana BNPB bersumber dari UU 24/2007 Pasal 40 ayat (3) dan Pasal 41, yaitu analisis risiko bencana bagi pembangunan berisiko tinggi dengan persyaratan dari BNPB.</w:t>
      </w:r>
      <w:r>
        <w:t xml:space="preserve"> Penjelasan Pasal 40 ayat (3) memberi contoh pengeboran minyak bumi sampai pembuangan limbah. BNPB menyusun persyaratannya dan memantau pelaksanaannya, sedangkan pelanggaran yang mengakibatkan bencana diancam pidana menurut Pasal 75–76 </w:t>
      </w:r>
      <w:r>
        <w:t xml:space="preserve">(Republik Indonesia, 2007)</w:t>
      </w:r>
      <w:r>
        <w:t xml:space="preserve">. Persyaratan itu diatur Perka BNPB 5/2008 yang berstatus berlaku. Halaman Jaringan Dokumentasi dan Informasi Hukum (JDIH) BNPB menulis dokumennya belum tersedia, dan tautan berkasnya tidak dapat dibuka </w:t>
      </w:r>
      <w:r>
        <w:t xml:space="preserve">(BNPB, 2008a)</w:t>
      </w:r>
      <w:r>
        <w:t xml:space="preserve">. Perka BNPB 12/2014 hanya mengatur peran serta sukarela lembaga usaha lewat nota kesepahaman dan rencana kegiatan bersama, tanpa kewajiban keselamatan fasilitas </w:t>
      </w:r>
      <w:r>
        <w:t xml:space="preserve">(BNPB, 2014a)</w:t>
      </w:r>
      <w:r>
        <w:t xml:space="preserve">. Persyaratan analisis risiko bencana karena itu satu-satunya titik temu rezim sektoral dengan rezim PB yang ditemukan, dan teksnya tidak tersedia.</w:t>
      </w:r>
    </w:p>
    <w:p>
      <w:pPr>
        <w:pStyle w:val="Isi"/>
      </w:pPr>
      <w:r>
        <w:t xml:space="preserve">Di luar persyaratan itu, peran BNPB berlaku setelah kejadian dinyatakan bencana nonalam, lewat komando bersama BPBD atau keadaan tertentu menurut Perpres 46/2026 </w:t>
      </w:r>
      <w:r>
        <w:t xml:space="preserve">(Republik Indonesia, 2026a)</w:t>
      </w:r>
      <w:r>
        <w:t xml:space="preserve">. Pemadaman tetap urusan pemerintah kab/kota </w:t>
      </w:r>
      <w:r>
        <w:t xml:space="preserve">(Republik Indonesia, 2014a)</w:t>
      </w:r>
      <w:r>
        <w:t xml:space="preserve">. Oleh sebab itu, BNPB bukan regulator keselamatan industri; pembagian mandat tertulis per fase tampil pada </w:t>
      </w:r>
      <w:r>
        <w:fldChar w:fldCharType="begin"/>
      </w:r>
      <w:r>
        <w:instrText xml:space="preserve"> REF _Ref0309 \h \* CHARFORMAT </w:instrText>
      </w:r>
      <w:r>
        <w:fldChar w:fldCharType="separate"/>
      </w:r>
      <w:r>
        <w:t xml:space="preserve">Tabel 8.4</w:t>
      </w:r>
      <w:r>
        <w:fldChar w:fldCharType="end"/>
      </w:r>
      <w:r>
        <w:t xml:space="preserve">.</w:t>
      </w:r>
    </w:p>
    <w:p>
      <w:pPr>
        <w:pStyle w:val="Caption"/>
      </w:pPr>
      <w:bookmarkStart w:id="533" w:name="_Toc00168"/>
      <w:bookmarkStart w:id="532" w:name="_Ref030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532"/>
      <w:r>
        <w:rPr>
          <w:b/>
          <w:bCs/>
          <w:color w:val="051C2C"/>
        </w:rPr>
        <w:t xml:space="preserve"> </w:t>
      </w:r>
      <w:r>
        <w:t xml:space="preserve">Mandat tertulis kebakaran industri dan kebakaran TPA menurut lembaga dan fase, 2026</w:t>
      </w:r>
      <w:bookmarkEnd w:id="533"/>
    </w:p>
    <w:tbl xmlns:a="http://schemas.openxmlformats.org/drawingml/2006/main" xmlns:pic="http://schemas.openxmlformats.org/drawingml/2006/picture">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16"/>
        <w:gridCol w:w="2479"/>
        <w:gridCol w:w="2479"/>
        <w:gridCol w:w="2480"/>
      </w:tblGrid>
      <w:tr>
        <w:trPr>
          <w:cantSplit/>
          <w:tblHeader/>
        </w:trPr>
        <w:tc>
          <w:tcPr>
            <w:tcW w:w="1916" w:type="dxa"/>
            <w:shd w:val="clear" w:color="auto" w:fill="051C2C"/>
            <w:vAlign w:val="center"/>
          </w:tcPr>
          <w:p>
            <w:pPr>
              <w:pStyle w:val="KepalaTabel"/>
              <w:suppressAutoHyphens/>
            </w:pPr>
            <w:r>
              <w:t xml:space="preserve">LEMBAGA</w:t>
            </w:r>
          </w:p>
        </w:tc>
        <w:tc>
          <w:tcPr>
            <w:tcW w:w="2479" w:type="dxa"/>
            <w:shd w:val="clear" w:color="auto" w:fill="051C2C"/>
            <w:vAlign w:val="center"/>
          </w:tcPr>
          <w:p>
            <w:pPr>
              <w:pStyle w:val="KepalaTabel"/>
              <w:suppressAutoHyphens/>
            </w:pPr>
            <w:r>
              <w:t xml:space="preserve">PRABENCANA</w:t>
            </w:r>
          </w:p>
        </w:tc>
        <w:tc>
          <w:tcPr>
            <w:tcW w:w="2479" w:type="dxa"/>
            <w:shd w:val="clear" w:color="auto" w:fill="051C2C"/>
            <w:vAlign w:val="center"/>
          </w:tcPr>
          <w:p>
            <w:pPr>
              <w:pStyle w:val="KepalaTabel"/>
              <w:suppressAutoHyphens/>
            </w:pPr>
            <w:r>
              <w:t xml:space="preserve">TANGGAP DARURAT</w:t>
            </w:r>
          </w:p>
        </w:tc>
        <w:tc>
          <w:tcPr>
            <w:tcW w:w="2480" w:type="dxa"/>
            <w:shd w:val="clear" w:color="auto" w:fill="051C2C"/>
            <w:vAlign w:val="center"/>
          </w:tcPr>
          <w:p>
            <w:pPr>
              <w:pStyle w:val="KepalaTabel"/>
              <w:suppressAutoHyphens/>
            </w:pPr>
            <w:r>
              <w:t xml:space="preserve">PASCABENCANA</w:t>
            </w:r>
          </w:p>
        </w:tc>
      </w:tr>
      <w:tr>
        <w:trPr>
          <w:cantSplit/>
        </w:trPr>
        <w:tc>
          <w:tcPr>
            <w:tcW w:w="1916" w:type="dxa"/>
          </w:tcPr>
          <w:p>
            <w:pPr>
              <w:pStyle w:val="Chip"/>
              <w:suppressAutoHyphens/>
              <w:spacing w:after="20" w:line="240" w:lineRule="auto"/>
            </w:pPr>
            <w:r>
              <w:rPr>
                <w:position w:val="-5"/>
              </w:rPr>
              <w:drawing>
                <wp:inline distT="0" distB="0" distL="0" distR="0">
                  <wp:extent cx="162000" cy="162000"/>
                  <wp:effectExtent l="0" t="0" r="0" b="0"/>
                  <wp:docPr id="158" name="Gambar 158"/>
                  <wp:cNvGraphicFramePr>
                    <a:graphicFrameLocks noChangeAspect="1"/>
                  </wp:cNvGraphicFramePr>
                  <a:graphic>
                    <a:graphicData uri="http://schemas.openxmlformats.org/drawingml/2006/picture">
                      <pic:pic>
                        <pic:nvPicPr>
                          <pic:cNvPr id="15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Kementerian ESDM</w:t>
            </w:r>
          </w:p>
        </w:tc>
        <w:tc>
          <w:tcPr>
            <w:tcW w:w="2479" w:type="dxa"/>
          </w:tcPr>
          <w:p>
            <w:pPr>
              <w:pStyle w:val="IsiTabel"/>
              <w:suppressAutoHyphens/>
              <w:spacing w:after="40"/>
            </w:pPr>
            <w:r>
              <w:rPr>
                <w:b/>
                <w:bCs/>
                <w:color w:val="FFFFFF"/>
                <w:sz w:val="16"/>
                <w:szCs w:val="16"/>
                <w:shd w:val="clear" w:color="auto" w:fill="051C2C"/>
              </w:rPr>
              <w:t xml:space="preserve">  Pemimpin  </w:t>
            </w:r>
          </w:p>
          <w:p>
            <w:pPr>
              <w:pStyle w:val="IsiTabel"/>
              <w:suppressAutoHyphens/>
            </w:pPr>
            <w:r>
              <w:t xml:space="preserve">keselamatan instalasi migas, termasuk depo penyimpanan dan niaga (PP 11/1979 Pasal 2; Permen ESDM 32/2021 Pasal 3)</w:t>
            </w:r>
          </w:p>
        </w:tc>
        <w:tc>
          <w:tcPr>
            <w:tcW w:w="2479"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 pemadaman ada pada pemerintah kab/kota</w:t>
            </w:r>
          </w:p>
        </w:tc>
        <w:tc>
          <w:tcPr>
            <w:tcW w:w="2480"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w:t>
            </w:r>
          </w:p>
        </w:tc>
      </w:tr>
      <w:tr>
        <w:trPr>
          <w:cantSplit/>
        </w:trPr>
        <w:tc>
          <w:tcPr>
            <w:tcW w:w="1916" w:type="dxa"/>
          </w:tcPr>
          <w:p>
            <w:pPr>
              <w:pStyle w:val="Chip"/>
              <w:suppressAutoHyphens/>
              <w:spacing w:after="20" w:line="240" w:lineRule="auto"/>
            </w:pPr>
            <w:r>
              <w:rPr>
                <w:position w:val="-5"/>
              </w:rPr>
              <w:drawing>
                <wp:inline distT="0" distB="0" distL="0" distR="0">
                  <wp:extent cx="162000" cy="162000"/>
                  <wp:effectExtent l="0" t="0" r="0" b="0"/>
                  <wp:docPr id="159" name="Gambar 159"/>
                  <wp:cNvGraphicFramePr>
                    <a:graphicFrameLocks noChangeAspect="1"/>
                  </wp:cNvGraphicFramePr>
                  <a:graphic>
                    <a:graphicData uri="http://schemas.openxmlformats.org/drawingml/2006/picture">
                      <pic:pic>
                        <pic:nvPicPr>
                          <pic:cNvPr id="15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Kementerian Perindustrian</w:t>
            </w:r>
          </w:p>
        </w:tc>
        <w:tc>
          <w:tcPr>
            <w:tcW w:w="2479" w:type="dxa"/>
          </w:tcPr>
          <w:p>
            <w:pPr>
              <w:pStyle w:val="IsiTabel"/>
              <w:suppressAutoHyphens/>
              <w:spacing w:after="40"/>
            </w:pPr>
            <w:r>
              <w:rPr>
                <w:b/>
                <w:bCs/>
                <w:color w:val="FFFFFF"/>
                <w:sz w:val="16"/>
                <w:szCs w:val="16"/>
                <w:shd w:val="clear" w:color="auto" w:fill="051C2C"/>
              </w:rPr>
              <w:t xml:space="preserve">  Pemimpin  </w:t>
            </w:r>
          </w:p>
          <w:p>
            <w:pPr>
              <w:pStyle w:val="IsiTabel"/>
              <w:suppressAutoHyphens/>
            </w:pPr>
            <w:r>
              <w:t xml:space="preserve">pengawasan keamanan dan keselamatan proses, penyimpanan, dan pengangkutan industri (UU 3/2014 Pasal 117)</w:t>
            </w:r>
          </w:p>
        </w:tc>
        <w:tc>
          <w:tcPr>
            <w:tcW w:w="2479"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w:t>
            </w:r>
          </w:p>
        </w:tc>
        <w:tc>
          <w:tcPr>
            <w:tcW w:w="2480"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w:t>
            </w:r>
          </w:p>
        </w:tc>
      </w:tr>
      <w:tr>
        <w:trPr>
          <w:cantSplit/>
        </w:trPr>
        <w:tc>
          <w:tcPr>
            <w:tcW w:w="1916" w:type="dxa"/>
          </w:tcPr>
          <w:p>
            <w:pPr>
              <w:pStyle w:val="Chip"/>
              <w:keepNext/>
              <w:suppressAutoHyphens/>
              <w:spacing w:after="20" w:line="240" w:lineRule="auto"/>
            </w:pPr>
            <w:bookmarkStart w:id="530" w:name="_Ekor064a"/>
            <w:bookmarkEnd w:id="530"/>
            <w:r>
              <w:rPr>
                <w:position w:val="-5"/>
              </w:rPr>
              <w:drawing>
                <wp:inline distT="0" distB="0" distL="0" distR="0">
                  <wp:extent cx="162000" cy="162000"/>
                  <wp:effectExtent l="0" t="0" r="0" b="0"/>
                  <wp:docPr id="160" name="Gambar 160"/>
                  <wp:cNvGraphicFramePr>
                    <a:graphicFrameLocks noChangeAspect="1"/>
                  </wp:cNvGraphicFramePr>
                  <a:graphic>
                    <a:graphicData uri="http://schemas.openxmlformats.org/drawingml/2006/picture">
                      <pic:pic>
                        <pic:nvPicPr>
                          <pic:cNvPr id="16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Kementerian Ketenagakerjaan</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syarat keselamatan kerja, termasuk pencegahan kebakaran di tempat kerja (UU 1/1970 Pasal 3 dan 5)</w:t>
            </w:r>
          </w:p>
        </w:tc>
        <w:tc>
          <w:tcPr>
            <w:tcW w:w="2479" w:type="dxa"/>
          </w:tcPr>
          <w:p>
            <w:pPr>
              <w:pStyle w:val="IsiTabel"/>
              <w:keepNext/>
              <w:suppressAutoHyphens/>
              <w:spacing w:after="40"/>
            </w:pPr>
            <w:r>
              <w:rPr>
                <w:b/>
                <w:bCs/>
                <w:color w:val="6B7280"/>
                <w:sz w:val="16"/>
                <w:szCs w:val="16"/>
                <w:bdr w:val="single" w:sz="6" w:space="0" w:color="6B7280"/>
              </w:rPr>
              <w:t xml:space="preserve">  Tidak berlaku  </w:t>
            </w:r>
          </w:p>
          <w:p>
            <w:pPr>
              <w:pStyle w:val="IsiTabel"/>
              <w:keepNext/>
              <w:suppressAutoHyphens/>
            </w:pPr>
            <w:r>
              <w:rPr>
                <w:color w:val="6B7280"/>
              </w:rPr>
              <w:t xml:space="preserve">tidak tercantum pada pasal yang dibaca</w:t>
            </w:r>
          </w:p>
        </w:tc>
        <w:tc>
          <w:tcPr>
            <w:tcW w:w="2480" w:type="dxa"/>
          </w:tcPr>
          <w:p>
            <w:pPr>
              <w:pStyle w:val="IsiTabel"/>
              <w:keepNext/>
              <w:suppressAutoHyphens/>
              <w:spacing w:after="40"/>
            </w:pPr>
            <w:r>
              <w:rPr>
                <w:b/>
                <w:bCs/>
                <w:color w:val="6B7280"/>
                <w:sz w:val="16"/>
                <w:szCs w:val="16"/>
                <w:bdr w:val="single" w:sz="6" w:space="0" w:color="6B7280"/>
              </w:rPr>
              <w:t xml:space="preserve">  Tidak berlaku  </w:t>
            </w:r>
          </w:p>
          <w:p>
            <w:pPr>
              <w:pStyle w:val="IsiTabel"/>
              <w:keepNext/>
              <w:suppressAutoHyphens/>
            </w:pPr>
            <w:r>
              <w:rPr>
                <w:color w:val="6B7280"/>
              </w:rPr>
              <w:t xml:space="preserve">tidak tercantum pada pasal yang dibaca</w:t>
            </w:r>
          </w:p>
        </w:tc>
      </w:tr>
      <w:tr>
        <w:trPr>
          <w:cantSplit/>
        </w:trPr>
        <w:tc>
          <w:tcPr>
            <w:tcW w:w="1916" w:type="dxa"/>
          </w:tcPr>
          <w:p>
            <w:pPr>
              <w:pStyle w:val="Chip"/>
              <w:keepNext/>
              <w:suppressAutoHyphens/>
              <w:spacing w:after="20" w:line="240" w:lineRule="auto"/>
            </w:pPr>
            <w:r>
              <w:rPr>
                <w:position w:val="-5"/>
              </w:rPr>
              <w:drawing>
                <wp:inline distT="0" distB="0" distL="0" distR="0">
                  <wp:extent cx="162000" cy="162000"/>
                  <wp:effectExtent l="0" t="0" r="0" b="0"/>
                  <wp:docPr id="161" name="Gambar 161"/>
                  <wp:cNvGraphicFramePr>
                    <a:graphicFrameLocks noChangeAspect="1"/>
                  </wp:cNvGraphicFramePr>
                  <a:graphic>
                    <a:graphicData uri="http://schemas.openxmlformats.org/drawingml/2006/picture">
                      <pic:pic>
                        <pic:nvPicPr>
                          <pic:cNvPr id="16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KLH/BPLH</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NSPK pengelolaan sampah (UU 23/2014 Lampiran), pengawasan dan sanksi administratif TPA pembuangan terbuka, serta SE Menteri LH 11/2026</w:t>
            </w:r>
          </w:p>
        </w:tc>
        <w:tc>
          <w:tcPr>
            <w:tcW w:w="2479" w:type="dxa"/>
          </w:tcPr>
          <w:p>
            <w:pPr>
              <w:pStyle w:val="IsiTabel"/>
              <w:keepNext/>
              <w:suppressAutoHyphens/>
              <w:spacing w:after="40"/>
            </w:pPr>
            <w:r>
              <w:rPr>
                <w:b/>
                <w:bCs/>
                <w:color w:val="1A1A1A"/>
                <w:sz w:val="16"/>
                <w:szCs w:val="16"/>
                <w:bdr w:val="single" w:sz="6" w:space="0" w:color="051C2C"/>
              </w:rPr>
              <w:t xml:space="preserve">  Pendukung  </w:t>
            </w:r>
          </w:p>
          <w:p>
            <w:pPr>
              <w:pStyle w:val="IsiTabel"/>
              <w:keepNext/>
              <w:suppressAutoHyphens/>
            </w:pPr>
            <w:r>
              <w:t xml:space="preserve">kedaruratan limbah B3, yang pada skala provinsi menjadi bagian program PB provinsi (PP 22/2021 Pasal 433 ayat (2))</w:t>
            </w:r>
          </w:p>
        </w:tc>
        <w:tc>
          <w:tcPr>
            <w:tcW w:w="2480" w:type="dxa"/>
          </w:tcPr>
          <w:p>
            <w:pPr>
              <w:pStyle w:val="IsiTabel"/>
              <w:keepNext/>
              <w:suppressAutoHyphens/>
              <w:spacing w:after="40"/>
            </w:pPr>
            <w:r>
              <w:rPr>
                <w:b/>
                <w:bCs/>
                <w:color w:val="6B7280"/>
                <w:sz w:val="16"/>
                <w:szCs w:val="16"/>
                <w:bdr w:val="single" w:sz="6" w:space="0" w:color="6B7280"/>
              </w:rPr>
              <w:t xml:space="preserve">  Tidak berlaku  </w:t>
            </w:r>
          </w:p>
          <w:p>
            <w:pPr>
              <w:pStyle w:val="IsiTabel"/>
              <w:keepNext/>
              <w:suppressAutoHyphens/>
            </w:pPr>
            <w:r>
              <w:rPr>
                <w:color w:val="6B7280"/>
              </w:rPr>
              <w:t xml:space="preserve">tidak tercantum pada pasal yang dibaca</w:t>
            </w:r>
          </w:p>
        </w:tc>
      </w:tr>
      <w:tr>
        <w:trPr>
          <w:cantSplit/>
        </w:trPr>
        <w:tc>
          <w:tcPr>
            <w:tcW w:w="1916" w:type="dxa"/>
          </w:tcPr>
          <w:p>
            <w:pPr>
              <w:pStyle w:val="Chip"/>
              <w:keepNext/>
              <w:suppressAutoHyphens/>
              <w:spacing w:after="20" w:line="240" w:lineRule="auto"/>
            </w:pPr>
            <w:r>
              <w:rPr>
                <w:position w:val="-5"/>
              </w:rPr>
              <w:drawing>
                <wp:inline distT="0" distB="0" distL="0" distR="0">
                  <wp:extent cx="162000" cy="162000"/>
                  <wp:effectExtent l="0" t="0" r="0" b="0"/>
                  <wp:docPr id="162" name="Gambar 162"/>
                  <wp:cNvGraphicFramePr>
                    <a:graphicFrameLocks noChangeAspect="1"/>
                  </wp:cNvGraphicFramePr>
                  <a:graphic>
                    <a:graphicData uri="http://schemas.openxmlformats.org/drawingml/2006/picture">
                      <pic:pic>
                        <pic:nvPicPr>
                          <pic:cNvPr id="16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Pemerintah kab/kota</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sistem tanggap darurat pengelolaan sampah dan penutupan TPA pembuangan terbuka (UU 18/2008 Pasal 9 dan 44)</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pemadaman dan penanganan bahan berbahaya kebakaran (UU 23/2014 Lampiran)</w:t>
            </w:r>
          </w:p>
        </w:tc>
        <w:tc>
          <w:tcPr>
            <w:tcW w:w="2480"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penanganan pengungsi dan pemantauan TPA yang telah ditutup (UU 24/2007; UU 18/2008 Pasal 9 ayat (1) huruf e)</w:t>
            </w:r>
          </w:p>
        </w:tc>
      </w:tr>
      <w:tr>
        <w:trPr>
          <w:cantSplit/>
        </w:trPr>
        <w:tc>
          <w:tcPr>
            <w:tcW w:w="1916" w:type="dxa"/>
          </w:tcPr>
          <w:p>
            <w:pPr>
              <w:pStyle w:val="Chip"/>
              <w:keepNext/>
              <w:suppressAutoHyphens/>
              <w:spacing w:after="20" w:line="240" w:lineRule="auto"/>
            </w:pPr>
            <w:bookmarkStart w:id="531" w:name="_Ekor064z"/>
            <w:bookmarkEnd w:id="531"/>
            <w:r>
              <w:rPr>
                <w:position w:val="-5"/>
              </w:rPr>
              <w:drawing>
                <wp:inline distT="0" distB="0" distL="0" distR="0">
                  <wp:extent cx="162000" cy="162000"/>
                  <wp:effectExtent l="0" t="0" r="0" b="0"/>
                  <wp:docPr id="163" name="Gambar 163"/>
                  <wp:cNvGraphicFramePr>
                    <a:graphicFrameLocks noChangeAspect="1"/>
                  </wp:cNvGraphicFramePr>
                  <a:graphic>
                    <a:graphicData uri="http://schemas.openxmlformats.org/drawingml/2006/picture">
                      <pic:pic>
                        <pic:nvPicPr>
                          <pic:cNvPr id="16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BNPB</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persyaratan analisis risiko bencana bagi pembangunan berisiko tinggi (UU 24/2007 Pasal 41); teks Perka BNPB 5/2008 tidak tersedia</w:t>
            </w:r>
          </w:p>
        </w:tc>
        <w:tc>
          <w:tcPr>
            <w:tcW w:w="2479" w:type="dxa"/>
          </w:tcPr>
          <w:p>
            <w:pPr>
              <w:pStyle w:val="IsiTabel"/>
              <w:keepNext/>
              <w:suppressAutoHyphens/>
              <w:spacing w:after="40"/>
            </w:pPr>
            <w:r>
              <w:rPr>
                <w:b/>
                <w:bCs/>
                <w:color w:val="1A1A1A"/>
                <w:sz w:val="16"/>
                <w:szCs w:val="16"/>
                <w:bdr w:val="single" w:sz="6" w:space="0" w:color="051C2C"/>
              </w:rPr>
              <w:t xml:space="preserve">  Pendukung  </w:t>
            </w:r>
          </w:p>
          <w:p>
            <w:pPr>
              <w:pStyle w:val="IsiTabel"/>
              <w:keepNext/>
              <w:suppressAutoHyphens/>
            </w:pPr>
            <w:r>
              <w:t xml:space="preserve">komando bersama BPBD bila status keadaan darurat ditetapkan, atau keadaan tertentu (Perpres 46/2026)</w:t>
            </w:r>
          </w:p>
        </w:tc>
        <w:tc>
          <w:tcPr>
            <w:tcW w:w="2480" w:type="dxa"/>
          </w:tcPr>
          <w:p>
            <w:pPr>
              <w:pStyle w:val="IsiTabel"/>
              <w:keepNext/>
              <w:suppressAutoHyphens/>
              <w:spacing w:after="40"/>
            </w:pPr>
            <w:r>
              <w:rPr>
                <w:b/>
                <w:bCs/>
                <w:color w:val="1A1A1A"/>
                <w:sz w:val="16"/>
                <w:szCs w:val="16"/>
                <w:bdr w:val="single" w:sz="6" w:space="0" w:color="051C2C"/>
              </w:rPr>
              <w:t xml:space="preserve">  Pendukung  </w:t>
            </w:r>
          </w:p>
          <w:p>
            <w:pPr>
              <w:pStyle w:val="IsiTabel"/>
              <w:keepNext/>
              <w:suppressAutoHyphens/>
            </w:pPr>
            <w:r>
              <w:t xml:space="preserve">koordinasi dan Dana Bersama bila status keadaan darurat ditetapkan (UU 24/2007)</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Pemimpin dan Pendukung = peran lembaga</w:t>
            </w:r>
          </w:p>
        </w:tc>
      </w:tr>
    </w:tbl>
    <w:p>
      <w:pPr>
        <w:pStyle w:val="Sumber"/>
      </w:pPr>
      <w:r>
        <w:rPr>
          <w:b/>
          <w:bCs/>
          <w:color w:val="6B7280"/>
          <w:sz w:val="17"/>
          <w:szCs w:val="17"/>
        </w:rPr>
        <w:t xml:space="preserve">Sumber: </w:t>
      </w:r>
      <w:r>
        <w:rPr>
          <w:color w:val="6B7280"/>
          <w:sz w:val="17"/>
          <w:szCs w:val="17"/>
        </w:rPr>
        <w:t xml:space="preserve">UU 1/1970; PP 11/1979; UU 24/2007; UU 18/2008; UU 3/2014; UU 23/2014; Permen ESDM 32/2021; PP 22/2021 dikutip Pergub Jawa Tengah 7/2024; pengolahan kajian ini</w:t>
      </w:r>
      <w:r>
        <w:rPr>
          <w:color w:val="6B7280"/>
          <w:sz w:val="17"/>
          <w:szCs w:val="17"/>
        </w:rPr>
        <w:t xml:space="preserve"> </w:t>
      </w:r>
      <w:r>
        <w:rPr>
          <w:b/>
          <w:bCs/>
          <w:color w:val="FFFFFF"/>
          <w:sz w:val="16"/>
          <w:szCs w:val="16"/>
          <w:shd w:val="clear" w:color="auto" w:fill="051C2C"/>
        </w:rPr>
        <w:t xml:space="preserve">  Resmi  </w:t>
      </w:r>
    </w:p>
    <w:p>
      <w:pPr>
        <w:pStyle w:val="Heading2"/>
      </w:pPr>
      <w:bookmarkStart w:id="535" w:name="_Toc00169"/>
      <w:bookmarkStart w:id="534" w:name="_Ref0217"/>
      <w:r>
        <w:t xml:space="preserve">8.3</w:t>
      </w:r>
      <w:bookmarkEnd w:id="534"/>
      <w:r>
        <w:tab/>
      </w:r>
      <w:r>
        <w:t xml:space="preserve">Kebakaran Tempat Pemrosesan Akhir Sampah</w:t>
      </w:r>
      <w:bookmarkEnd w:id="535"/>
    </w:p>
    <w:p>
      <w:pPr>
        <w:pStyle w:val="Heading3"/>
      </w:pPr>
      <w:bookmarkStart w:id="537" w:name="_Toc00170"/>
      <w:bookmarkStart w:id="536" w:name="_Ref0218"/>
      <w:r>
        <w:t xml:space="preserve">8.3.1</w:t>
      </w:r>
      <w:bookmarkEnd w:id="536"/>
      <w:r>
        <w:tab/>
      </w:r>
      <w:r>
        <w:t xml:space="preserve">Kebakaran pada Kemarau 2023 dan 2026</w:t>
      </w:r>
      <w:bookmarkEnd w:id="537"/>
    </w:p>
    <w:p>
      <w:pPr>
        <w:pStyle w:val="IsiTemuan"/>
      </w:pPr>
      <w:r>
        <w:rPr>
          <w:b/>
          <w:bCs/>
          <w:color w:val="051C2C"/>
        </w:rPr>
        <w:t xml:space="preserve">BNPB mencatat </w:t>
      </w:r>
      <w:r>
        <w:rPr>
          <w:b/>
          <w:bCs/>
          <w:color w:val="051C2C"/>
        </w:rPr>
        <w:t xml:space="preserve">16</w:t>
      </w:r>
      <w:r>
        <w:rPr>
          <w:b/>
          <w:bCs/>
          <w:color w:val="051C2C"/>
        </w:rPr>
        <w:t xml:space="preserve"> TPA "terbakar hebat bersamaan" pada kemarau El Niño 2023, dan kemarau 2026 kembali mencatat </w:t>
      </w:r>
      <w:r>
        <w:rPr>
          <w:b/>
          <w:bCs/>
          <w:color w:val="051C2C"/>
        </w:rPr>
        <w:t xml:space="preserve">4 TPA</w:t>
      </w:r>
      <w:r>
        <w:rPr>
          <w:b/>
          <w:bCs/>
          <w:color w:val="051C2C"/>
        </w:rPr>
        <w:t xml:space="preserve"> terbakar.</w:t>
      </w:r>
      <w:r>
        <w:t xml:space="preserve"> Angka 2023 adalah catatan BNPB yang dikutip Kepala BNPB pada rapat koordinasi di Bali, 21 Juni 2024, tanpa daftar lokasi dan rentang tanggal </w:t>
      </w:r>
      <w:r>
        <w:t xml:space="preserve">(BNPB, 2024h)</w:t>
      </w:r>
      <w:r>
        <w:t xml:space="preserve">. Kejadian yang tercatat tersebar dari Agustus sampai Oktober 2023, tidak serentak. Hitungan lain untuk 2023, yaitu daftar per lokasi dari Pusdatinkom BNPB dan hitungan setahun penuh dari Kementerian Lingkungan Hidup dan Kehutanan (KLHK), memakai periode berbeda dan hanya terbaca dari pemberitaan, sehingga tidak dikutip sebagai angka. Renstra BNPB mencatat kebakaran pada El Niño 2023 juga melanda TPA, diperparah kelalaian seperti membakar sampah </w:t>
      </w:r>
      <w:r>
        <w:t xml:space="preserve">(BNPB, 2025e, hlm. 12)</w:t>
      </w:r>
      <w:r>
        <w:t xml:space="preserve">. Pada September 2026 Wakil Menteri Lingkungan Hidup mengaitkan kebakaran TPA dengan El Niño dan pemanasan global </w:t>
      </w:r>
      <w:r>
        <w:t xml:space="preserve">(KLH/BPLH, 2026a)</w:t>
      </w:r>
      <w:r>
        <w:t xml:space="preserve">.</w:t>
      </w:r>
    </w:p>
    <w:p>
      <w:pPr>
        <w:pStyle w:val="IsiTemuan"/>
      </w:pPr>
      <w:r>
        <w:rPr>
          <w:b/>
          <w:bCs/>
          <w:color w:val="051C2C"/>
        </w:rPr>
        <w:t xml:space="preserve">Kebakaran Tempat Pengolahan Sampah Terpadu (TPST) Sarimukti, Kabupaten Bandung Barat, sejak 19 Agustus 2023 membakar </w:t>
      </w:r>
      <w:r>
        <w:rPr>
          <w:b/>
          <w:bCs/>
          <w:color w:val="051C2C"/>
        </w:rPr>
        <w:t xml:space="preserve">80%</w:t>
      </w:r>
      <w:r>
        <w:rPr>
          <w:b/>
          <w:bCs/>
          <w:color w:val="051C2C"/>
        </w:rPr>
        <w:t xml:space="preserve"> lahan dan membuat </w:t>
      </w:r>
      <w:r>
        <w:rPr>
          <w:b/>
          <w:bCs/>
          <w:color w:val="051C2C"/>
        </w:rPr>
        <w:t xml:space="preserve">3.000 KK</w:t>
      </w:r>
      <w:r>
        <w:rPr>
          <w:b/>
          <w:bCs/>
          <w:color w:val="051C2C"/>
        </w:rPr>
        <w:t xml:space="preserve"> terdampak asap.</w:t>
      </w:r>
      <w:r>
        <w:t xml:space="preserve"> Helikopter </w:t>
      </w:r>
      <w:r>
        <w:rPr>
          <w:i/>
          <w:iCs/>
        </w:rPr>
        <w:t xml:space="preserve">water bombing</w:t>
      </w:r>
      <w:r>
        <w:t xml:space="preserve"> BNPB dikerahkan atas permintaan Gubernur Jawa Barat </w:t>
      </w:r>
      <w:r>
        <w:t xml:space="preserve">(BNPB, 2023a)</w:t>
      </w:r>
      <w:r>
        <w:t xml:space="preserve">. Kebakaran TPA Suwung, Denpasar, meliputi </w:t>
      </w:r>
      <w:r>
        <w:t xml:space="preserve">32,4 ha</w:t>
      </w:r>
      <w:r>
        <w:t xml:space="preserve"> di lokasi yang berjarak tujuh kilometer dari Bandara I Gusti Ngurah Rai </w:t>
      </w:r>
      <w:r>
        <w:t xml:space="preserve">(BNPB, 2024h)</w:t>
      </w:r>
      <w:r>
        <w:t xml:space="preserve">. Pada 2026 kebakaran Jatiwaringin, Kabupaten Tangerang, meliputi </w:t>
      </w:r>
      <w:r>
        <w:t xml:space="preserve">15 ha</w:t>
      </w:r>
      <w:r>
        <w:t xml:space="preserve"> dan baru padam penuh setelah </w:t>
      </w:r>
      <w:r>
        <w:t xml:space="preserve">10 hari</w:t>
      </w:r>
      <w:r>
        <w:t xml:space="preserve"> </w:t>
      </w:r>
      <w:r>
        <w:t xml:space="preserve">(BNPB, 2026l)</w:t>
      </w:r>
      <w:r>
        <w:t xml:space="preserve">. Putri Cempo, Surakarta, terbakar pada 2023 dan kembali terbakar pada 2026. Tidak ada korban jiwa langsung maupun kerugian rupiah resmi yang tercatat. Kebakaran TPA juga tidak punya jenis sendiri di DIBI, sehingga rangkaian 2023 dan 2026 hanya terbaca dari rilis BNPB dan KLH/BPLH (</w:t>
      </w:r>
      <w:r>
        <w:fldChar w:fldCharType="begin"/>
      </w:r>
      <w:r>
        <w:instrText xml:space="preserve"> REF _Ref0332 \h \* CHARFORMAT </w:instrText>
      </w:r>
      <w:r>
        <w:fldChar w:fldCharType="separate"/>
      </w:r>
      <w:r>
        <w:t xml:space="preserve">Tabel 8.5</w:t>
      </w:r>
      <w:r>
        <w:fldChar w:fldCharType="end"/>
      </w:r>
      <w:r>
        <w:t xml:space="preserve">).</w:t>
      </w:r>
    </w:p>
    <w:p>
      <w:pPr>
        <w:pStyle w:val="Caption"/>
      </w:pPr>
      <w:bookmarkStart w:id="539" w:name="_Toc00171"/>
      <w:bookmarkStart w:id="538" w:name="_Ref033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538"/>
      <w:r>
        <w:rPr>
          <w:b/>
          <w:bCs/>
          <w:color w:val="051C2C"/>
        </w:rPr>
        <w:t xml:space="preserve"> </w:t>
      </w:r>
      <w:r>
        <w:t xml:space="preserve">TPA terbakar menurut lokasi, luas, dan status keadaan darurat di Indonesia, 2023–2026</w:t>
      </w:r>
      <w:bookmarkEnd w:id="53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35"/>
        <w:gridCol w:w="1783"/>
        <w:gridCol w:w="1768"/>
        <w:gridCol w:w="2251"/>
        <w:gridCol w:w="1127"/>
        <w:gridCol w:w="1190"/>
      </w:tblGrid>
      <w:tr>
        <w:trPr>
          <w:cantSplit/>
          <w:tblHeader/>
        </w:trPr>
        <w:tc>
          <w:tcPr>
            <w:tcW w:w="1235" w:type="dxa"/>
            <w:shd w:val="clear" w:color="auto" w:fill="051C2C"/>
            <w:vAlign w:val="center"/>
          </w:tcPr>
          <w:p>
            <w:pPr>
              <w:pStyle w:val="KepalaTabel"/>
              <w:suppressAutoHyphens/>
            </w:pPr>
            <w:r>
              <w:t xml:space="preserve">TPA</w:t>
            </w:r>
          </w:p>
        </w:tc>
        <w:tc>
          <w:tcPr>
            <w:tcW w:w="1783" w:type="dxa"/>
            <w:shd w:val="clear" w:color="auto" w:fill="051C2C"/>
            <w:vAlign w:val="center"/>
          </w:tcPr>
          <w:p>
            <w:pPr>
              <w:pStyle w:val="KepalaTabel"/>
              <w:suppressAutoHyphens/>
            </w:pPr>
            <w:r>
              <w:t xml:space="preserve">KAB/KOTA</w:t>
            </w:r>
          </w:p>
        </w:tc>
        <w:tc>
          <w:tcPr>
            <w:tcW w:w="1768" w:type="dxa"/>
            <w:shd w:val="clear" w:color="auto" w:fill="051C2C"/>
            <w:vAlign w:val="center"/>
          </w:tcPr>
          <w:p>
            <w:pPr>
              <w:pStyle w:val="KepalaTabel"/>
              <w:suppressAutoHyphens/>
            </w:pPr>
            <w:r>
              <w:t xml:space="preserve">MULAI</w:t>
            </w:r>
          </w:p>
        </w:tc>
        <w:tc>
          <w:tcPr>
            <w:tcW w:w="2251" w:type="dxa"/>
            <w:shd w:val="clear" w:color="auto" w:fill="051C2C"/>
            <w:vAlign w:val="center"/>
          </w:tcPr>
          <w:p>
            <w:pPr>
              <w:pStyle w:val="KepalaTabel"/>
              <w:suppressAutoHyphens/>
            </w:pPr>
            <w:r>
              <w:t xml:space="preserve">LUAS ATAU DAMPAK</w:t>
            </w:r>
          </w:p>
        </w:tc>
        <w:tc>
          <w:tcPr>
            <w:tcW w:w="1127" w:type="dxa"/>
            <w:shd w:val="clear" w:color="auto" w:fill="051C2C"/>
            <w:vAlign w:val="center"/>
          </w:tcPr>
          <w:p>
            <w:pPr>
              <w:pStyle w:val="KepalaTabel"/>
              <w:suppressAutoHyphens/>
            </w:pPr>
            <w:r>
              <w:t xml:space="preserve">STATUS KEADAAN DARURAT</w:t>
            </w:r>
          </w:p>
        </w:tc>
        <w:tc>
          <w:tcPr>
            <w:tcW w:w="1190" w:type="dxa"/>
            <w:shd w:val="clear" w:color="auto" w:fill="051C2C"/>
            <w:vAlign w:val="center"/>
          </w:tcPr>
          <w:p>
            <w:pPr>
              <w:pStyle w:val="KepalaTabel"/>
              <w:suppressAutoHyphens/>
            </w:pPr>
            <w:r>
              <w:t xml:space="preserve">TERBAKAR 2023 DAN 2026</w:t>
            </w:r>
          </w:p>
        </w:tc>
      </w:tr>
      <w:tr>
        <w:trPr>
          <w:cantSplit/>
        </w:trPr>
        <w:tc>
          <w:tcPr>
            <w:tcW w:w="1235" w:type="dxa"/>
          </w:tcPr>
          <w:p>
            <w:pPr>
              <w:pStyle w:val="IsiTabel"/>
              <w:suppressAutoHyphens/>
              <w:jc w:val="left"/>
            </w:pPr>
            <w:r>
              <w:t xml:space="preserve">Sarimukti</w:t>
            </w:r>
          </w:p>
        </w:tc>
        <w:tc>
          <w:tcPr>
            <w:tcW w:w="1783" w:type="dxa"/>
          </w:tcPr>
          <w:p>
            <w:pPr>
              <w:pStyle w:val="IsiTabel"/>
              <w:suppressAutoHyphens/>
              <w:jc w:val="left"/>
            </w:pPr>
            <w:r>
              <w:t xml:space="preserve">Kab. Bandung Barat</w:t>
            </w:r>
          </w:p>
        </w:tc>
        <w:tc>
          <w:tcPr>
            <w:tcW w:w="1768" w:type="dxa"/>
          </w:tcPr>
          <w:p>
            <w:pPr>
              <w:pStyle w:val="IsiTabel"/>
              <w:suppressAutoHyphens/>
              <w:jc w:val="left"/>
            </w:pPr>
            <w:r>
              <w:t xml:space="preserve">19 Agustus 2023</w:t>
            </w:r>
          </w:p>
        </w:tc>
        <w:tc>
          <w:tcPr>
            <w:tcW w:w="2251" w:type="dxa"/>
          </w:tcPr>
          <w:p>
            <w:pPr>
              <w:pStyle w:val="IsiTabel"/>
              <w:suppressAutoHyphens/>
              <w:jc w:val="left"/>
            </w:pPr>
            <w:r>
              <w:t xml:space="preserve">80%</w:t>
            </w:r>
            <w:r>
              <w:t xml:space="preserve"> lahan; </w:t>
            </w:r>
            <w:r>
              <w:t xml:space="preserve">3.000 KK</w:t>
            </w:r>
            <w:r>
              <w:t xml:space="preserve"> terdampak asap</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Kopi Luhur</w:t>
            </w:r>
          </w:p>
        </w:tc>
        <w:tc>
          <w:tcPr>
            <w:tcW w:w="1783" w:type="dxa"/>
          </w:tcPr>
          <w:p>
            <w:pPr>
              <w:pStyle w:val="IsiTabel"/>
              <w:suppressAutoHyphens/>
              <w:jc w:val="left"/>
            </w:pPr>
            <w:r>
              <w:t xml:space="preserve">Kota Cirebon</w:t>
            </w:r>
          </w:p>
        </w:tc>
        <w:tc>
          <w:tcPr>
            <w:tcW w:w="1768" w:type="dxa"/>
          </w:tcPr>
          <w:p>
            <w:pPr>
              <w:pStyle w:val="IsiTabel"/>
              <w:suppressAutoHyphens/>
              <w:jc w:val="left"/>
            </w:pPr>
            <w:r>
              <w:t xml:space="preserve">9 September 2023</w:t>
            </w:r>
          </w:p>
        </w:tc>
        <w:tc>
          <w:tcPr>
            <w:tcW w:w="2251" w:type="dxa"/>
          </w:tcPr>
          <w:p>
            <w:pPr>
              <w:pStyle w:val="IsiTabel"/>
              <w:suppressAutoHyphens/>
              <w:jc w:val="left"/>
            </w:pPr>
            <w:r>
              <w:t xml:space="preserve">3 ha</w:t>
            </w:r>
            <w:r>
              <w:t xml:space="preserve">; sebagian dari </w:t>
            </w:r>
            <w:r>
              <w:t xml:space="preserve">1.500 KK</w:t>
            </w:r>
            <w:r>
              <w:t xml:space="preserve"> sekitar lokasi mengungsi</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Putri Cempo</w:t>
            </w:r>
          </w:p>
        </w:tc>
        <w:tc>
          <w:tcPr>
            <w:tcW w:w="1783" w:type="dxa"/>
          </w:tcPr>
          <w:p>
            <w:pPr>
              <w:pStyle w:val="IsiTabel"/>
              <w:suppressAutoHyphens/>
              <w:jc w:val="left"/>
            </w:pPr>
            <w:r>
              <w:t xml:space="preserve">Kota Surakarta</w:t>
            </w:r>
          </w:p>
        </w:tc>
        <w:tc>
          <w:tcPr>
            <w:tcW w:w="1768" w:type="dxa"/>
          </w:tcPr>
          <w:p>
            <w:pPr>
              <w:pStyle w:val="IsiTabel"/>
              <w:suppressAutoHyphens/>
              <w:jc w:val="left"/>
            </w:pPr>
            <w:r>
              <w:t xml:space="preserve">16 September 2023</w:t>
            </w:r>
          </w:p>
        </w:tc>
        <w:tc>
          <w:tcPr>
            <w:tcW w:w="2251" w:type="dxa"/>
          </w:tcPr>
          <w:p>
            <w:pPr>
              <w:pStyle w:val="IsiTabel"/>
              <w:suppressAutoHyphens/>
              <w:jc w:val="left"/>
            </w:pPr>
            <w:r>
              <w:t xml:space="preserve">2 ha</w:t>
            </w:r>
            <w:r>
              <w:t xml:space="preserve">; </w:t>
            </w:r>
            <w:r>
              <w:t xml:space="preserve">200 jiwa</w:t>
            </w:r>
            <w:r>
              <w:t xml:space="preserve"> terdampak asap</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ya</w:t>
            </w:r>
          </w:p>
        </w:tc>
      </w:tr>
      <w:tr>
        <w:trPr>
          <w:cantSplit/>
        </w:trPr>
        <w:tc>
          <w:tcPr>
            <w:tcW w:w="1235" w:type="dxa"/>
          </w:tcPr>
          <w:p>
            <w:pPr>
              <w:pStyle w:val="IsiTabel"/>
              <w:suppressAutoHyphens/>
              <w:jc w:val="left"/>
            </w:pPr>
            <w:r>
              <w:t xml:space="preserve">Suwung</w:t>
            </w:r>
          </w:p>
        </w:tc>
        <w:tc>
          <w:tcPr>
            <w:tcW w:w="1783" w:type="dxa"/>
          </w:tcPr>
          <w:p>
            <w:pPr>
              <w:pStyle w:val="IsiTabel"/>
              <w:suppressAutoHyphens/>
              <w:jc w:val="left"/>
            </w:pPr>
            <w:r>
              <w:t xml:space="preserve">Kota Denpasar</w:t>
            </w:r>
          </w:p>
        </w:tc>
        <w:tc>
          <w:tcPr>
            <w:tcW w:w="1768" w:type="dxa"/>
          </w:tcPr>
          <w:p>
            <w:pPr>
              <w:pStyle w:val="IsiTabel"/>
              <w:suppressAutoHyphens/>
              <w:jc w:val="left"/>
            </w:pPr>
            <w:r>
              <w:t xml:space="preserve">2023</w:t>
            </w:r>
          </w:p>
        </w:tc>
        <w:tc>
          <w:tcPr>
            <w:tcW w:w="2251" w:type="dxa"/>
          </w:tcPr>
          <w:p>
            <w:pPr>
              <w:pStyle w:val="IsiTabel"/>
              <w:suppressAutoHyphens/>
              <w:jc w:val="left"/>
            </w:pPr>
            <w:r>
              <w:t xml:space="preserve">32,4 ha</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Rawa Kucing</w:t>
            </w:r>
          </w:p>
        </w:tc>
        <w:tc>
          <w:tcPr>
            <w:tcW w:w="1783" w:type="dxa"/>
          </w:tcPr>
          <w:p>
            <w:pPr>
              <w:pStyle w:val="IsiTabel"/>
              <w:suppressAutoHyphens/>
              <w:jc w:val="left"/>
            </w:pPr>
            <w:r>
              <w:t xml:space="preserve">Kota Tangerang</w:t>
            </w:r>
          </w:p>
        </w:tc>
        <w:tc>
          <w:tcPr>
            <w:tcW w:w="1768" w:type="dxa"/>
          </w:tcPr>
          <w:p>
            <w:pPr>
              <w:pStyle w:val="IsiTabel"/>
              <w:suppressAutoHyphens/>
              <w:jc w:val="left"/>
            </w:pPr>
            <w:r>
              <w:t xml:space="preserve">20 Oktober 2023</w:t>
            </w:r>
          </w:p>
        </w:tc>
        <w:tc>
          <w:tcPr>
            <w:tcW w:w="2251" w:type="dxa"/>
          </w:tcPr>
          <w:p>
            <w:pPr>
              <w:pStyle w:val="IsiTabel"/>
              <w:suppressAutoHyphens/>
              <w:jc w:val="left"/>
            </w:pPr>
            <w:r>
              <w:t xml:space="preserve">10 ha</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Jalupang</w:t>
            </w:r>
          </w:p>
        </w:tc>
        <w:tc>
          <w:tcPr>
            <w:tcW w:w="1783" w:type="dxa"/>
          </w:tcPr>
          <w:p>
            <w:pPr>
              <w:pStyle w:val="IsiTabel"/>
              <w:suppressAutoHyphens/>
              <w:jc w:val="left"/>
            </w:pPr>
            <w:r>
              <w:t xml:space="preserve">Kab. Karawang</w:t>
            </w:r>
          </w:p>
        </w:tc>
        <w:tc>
          <w:tcPr>
            <w:tcW w:w="1768" w:type="dxa"/>
          </w:tcPr>
          <w:p>
            <w:pPr>
              <w:pStyle w:val="IsiTabel"/>
              <w:suppressAutoHyphens/>
              <w:jc w:val="left"/>
            </w:pPr>
            <w:r>
              <w:t xml:space="preserve">28 Oktober 2023</w:t>
            </w:r>
          </w:p>
        </w:tc>
        <w:tc>
          <w:tcPr>
            <w:tcW w:w="2251" w:type="dxa"/>
          </w:tcPr>
          <w:p>
            <w:pPr>
              <w:pStyle w:val="IsiTabel"/>
              <w:suppressAutoHyphens/>
              <w:jc w:val="left"/>
            </w:pPr>
            <w:r>
              <w:t xml:space="preserve">10 ha</w:t>
            </w:r>
            <w:r>
              <w:t xml:space="preserve">; </w:t>
            </w:r>
            <w:r>
              <w:t xml:space="preserve">4 desa</w:t>
            </w:r>
            <w:r>
              <w:t xml:space="preserve"> terdampak asap</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keepNext/>
              <w:suppressAutoHyphens/>
              <w:jc w:val="left"/>
            </w:pPr>
            <w:bookmarkStart w:id="540" w:name="_Ekor065a"/>
            <w:bookmarkEnd w:id="540"/>
            <w:r>
              <w:t xml:space="preserve">Jatiwaringin</w:t>
            </w:r>
          </w:p>
        </w:tc>
        <w:tc>
          <w:tcPr>
            <w:tcW w:w="1783" w:type="dxa"/>
          </w:tcPr>
          <w:p>
            <w:pPr>
              <w:pStyle w:val="IsiTabel"/>
              <w:keepNext/>
              <w:suppressAutoHyphens/>
              <w:jc w:val="left"/>
            </w:pPr>
            <w:r>
              <w:t xml:space="preserve">Kab. Tangerang</w:t>
            </w:r>
          </w:p>
        </w:tc>
        <w:tc>
          <w:tcPr>
            <w:tcW w:w="1768" w:type="dxa"/>
          </w:tcPr>
          <w:p>
            <w:pPr>
              <w:pStyle w:val="IsiTabel"/>
              <w:keepNext/>
              <w:suppressAutoHyphens/>
              <w:jc w:val="left"/>
            </w:pPr>
            <w:r>
              <w:t xml:space="preserve">30 Juni 2026</w:t>
            </w:r>
          </w:p>
        </w:tc>
        <w:tc>
          <w:tcPr>
            <w:tcW w:w="2251" w:type="dxa"/>
          </w:tcPr>
          <w:p>
            <w:pPr>
              <w:pStyle w:val="IsiTabel"/>
              <w:keepNext/>
              <w:suppressAutoHyphens/>
              <w:jc w:val="left"/>
            </w:pPr>
            <w:r>
              <w:t xml:space="preserve">15 ha</w:t>
            </w:r>
            <w:r>
              <w:t xml:space="preserve">; </w:t>
            </w:r>
            <w:r>
              <w:t xml:space="preserve">15 jiwa</w:t>
            </w:r>
            <w:r>
              <w:t xml:space="preserve"> mengungsi</w:t>
            </w:r>
          </w:p>
        </w:tc>
        <w:tc>
          <w:tcPr>
            <w:tcW w:w="1127" w:type="dxa"/>
          </w:tcPr>
          <w:p>
            <w:pPr>
              <w:pStyle w:val="IsiTabel"/>
              <w:keepNext/>
              <w:suppressAutoHyphens/>
              <w:jc w:val="left"/>
            </w:pPr>
            <w:r>
              <w:t xml:space="preserve">tanggap darurat, Keputusan Bupati Tangerang 609/2026</w:t>
            </w:r>
          </w:p>
        </w:tc>
        <w:tc>
          <w:tcPr>
            <w:tcW w:w="1190" w:type="dxa"/>
          </w:tcPr>
          <w:p>
            <w:pPr>
              <w:pStyle w:val="IsiTabel"/>
              <w:keepNext/>
              <w:suppressAutoHyphens/>
              <w:jc w:val="left"/>
            </w:pPr>
            <w:r>
              <w:t xml:space="preserve">–</w:t>
            </w:r>
          </w:p>
        </w:tc>
      </w:tr>
      <w:tr>
        <w:trPr>
          <w:cantSplit/>
        </w:trPr>
        <w:tc>
          <w:tcPr>
            <w:tcW w:w="1235" w:type="dxa"/>
          </w:tcPr>
          <w:p>
            <w:pPr>
              <w:pStyle w:val="IsiTabel"/>
              <w:keepNext/>
              <w:suppressAutoHyphens/>
              <w:jc w:val="left"/>
            </w:pPr>
            <w:r>
              <w:t xml:space="preserve">Galuga</w:t>
            </w:r>
          </w:p>
        </w:tc>
        <w:tc>
          <w:tcPr>
            <w:tcW w:w="1783" w:type="dxa"/>
          </w:tcPr>
          <w:p>
            <w:pPr>
              <w:pStyle w:val="IsiTabel"/>
              <w:keepNext/>
              <w:suppressAutoHyphens/>
              <w:jc w:val="left"/>
            </w:pPr>
            <w:r>
              <w:t xml:space="preserve">Kab. Bogor</w:t>
            </w:r>
          </w:p>
        </w:tc>
        <w:tc>
          <w:tcPr>
            <w:tcW w:w="1768" w:type="dxa"/>
          </w:tcPr>
          <w:p>
            <w:pPr>
              <w:pStyle w:val="IsiTabel"/>
              <w:keepNext/>
              <w:suppressAutoHyphens/>
              <w:jc w:val="left"/>
            </w:pPr>
            <w:r>
              <w:t xml:space="preserve">7 September 2026</w:t>
            </w:r>
          </w:p>
        </w:tc>
        <w:tc>
          <w:tcPr>
            <w:tcW w:w="2251" w:type="dxa"/>
          </w:tcPr>
          <w:p>
            <w:pPr>
              <w:pStyle w:val="IsiTabel"/>
              <w:keepNext/>
              <w:suppressAutoHyphens/>
              <w:jc w:val="left"/>
            </w:pPr>
            <w:r>
              <w:t xml:space="preserve">–</w:t>
            </w:r>
          </w:p>
        </w:tc>
        <w:tc>
          <w:tcPr>
            <w:tcW w:w="1127" w:type="dxa"/>
          </w:tcPr>
          <w:p>
            <w:pPr>
              <w:pStyle w:val="IsiTabel"/>
              <w:keepNext/>
              <w:suppressAutoHyphens/>
              <w:jc w:val="left"/>
            </w:pPr>
            <w:r>
              <w:t xml:space="preserve">–</w:t>
            </w:r>
          </w:p>
        </w:tc>
        <w:tc>
          <w:tcPr>
            <w:tcW w:w="1190" w:type="dxa"/>
          </w:tcPr>
          <w:p>
            <w:pPr>
              <w:pStyle w:val="IsiTabel"/>
              <w:keepNext/>
              <w:suppressAutoHyphens/>
              <w:jc w:val="left"/>
            </w:pPr>
            <w:r>
              <w:t xml:space="preserve">–</w:t>
            </w:r>
          </w:p>
        </w:tc>
      </w:tr>
      <w:tr>
        <w:trPr>
          <w:cantSplit/>
        </w:trPr>
        <w:tc>
          <w:tcPr>
            <w:tcW w:w="1235" w:type="dxa"/>
          </w:tcPr>
          <w:p>
            <w:pPr>
              <w:pStyle w:val="IsiTabel"/>
              <w:keepNext/>
              <w:suppressAutoHyphens/>
              <w:jc w:val="left"/>
            </w:pPr>
            <w:r>
              <w:t xml:space="preserve">Putri Cempo</w:t>
            </w:r>
          </w:p>
        </w:tc>
        <w:tc>
          <w:tcPr>
            <w:tcW w:w="1783" w:type="dxa"/>
          </w:tcPr>
          <w:p>
            <w:pPr>
              <w:pStyle w:val="IsiTabel"/>
              <w:keepNext/>
              <w:suppressAutoHyphens/>
              <w:jc w:val="left"/>
            </w:pPr>
            <w:r>
              <w:t xml:space="preserve">Kota Surakarta</w:t>
            </w:r>
          </w:p>
        </w:tc>
        <w:tc>
          <w:tcPr>
            <w:tcW w:w="1768" w:type="dxa"/>
          </w:tcPr>
          <w:p>
            <w:pPr>
              <w:pStyle w:val="IsiTabel"/>
              <w:keepNext/>
              <w:suppressAutoHyphens/>
              <w:jc w:val="left"/>
            </w:pPr>
            <w:r>
              <w:t xml:space="preserve">24 September 2026</w:t>
            </w:r>
          </w:p>
        </w:tc>
        <w:tc>
          <w:tcPr>
            <w:tcW w:w="2251" w:type="dxa"/>
          </w:tcPr>
          <w:p>
            <w:pPr>
              <w:pStyle w:val="IsiTabel"/>
              <w:keepNext/>
              <w:suppressAutoHyphens/>
              <w:jc w:val="left"/>
            </w:pPr>
            <w:r>
              <w:t xml:space="preserve">1,36 ha</w:t>
            </w:r>
          </w:p>
        </w:tc>
        <w:tc>
          <w:tcPr>
            <w:tcW w:w="1127" w:type="dxa"/>
          </w:tcPr>
          <w:p>
            <w:pPr>
              <w:pStyle w:val="IsiTabel"/>
              <w:keepNext/>
              <w:suppressAutoHyphens/>
              <w:jc w:val="left"/>
            </w:pPr>
            <w:r>
              <w:t xml:space="preserve">–</w:t>
            </w:r>
          </w:p>
        </w:tc>
        <w:tc>
          <w:tcPr>
            <w:tcW w:w="1190" w:type="dxa"/>
          </w:tcPr>
          <w:p>
            <w:pPr>
              <w:pStyle w:val="IsiTabel"/>
              <w:keepNext/>
              <w:suppressAutoHyphens/>
              <w:jc w:val="left"/>
            </w:pPr>
            <w:r>
              <w:t xml:space="preserve">ya</w:t>
            </w:r>
          </w:p>
        </w:tc>
      </w:tr>
      <w:tr>
        <w:trPr>
          <w:cantSplit/>
        </w:trPr>
        <w:tc>
          <w:tcPr>
            <w:tcW w:w="1235" w:type="dxa"/>
          </w:tcPr>
          <w:p>
            <w:pPr>
              <w:pStyle w:val="IsiTabel"/>
              <w:suppressAutoHyphens/>
              <w:jc w:val="left"/>
            </w:pPr>
            <w:bookmarkStart w:id="541" w:name="_Ekor065z"/>
            <w:bookmarkEnd w:id="541"/>
            <w:r>
              <w:t xml:space="preserve">Jatibarang</w:t>
            </w:r>
          </w:p>
        </w:tc>
        <w:tc>
          <w:tcPr>
            <w:tcW w:w="1783" w:type="dxa"/>
          </w:tcPr>
          <w:p>
            <w:pPr>
              <w:pStyle w:val="IsiTabel"/>
              <w:suppressAutoHyphens/>
              <w:jc w:val="left"/>
            </w:pPr>
            <w:r>
              <w:t xml:space="preserve">Kota Semarang</w:t>
            </w:r>
          </w:p>
        </w:tc>
        <w:tc>
          <w:tcPr>
            <w:tcW w:w="1768" w:type="dxa"/>
          </w:tcPr>
          <w:p>
            <w:pPr>
              <w:pStyle w:val="IsiTabel"/>
              <w:suppressAutoHyphens/>
              <w:jc w:val="left"/>
            </w:pPr>
            <w:r>
              <w:t xml:space="preserve">30 September 2026</w:t>
            </w:r>
          </w:p>
        </w:tc>
        <w:tc>
          <w:tcPr>
            <w:tcW w:w="2251" w:type="dxa"/>
          </w:tcPr>
          <w:p>
            <w:pPr>
              <w:pStyle w:val="IsiTabel"/>
              <w:suppressAutoHyphens/>
              <w:jc w:val="left"/>
            </w:pPr>
            <w:r>
              <w:t xml:space="preserve">10 ha</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BNPB (2023, 2024, 2026); KLH/BPLH (2026); pengolahan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Baris memuat TPA terbakar yang tercatat di rilis BNPB dan KLH/BPLH; daftar lokasi untuk angka </w:t>
      </w:r>
      <w:r>
        <w:rPr>
          <w:color w:val="6B7280"/>
          <w:sz w:val="17"/>
          <w:szCs w:val="17"/>
        </w:rPr>
        <w:t xml:space="preserve">16</w:t>
      </w:r>
      <w:r>
        <w:rPr>
          <w:color w:val="6B7280"/>
          <w:sz w:val="17"/>
          <w:szCs w:val="17"/>
        </w:rPr>
        <w:t xml:space="preserve"> TPA pada 2023 tidak terbuka dalam dokumen resmi. Status keadaan darurat bertanda "–" hanya diketahui dari pemberitaan atau tidak ditemukan. Kolom terakhir menandai TPA yang tercatat terbakar pada 2023 dan 2026 di rilis resmi; Jatiwaringin dan Jatibarang 2023 hanya terbaca dari pemberitaan. Luas Galuga tidak dilaporkan.</w:t>
      </w:r>
    </w:p>
    <w:p>
      <w:pPr>
        <w:pStyle w:val="Heading3"/>
      </w:pPr>
      <w:bookmarkStart w:id="543" w:name="_Toc00172"/>
      <w:bookmarkStart w:id="542" w:name="_Ref0219"/>
      <w:r>
        <w:t xml:space="preserve">8.3.2</w:t>
      </w:r>
      <w:bookmarkEnd w:id="542"/>
      <w:r>
        <w:tab/>
      </w:r>
      <w:r>
        <w:t xml:space="preserve">Penutupan Pembuangan Terbuka dan Lini Pertama</w:t>
      </w:r>
      <w:bookmarkEnd w:id="543"/>
    </w:p>
    <w:p>
      <w:pPr>
        <w:pStyle w:val="IsiTemuan"/>
      </w:pPr>
      <w:r>
        <w:rPr>
          <w:b/>
          <w:bCs/>
          <w:color w:val="051C2C"/>
        </w:rPr>
        <w:t xml:space="preserve">UU 18/2008 mewajibkan TPA pembuangan terbuka ditutup paling lambat </w:t>
      </w:r>
      <w:r>
        <w:rPr>
          <w:b/>
          <w:bCs/>
          <w:color w:val="051C2C"/>
        </w:rPr>
        <w:t xml:space="preserve">7 Mei 2013</w:t>
      </w:r>
      <w:r>
        <w:rPr>
          <w:b/>
          <w:bCs/>
          <w:color w:val="051C2C"/>
        </w:rPr>
        <w:t xml:space="preserve">, tetapi pada April 2026 KLH/BPLH masih mencatat </w:t>
      </w:r>
      <w:r>
        <w:rPr>
          <w:b/>
          <w:bCs/>
          <w:color w:val="051C2C"/>
        </w:rPr>
        <w:t xml:space="preserve">369</w:t>
      </w:r>
      <w:r>
        <w:rPr>
          <w:b/>
          <w:bCs/>
          <w:color w:val="051C2C"/>
        </w:rPr>
        <w:t xml:space="preserve"> dari </w:t>
      </w:r>
      <w:r>
        <w:rPr>
          <w:b/>
          <w:bCs/>
          <w:color w:val="051C2C"/>
        </w:rPr>
        <w:t xml:space="preserve">485</w:t>
      </w:r>
      <w:r>
        <w:rPr>
          <w:b/>
          <w:bCs/>
          <w:color w:val="051C2C"/>
        </w:rPr>
        <w:t xml:space="preserve"> TPA "perlu segera bertransformasi".</w:t>
      </w:r>
      <w:r>
        <w:t xml:space="preserve"> Tenggat itu adalah lima tahun sejak undang-undang berlaku (Pasal 44 ayat (2)), dan Pasal 29 ayat (1) huruf f dan g melarang pembuangan terbuka serta pembakaran sampah yang tidak sesuai persyaratan teknis </w:t>
      </w:r>
      <w:r>
        <w:t xml:space="preserve">(Republik Indonesia, 2008d)</w:t>
      </w:r>
      <w:r>
        <w:t xml:space="preserve">. Rilis KLH/BPLH yang sama menyebut sekitar tiga puluh persen TPA telah menghentikan pembuangan terbuka. Dengan demikian, porsi yang belum berhenti </w:t>
      </w:r>
      <w:r>
        <w:t xml:space="preserve">sekitar 70–76%</w:t>
      </w:r>
      <w:r>
        <w:rPr>
          <w:rStyle w:val="FootnoteReference"/>
        </w:rPr>
        <w:footnoteReference w:id="4"/>
      </w:r>
      <w:r>
        <w:t xml:space="preserve"> </w:t>
      </w:r>
      <w:r>
        <w:t xml:space="preserve">(KLH/BPLH, 2026d)</w:t>
      </w:r>
      <w:r>
        <w:t xml:space="preserve">. KLH/BPLH menargetkan pembuangan terbuka dihentikan paling lambat 2026, dipercepat ke Agustus 2026 </w:t>
      </w:r>
      <w:r>
        <w:t xml:space="preserve">(KLH/BPLH, 2026d)</w:t>
      </w:r>
      <w:r>
        <w:t xml:space="preserve">, dan sampai Januari 2026 telah mengenakan sanksi administratif kepada </w:t>
      </w:r>
      <w:r>
        <w:t xml:space="preserve">273 TPA</w:t>
      </w:r>
      <w:r>
        <w:t xml:space="preserve"> </w:t>
      </w:r>
      <w:r>
        <w:t xml:space="preserve">(KLH/BPLH, 2026b)</w:t>
      </w:r>
      <w:r>
        <w:t xml:space="preserve">.</w:t>
      </w:r>
    </w:p>
    <w:p>
      <w:pPr>
        <w:pStyle w:val="Isi"/>
      </w:pPr>
      <w:r>
        <w:t xml:space="preserve">Kajian ini menilai kebakaran TPA sebagai kepatuhan yang tertunda sejak 2013, yang tersulut pada kemarau kuat. Timbunan terbuka dan kemarau El Niño bertemu di lokasi yang sama, seperti Putri Cempo pada 2023 dan 2026. Pencegahan utamanya adalah penutupan pembuangan terbuka menurut Pasal 44 ayat (2) dan target KLH/BPLH 2026, bukan penambahan kapasitas pemadaman.</w:t>
      </w:r>
    </w:p>
    <w:p>
      <w:pPr>
        <w:pStyle w:val="IsiTemuan"/>
      </w:pPr>
      <w:r>
        <w:rPr>
          <w:b/>
          <w:bCs/>
          <w:color w:val="051C2C"/>
        </w:rPr>
        <w:t xml:space="preserve">Lini pertama kebakaran TPA adalah pemerintah kab/kota melalui sistem tanggap darurat pengelolaan sampah (UU 18/2008 Pasal 9 ayat (1) huruf f); BNPB masuk setelah status keadaan darurat ditetapkan.</w:t>
      </w:r>
      <w:r>
        <w:t xml:space="preserve"> Sistem itu mencakup pencegahan dan penanggulangan kecelakaan akibat pengelolaan sampah yang tidak benar, dengan pedoman yang diatur peraturan menteri (Pasal 1 angka 11 dan Pasal 9 ayat (3)); untuk DKI Jakarta kewenangannya ada di provinsi (Pasal 46) </w:t>
      </w:r>
      <w:r>
        <w:t xml:space="preserve">(Republik Indonesia, 2008d)</w:t>
      </w:r>
      <w:r>
        <w:t xml:space="preserve">. Peraturan menteri pedoman itu tidak ditemukan. Surat Edaran Menteri Lingkungan Hidup 11/2026 kepada kepala daerah mengarahkan pembasahan sampah berkala dan patroli pada cuaca panas ekstrem. Teks surat edaran itu tidak dibuka; isinya dikutip dari tiga rilis KLH/BPLH </w:t>
      </w:r>
      <w:r>
        <w:t xml:space="preserve">(KLH/BPLH, 2026c, 2026e, 2026a)</w:t>
      </w:r>
      <w:r>
        <w:t xml:space="preserve">.</w:t>
      </w:r>
    </w:p>
    <w:p>
      <w:pPr>
        <w:pStyle w:val="Isi"/>
      </w:pPr>
      <w:r>
        <w:t xml:space="preserve">Di Jatiwaringin, Bupati Tangerang menetapkan status tanggap darurat dengan Keputusan 609/2026. BNPB lalu mengerahkan empat helikopter </w:t>
      </w:r>
      <w:r>
        <w:rPr>
          <w:i/>
          <w:iCs/>
        </w:rPr>
        <w:t xml:space="preserve">water bombing</w:t>
      </w:r>
      <w:r>
        <w:t xml:space="preserve">, dan Deputi Bidang Penanganan Darurat menyebut pemadaman diperkuat dengan modifikasi cuaca </w:t>
      </w:r>
      <w:r>
        <w:t xml:space="preserve">(BNPB, 2026l)</w:t>
      </w:r>
      <w:r>
        <w:t xml:space="preserve">. Pola Sarimukti 2023 sama: pemerintah daerah meminta, BNPB mengerahkan aset udara. Ruang prabencana BNPB terlihat di Bali, ketika Kepala BNPB menghimpun kekuatan awal untuk mencegah kebakaran TPA Suwung menjelang kemarau 2024 </w:t>
      </w:r>
      <w:r>
        <w:t xml:space="preserve">(BNPB, 2024h)</w:t>
      </w:r>
      <w:r>
        <w:t xml:space="preserve">. Penjelasan UU 24/2007 Pasal 40 ayat (3) menyebut pembuangan limbah sebagai pembangunan berisiko tinggi. Apakah TPA sampah termasuk di dalamnya masih tafsiran yang memerlukan pendapat hukum, karena UU 18/2008 membedakan sampah dari limbah.</w:t>
      </w:r>
    </w:p>
    <w:p>
      <w:pPr>
        <w:pStyle w:val="Caption"/>
      </w:pPr>
      <w:bookmarkStart w:id="545" w:name="_Toc00173"/>
      <w:bookmarkStart w:id="544" w:name="_Ref029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544"/>
      <w:r>
        <w:rPr>
          <w:b/>
          <w:bCs/>
          <w:color w:val="051C2C"/>
        </w:rPr>
        <w:t xml:space="preserve"> </w:t>
      </w:r>
      <w:r>
        <w:t xml:space="preserve">Kebakaran TPA setara kemarau El Niño 2023</w:t>
      </w:r>
      <w:bookmarkEnd w:id="545"/>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3EDE8"/>
                  <w:tcMar>
                    <w:top w:w="45" w:type="dxa"/>
                    <w:left w:w="170" w:type="dxa"/>
                    <w:bottom w:w="45" w:type="dxa"/>
                    <w:right w:w="170" w:type="dxa"/>
                  </w:tcMar>
                </w:tcPr>
                <w:p>
                  <w:pPr>
                    <w:pStyle w:val="JudulKotak"/>
                    <w:keepNext/>
                    <w:spacing w:after="0"/>
                  </w:pPr>
                  <w:bookmarkStart w:id="547" w:name="_Kartu017a"/>
                  <w:bookmarkStart w:id="546" w:name="_Obj0055"/>
                  <w:r>
                    <w:rPr>
                      <w:position w:val="-10"/>
                    </w:rPr>
                    <w:drawing>
                      <wp:inline distT="0" distB="0" distL="0" distR="0">
                        <wp:extent cx="216000" cy="216000"/>
                        <wp:effectExtent l="0" t="0" r="0" b="0"/>
                        <wp:docPr id="164" name="Gambar 164"/>
                        <wp:cNvGraphicFramePr>
                          <a:graphicFrameLocks noChangeAspect="1"/>
                        </wp:cNvGraphicFramePr>
                        <a:graphic>
                          <a:graphicData uri="http://schemas.openxmlformats.org/drawingml/2006/picture">
                            <pic:pic>
                              <pic:nvPicPr>
                                <pic:cNvPr id="164" name="kebakaran-tpa-deck-sampah-FFFFFF-3D6B5A.png"/>
                                <pic:cNvPicPr/>
                              </pic:nvPicPr>
                              <pic:blipFill>
                                <a:blip r:embed="rId82"/>
                                <a:stretch>
                                  <a:fillRect/>
                                </a:stretch>
                              </pic:blipFill>
                              <pic:spPr>
                                <a:xfrm>
                                  <a:off x="0" y="0"/>
                                  <a:ext cx="216000" cy="216000"/>
                                </a:xfrm>
                                <a:prstGeom prst="rect">
                                  <a:avLst/>
                                </a:prstGeom>
                              </pic:spPr>
                            </pic:pic>
                          </a:graphicData>
                        </a:graphic>
                      </wp:inline>
                    </w:drawing>
                  </w:r>
                  <w:r>
                    <w:t xml:space="preserve"> </w:t>
                  </w:r>
                  <w:r>
                    <w:rPr>
                      <w:b/>
                      <w:bCs/>
                    </w:rPr>
                    <w:t xml:space="preserve">Kebakaran TPA</w:t>
                  </w:r>
                  <w:r>
                    <w:rPr>
                      <w:color w:val="2E3440"/>
                    </w:rPr>
                    <w:t xml:space="preserve">  Nonalam</w:t>
                  </w:r>
                  <w:bookmarkEnd w:id="546"/>
                  <w:bookmarkEnd w:id="547"/>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keepNext/>
                    <w:suppressAutoHyphens/>
                    <w:spacing w:before="0" w:after="0"/>
                  </w:pPr>
                  <w:r>
                    <w:t xml:space="preserve">DASAR</w:t>
                  </w:r>
                </w:p>
              </w:tc>
              <w:tc>
                <w:tcPr>
                  <w:tcW w:w="7653" w:type="dxa"/>
                </w:tcPr>
                <w:p>
                  <w:pPr>
                    <w:pStyle w:val="IsiTabel"/>
                    <w:keepNext/>
                    <w:suppressAutoHyphens/>
                    <w:spacing w:after="0"/>
                  </w:pPr>
                  <w:r>
                    <w:t xml:space="preserve">Analog terbesar dalam 30 tahun terakhir, dengan Sarimukti 2023 sebagai kejadian tunggal terdokumentasi; tanpa perkalian dan tanpa proyeksi per wilayah. Kemarau 2026 disisihkan sebagai analog karena jumlah TPA tercatatnya lebih kecil.</w:t>
                  </w:r>
                </w:p>
              </w:tc>
            </w:tr>
            <w:tr>
              <w:trPr>
                <w:cantSplit/>
              </w:trPr>
              <w:tc>
                <w:tcPr>
                  <w:tcW w:w="1701" w:type="dxa"/>
                </w:tcPr>
                <w:p>
                  <w:pPr>
                    <w:pStyle w:val="LabelBagian"/>
                    <w:keepNext/>
                    <w:suppressAutoHyphens/>
                    <w:spacing w:before="0" w:after="0"/>
                  </w:pPr>
                  <w:r>
                    <w:t xml:space="preserve">KEJADIAN ANALOG</w:t>
                  </w:r>
                </w:p>
              </w:tc>
              <w:tc>
                <w:tcPr>
                  <w:tcW w:w="7653" w:type="dxa"/>
                </w:tcPr>
                <w:p>
                  <w:pPr>
                    <w:pStyle w:val="IsiTabel"/>
                    <w:keepNext/>
                    <w:suppressAutoHyphens/>
                    <w:spacing w:after="0"/>
                  </w:pPr>
                  <w:r>
                    <w:t xml:space="preserve">Kebakaran TPA pada kemarau El Niño 2023, termasuk TPST Sarimukti, Kabupaten Bandung Barat</w:t>
                  </w:r>
                </w:p>
              </w:tc>
            </w:tr>
            <w:tr>
              <w:trPr>
                <w:cantSplit/>
              </w:trPr>
              <w:tc>
                <w:tcPr>
                  <w:tcW w:w="1701" w:type="dxa"/>
                </w:tcPr>
                <w:p>
                  <w:pPr>
                    <w:pStyle w:val="LabelBagian"/>
                    <w:keepNext/>
                    <w:suppressAutoHyphens/>
                    <w:spacing w:before="0" w:after="0"/>
                  </w:pPr>
                  <w:r>
                    <w:t xml:space="preserve">LEMBAGA</w:t>
                  </w:r>
                </w:p>
              </w:tc>
              <w:tc>
                <w:tcPr>
                  <w:tcW w:w="7653" w:type="dxa"/>
                </w:tcPr>
                <w:p>
                  <w:pPr>
                    <w:pStyle w:val="IsiTabel"/>
                    <w:keepNext/>
                    <w:suppressAutoHyphens/>
                    <w:spacing w:after="0"/>
                  </w:pPr>
                  <w:r>
                    <w:rPr>
                      <w:position w:val="-5"/>
                    </w:rPr>
                    <w:drawing>
                      <wp:inline distT="0" distB="0" distL="0" distR="0">
                        <wp:extent cx="162000" cy="162000"/>
                        <wp:effectExtent l="0" t="0" r="0" b="0"/>
                        <wp:docPr id="165" name="Gambar 165"/>
                        <wp:cNvGraphicFramePr>
                          <a:graphicFrameLocks noChangeAspect="1"/>
                        </wp:cNvGraphicFramePr>
                        <a:graphic>
                          <a:graphicData uri="http://schemas.openxmlformats.org/drawingml/2006/picture">
                            <pic:pic>
                              <pic:nvPicPr>
                                <pic:cNvPr id="16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pemerintah kab/kota</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66" name="Gambar 166"/>
                        <wp:cNvGraphicFramePr>
                          <a:graphicFrameLocks noChangeAspect="1"/>
                        </wp:cNvGraphicFramePr>
                        <a:graphic>
                          <a:graphicData uri="http://schemas.openxmlformats.org/drawingml/2006/picture">
                            <pic:pic>
                              <pic:nvPicPr>
                                <pic:cNvPr id="16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KLH/BPLH</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67" name="Gambar 167"/>
                        <wp:cNvGraphicFramePr>
                          <a:graphicFrameLocks noChangeAspect="1"/>
                        </wp:cNvGraphicFramePr>
                        <a:graphic>
                          <a:graphicData uri="http://schemas.openxmlformats.org/drawingml/2006/picture">
                            <pic:pic>
                              <pic:nvPicPr>
                                <pic:cNvPr id="16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68" name="Gambar 168"/>
                        <wp:cNvGraphicFramePr>
                          <a:graphicFrameLocks noChangeAspect="1"/>
                        </wp:cNvGraphicFramePr>
                        <a:graphic>
                          <a:graphicData uri="http://schemas.openxmlformats.org/drawingml/2006/picture">
                            <pic:pic>
                              <pic:nvPicPr>
                                <pic:cNvPr id="16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820"/>
              <w:gridCol w:w="3018"/>
              <w:gridCol w:w="1267"/>
              <w:gridCol w:w="2249"/>
            </w:tblGrid>
            <w:tr>
              <w:trPr>
                <w:cantSplit/>
                <w:tblHeader/>
              </w:trPr>
              <w:tc>
                <w:tcPr>
                  <w:tcW w:w="2820" w:type="dxa"/>
                  <w:shd w:val="clear" w:color="auto" w:fill="051C2C"/>
                  <w:vAlign w:val="center"/>
                </w:tcPr>
                <w:p>
                  <w:pPr>
                    <w:pStyle w:val="KepalaTabel"/>
                    <w:keepNext/>
                    <w:suppressAutoHyphens/>
                  </w:pPr>
                  <w:r>
                    <w:t xml:space="preserve">INDIKATOR</w:t>
                  </w:r>
                </w:p>
              </w:tc>
              <w:tc>
                <w:tcPr>
                  <w:tcW w:w="3018" w:type="dxa"/>
                  <w:shd w:val="clear" w:color="auto" w:fill="051C2C"/>
                  <w:vAlign w:val="center"/>
                </w:tcPr>
                <w:p>
                  <w:pPr>
                    <w:pStyle w:val="KepalaTabel"/>
                    <w:keepNext/>
                    <w:suppressAutoHyphens/>
                  </w:pPr>
                  <w:r>
                    <w:t xml:space="preserve">NILAI</w:t>
                  </w:r>
                </w:p>
              </w:tc>
              <w:tc>
                <w:tcPr>
                  <w:tcW w:w="1267" w:type="dxa"/>
                  <w:shd w:val="clear" w:color="auto" w:fill="051C2C"/>
                  <w:vAlign w:val="center"/>
                </w:tcPr>
                <w:p>
                  <w:pPr>
                    <w:pStyle w:val="KepalaTabel"/>
                    <w:keepNext/>
                    <w:suppressAutoHyphens/>
                  </w:pPr>
                  <w:r>
                    <w:t xml:space="preserve">KEYAKINAN</w:t>
                  </w:r>
                </w:p>
              </w:tc>
              <w:tc>
                <w:tcPr>
                  <w:tcW w:w="2249" w:type="dxa"/>
                  <w:shd w:val="clear" w:color="auto" w:fill="051C2C"/>
                  <w:vAlign w:val="center"/>
                </w:tcPr>
                <w:p>
                  <w:pPr>
                    <w:pStyle w:val="KepalaTabel"/>
                    <w:keepNext/>
                    <w:suppressAutoHyphens/>
                  </w:pPr>
                  <w:r>
                    <w:t xml:space="preserve">SUMBER</w:t>
                  </w:r>
                </w:p>
              </w:tc>
            </w:tr>
            <w:tr>
              <w:trPr>
                <w:cantSplit/>
              </w:trPr>
              <w:tc>
                <w:tcPr>
                  <w:tcW w:w="2820" w:type="dxa"/>
                </w:tcPr>
                <w:p>
                  <w:pPr>
                    <w:pStyle w:val="IsiTabel"/>
                    <w:keepNext/>
                    <w:suppressAutoHyphens/>
                    <w:jc w:val="left"/>
                  </w:pPr>
                  <w:r>
                    <w:t xml:space="preserve">Korban jiwa</w:t>
                  </w:r>
                </w:p>
              </w:tc>
              <w:tc>
                <w:tcPr>
                  <w:tcW w:w="3018"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2249" w:type="dxa"/>
                </w:tcPr>
                <w:p>
                  <w:pPr>
                    <w:pStyle w:val="IsiTabel"/>
                    <w:keepNext/>
                    <w:suppressAutoHyphens/>
                    <w:jc w:val="left"/>
                  </w:pPr>
                  <w:r>
                    <w:t xml:space="preserve">tidak ada korban jiwa langsung tercatat di rilis BNPB dan KLH/BPLH</w:t>
                  </w:r>
                </w:p>
              </w:tc>
            </w:tr>
            <w:tr>
              <w:trPr>
                <w:cantSplit/>
              </w:trPr>
              <w:tc>
                <w:tcPr>
                  <w:tcW w:w="2820" w:type="dxa"/>
                </w:tcPr>
                <w:p>
                  <w:pPr>
                    <w:pStyle w:val="IsiTabel"/>
                    <w:keepNext/>
                    <w:suppressAutoHyphens/>
                    <w:jc w:val="left"/>
                  </w:pPr>
                  <w:r>
                    <w:t xml:space="preserve">Luas terdampak, TPA terbakar</w:t>
                  </w:r>
                </w:p>
              </w:tc>
              <w:tc>
                <w:tcPr>
                  <w:tcW w:w="3018" w:type="dxa"/>
                </w:tcPr>
                <w:p>
                  <w:pPr>
                    <w:pStyle w:val="IsiTabel"/>
                    <w:keepNext/>
                    <w:suppressAutoHyphens/>
                    <w:jc w:val="left"/>
                  </w:pPr>
                  <w:r>
                    <w:t xml:space="preserve">16 TPA</w:t>
                  </w:r>
                  <w:r>
                    <w:t xml:space="preserve"> terbakar hebat</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catatan BNPB 2023 dikutip Kepala BNPB, 21 Juni 2024</w:t>
                  </w:r>
                </w:p>
              </w:tc>
            </w:tr>
            <w:tr>
              <w:trPr>
                <w:cantSplit/>
              </w:trPr>
              <w:tc>
                <w:tcPr>
                  <w:tcW w:w="2820" w:type="dxa"/>
                </w:tcPr>
                <w:p>
                  <w:pPr>
                    <w:pStyle w:val="IsiTabel"/>
                    <w:keepNext/>
                    <w:suppressAutoHyphens/>
                    <w:jc w:val="left"/>
                  </w:pPr>
                  <w:r>
                    <w:t xml:space="preserve">Luas terdampak, Sarimukti</w:t>
                  </w:r>
                </w:p>
              </w:tc>
              <w:tc>
                <w:tcPr>
                  <w:tcW w:w="3018" w:type="dxa"/>
                </w:tcPr>
                <w:p>
                  <w:pPr>
                    <w:pStyle w:val="IsiTabel"/>
                    <w:keepNext/>
                    <w:suppressAutoHyphens/>
                    <w:jc w:val="left"/>
                  </w:pPr>
                  <w:r>
                    <w:t xml:space="preserve">80%</w:t>
                  </w:r>
                  <w:r>
                    <w:t xml:space="preserve"> lahan TPA</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26 Agustus 2023</w:t>
                  </w:r>
                </w:p>
              </w:tc>
            </w:tr>
            <w:tr>
              <w:trPr>
                <w:cantSplit/>
              </w:trPr>
              <w:tc>
                <w:tcPr>
                  <w:tcW w:w="2820" w:type="dxa"/>
                </w:tcPr>
                <w:p>
                  <w:pPr>
                    <w:pStyle w:val="IsiTabel"/>
                    <w:keepNext/>
                    <w:suppressAutoHyphens/>
                    <w:jc w:val="left"/>
                  </w:pPr>
                  <w:bookmarkStart w:id="548" w:name="_Ekor066a"/>
                  <w:bookmarkEnd w:id="548"/>
                  <w:r>
                    <w:t xml:space="preserve">Luas terdampak, Suwung</w:t>
                  </w:r>
                </w:p>
              </w:tc>
              <w:tc>
                <w:tcPr>
                  <w:tcW w:w="3018" w:type="dxa"/>
                </w:tcPr>
                <w:p>
                  <w:pPr>
                    <w:pStyle w:val="IsiTabel"/>
                    <w:keepNext/>
                    <w:suppressAutoHyphens/>
                    <w:jc w:val="left"/>
                  </w:pPr>
                  <w:r>
                    <w:t xml:space="preserve">32,4 ha</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22 Juni 2024</w:t>
                  </w:r>
                </w:p>
              </w:tc>
            </w:tr>
            <w:tr>
              <w:trPr>
                <w:cantSplit/>
              </w:trPr>
              <w:tc>
                <w:tcPr>
                  <w:tcW w:w="2820" w:type="dxa"/>
                </w:tcPr>
                <w:p>
                  <w:pPr>
                    <w:pStyle w:val="IsiTabel"/>
                    <w:keepNext/>
                    <w:suppressAutoHyphens/>
                    <w:jc w:val="left"/>
                  </w:pPr>
                  <w:r>
                    <w:t xml:space="preserve">Kerugian materiil</w:t>
                  </w:r>
                </w:p>
              </w:tc>
              <w:tc>
                <w:tcPr>
                  <w:tcW w:w="3018"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2249" w:type="dxa"/>
                </w:tcPr>
                <w:p>
                  <w:pPr>
                    <w:pStyle w:val="IsiTabel"/>
                    <w:keepNext/>
                    <w:suppressAutoHyphens/>
                    <w:jc w:val="left"/>
                  </w:pPr>
                  <w:r>
                    <w:t xml:space="preserve">tidak ada penilaian kerugian resmi; biaya pemadaman tidak dilaporkan dalam dokumen resmi</w:t>
                  </w:r>
                </w:p>
              </w:tc>
            </w:tr>
            <w:tr>
              <w:trPr>
                <w:cantSplit/>
              </w:trPr>
              <w:tc>
                <w:tcPr>
                  <w:tcW w:w="2820" w:type="dxa"/>
                </w:tcPr>
                <w:p>
                  <w:pPr>
                    <w:pStyle w:val="IsiTabel"/>
                    <w:keepNext/>
                    <w:suppressAutoHyphens/>
                    <w:jc w:val="left"/>
                  </w:pPr>
                  <w:r>
                    <w:t xml:space="preserve">Kerugian imateriil</w:t>
                  </w:r>
                </w:p>
              </w:tc>
              <w:tc>
                <w:tcPr>
                  <w:tcW w:w="3018" w:type="dxa"/>
                </w:tcPr>
                <w:p>
                  <w:pPr>
                    <w:pStyle w:val="IsiTabel"/>
                    <w:keepNext/>
                    <w:suppressAutoHyphens/>
                    <w:jc w:val="left"/>
                  </w:pPr>
                  <w:r>
                    <w:t xml:space="preserve">3.000 KK</w:t>
                  </w:r>
                  <w:r>
                    <w:t xml:space="preserve"> terdampak asap di Sarimukti</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26 Agustus 2023</w:t>
                  </w:r>
                </w:p>
              </w:tc>
            </w:tr>
            <w:tr>
              <w:trPr>
                <w:cantSplit/>
              </w:trPr>
              <w:tc>
                <w:tcPr>
                  <w:tcW w:w="2820" w:type="dxa"/>
                </w:tcPr>
                <w:p>
                  <w:pPr>
                    <w:pStyle w:val="IsiTabel"/>
                    <w:keepNext/>
                    <w:suppressAutoHyphens/>
                    <w:jc w:val="left"/>
                  </w:pPr>
                  <w:bookmarkStart w:id="549" w:name="_Ekor066z"/>
                  <w:bookmarkEnd w:id="549"/>
                  <w:r>
                    <w:t xml:space="preserve">Kepekaan, tanpa analog terbesar</w:t>
                  </w:r>
                </w:p>
              </w:tc>
              <w:tc>
                <w:tcPr>
                  <w:tcW w:w="3018" w:type="dxa"/>
                </w:tcPr>
                <w:p>
                  <w:pPr>
                    <w:pStyle w:val="IsiTabel"/>
                    <w:keepNext/>
                    <w:suppressAutoHyphens/>
                    <w:jc w:val="left"/>
                  </w:pPr>
                  <w:r>
                    <w:t xml:space="preserve">4 TPA</w:t>
                  </w:r>
                  <w:r>
                    <w:t xml:space="preserve"> terbakar pada kemarau 2026</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dan KLH/BPLH, sampai 23 Oktober 2026</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Sistem tanggap darurat pengelolaan sampah dan pemadam kebakaran kab/kota (UU 18/2008 Pasal 9 ayat (1) huruf f; UU 23/2014 Lampiran).</w:t>
                  </w:r>
                </w:p>
                <w:p>
                  <w:pPr>
                    <w:pStyle w:val="DaftarTabel"/>
                    <w:keepNext/>
                    <w:numPr>
                      <w:ilvl w:val="0"/>
                      <w:numId w:val="1"/>
                    </w:numPr>
                    <w:suppressAutoHyphens/>
                  </w:pPr>
                  <w:r>
                    <w:t xml:space="preserve">Pembasahan sampah berkala dan patroli menurut Surat Edaran Menteri Lingkungan Hidup 11/2026.</w:t>
                  </w:r>
                </w:p>
                <w:p>
                  <w:pPr>
                    <w:pStyle w:val="DaftarTabel"/>
                    <w:keepNext/>
                    <w:numPr>
                      <w:ilvl w:val="0"/>
                      <w:numId w:val="1"/>
                    </w:numPr>
                    <w:suppressAutoHyphens/>
                  </w:pPr>
                  <w:r>
                    <w:t xml:space="preserve">Helikopter </w:t>
                  </w:r>
                  <w:r>
                    <w:rPr>
                      <w:i/>
                      <w:iCs/>
                    </w:rPr>
                    <w:t xml:space="preserve">water bombing</w:t>
                  </w:r>
                  <w:r>
                    <w:t xml:space="preserve"> BNPB setelah status keadaan darurat ditetapkan pemerintah daerah.</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Penutupan TPA pembuangan terbuka (UU 18/2008 Pasal 44).</w:t>
                  </w:r>
                </w:p>
                <w:p>
                  <w:pPr>
                    <w:pStyle w:val="DaftarTabel"/>
                    <w:keepNext/>
                    <w:numPr>
                      <w:ilvl w:val="0"/>
                      <w:numId w:val="1"/>
                    </w:numPr>
                    <w:suppressAutoHyphens/>
                  </w:pPr>
                  <w:r>
                    <w:t xml:space="preserve">Pemantauan TPA yang telah ditutup setiap enam bulan selama dua puluh tahun oleh kab/kota (Pasal 9 ayat (1) huruf e).</w:t>
                  </w:r>
                </w:p>
                <w:p>
                  <w:pPr>
                    <w:pStyle w:val="DaftarTabel"/>
                    <w:keepNext/>
                    <w:numPr>
                      <w:ilvl w:val="0"/>
                      <w:numId w:val="1"/>
                    </w:numPr>
                    <w:suppressAutoHyphens/>
                  </w:pPr>
                  <w:r>
                    <w:t xml:space="preserve">Sanksi administratif KLH/BPLH terhadap TPA yang belum menghentikan pembuangan terbuka.</w:t>
                  </w:r>
                </w:p>
              </w:tc>
            </w:tr>
          </w:tbl>
          <w:p>
            <w:pPr>
              <w:pStyle w:val="IsiTabel"/>
              <w:keepNext/>
              <w:spacing w:before="80"/>
            </w:pPr>
            <w:r>
              <w:rPr>
                <w:i/>
                <w:iCs/>
                <w:color w:val="2E3440"/>
                <w:sz w:val="17"/>
                <w:szCs w:val="17"/>
              </w:rPr>
              <w:t xml:space="preserve">Kejadian analog, bukan proyeksi model; kebakaran TPA tidak berjenis sendiri di DIBI.</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50" w:name="_Kartu017z"/>
      <w:r>
        <w:rPr>
          <w:b/>
          <w:bCs/>
          <w:color w:val="6B7280"/>
          <w:sz w:val="17"/>
          <w:szCs w:val="17"/>
        </w:rPr>
        <w:t xml:space="preserve">Sumber: </w:t>
      </w:r>
      <w:r>
        <w:rPr>
          <w:color w:val="6B7280"/>
          <w:sz w:val="17"/>
          <w:szCs w:val="17"/>
        </w:rPr>
        <w:t xml:space="preserve">BNPB (26 Agustus 2023; 22 Juni 2024; 2026); KLH/BPLH (2026)</w:t>
      </w:r>
      <w:r>
        <w:rPr>
          <w:color w:val="6B7280"/>
          <w:sz w:val="17"/>
          <w:szCs w:val="17"/>
        </w:rPr>
        <w:t xml:space="preserve">; data per </w:t>
      </w:r>
      <w:r>
        <w:rPr>
          <w:color w:val="6B7280"/>
          <w:sz w:val="17"/>
          <w:szCs w:val="17"/>
        </w:rPr>
        <w:t xml:space="preserve">24 Okt 2026</w:t>
      </w:r>
      <w:bookmarkEnd w:id="550"/>
    </w:p>
    <w:p>
      <w:pPr>
        <w:pStyle w:val="Heading2"/>
      </w:pPr>
      <w:bookmarkStart w:id="552" w:name="_Toc00174"/>
      <w:bookmarkStart w:id="551" w:name="_Ref0163"/>
      <w:r>
        <w:t xml:space="preserve">8.4</w:t>
      </w:r>
      <w:bookmarkEnd w:id="551"/>
      <w:r>
        <w:tab/>
      </w:r>
      <w:r>
        <w:t xml:space="preserve">Kesenjangan Spesifik dan Implikasi</w:t>
      </w:r>
      <w:bookmarkEnd w:id="552"/>
    </w:p>
    <w:p>
      <w:pPr>
        <w:pStyle w:val="IsiTemuan"/>
      </w:pPr>
      <w:r>
        <w:rPr>
          <w:b/>
          <w:bCs/>
          <w:color w:val="051C2C"/>
        </w:rPr>
        <w:t xml:space="preserve">Program yang menyasar bencana nonalam dalam kompendium program kajian ini berjumlah </w:t>
      </w:r>
      <w:r>
        <w:rPr>
          <w:b/>
          <w:bCs/>
          <w:color w:val="051C2C"/>
        </w:rPr>
        <w:t xml:space="preserve">0 program dari 25</w:t>
      </w:r>
      <w:r>
        <w:rPr>
          <w:b/>
          <w:bCs/>
          <w:color w:val="051C2C"/>
        </w:rPr>
        <w:t xml:space="preserve">, sehingga tidak ada program nonalam yang dapat disebut terbukti.</w:t>
      </w:r>
      <w:r>
        <w:t xml:space="preserve"> Status itu berarti bukti dampak tidak ditemukan pada penelusuran Oktober 2026, bukan program yang berjalan tidak bermanfaat </w:t>
      </w:r>
      <w:r>
        <w:t xml:space="preserve">(Tim Pantau Bencana, 2026)</w:t>
      </w:r>
      <w:r>
        <w:t xml:space="preserve">. Renas PB menaruh aksi epidemi pada Kementerian Kesehatan, antara lain Public Safety Center di </w:t>
      </w:r>
      <w:r>
        <w:t xml:space="preserve">510 kab/kota</w:t>
      </w:r>
      <w:r>
        <w:t xml:space="preserve"> pada 2029, tanpa BNPB sebagai penanggung jawab </w:t>
      </w:r>
      <w:r>
        <w:t xml:space="preserve">(BNPB, 2025c, hlm. 54–57)</w:t>
      </w:r>
      <w:r>
        <w:t xml:space="preserve">. Aksi kegagalan teknologi terbatas pada jaringan pengamatan kedaruratan biologi dan kimia serta peta potensi risiko kedaruratan nuklir </w:t>
      </w:r>
      <w:r>
        <w:t xml:space="preserve">(BNPB, 2025c, hlm. 55, 68)</w:t>
      </w:r>
      <w:r>
        <w:t xml:space="preserve">. Perban BNPB 2/2024 sudah mendaftar epidemi dan teknologi industri sebagai data peringatan dini </w:t>
      </w:r>
      <w:r>
        <w:t xml:space="preserve">(BNPB, 2024b)</w:t>
      </w:r>
      <w:r>
        <w:t xml:space="preserve">.</w:t>
      </w:r>
    </w:p>
    <w:p>
      <w:pPr>
        <w:pStyle w:val="IsiTemuan"/>
      </w:pPr>
      <w:r>
        <w:rPr>
          <w:b/>
          <w:bCs/>
          <w:color w:val="051C2C"/>
        </w:rPr>
        <w:t xml:space="preserve">DIBI mencatat </w:t>
      </w:r>
      <w:r>
        <w:rPr>
          <w:b/>
          <w:bCs/>
          <w:color w:val="051C2C"/>
        </w:rPr>
        <w:t xml:space="preserve">14</w:t>
      </w:r>
      <w:r>
        <w:rPr>
          <w:b/>
          <w:bCs/>
          <w:color w:val="051C2C"/>
        </w:rPr>
        <w:t xml:space="preserve"> meninggal akibat epidemi pada 2025 setelah entri ganda Nias Selatan dibuang, sedangkan COVID-19, Plumpang, dan Balongan tidak punya baris.</w:t>
      </w:r>
      <w:r>
        <w:t xml:space="preserve"> Rekap mentah DIBI menghitung kejadian Nias Selatan 9 Januari 2025 dua kali, di dua subjenis epidemi </w:t>
      </w:r>
      <w:r>
        <w:t xml:space="preserve">(BNPB, t.t.-a)</w:t>
      </w:r>
      <w:r>
        <w:t xml:space="preserve">. Kesenjangan spesifik yang tersisa di bab ini ada lima:</w:t>
      </w:r>
    </w:p>
    <w:p>
      <w:pPr>
        <w:pStyle w:val="Daftar"/>
        <w:numPr>
          <w:ilvl w:val="0"/>
          <w:numId w:val="1"/>
        </w:numPr>
      </w:pPr>
      <w:r>
        <w:t xml:space="preserve">Pengait status KLB dan Krisis Kesehatan dengan status keadaan darurat bencana provinsi dan kab/kota tidak ditemukan, dan PP 28/2024 belum dibaca (</w:t>
      </w:r>
      <w:r>
        <w:fldChar w:fldCharType="begin"/>
      </w:r>
      <w:r>
        <w:instrText xml:space="preserve"> REF _Ref0092 \h \* CHARFORMAT </w:instrText>
      </w:r>
      <w:r>
        <w:fldChar w:fldCharType="separate"/>
      </w:r>
      <w:r>
        <w:t xml:space="preserve">36</w:t>
      </w:r>
      <w:r>
        <w:fldChar w:fldCharType="end"/>
      </w:r>
      <w:r>
        <w:t xml:space="preserve">). Pedoman keadaan tertentu Perpres 46/2026 Pasal 3 ayat (4) dapat menuliskan kapan status kesehatan memicu rapat koordinasi (</w:t>
      </w:r>
      <w:r>
        <w:fldChar w:fldCharType="begin"/>
      </w:r>
      <w:r>
        <w:instrText xml:space="preserve"> REF _Ref0088 \h \* CHARFORMAT </w:instrText>
      </w:r>
      <w:r>
        <w:fldChar w:fldCharType="separate"/>
      </w:r>
      <w:r>
        <w:t xml:space="preserve">14</w:t>
      </w:r>
      <w:r>
        <w:fldChar w:fldCharType="end"/>
      </w:r>
      <w:r>
        <w:t xml:space="preserve">).</w:t>
      </w:r>
    </w:p>
    <w:p>
      <w:pPr>
        <w:pStyle w:val="Daftar"/>
        <w:numPr>
          <w:ilvl w:val="0"/>
          <w:numId w:val="1"/>
        </w:numPr>
      </w:pPr>
      <w:r>
        <w:t xml:space="preserve">Persyaratan analisis risiko bencana bagi pembangunan berisiko tinggi tidak dapat dibaca, karena teks Perka BNPB 5/2008 tidak tersedia di JDIH BNPB (</w:t>
      </w:r>
      <w:r>
        <w:fldChar w:fldCharType="begin"/>
      </w:r>
      <w:r>
        <w:instrText xml:space="preserve"> REF _Ref0096 \h \* CHARFORMAT </w:instrText>
      </w:r>
      <w:r>
        <w:fldChar w:fldCharType="separate"/>
      </w:r>
      <w:r>
        <w:t xml:space="preserve">23</w:t>
      </w:r>
      <w:r>
        <w:fldChar w:fldCharType="end"/>
      </w:r>
      <w:r>
        <w:t xml:space="preserve">).</w:t>
      </w:r>
    </w:p>
    <w:p>
      <w:pPr>
        <w:pStyle w:val="Daftar"/>
        <w:numPr>
          <w:ilvl w:val="0"/>
          <w:numId w:val="1"/>
        </w:numPr>
      </w:pPr>
      <w:r>
        <w:t xml:space="preserve">Pedoman sistem tanggap darurat pengelolaan sampah tidak ditemukan, dan daftar TPA pembuangan terbuka per kab/kota belum tersedia untuk peta sasaran kesiapan kemarau (</w:t>
      </w:r>
      <w:r>
        <w:fldChar w:fldCharType="begin"/>
      </w:r>
      <w:r>
        <w:instrText xml:space="preserve"> REF _Ref0100 \h \* CHARFORMAT </w:instrText>
      </w:r>
      <w:r>
        <w:fldChar w:fldCharType="separate"/>
      </w:r>
      <w:r>
        <w:t xml:space="preserve">38</w:t>
      </w:r>
      <w:r>
        <w:fldChar w:fldCharType="end"/>
      </w:r>
      <w:r>
        <w:t xml:space="preserve">; </w:t>
      </w:r>
      <w:r>
        <w:fldChar w:fldCharType="begin"/>
      </w:r>
      <w:r>
        <w:instrText xml:space="preserve"> REF _Ref0080 \h \* CHARFORMAT </w:instrText>
      </w:r>
      <w:r>
        <w:fldChar w:fldCharType="separate"/>
      </w:r>
      <w:r>
        <w:t xml:space="preserve">32</w:t>
      </w:r>
      <w:r>
        <w:fldChar w:fldCharType="end"/>
      </w:r>
      <w:r>
        <w:t xml:space="preserve">).</w:t>
      </w:r>
    </w:p>
    <w:p>
      <w:pPr>
        <w:pStyle w:val="Daftar"/>
        <w:numPr>
          <w:ilvl w:val="0"/>
          <w:numId w:val="1"/>
        </w:numPr>
      </w:pPr>
      <w:r>
        <w:t xml:space="preserve">Kejadian besar nonalam dan kebakaran TPA tidak tercatat utuh di DIBI (</w:t>
      </w:r>
      <w:r>
        <w:fldChar w:fldCharType="begin"/>
      </w:r>
      <w:r>
        <w:instrText xml:space="preserve"> REF _Ref0093 \h \* CHARFORMAT </w:instrText>
      </w:r>
      <w:r>
        <w:fldChar w:fldCharType="separate"/>
      </w:r>
      <w:r>
        <w:t xml:space="preserve">20</w:t>
      </w:r>
      <w:r>
        <w:fldChar w:fldCharType="end"/>
      </w:r>
      <w:r>
        <w:t xml:space="preserve">).</w:t>
      </w:r>
    </w:p>
    <w:p>
      <w:pPr>
        <w:pStyle w:val="Daftar"/>
        <w:numPr>
          <w:ilvl w:val="0"/>
          <w:numId w:val="1"/>
        </w:numPr>
      </w:pPr>
      <w:r>
        <w:t xml:space="preserve">Kerugian rupiah dan imateriil resmi tidak ada untuk ketiga jenis, dan skenario pandemi resmi berangka tidak ditemukan.</w:t>
      </w:r>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Implikasinya bagi Grand Design dibahas di Bab 10 untuk kesenjangan sistem, Bab 11 untuk kesiapan musim kemarau, dan Bab 12 untuk kelembagaan dan peta jalan.</w:t>
      </w:r>
    </w:p>
    <w:p>
      <w:pPr>
        <w:pBdr>
          <w:top w:val="single" w:sz="16" w:space="0" w:color="D9600B"/>
        </w:pBdr>
        <w:spacing w:before="0" w:after="80" w:line="60" w:lineRule="exact"/>
        <w:ind w:right="8674"/>
      </w:pPr>
    </w:p>
    <w:p>
      <w:pPr>
        <w:pStyle w:val="Heading1"/>
        <w:numPr>
          <w:ilvl w:val="0"/>
          <w:numId w:val="909"/>
        </w:numPr>
      </w:pPr>
      <w:bookmarkStart w:id="554" w:name="_Toc00175"/>
      <w:r>
        <w:rPr>
          <w:sz w:val="18"/>
          <w:szCs w:val="18"/>
        </w:rPr>
        <w:br/>
      </w:r>
      <w:bookmarkStart w:id="553" w:name="_Ref0011"/>
      <w:r>
        <w:t xml:space="preserve">BENCANA SOSIAL</w:t>
      </w:r>
      <w:bookmarkEnd w:id="553"/>
      <w:bookmarkEnd w:id="554"/>
    </w:p>
    <w:p>
      <w:pPr>
        <w:pStyle w:val="Pertanyaan"/>
      </w:pPr>
      <w:r>
        <w:t xml:space="preserve">Konflik apa yang masuk bencana sosial menurut UU 24/2007 dan UU 7/2012, dan di provinsi mana perkelahian massal antarkelompok paling sering terjadi? Berapa korban dan pengungsi pada kejadian analog terburuk? Apa peran BNPB, dan instrumen apa yang belum ada untuk melaksanakan Perpres 46/2026?</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69" name="Gambar 169"/>
                  <wp:cNvGraphicFramePr>
                    <a:graphicFrameLocks noChangeAspect="1"/>
                  </wp:cNvGraphicFramePr>
                  <a:graphic>
                    <a:graphicData uri="http://schemas.openxmlformats.org/drawingml/2006/picture">
                      <pic:pic>
                        <pic:nvPicPr>
                          <pic:cNvPr id="169"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Potensi Desa (Podes) 2024 mencatat </w:t>
            </w:r>
            <w:r>
              <w:t xml:space="preserve">2.031</w:t>
            </w:r>
            <w:r>
              <w:t xml:space="preserve"> dari </w:t>
            </w:r>
            <w:r>
              <w:t xml:space="preserve">84.276</w:t>
            </w:r>
            <w:r>
              <w:t xml:space="preserve"> desa/kelurahan (</w:t>
            </w:r>
            <w:r>
              <w:t xml:space="preserve">2,41%</w:t>
            </w:r>
            <w:r>
              <w:t xml:space="preserve">) dengan perkelahian massal semua jenis, naik dari </w:t>
            </w:r>
            <w:r>
              <w:t xml:space="preserve">1.553</w:t>
            </w:r>
            <w:r>
              <w:t xml:space="preserve"> desa (</w:t>
            </w:r>
            <w:r>
              <w:t xml:space="preserve">1,85%</w:t>
            </w:r>
            <w:r>
              <w:t xml:space="preserve">) pada 2021; untuk jenis antarkelompok masyarakat, jumlah desa terbanyak ada di Nusa Tenggara Timur (</w:t>
            </w:r>
            <w:r>
              <w:t xml:space="preserve">97</w:t>
            </w:r>
            <w:r>
              <w:t xml:space="preserve">), Jawa Tengah (</w:t>
            </w:r>
            <w:r>
              <w:t xml:space="preserve">88</w:t>
            </w:r>
            <w:r>
              <w:t xml:space="preserve">), Maluku (</w:t>
            </w:r>
            <w:r>
              <w:t xml:space="preserve">79</w:t>
            </w:r>
            <w:r>
              <w:t xml:space="preserve">), dan Maluku Utara (</w:t>
            </w:r>
            <w:r>
              <w:t xml:space="preserve">78</w:t>
            </w:r>
            <w:r>
              <w:t xml:space="preserve">).</w:t>
            </w:r>
          </w:p>
          <w:p>
            <w:pPr>
              <w:pStyle w:val="DaftarKotak"/>
              <w:numPr>
                <w:ilvl w:val="0"/>
                <w:numId w:val="1"/>
              </w:numPr>
            </w:pPr>
            <w:r>
              <w:t xml:space="preserve">Konflik Maluku dan Maluku Utara 1999–2002 adalah analog terburuk dalam jendela 1996–2026 dengan sedikitnya </w:t>
            </w:r>
            <w:r>
              <w:t xml:space="preserve">5.000</w:t>
            </w:r>
            <w:r>
              <w:t xml:space="preserve"> meninggal, mungkin sampai </w:t>
            </w:r>
            <w:r>
              <w:t xml:space="preserve">10.000</w:t>
            </w:r>
            <w:r>
              <w:t xml:space="preserve">, dan hampir </w:t>
            </w:r>
            <w:r>
              <w:t xml:space="preserve">700.000</w:t>
            </w:r>
            <w:r>
              <w:t xml:space="preserve"> pengungsi; secara nasional pengungsi internal yang tercatat resmi pada 2001 lebih dari </w:t>
            </w:r>
            <w:r>
              <w:t xml:space="preserve">1 juta</w:t>
            </w:r>
            <w:r>
              <w:t xml:space="preserve"> jiwa.</w:t>
            </w:r>
          </w:p>
          <w:p>
            <w:pPr>
              <w:pStyle w:val="DaftarKotak"/>
              <w:numPr>
                <w:ilvl w:val="0"/>
                <w:numId w:val="1"/>
              </w:numPr>
            </w:pPr>
            <w:r>
              <w:t xml:space="preserve">Peran Badan Nasional Penanggulangan Bencana (BNPB) yang tertulis dalam konflik sosial terbatas pada unsur Satuan Tugas (Satgas) Penyelesaian Konflik Sosial nasional, keadaan tertentu menurut Perpres 46/2026, dan rehabilitasi yang memuat rekonsiliasi. Pedoman Kepala BNPB yang diperintahkan Perpres 46/2026 Pasal 3 ayat (4) belum ditetapkan, dan Perban BNPB 5/2018 masih memuat </w:t>
            </w:r>
            <w:r>
              <w:t xml:space="preserve">10 jenis</w:t>
            </w:r>
            <w:r>
              <w:t xml:space="preserve"> ancaman tanpa faktor sosial.</w:t>
            </w:r>
          </w:p>
          <w:p>
            <w:pPr>
              <w:pStyle w:val="IsiKotak"/>
            </w:pPr>
            <w:r>
              <w:rPr>
                <w:b/>
                <w:bCs/>
                <w:color w:val="1A1A1A"/>
              </w:rPr>
              <w:t xml:space="preserve">Angka kunci: </w:t>
            </w:r>
          </w:p>
          <w:p>
            <w:pPr>
              <w:pStyle w:val="DaftarKotak"/>
              <w:numPr>
                <w:ilvl w:val="0"/>
                <w:numId w:val="1"/>
              </w:numPr>
            </w:pPr>
            <w:r>
              <w:t xml:space="preserve">150</w:t>
            </w:r>
            <w:r>
              <w:t xml:space="preserve"> desa/kelurahan mencatat korban meninggal akibat perkelahian massal pada 2024 </w:t>
            </w:r>
            <w:r>
              <w:t xml:space="preserve">(BPS, 2024d)</w:t>
            </w:r>
            <w:r>
              <w:t xml:space="preserve">.</w:t>
            </w:r>
          </w:p>
          <w:p>
            <w:pPr>
              <w:pStyle w:val="DaftarKotak"/>
              <w:numPr>
                <w:ilvl w:val="0"/>
                <w:numId w:val="1"/>
              </w:numPr>
            </w:pPr>
            <w:r>
              <w:t xml:space="preserve">1,2 juta</w:t>
            </w:r>
            <w:r>
              <w:t xml:space="preserve"> pengungsi internal pada 2001 menurut kelompok kerja koordinasi pengungsi </w:t>
            </w:r>
            <w:r>
              <w:t xml:space="preserve">(Brookings-CUNY Project on Internal Displacement, 2001)</w:t>
            </w:r>
            <w:r>
              <w:t xml:space="preserve">.</w:t>
            </w:r>
          </w:p>
          <w:p>
            <w:pPr>
              <w:pStyle w:val="DaftarKotak"/>
              <w:numPr>
                <w:ilvl w:val="0"/>
                <w:numId w:val="1"/>
              </w:numPr>
            </w:pPr>
            <w:r>
              <w:t xml:space="preserve">351</w:t>
            </w:r>
            <w:r>
              <w:t xml:space="preserve"> dari </w:t>
            </w:r>
            <w:r>
              <w:t xml:space="preserve">508</w:t>
            </w:r>
            <w:r>
              <w:t xml:space="preserve"> kab/kota berkapasitas fiskal rendah atau sangat rendah, syarat fiskal keadaan tertentu Perpres 46/2026 </w:t>
            </w:r>
            <w:r>
              <w:t xml:space="preserve">(Kementerian Keuangan, 2025)</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_Ref0088 \h \* CHARFORMAT </w:instrText>
            </w:r>
            <w:r>
              <w:fldChar w:fldCharType="separate"/>
            </w:r>
            <w:r>
              <w:t xml:space="preserve">14</w:t>
            </w:r>
            <w:r>
              <w:fldChar w:fldCharType="end"/>
            </w:r>
            <w:r>
              <w:t xml:space="preserve"> Susun pedoman keadaan tertentu Perpres 46/2026 dengan mengubah Perban BNPB 5/2018 (Usulan baru; Deputi Bidang Penanganan Darurat dengan Biro Hukum, Organisasi, dan Kerja Sama; rancangan paling lambat hari ke-100). Forumnya rapat koordinasi Kementerian Koordinator Bidang Pembangunan Manusia dan Kebudayaan (Kemenko PMK) dengan Kementerian Dalam Negeri, Kementerian Sosial, dan Kementerian Keuangan.</w:t>
            </w:r>
          </w:p>
          <w:p>
            <w:pPr>
              <w:pStyle w:val="DaftarKotak"/>
              <w:numPr>
                <w:ilvl w:val="0"/>
                <w:numId w:val="1"/>
              </w:numPr>
            </w:pPr>
            <w:r>
              <w:fldChar w:fldCharType="begin"/>
            </w:r>
            <w:r>
              <w:instrText xml:space="preserve"> REF _Ref0087 \h \* CHARFORMAT </w:instrText>
            </w:r>
            <w:r>
              <w:fldChar w:fldCharType="separate"/>
            </w:r>
            <w:r>
              <w:t xml:space="preserve">11</w:t>
            </w:r>
            <w:r>
              <w:fldChar w:fldCharType="end"/>
            </w:r>
            <w:r>
              <w:t xml:space="preserve"> Ajukan izin prakarsa peraturan di luar Program Penyusunan Peraturan 2026 untuk pedoman itu (Usulan baru; Biro Hukum, Organisasi, dan Kerja Sama dengan Deputi Bidang Penanganan Darurat; internal BNPB; hari ke-0 sampai hari ke-14).</w:t>
            </w:r>
          </w:p>
          <w:p>
            <w:pPr>
              <w:pStyle w:val="DaftarKotak"/>
              <w:numPr>
                <w:ilvl w:val="0"/>
                <w:numId w:val="1"/>
              </w:numPr>
            </w:pPr>
            <w:r>
              <w:fldChar w:fldCharType="begin"/>
            </w:r>
            <w:r>
              <w:instrText xml:space="preserve"> REF _Ref0093 \h \* CHARFORMAT </w:instrText>
            </w:r>
            <w:r>
              <w:fldChar w:fldCharType="separate"/>
            </w:r>
            <w:r>
              <w:t xml:space="preserve">20</w:t>
            </w:r>
            <w:r>
              <w:fldChar w:fldCharType="end"/>
            </w:r>
            <w:r>
              <w:t xml:space="preserve"> Rapikan pencatatan kejadian nonalam dan sosial di Data dan Informasi Bencana Indonesia (DIBI), termasuk baris konflik sosial (Sudah ada, perlu dikembangkan; Pusat Data, Informasi, dan Komunikasi Kebencanaan dengan Direktorat Koordinasi Pengendalian Operasi Darurat; Forum Satu Data Indonesia; 2026–2027).</w:t>
            </w:r>
          </w:p>
        </w:tc>
      </w:tr>
    </w:tbl>
    <w:p>
      <w:pPr>
        <w:pStyle w:val="Jarak"/>
      </w:pPr>
    </w:p>
    <w:p>
      <w:pPr>
        <w:pStyle w:val="Heading2"/>
      </w:pPr>
      <w:bookmarkStart w:id="556" w:name="_Toc00176"/>
      <w:bookmarkStart w:id="555" w:name="_Ref0118"/>
      <w:r>
        <w:t xml:space="preserve">9.1</w:t>
      </w:r>
      <w:bookmarkEnd w:id="555"/>
      <w:r>
        <w:tab/>
      </w:r>
      <w:r>
        <w:t xml:space="preserve">Definisi Operasional dan Batas Mandat</w:t>
      </w:r>
      <w:bookmarkEnd w:id="556"/>
    </w:p>
    <w:p>
      <w:pPr>
        <w:pStyle w:val="IsiTemuan"/>
      </w:pPr>
      <w:r>
        <w:rPr>
          <w:b/>
          <w:bCs/>
          <w:color w:val="051C2C"/>
        </w:rPr>
        <w:t xml:space="preserve">UU 24/2007 Pasal 1 angka 4 menggolongkan konflik sosial antarkelompok atau antarkomunitas masyarakat dan teror sebagai bencana sosial, sedangkan UU 7/2012 Pasal 1 angka 1 membatasi konflik sosial pada benturan fisik dengan kekerasan antara dua kelompok masyarakat atau lebih yang berdampak luas.</w:t>
      </w:r>
      <w:r>
        <w:t xml:space="preserve"> Penjelasan Umum UU 24/2007 lebih luas daripada batang tubuhnya karena menyebut kerusuhan sosial tanpa syarat antarkelompok </w:t>
      </w:r>
      <w:r>
        <w:t xml:space="preserve">(Republik Indonesia, 2007)</w:t>
      </w:r>
      <w:r>
        <w:t xml:space="preserve">. UU 7/2012 Pasal 5 menyebut lima sumber konflik, termasuk perseteruan antarumat beragama dan antaretnis serta sengketa batas wilayah dan sumber daya alam; penanganan konflik menurut Pasal 1 angka 2 mencakup pencegahan dan penghentian konflik serta pemulihan pascakonflik </w:t>
      </w:r>
      <w:r>
        <w:t xml:space="preserve">(Republik Indonesia, 2012)</w:t>
      </w:r>
      <w:r>
        <w:t xml:space="preserve">. Kajian ini memakai irisan batang tubuh kedua undang-undang tanpa teror dan tanpa unjuk rasa yang berhadapan dengan aparat. Unjuk rasa semacam itu masuk tugas pokok Kepolisian Negara Republik Indonesia (Polri) memelihara keamanan dan ketertiban masyarakat (UU 2/2002 Pasal 13), yang tidak diubah oleh UU 5/2026 </w:t>
      </w:r>
      <w:r>
        <w:t xml:space="preserve">(Republik Indonesia, 2002, 2026b)</w:t>
      </w:r>
      <w:r>
        <w:t xml:space="preserve">. Kebakaran gedung dan permukiman juga di luar lingkup bab ini.</w:t>
      </w:r>
    </w:p>
    <w:p>
      <w:pPr>
        <w:pStyle w:val="IsiTemuan"/>
      </w:pPr>
      <w:r>
        <w:rPr>
          <w:b/>
          <w:bCs/>
          <w:color w:val="051C2C"/>
        </w:rPr>
        <w:t xml:space="preserve">Status keadaan konflik menurut UU 7/2012 berlaku paling lama </w:t>
      </w:r>
      <w:r>
        <w:rPr>
          <w:b/>
          <w:bCs/>
          <w:color w:val="051C2C"/>
        </w:rPr>
        <w:t xml:space="preserve">90 hari</w:t>
      </w:r>
      <w:r>
        <w:rPr>
          <w:b/>
          <w:bCs/>
          <w:color w:val="051C2C"/>
        </w:rPr>
        <w:t xml:space="preserve"> dan dapat diperpanjang paling lama </w:t>
      </w:r>
      <w:r>
        <w:rPr>
          <w:b/>
          <w:bCs/>
          <w:color w:val="051C2C"/>
        </w:rPr>
        <w:t xml:space="preserve">30 hari</w:t>
      </w:r>
      <w:r>
        <w:rPr>
          <w:b/>
          <w:bCs/>
          <w:color w:val="051C2C"/>
        </w:rPr>
        <w:t xml:space="preserve">, terpisah dari status keadaan darurat bencana menurut UU 24/2007.</w:t>
      </w:r>
      <w:r>
        <w:t xml:space="preserve"> UU 7/2012 Pasal 14 mensyaratkan konflik yang tidak dapat dikendalikan Polri dan fungsi pemerintahan yang terganggu. Penetapnya kepala daerah atau Presiden sesuai skala, masing-masing setelah berkonsultasi dengan pimpinan Dewan Perwakilan Rakyat Daerah (DPRD) atau Dewan Perwakilan Rakyat (DPR) (Pasal 16, Pasal 18, dan Pasal 20). Penghentian kekerasan fisik dikoordinasikan dan dikendalikan Polri, dan bantuan kekuatan Tentara Nasional Indonesia (TNI) dikoordinasikan Polri (Pasal 13 ayat (1) dan Pasal 34) </w:t>
      </w:r>
      <w:r>
        <w:t xml:space="preserve">(Republik Indonesia, 2012)</w:t>
      </w:r>
      <w:r>
        <w:t xml:space="preserve">. Pemerintah menetapkan status keadaan darurat bencana sesuai skala bencana (UU 24/2007 Pasal 51) </w:t>
      </w:r>
      <w:r>
        <w:t xml:space="preserve">(Republik Indonesia, 2007)</w:t>
      </w:r>
      <w:r>
        <w:t xml:space="preserve">. Peraturan yang dibaca tidak memuat norma yang mengaitkan kedua status bila keduanya berlaku atas wilayah yang sama.</w:t>
      </w:r>
    </w:p>
    <w:p>
      <w:pPr>
        <w:pStyle w:val="IsiTemuan"/>
      </w:pPr>
      <w:r>
        <w:rPr>
          <w:b/>
          <w:bCs/>
          <w:color w:val="051C2C"/>
        </w:rPr>
        <w:t xml:space="preserve">Podes 2024 mencatat </w:t>
      </w:r>
      <w:r>
        <w:rPr>
          <w:b/>
          <w:bCs/>
          <w:color w:val="051C2C"/>
        </w:rPr>
        <w:t xml:space="preserve">920</w:t>
      </w:r>
      <w:r>
        <w:rPr>
          <w:b/>
          <w:bCs/>
          <w:color w:val="051C2C"/>
        </w:rPr>
        <w:t xml:space="preserve"> desa dengan perkelahian massal antarkelompok masyarakat, jenis terbesar dari tujuh jenis yang dicatat Badan Pusat Statistik (BPS).</w:t>
      </w:r>
      <w:r>
        <w:t xml:space="preserve"> Ketujuh jenis tampil pada </w:t>
      </w:r>
      <w:r>
        <w:fldChar w:fldCharType="begin"/>
      </w:r>
      <w:r>
        <w:instrText xml:space="preserve"> REF _Ref0281 \h \* CHARFORMAT </w:instrText>
      </w:r>
      <w:r>
        <w:fldChar w:fldCharType="separate"/>
      </w:r>
      <w:r>
        <w:t xml:space="preserve">Tabel 9.1</w:t>
      </w:r>
      <w:r>
        <w:fldChar w:fldCharType="end"/>
      </w:r>
      <w:r>
        <w:t xml:space="preserve"> beserta penandaan lingkupnya </w:t>
      </w:r>
      <w:r>
        <w:t xml:space="preserve">(BPS, 2024d)</w:t>
      </w:r>
      <w:r>
        <w:t xml:space="preserve">. Satu desa dapat mencatat lebih dari satu jenis, sehingga jumlah desa dalam lingkup kajian hanya dapat dinyatakan sebagai rentang: sedikitnya </w:t>
      </w:r>
      <w:r>
        <w:t xml:space="preserve">920</w:t>
      </w:r>
      <w:r>
        <w:t xml:space="preserve"> desa (jenis antarkelompok masyarakat saja) dan paling banyak </w:t>
      </w:r>
      <w:r>
        <w:t xml:space="preserve">2.031</w:t>
      </w:r>
      <w:r>
        <w:t xml:space="preserve"> desa (semua jenis). Podes mencatat satu perkelahian dalam setahun sebelum pencacahan tanpa syarat berdampak luas, sehingga angkanya dibaca sebagai indikator potensi, bukan hitungan konflik menurut UU 7/2012. Pedoman pencacah BPS untuk istilah perkelahian massal tidak dibuka; Statistik Kriminal menamai indikator yang sama konflik massal </w:t>
      </w:r>
      <w:r>
        <w:t xml:space="preserve">(BPS, 2025b)</w:t>
      </w:r>
      <w:r>
        <w:t xml:space="preserve">.</w:t>
      </w:r>
    </w:p>
    <w:p>
      <w:pPr>
        <w:pStyle w:val="Caption"/>
      </w:pPr>
      <w:bookmarkStart w:id="558" w:name="_Toc00177"/>
      <w:bookmarkStart w:id="557" w:name="_Ref028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57"/>
      <w:r>
        <w:rPr>
          <w:b/>
          <w:bCs/>
          <w:color w:val="051C2C"/>
        </w:rPr>
        <w:t xml:space="preserve"> </w:t>
      </w:r>
      <w:r>
        <w:t xml:space="preserve">Desa/kelurahan dengan perkelahian massal menurut jenis dan penandaan lingkup kajian, Indonesia, 2024 (desa)</w:t>
      </w:r>
      <w:bookmarkEnd w:id="55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82"/>
        <w:gridCol w:w="689"/>
        <w:gridCol w:w="5383"/>
      </w:tblGrid>
      <w:tr>
        <w:trPr>
          <w:cantSplit/>
          <w:tblHeader/>
        </w:trPr>
        <w:tc>
          <w:tcPr>
            <w:tcW w:w="3282" w:type="dxa"/>
            <w:shd w:val="clear" w:color="auto" w:fill="051C2C"/>
            <w:vAlign w:val="center"/>
          </w:tcPr>
          <w:p>
            <w:pPr>
              <w:pStyle w:val="KepalaTabel"/>
              <w:suppressAutoHyphens/>
            </w:pPr>
            <w:r>
              <w:t xml:space="preserve">JENIS PERKELAHIAN</w:t>
            </w:r>
          </w:p>
        </w:tc>
        <w:tc>
          <w:tcPr>
            <w:tcW w:w="689" w:type="dxa"/>
            <w:shd w:val="clear" w:color="auto" w:fill="051C2C"/>
            <w:vAlign w:val="center"/>
          </w:tcPr>
          <w:p>
            <w:pPr>
              <w:pStyle w:val="KepalaTabel"/>
              <w:suppressAutoHyphens/>
            </w:pPr>
            <w:r>
              <w:t xml:space="preserve">DESA</w:t>
            </w:r>
          </w:p>
        </w:tc>
        <w:tc>
          <w:tcPr>
            <w:tcW w:w="5383" w:type="dxa"/>
            <w:shd w:val="clear" w:color="auto" w:fill="051C2C"/>
            <w:vAlign w:val="center"/>
          </w:tcPr>
          <w:p>
            <w:pPr>
              <w:pStyle w:val="KepalaTabel"/>
              <w:suppressAutoHyphens/>
            </w:pPr>
            <w:r>
              <w:t xml:space="preserve">LINGKUP KAJIAN</w:t>
            </w:r>
          </w:p>
        </w:tc>
      </w:tr>
      <w:tr>
        <w:trPr>
          <w:cantSplit/>
        </w:trPr>
        <w:tc>
          <w:tcPr>
            <w:tcW w:w="3282" w:type="dxa"/>
          </w:tcPr>
          <w:p>
            <w:pPr>
              <w:pStyle w:val="IsiTabel"/>
              <w:suppressAutoHyphens/>
              <w:jc w:val="left"/>
            </w:pPr>
            <w:r>
              <w:t xml:space="preserve">Antarkelompok masyarakat</w:t>
            </w:r>
          </w:p>
        </w:tc>
        <w:tc>
          <w:tcPr>
            <w:tcW w:w="689" w:type="dxa"/>
          </w:tcPr>
          <w:p>
            <w:pPr>
              <w:pStyle w:val="IsiTabel"/>
              <w:suppressAutoHyphens/>
              <w:jc w:val="right"/>
            </w:pPr>
            <w:r>
              <w:t xml:space="preserve">920</w:t>
            </w:r>
          </w:p>
        </w:tc>
        <w:tc>
          <w:tcPr>
            <w:tcW w:w="5383" w:type="dxa"/>
          </w:tcPr>
          <w:p>
            <w:pPr>
              <w:pStyle w:val="IsiTabel"/>
              <w:suppressAutoHyphens/>
              <w:jc w:val="left"/>
            </w:pPr>
            <w:r>
              <w:t xml:space="preserve">dalam lingkup</w:t>
            </w:r>
          </w:p>
        </w:tc>
      </w:tr>
      <w:tr>
        <w:trPr>
          <w:cantSplit/>
        </w:trPr>
        <w:tc>
          <w:tcPr>
            <w:tcW w:w="3282" w:type="dxa"/>
          </w:tcPr>
          <w:p>
            <w:pPr>
              <w:pStyle w:val="IsiTabel"/>
              <w:suppressAutoHyphens/>
              <w:jc w:val="left"/>
            </w:pPr>
            <w:r>
              <w:t xml:space="preserve">Antardesa/kelurahan</w:t>
            </w:r>
          </w:p>
        </w:tc>
        <w:tc>
          <w:tcPr>
            <w:tcW w:w="689" w:type="dxa"/>
          </w:tcPr>
          <w:p>
            <w:pPr>
              <w:pStyle w:val="IsiTabel"/>
              <w:suppressAutoHyphens/>
              <w:jc w:val="right"/>
            </w:pPr>
            <w:r>
              <w:t xml:space="preserve">643</w:t>
            </w:r>
          </w:p>
        </w:tc>
        <w:tc>
          <w:tcPr>
            <w:tcW w:w="5383" w:type="dxa"/>
          </w:tcPr>
          <w:p>
            <w:pPr>
              <w:pStyle w:val="IsiTabel"/>
              <w:suppressAutoHyphens/>
              <w:jc w:val="left"/>
            </w:pPr>
            <w:r>
              <w:t xml:space="preserve">dalam lingkup</w:t>
            </w:r>
          </w:p>
        </w:tc>
      </w:tr>
      <w:tr>
        <w:trPr>
          <w:cantSplit/>
        </w:trPr>
        <w:tc>
          <w:tcPr>
            <w:tcW w:w="3282" w:type="dxa"/>
          </w:tcPr>
          <w:p>
            <w:pPr>
              <w:pStyle w:val="IsiTabel"/>
              <w:suppressAutoHyphens/>
              <w:jc w:val="left"/>
            </w:pPr>
            <w:r>
              <w:t xml:space="preserve">Antarsuku</w:t>
            </w:r>
          </w:p>
        </w:tc>
        <w:tc>
          <w:tcPr>
            <w:tcW w:w="689" w:type="dxa"/>
          </w:tcPr>
          <w:p>
            <w:pPr>
              <w:pStyle w:val="IsiTabel"/>
              <w:suppressAutoHyphens/>
              <w:jc w:val="right"/>
            </w:pPr>
            <w:r>
              <w:t xml:space="preserve">52</w:t>
            </w:r>
          </w:p>
        </w:tc>
        <w:tc>
          <w:tcPr>
            <w:tcW w:w="5383" w:type="dxa"/>
          </w:tcPr>
          <w:p>
            <w:pPr>
              <w:pStyle w:val="IsiTabel"/>
              <w:suppressAutoHyphens/>
              <w:jc w:val="left"/>
            </w:pPr>
            <w:r>
              <w:t xml:space="preserve">dalam lingkup</w:t>
            </w:r>
          </w:p>
        </w:tc>
      </w:tr>
      <w:tr>
        <w:trPr>
          <w:cantSplit/>
        </w:trPr>
        <w:tc>
          <w:tcPr>
            <w:tcW w:w="3282" w:type="dxa"/>
          </w:tcPr>
          <w:p>
            <w:pPr>
              <w:pStyle w:val="IsiTabel"/>
              <w:keepNext/>
              <w:suppressAutoHyphens/>
              <w:jc w:val="left"/>
            </w:pPr>
            <w:bookmarkStart w:id="559" w:name="_Ekor067a"/>
            <w:bookmarkEnd w:id="559"/>
            <w:r>
              <w:t xml:space="preserve">Pelajar/mahasiswa</w:t>
            </w:r>
          </w:p>
        </w:tc>
        <w:tc>
          <w:tcPr>
            <w:tcW w:w="689" w:type="dxa"/>
          </w:tcPr>
          <w:p>
            <w:pPr>
              <w:pStyle w:val="IsiTabel"/>
              <w:keepNext/>
              <w:suppressAutoHyphens/>
              <w:jc w:val="right"/>
            </w:pPr>
            <w:r>
              <w:t xml:space="preserve">575</w:t>
            </w:r>
          </w:p>
        </w:tc>
        <w:tc>
          <w:tcPr>
            <w:tcW w:w="5383" w:type="dxa"/>
          </w:tcPr>
          <w:p>
            <w:pPr>
              <w:pStyle w:val="IsiTabel"/>
              <w:keepNext/>
              <w:suppressAutoHyphens/>
              <w:jc w:val="left"/>
            </w:pPr>
            <w:r>
              <w:t xml:space="preserve">belum dapat dipastikan; antarkelompok, tetapi jarang berdampak luas</w:t>
            </w:r>
          </w:p>
        </w:tc>
      </w:tr>
      <w:tr>
        <w:trPr>
          <w:cantSplit/>
        </w:trPr>
        <w:tc>
          <w:tcPr>
            <w:tcW w:w="3282" w:type="dxa"/>
          </w:tcPr>
          <w:p>
            <w:pPr>
              <w:pStyle w:val="IsiTabel"/>
              <w:keepNext/>
              <w:suppressAutoHyphens/>
              <w:jc w:val="left"/>
            </w:pPr>
            <w:r>
              <w:t xml:space="preserve">Lainnya</w:t>
            </w:r>
          </w:p>
        </w:tc>
        <w:tc>
          <w:tcPr>
            <w:tcW w:w="689" w:type="dxa"/>
          </w:tcPr>
          <w:p>
            <w:pPr>
              <w:pStyle w:val="IsiTabel"/>
              <w:keepNext/>
              <w:suppressAutoHyphens/>
              <w:jc w:val="right"/>
            </w:pPr>
            <w:r>
              <w:t xml:space="preserve">161</w:t>
            </w:r>
          </w:p>
        </w:tc>
        <w:tc>
          <w:tcPr>
            <w:tcW w:w="5383" w:type="dxa"/>
          </w:tcPr>
          <w:p>
            <w:pPr>
              <w:pStyle w:val="IsiTabel"/>
              <w:keepNext/>
              <w:suppressAutoHyphens/>
              <w:jc w:val="left"/>
            </w:pPr>
            <w:r>
              <w:t xml:space="preserve">belum dapat dipastikan</w:t>
            </w:r>
          </w:p>
        </w:tc>
      </w:tr>
      <w:tr>
        <w:trPr>
          <w:cantSplit/>
        </w:trPr>
        <w:tc>
          <w:tcPr>
            <w:tcW w:w="3282" w:type="dxa"/>
          </w:tcPr>
          <w:p>
            <w:pPr>
              <w:pStyle w:val="IsiTabel"/>
              <w:keepNext/>
              <w:suppressAutoHyphens/>
              <w:jc w:val="left"/>
            </w:pPr>
            <w:r>
              <w:t xml:space="preserve">Masyarakat dengan aparat keamanan</w:t>
            </w:r>
          </w:p>
        </w:tc>
        <w:tc>
          <w:tcPr>
            <w:tcW w:w="689" w:type="dxa"/>
          </w:tcPr>
          <w:p>
            <w:pPr>
              <w:pStyle w:val="IsiTabel"/>
              <w:keepNext/>
              <w:suppressAutoHyphens/>
              <w:jc w:val="right"/>
            </w:pPr>
            <w:r>
              <w:t xml:space="preserve">55</w:t>
            </w:r>
          </w:p>
        </w:tc>
        <w:tc>
          <w:tcPr>
            <w:tcW w:w="5383" w:type="dxa"/>
          </w:tcPr>
          <w:p>
            <w:pPr>
              <w:pStyle w:val="IsiTabel"/>
              <w:keepNext/>
              <w:suppressAutoHyphens/>
              <w:jc w:val="left"/>
            </w:pPr>
            <w:r>
              <w:t xml:space="preserve">di luar lingkup; urusan keamanan dan ketertiban</w:t>
            </w:r>
          </w:p>
        </w:tc>
      </w:tr>
      <w:tr>
        <w:trPr>
          <w:cantSplit/>
        </w:trPr>
        <w:tc>
          <w:tcPr>
            <w:tcW w:w="3282" w:type="dxa"/>
          </w:tcPr>
          <w:p>
            <w:pPr>
              <w:pStyle w:val="IsiTabel"/>
              <w:suppressAutoHyphens/>
              <w:jc w:val="left"/>
            </w:pPr>
            <w:bookmarkStart w:id="560" w:name="_Ekor067z"/>
            <w:bookmarkEnd w:id="560"/>
            <w:r>
              <w:t xml:space="preserve">Masyarakat dengan aparat pemerintah</w:t>
            </w:r>
          </w:p>
        </w:tc>
        <w:tc>
          <w:tcPr>
            <w:tcW w:w="689" w:type="dxa"/>
          </w:tcPr>
          <w:p>
            <w:pPr>
              <w:pStyle w:val="IsiTabel"/>
              <w:suppressAutoHyphens/>
              <w:jc w:val="right"/>
            </w:pPr>
            <w:r>
              <w:t xml:space="preserve">44</w:t>
            </w:r>
          </w:p>
        </w:tc>
        <w:tc>
          <w:tcPr>
            <w:tcW w:w="5383" w:type="dxa"/>
          </w:tcPr>
          <w:p>
            <w:pPr>
              <w:pStyle w:val="IsiTabel"/>
              <w:suppressAutoHyphens/>
              <w:jc w:val="left"/>
            </w:pPr>
            <w:r>
              <w:t xml:space="preserve">di luar lingkup; urusan keamanan dan ketertiban</w:t>
            </w:r>
          </w:p>
        </w:tc>
      </w:tr>
    </w:tbl>
    <w:p>
      <w:pPr>
        <w:pStyle w:val="Sumber"/>
        <w:spacing w:after="40"/>
      </w:pPr>
      <w:r>
        <w:rPr>
          <w:b/>
          <w:bCs/>
          <w:color w:val="6B7280"/>
          <w:sz w:val="17"/>
          <w:szCs w:val="17"/>
        </w:rPr>
        <w:t xml:space="preserve">Sumber: </w:t>
      </w:r>
      <w:r>
        <w:rPr>
          <w:color w:val="6B7280"/>
          <w:sz w:val="17"/>
          <w:szCs w:val="17"/>
        </w:rPr>
        <w:t xml:space="preserve">BPS, Statistik Potensi Desa Indonesia 2024 Tabel 18.1; penandaan lingkup oleh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Jenis tidak saling lepas, sehingga kolom desa tidak dijumlahkan; jumlah desa dengan perkelahian massal semua jenis </w:t>
      </w:r>
      <w:r>
        <w:rPr>
          <w:color w:val="6B7280"/>
          <w:sz w:val="17"/>
          <w:szCs w:val="17"/>
        </w:rPr>
        <w:t xml:space="preserve">2.031</w:t>
      </w:r>
      <w:r>
        <w:rPr>
          <w:color w:val="6B7280"/>
          <w:sz w:val="17"/>
          <w:szCs w:val="17"/>
        </w:rPr>
        <w:t xml:space="preserve">. Kolom lingkup adalah penandaan penyusun menurut definisi operasional kajian (asumsi kebijakan), bukan klasifikasi BPS.</w:t>
      </w:r>
    </w:p>
    <w:p>
      <w:pPr>
        <w:pStyle w:val="IsiTemuan"/>
      </w:pPr>
      <w:r>
        <w:rPr>
          <w:b/>
          <w:bCs/>
          <w:color w:val="051C2C"/>
        </w:rPr>
        <w:t xml:space="preserve">Kerusuhan Wamena 2019 diperlakukan sebagai kasus batas karena dua penggolongan resmi atas kejadian itu bertentangan.</w:t>
      </w:r>
      <w:r>
        <w:t xml:space="preserve"> DIBI mencatatnya sebagai konflik sosial dengan </w:t>
      </w:r>
      <w:r>
        <w:t xml:space="preserve">36</w:t>
      </w:r>
      <w:r>
        <w:t xml:space="preserve"> meninggal </w:t>
      </w:r>
      <w:r>
        <w:t xml:space="preserve">(BNPB, t.t.-a)</w:t>
      </w:r>
      <w:r>
        <w:t xml:space="preserve">, sedangkan Presiden menyatakan kejadian itu bukan konflik etnis dan menyebut pelakunya "kelompok kriminal bersenjata", dengan </w:t>
      </w:r>
      <w:r>
        <w:t xml:space="preserve">33</w:t>
      </w:r>
      <w:r>
        <w:t xml:space="preserve"> meninggal </w:t>
      </w:r>
      <w:r>
        <w:t xml:space="preserve">(Setkab, 2019)</w:t>
      </w:r>
      <w:r>
        <w:t xml:space="preserve">. Menurut penggolongan Presiden, kejadian itu masuk kekerasan bersenjata yang menjadi urusan aparat, sehingga Wamena 2019 tidak dipakai sebagai analog lantai skenario. Kedua angka dan kedua penggolongan ditulis berdampingan pada Kartu 9.1 (</w:t>
      </w:r>
      <w:r>
        <w:fldChar w:fldCharType="begin"/>
      </w:r>
      <w:r>
        <w:instrText xml:space="preserve"> REF _Ref0293 \h \* CHARFORMAT </w:instrText>
      </w:r>
      <w:r>
        <w:fldChar w:fldCharType="separate"/>
      </w:r>
      <w:r>
        <w:t xml:space="preserve">Tabel 9.2</w:t>
      </w:r>
      <w:r>
        <w:fldChar w:fldCharType="end"/>
      </w:r>
      <w:r>
        <w:t xml:space="preserve">).</w:t>
      </w:r>
    </w:p>
    <w:p>
      <w:pPr>
        <w:pStyle w:val="Heading2"/>
      </w:pPr>
      <w:bookmarkStart w:id="562" w:name="_Toc00178"/>
      <w:bookmarkStart w:id="561" w:name="_Ref0209"/>
      <w:r>
        <w:t xml:space="preserve">9.2</w:t>
      </w:r>
      <w:bookmarkEnd w:id="561"/>
      <w:r>
        <w:tab/>
      </w:r>
      <w:r>
        <w:t xml:space="preserve">Sebaran Konflik Antarkelompok</w:t>
      </w:r>
      <w:bookmarkEnd w:id="562"/>
    </w:p>
    <w:p>
      <w:pPr>
        <w:pStyle w:val="IsiTemuan"/>
      </w:pPr>
      <w:r>
        <w:rPr>
          <w:b/>
          <w:bCs/>
          <w:color w:val="051C2C"/>
        </w:rPr>
        <w:t xml:space="preserve">Pada 2024, desa dengan perkelahian antarkelompok masyarakat paling banyak berada di Nusa Tenggara Timur (</w:t>
      </w:r>
      <w:r>
        <w:rPr>
          <w:b/>
          <w:bCs/>
          <w:color w:val="051C2C"/>
        </w:rPr>
        <w:t xml:space="preserve">97</w:t>
      </w:r>
      <w:r>
        <w:rPr>
          <w:b/>
          <w:bCs/>
          <w:color w:val="051C2C"/>
        </w:rPr>
        <w:t xml:space="preserve"> desa), Jawa Tengah (</w:t>
      </w:r>
      <w:r>
        <w:rPr>
          <w:b/>
          <w:bCs/>
          <w:color w:val="051C2C"/>
        </w:rPr>
        <w:t xml:space="preserve">88</w:t>
      </w:r>
      <w:r>
        <w:rPr>
          <w:b/>
          <w:bCs/>
          <w:color w:val="051C2C"/>
        </w:rPr>
        <w:t xml:space="preserve">), Maluku (</w:t>
      </w:r>
      <w:r>
        <w:rPr>
          <w:b/>
          <w:bCs/>
          <w:color w:val="051C2C"/>
        </w:rPr>
        <w:t xml:space="preserve">79</w:t>
      </w:r>
      <w:r>
        <w:rPr>
          <w:b/>
          <w:bCs/>
          <w:color w:val="051C2C"/>
        </w:rPr>
        <w:t xml:space="preserve">), dan Maluku Utara (</w:t>
      </w:r>
      <w:r>
        <w:rPr>
          <w:b/>
          <w:bCs/>
          <w:color w:val="051C2C"/>
        </w:rPr>
        <w:t xml:space="preserve">78</w:t>
      </w:r>
      <w:r>
        <w:rPr>
          <w:b/>
          <w:bCs/>
          <w:color w:val="051C2C"/>
        </w:rPr>
        <w:t xml:space="preserve">).</w:t>
      </w:r>
      <w:r>
        <w:t xml:space="preserve"> Jawa Barat berada di urutan kelima dengan </w:t>
      </w:r>
      <w:r>
        <w:t xml:space="preserve">67</w:t>
      </w:r>
      <w:r>
        <w:t xml:space="preserve"> desa. Menurut persen desa, jenis ini tertinggi di DKI Jakarta (</w:t>
      </w:r>
      <w:r>
        <w:t xml:space="preserve">7,49%</w:t>
      </w:r>
      <w:r>
        <w:t xml:space="preserve">, </w:t>
      </w:r>
      <w:r>
        <w:t xml:space="preserve">20</w:t>
      </w:r>
      <w:r>
        <w:t xml:space="preserve"> dari </w:t>
      </w:r>
      <w:r>
        <w:t xml:space="preserve">267</w:t>
      </w:r>
      <w:r>
        <w:t xml:space="preserve"> kelurahan), Maluku Utara (</w:t>
      </w:r>
      <w:r>
        <w:t xml:space="preserve">6,45%</w:t>
      </w:r>
      <w:r>
        <w:t xml:space="preserve">), dan Maluku (</w:t>
      </w:r>
      <w:r>
        <w:t xml:space="preserve">6,26%</w:t>
      </w:r>
      <w:r>
        <w:t xml:space="preserve">)</w:t>
      </w:r>
      <w:r>
        <w:rPr>
          <w:rStyle w:val="FootnoteReference"/>
        </w:rPr>
        <w:footnoteReference w:id="5"/>
      </w:r>
      <w:r>
        <w:t xml:space="preserve"> </w:t>
      </w:r>
      <w:r>
        <w:t xml:space="preserve">(BPS, 2024d)</w:t>
      </w:r>
      <w:r>
        <w:t xml:space="preserve">. Jenis antardesa memperkuat pola Maluku dan Maluku Utara, dengan </w:t>
      </w:r>
      <w:r>
        <w:t xml:space="preserve">72</w:t>
      </w:r>
      <w:r>
        <w:t xml:space="preserve"> desa di Maluku Utara dan </w:t>
      </w:r>
      <w:r>
        <w:t xml:space="preserve">64</w:t>
      </w:r>
      <w:r>
        <w:t xml:space="preserve"> di Maluku. Jenis-jenis dalam lingkup tidak dijumlahkan per provinsi; batas bawah desa dalam lingkup per provinsi adalah jenis yang terbesar. Sebaran per provinsi tampil pada </w:t>
      </w:r>
      <w:r>
        <w:fldChar w:fldCharType="begin"/>
      </w:r>
      <w:r>
        <w:instrText xml:space="preserve"> REF _Ref0051 \h \* CHARFORMAT </w:instrText>
      </w:r>
      <w:r>
        <w:fldChar w:fldCharType="separate"/>
      </w:r>
      <w:r>
        <w:t xml:space="preserve">Gambar 9.1</w:t>
      </w:r>
      <w:r>
        <w:fldChar w:fldCharType="end"/>
      </w:r>
      <w:r>
        <w:t xml:space="preserve">.</w:t>
      </w:r>
    </w:p>
    <w:p>
      <w:pPr>
        <w:pStyle w:val="IsiTemuan"/>
      </w:pPr>
      <w:r>
        <w:rPr>
          <w:b/>
          <w:bCs/>
          <w:color w:val="051C2C"/>
        </w:rPr>
        <w:t xml:space="preserve">Untuk semua jenis perkelahian, persen desa tertinggi tercatat di DKI Jakarta (</w:t>
      </w:r>
      <w:r>
        <w:rPr>
          <w:b/>
          <w:bCs/>
          <w:color w:val="051C2C"/>
        </w:rPr>
        <w:t xml:space="preserve">18,73%</w:t>
      </w:r>
      <w:r>
        <w:rPr>
          <w:b/>
          <w:bCs/>
          <w:color w:val="051C2C"/>
        </w:rPr>
        <w:t xml:space="preserve">), Maluku (</w:t>
      </w:r>
      <w:r>
        <w:rPr>
          <w:b/>
          <w:bCs/>
          <w:color w:val="051C2C"/>
        </w:rPr>
        <w:t xml:space="preserve">11,41%</w:t>
      </w:r>
      <w:r>
        <w:rPr>
          <w:b/>
          <w:bCs/>
          <w:color w:val="051C2C"/>
        </w:rPr>
        <w:t xml:space="preserve">), dan Maluku Utara (</w:t>
      </w:r>
      <w:r>
        <w:rPr>
          <w:b/>
          <w:bCs/>
          <w:color w:val="051C2C"/>
        </w:rPr>
        <w:t xml:space="preserve">11,33%</w:t>
      </w:r>
      <w:r>
        <w:rPr>
          <w:b/>
          <w:bCs/>
          <w:color w:val="051C2C"/>
        </w:rPr>
        <w:t xml:space="preserve">), sedangkan jumlah desa terbanyak di Jawa Barat (</w:t>
      </w:r>
      <w:r>
        <w:rPr>
          <w:b/>
          <w:bCs/>
          <w:color w:val="051C2C"/>
        </w:rPr>
        <w:t xml:space="preserve">218</w:t>
      </w:r>
      <w:r>
        <w:rPr>
          <w:b/>
          <w:bCs/>
          <w:color w:val="051C2C"/>
        </w:rPr>
        <w:t xml:space="preserve">) dan Jawa Tengah (</w:t>
      </w:r>
      <w:r>
        <w:rPr>
          <w:b/>
          <w:bCs/>
          <w:color w:val="051C2C"/>
        </w:rPr>
        <w:t xml:space="preserve">205</w:t>
      </w:r>
      <w:r>
        <w:rPr>
          <w:b/>
          <w:bCs/>
          <w:color w:val="051C2C"/>
        </w:rPr>
        <w:t xml:space="preserve">).</w:t>
      </w:r>
      <w:r>
        <w:t xml:space="preserve"> Peringkat semua jenis itu banyak digerakkan perkelahian pelajar/mahasiswa, yang belum dapat dipastikan masuk lingkup: </w:t>
      </w:r>
      <w:r>
        <w:t xml:space="preserve">31</w:t>
      </w:r>
      <w:r>
        <w:t xml:space="preserve"> dari </w:t>
      </w:r>
      <w:r>
        <w:t xml:space="preserve">50</w:t>
      </w:r>
      <w:r>
        <w:t xml:space="preserve"> desa perkelahian di DKI Jakarta dan </w:t>
      </w:r>
      <w:r>
        <w:t xml:space="preserve">114</w:t>
      </w:r>
      <w:r>
        <w:t xml:space="preserve"> dari </w:t>
      </w:r>
      <w:r>
        <w:t xml:space="preserve">218</w:t>
      </w:r>
      <w:r>
        <w:t xml:space="preserve"> di Jawa Barat. Persen DKI Jakarta tinggi karena penyebutnya hanya </w:t>
      </w:r>
      <w:r>
        <w:t xml:space="preserve">267</w:t>
      </w:r>
      <w:r>
        <w:t xml:space="preserve"> kelurahan, dan peringkat itu hanya bermakna bila ukurannya disebut bersama. Persen menunjukkan peluang satu desa mengalami perkelahian, yang konsisten tinggi di Maluku dan Maluku Utara, sedangkan jumlah desa menunjukkan beban layanan aparat dan pemerintah daerah di Jawa Barat dan Jawa Tengah. Kepulauan Riau adalah satu-satunya provinsi tanpa desa perkelahian massal pada 2024.</w:t>
      </w:r>
    </w:p>
    <w:p>
      <w:pPr>
        <w:pStyle w:val="IsiTemuan"/>
      </w:pPr>
      <w:r>
        <w:rPr>
          <w:b/>
          <w:bCs/>
          <w:color w:val="051C2C"/>
        </w:rPr>
        <w:t xml:space="preserve">Desa dengan perkelahian massal semua jenis naik dari </w:t>
      </w:r>
      <w:r>
        <w:rPr>
          <w:b/>
          <w:bCs/>
          <w:color w:val="051C2C"/>
        </w:rPr>
        <w:t xml:space="preserve">1.553</w:t>
      </w:r>
      <w:r>
        <w:rPr>
          <w:b/>
          <w:bCs/>
          <w:color w:val="051C2C"/>
        </w:rPr>
        <w:t xml:space="preserve"> pada 2021 menjadi </w:t>
      </w:r>
      <w:r>
        <w:rPr>
          <w:b/>
          <w:bCs/>
          <w:color w:val="051C2C"/>
        </w:rPr>
        <w:t xml:space="preserve">2.031</w:t>
      </w:r>
      <w:r>
        <w:rPr>
          <w:b/>
          <w:bCs/>
          <w:color w:val="051C2C"/>
        </w:rPr>
        <w:t xml:space="preserve"> pada 2024, bertambah </w:t>
      </w:r>
      <w:r>
        <w:rPr>
          <w:b/>
          <w:bCs/>
          <w:color w:val="051C2C"/>
        </w:rPr>
        <w:t xml:space="preserve">478 desa</w:t>
      </w:r>
      <w:r>
        <w:rPr>
          <w:b/>
          <w:bCs/>
          <w:color w:val="051C2C"/>
        </w:rPr>
        <w:t xml:space="preserve">.</w:t>
      </w:r>
      <w:r>
        <w:t xml:space="preserve"> Dari </w:t>
      </w:r>
      <w:r>
        <w:t xml:space="preserve">32 provinsi</w:t>
      </w:r>
      <w:r>
        <w:t xml:space="preserve"> yang sebanding, </w:t>
      </w:r>
      <w:r>
        <w:t xml:space="preserve">23</w:t>
      </w:r>
      <w:r>
        <w:t xml:space="preserve"> naik dan tujuh turun; Papua dan Papua Barat dikeluarkan karena wilayahnya terbelah oleh pemekaran, dan empat provinsi baru tidak punya angka 2021 </w:t>
      </w:r>
      <w:r>
        <w:t xml:space="preserve">(BPS, 2025b, 2024d)</w:t>
      </w:r>
      <w:r>
        <w:t xml:space="preserve">. Kenaikan itu belum dapat dibaca sebagai tren karena hanya terdiri atas dua titik waktu dan penyebut Papua berubah oleh pemekaran.</w:t>
      </w:r>
    </w:p>
    <w:p>
      <w:pPr>
        <w:pStyle w:val="IsiTemuan"/>
      </w:pPr>
      <w:r>
        <w:rPr>
          <w:b/>
          <w:bCs/>
          <w:color w:val="051C2C"/>
        </w:rPr>
        <w:t xml:space="preserve">Kematian lebih terkonsentrasi daripada kejadian: enam provinsi Papua memuat </w:t>
      </w:r>
      <w:r>
        <w:rPr>
          <w:b/>
          <w:bCs/>
          <w:color w:val="051C2C"/>
        </w:rPr>
        <w:t xml:space="preserve">37</w:t>
      </w:r>
      <w:r>
        <w:rPr>
          <w:b/>
          <w:bCs/>
          <w:color w:val="051C2C"/>
        </w:rPr>
        <w:t xml:space="preserve"> dari </w:t>
      </w:r>
      <w:r>
        <w:rPr>
          <w:b/>
          <w:bCs/>
          <w:color w:val="051C2C"/>
        </w:rPr>
        <w:t xml:space="preserve">150</w:t>
      </w:r>
      <w:r>
        <w:rPr>
          <w:b/>
          <w:bCs/>
          <w:color w:val="051C2C"/>
        </w:rPr>
        <w:t xml:space="preserve"> desa dengan korban meninggal pada 2024, padahal hanya </w:t>
      </w:r>
      <w:r>
        <w:rPr>
          <w:b/>
          <w:bCs/>
          <w:color w:val="051C2C"/>
        </w:rPr>
        <w:t xml:space="preserve">196</w:t>
      </w:r>
      <w:r>
        <w:rPr>
          <w:b/>
          <w:bCs/>
          <w:color w:val="051C2C"/>
        </w:rPr>
        <w:t xml:space="preserve"> dari </w:t>
      </w:r>
      <w:r>
        <w:rPr>
          <w:b/>
          <w:bCs/>
          <w:color w:val="051C2C"/>
        </w:rPr>
        <w:t xml:space="preserve">2.031</w:t>
      </w:r>
      <w:r>
        <w:rPr>
          <w:b/>
          <w:bCs/>
          <w:color w:val="051C2C"/>
        </w:rPr>
        <w:t xml:space="preserve"> desa perkelahian.</w:t>
      </w:r>
      <w:r>
        <w:t xml:space="preserve"> Desa dengan korban meninggal terbanyak tercatat di Nusa Tenggara Timur (</w:t>
      </w:r>
      <w:r>
        <w:t xml:space="preserve">18</w:t>
      </w:r>
      <w:r>
        <w:t xml:space="preserve"> desa), dan secara nasional </w:t>
      </w:r>
      <w:r>
        <w:t xml:space="preserve">1.255</w:t>
      </w:r>
      <w:r>
        <w:t xml:space="preserve"> desa mencatat korban luka </w:t>
      </w:r>
      <w:r>
        <w:t xml:space="preserve">(BPS, 2024d)</w:t>
      </w:r>
      <w:r>
        <w:t xml:space="preserve">. Untuk kesiapsiagaan pengungsian dan layanan darurat, sinyal korban per desa lebih relevan daripada persen desa; oleh sebab itu </w:t>
      </w:r>
      <w:r>
        <w:fldChar w:fldCharType="begin"/>
      </w:r>
      <w:r>
        <w:instrText xml:space="preserve"> REF _Ref0051 \h \* CHARFORMAT </w:instrText>
      </w:r>
      <w:r>
        <w:fldChar w:fldCharType="separate"/>
      </w:r>
      <w:r>
        <w:t xml:space="preserve">Gambar 9.1</w:t>
      </w:r>
      <w:r>
        <w:fldChar w:fldCharType="end"/>
      </w:r>
      <w:r>
        <w:t xml:space="preserve"> memuat simbol desa dengan korban meninggal. Podes tersedia di tingkat provinsi; tabel per kab/kota perlu diminta dari BPS.</w:t>
      </w:r>
    </w:p>
    <w:p>
      <w:pPr>
        <w:pStyle w:val="Caption"/>
      </w:pPr>
      <w:bookmarkStart w:id="564" w:name="_Toc00179"/>
      <w:bookmarkStart w:id="563" w:name="_Ref005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63"/>
      <w:r>
        <w:rPr>
          <w:b/>
          <w:bCs/>
          <w:color w:val="051C2C"/>
        </w:rPr>
        <w:t xml:space="preserve"> </w:t>
      </w:r>
      <w:r>
        <w:t xml:space="preserve">Persen desa/kelurahan dengan perkelahian massal antarkelompok masyarakat per provinsi di Indonesia, 2024</w:t>
      </w:r>
      <w:bookmarkEnd w:id="564"/>
    </w:p>
    <w:p xmlns:a="http://schemas.openxmlformats.org/drawingml/2006/main" xmlns:pic="http://schemas.openxmlformats.org/drawingml/2006/picture">
      <w:pPr>
        <w:keepNext/>
        <w:spacing w:after="0" w:line="240" w:lineRule="auto"/>
        <w:jc w:val="center"/>
      </w:pPr>
      <w:bookmarkStart w:id="565" w:name="_Obj0056"/>
      <w:r>
        <w:drawing>
          <wp:inline distT="0" distB="0" distL="0" distR="0">
            <wp:extent cx="5940000" cy="2970000"/>
            <wp:effectExtent l="0" t="0" r="0" b="0"/>
            <wp:docPr id="170" name="Gambar 170"/>
            <wp:cNvGraphicFramePr>
              <a:graphicFrameLocks noChangeAspect="1"/>
            </wp:cNvGraphicFramePr>
            <a:graphic>
              <a:graphicData uri="http://schemas.openxmlformats.org/drawingml/2006/picture">
                <pic:pic>
                  <pic:nvPicPr>
                    <pic:cNvPr id="170" name="bab09-peta-perkelahian-antarkelompok-2024.png"/>
                    <pic:cNvPicPr/>
                  </pic:nvPicPr>
                  <pic:blipFill>
                    <a:blip r:embed="rId83"/>
                    <a:stretch>
                      <a:fillRect/>
                    </a:stretch>
                  </pic:blipFill>
                  <pic:spPr>
                    <a:xfrm>
                      <a:off x="0" y="0"/>
                      <a:ext cx="5940000" cy="2970000"/>
                    </a:xfrm>
                    <a:prstGeom prst="rect">
                      <a:avLst/>
                    </a:prstGeom>
                  </pic:spPr>
                </pic:pic>
              </a:graphicData>
            </a:graphic>
          </wp:inline>
        </w:drawing>
      </w:r>
      <w:bookmarkEnd w:id="565"/>
    </w:p>
    <w:p>
      <w:pPr>
        <w:pStyle w:val="Sumber"/>
        <w:spacing w:after="40"/>
      </w:pPr>
      <w:r>
        <w:rPr>
          <w:b/>
          <w:bCs/>
          <w:color w:val="6B7280"/>
          <w:sz w:val="17"/>
          <w:szCs w:val="17"/>
        </w:rPr>
        <w:t xml:space="preserve">Sumber: </w:t>
      </w:r>
      <w:r>
        <w:rPr>
          <w:color w:val="6B7280"/>
          <w:sz w:val="17"/>
          <w:szCs w:val="17"/>
        </w:rPr>
        <w:t xml:space="preserve">Pengolahan data Pantau Bencana dari BPS, Statistik Potensi Desa Indonesia 2024 Tabel 1.1, Tabel 18.1, dan Tabel 18.2</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Lima kelas kuintil provinsi. Satuan desa/kelurahan, periode setahun sebelum pencacahan; persen dihitung penyusun dari jumlah desa jenis antarkelompok masyarakat dibagi jumlah desa/kelurahan.</w:t>
      </w:r>
    </w:p>
    <w:p>
      <w:pPr>
        <w:pStyle w:val="IsiTemuan"/>
      </w:pPr>
      <w:r>
        <w:rPr>
          <w:b/>
          <w:bCs/>
          <w:color w:val="051C2C"/>
        </w:rPr>
        <w:t xml:space="preserve">DIBI tidak memuat satu pun baris konflik sosial pada 2020–2024, sehingga kajian ini tidak memakai DIBI sebagai seri konflik.</w:t>
      </w:r>
      <w:r>
        <w:t xml:space="preserve"> DIBI mencatat </w:t>
      </w:r>
      <w:r>
        <w:t xml:space="preserve">5</w:t>
      </w:r>
      <w:r>
        <w:t xml:space="preserve"> kejadian konflik sosial dengan </w:t>
      </w:r>
      <w:r>
        <w:t xml:space="preserve">39</w:t>
      </w:r>
      <w:r>
        <w:t xml:space="preserve"> meninggal dan </w:t>
      </w:r>
      <w:r>
        <w:t xml:space="preserve">7.544</w:t>
      </w:r>
      <w:r>
        <w:t xml:space="preserve"> mengungsi pada 2019, </w:t>
      </w:r>
      <w:r>
        <w:t xml:space="preserve">4</w:t>
      </w:r>
      <w:r>
        <w:t xml:space="preserve"> kejadian dengan </w:t>
      </w:r>
      <w:r>
        <w:t xml:space="preserve">8</w:t>
      </w:r>
      <w:r>
        <w:t xml:space="preserve"> meninggal dan </w:t>
      </w:r>
      <w:r>
        <w:t xml:space="preserve">2.981</w:t>
      </w:r>
      <w:r>
        <w:t xml:space="preserve"> mengungsi pada 2025, dan </w:t>
      </w:r>
      <w:r>
        <w:t xml:space="preserve">8</w:t>
      </w:r>
      <w:r>
        <w:t xml:space="preserve"> kejadian sementara dengan </w:t>
      </w:r>
      <w:r>
        <w:t xml:space="preserve">46</w:t>
      </w:r>
      <w:r>
        <w:t xml:space="preserve"> meninggal dan </w:t>
      </w:r>
      <w:r>
        <w:t xml:space="preserve">4.279</w:t>
      </w:r>
      <w:r>
        <w:t xml:space="preserve"> mengungsi pada 2026 </w:t>
      </w:r>
      <w:r>
        <w:t xml:space="preserve">(BNPB, t.t.-a)</w:t>
      </w:r>
      <w:r>
        <w:t xml:space="preserve">. Mutu baris yang ada juga diragukan, seperti diuraikan di kotak berikut. Kerusuhan akhir Agustus 2025 berada di luar lingkup bab ini. DIBI hanya memuat satu baris konflik sosial dalam jendela itu, yaitu Manokwari 28 Agustus 2025 dengan </w:t>
      </w:r>
      <w:r>
        <w:t xml:space="preserve">1</w:t>
      </w:r>
      <w:r>
        <w:t xml:space="preserve"> meninggal. Angka korban Komisi Nasional Hak Asasi Manusia (Komnas HAM) yang lebih besar hanya ditemukan melalui pemberitaan dan tidak dipakai. Selisih itu dicatat sebagai celah pencatatan DIBI.</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051C2C"/>
              </w:rPr>
              <w:t xml:space="preserve">Mengapa seri konflik DIBI tidak dipakai.</w:t>
            </w:r>
            <w:r>
              <w:t xml:space="preserve"> Baris Kabupaten Maluku Tengah bertanggal 3 April 2025 dan 3 April 2026 memuat angka korban dan rumah rusak berat yang identik, yang mengarah ke entri ganda lintas tahun. Baris Kabupaten Jayawijaya 7 Mei 2026 dengan </w:t>
            </w:r>
            <w:r>
              <w:t xml:space="preserve">33</w:t>
            </w:r>
            <w:r>
              <w:t xml:space="preserve"> meninggal dan </w:t>
            </w:r>
            <w:r>
              <w:t xml:space="preserve">1.917</w:t>
            </w:r>
            <w:r>
              <w:t xml:space="preserve"> mengungsi bertanggal sama dengan putusnya jembatan gantung Wouma, dan kepolisian setempat menurut pemberitaan mencatat korban tenggelam pada hari itu. Baris 19 Agustus 2019 adalah satu kejadian yang dibagi ke lima kabupaten di Papua Barat dan Papua Barat Daya tanpa korban, dan DIBI tidak memuat keterangan yang membedakan konflik antarkelompok dari unjuk rasa </w:t>
            </w:r>
            <w:r>
              <w:t xml:space="preserve">(BNPB, t.t.-a)</w:t>
            </w:r>
            <w:r>
              <w:t xml:space="preserve">. Calon sumber seri kejadian konflik adalah Sistem Nasional Pemantauan Kekerasan (SNPK): Kemenko PMK menyebut sistem itu sudah ada sejak sepuluh tahun sebelumnya tetapi terkendala masalah teknis dan koordinasi, servernya diserahkan dalam kondisi nonaktif, dan tahap pertama migrasinya memuat data 2019–2023 </w:t>
            </w:r>
            <w:r>
              <w:t xml:space="preserve">(Kemenko PMK, 2025c, 2025e, 2025d)</w:t>
            </w:r>
            <w:r>
              <w:t xml:space="preserve">. Status operasi SNPK pada 2026 tidak ditemukan. Rencana Nasional Penanggulangan Bencana (Renas PB) 2025–2029 sendiri mencatat belum adanya sistem jaringan pengamatan potensi konflik sosial yang terpadu </w:t>
            </w:r>
            <w:r>
              <w:t xml:space="preserve">(BNPB, 2025c, hlm. 30)</w:t>
            </w:r>
            <w:r>
              <w:t xml:space="preserve">.</w:t>
            </w:r>
          </w:p>
        </w:tc>
      </w:tr>
    </w:tbl>
    <w:p>
      <w:pPr>
        <w:pStyle w:val="Jarak"/>
      </w:pPr>
    </w:p>
    <w:p>
      <w:pPr>
        <w:pStyle w:val="Heading2"/>
      </w:pPr>
      <w:bookmarkStart w:id="567" w:name="_Toc00180"/>
      <w:bookmarkStart w:id="566" w:name="_Ref0110"/>
      <w:r>
        <w:t xml:space="preserve">9.3</w:t>
      </w:r>
      <w:bookmarkEnd w:id="566"/>
      <w:r>
        <w:tab/>
      </w:r>
      <w:r>
        <w:t xml:space="preserve">Kejadian Analog</w:t>
      </w:r>
      <w:bookmarkEnd w:id="567"/>
    </w:p>
    <w:p>
      <w:pPr>
        <w:pStyle w:val="IsiTemuan"/>
      </w:pPr>
      <w:r>
        <w:rPr>
          <w:b/>
          <w:bCs/>
          <w:color w:val="051C2C"/>
        </w:rPr>
        <w:t xml:space="preserve">Konflik Maluku dan Maluku Utara 1999–2002 adalah analog terburuk dalam jendela 1996–2026, dengan sedikitnya </w:t>
      </w:r>
      <w:r>
        <w:rPr>
          <w:b/>
          <w:bCs/>
          <w:color w:val="051C2C"/>
        </w:rPr>
        <w:t xml:space="preserve">5.000</w:t>
      </w:r>
      <w:r>
        <w:rPr>
          <w:b/>
          <w:bCs/>
          <w:color w:val="051C2C"/>
        </w:rPr>
        <w:t xml:space="preserve"> meninggal, mungkin sampai </w:t>
      </w:r>
      <w:r>
        <w:rPr>
          <w:b/>
          <w:bCs/>
          <w:color w:val="051C2C"/>
        </w:rPr>
        <w:t xml:space="preserve">10.000</w:t>
      </w:r>
      <w:r>
        <w:rPr>
          <w:b/>
          <w:bCs/>
          <w:color w:val="051C2C"/>
        </w:rPr>
        <w:t xml:space="preserve">, dan hampir </w:t>
      </w:r>
      <w:r>
        <w:rPr>
          <w:b/>
          <w:bCs/>
          <w:color w:val="051C2C"/>
        </w:rPr>
        <w:t xml:space="preserve">700.000</w:t>
      </w:r>
      <w:r>
        <w:rPr>
          <w:b/>
          <w:bCs/>
          <w:color w:val="051C2C"/>
        </w:rPr>
        <w:t xml:space="preserve"> pengungsi atau hampir sepertiga penduduk kedua provinsi.</w:t>
      </w:r>
      <w:r>
        <w:t xml:space="preserve"> Darurat sipil berlaku di kedua provinsi sejak Juni 2000 </w:t>
      </w:r>
      <w:r>
        <w:t xml:space="preserve">(ICG, 2002)</w:t>
      </w:r>
      <w:r>
        <w:t xml:space="preserve">. Konflik Poso 1998–2002 menelan sekitar </w:t>
      </w:r>
      <w:r>
        <w:t xml:space="preserve">1.000</w:t>
      </w:r>
      <w:r>
        <w:t xml:space="preserve"> jiwa dan membuat lebih dari </w:t>
      </w:r>
      <w:r>
        <w:t xml:space="preserve">100.000</w:t>
      </w:r>
      <w:r>
        <w:t xml:space="preserve"> orang mengungsi </w:t>
      </w:r>
      <w:r>
        <w:t xml:space="preserve">(Human Rights Watch [HRW], 2002)</w:t>
      </w:r>
      <w:r>
        <w:t xml:space="preserve">. Kekerasan Sampit 2001 menewaskan sekitar </w:t>
      </w:r>
      <w:r>
        <w:t xml:space="preserve">500</w:t>
      </w:r>
      <w:r>
        <w:t xml:space="preserve"> orang dan sekitar </w:t>
      </w:r>
      <w:r>
        <w:t xml:space="preserve">108.000</w:t>
      </w:r>
      <w:r>
        <w:t xml:space="preserve"> pengungsi meninggalkan Kalimantan Tengah sampai pertengahan April 2001; di Sambas korban 1996–1997 disimpulkan sekitar </w:t>
      </w:r>
      <w:r>
        <w:t xml:space="preserve">500</w:t>
      </w:r>
      <w:r>
        <w:t xml:space="preserve"> jiwa</w:t>
      </w:r>
      <w:r>
        <w:rPr>
          <w:rStyle w:val="FootnoteReference"/>
        </w:rPr>
        <w:footnoteReference w:id="6"/>
      </w:r>
      <w:r>
        <w:t xml:space="preserve">, dan hitungan resmi kekerasan 1999 mencatat </w:t>
      </w:r>
      <w:r>
        <w:t xml:space="preserve">186</w:t>
      </w:r>
      <w:r>
        <w:t xml:space="preserve"> orang terbunuh dalam tiga bulan pertama </w:t>
      </w:r>
      <w:r>
        <w:t xml:space="preserve">(ICG, 2001)</w:t>
      </w:r>
      <w:r>
        <w:t xml:space="preserve">. Analog ini memakai laporan International Crisis Group (ICG), Human Rights Watch (HRW), dan seminar pengungsi 2001 berlabel terverifikasi; angka pemerintah untuk keempat kejadian itu, termasuk arsip Badan Koordinasi Nasional Penanggulangan Bencana dan Penanganan Pengungsi (Bakornas PBP), tidak dibuka.</w:t>
      </w:r>
    </w:p>
    <w:p>
      <w:pPr>
        <w:pStyle w:val="IsiTemuan"/>
      </w:pPr>
      <w:r>
        <w:rPr>
          <w:b/>
          <w:bCs/>
          <w:color w:val="051C2C"/>
        </w:rPr>
        <w:t xml:space="preserve">Pengungsi internal yang tercatat resmi di Indonesia pada 2001 lebih dari </w:t>
      </w:r>
      <w:r>
        <w:rPr>
          <w:b/>
          <w:bCs/>
          <w:color w:val="051C2C"/>
        </w:rPr>
        <w:t xml:space="preserve">1 juta</w:t>
      </w:r>
      <w:r>
        <w:rPr>
          <w:b/>
          <w:bCs/>
          <w:color w:val="051C2C"/>
        </w:rPr>
        <w:t xml:space="preserve"> jiwa, dan kelompok kerja koordinasi pengungsi menyebut </w:t>
      </w:r>
      <w:r>
        <w:rPr>
          <w:b/>
          <w:bCs/>
          <w:color w:val="051C2C"/>
        </w:rPr>
        <w:t xml:space="preserve">1,2 juta</w:t>
      </w:r>
      <w:r>
        <w:rPr>
          <w:b/>
          <w:bCs/>
          <w:color w:val="051C2C"/>
        </w:rPr>
        <w:t xml:space="preserve">.</w:t>
      </w:r>
      <w:r>
        <w:t xml:space="preserve"> Pada tahun yang sama tugas koordinasi pengungsi diberikan kepada Badan Koordinasi Nasional Penanggulangan Bencana (Bakornas PB), yang menjadi Bakornas PBP melalui Keppres 3/2001 </w:t>
      </w:r>
      <w:r>
        <w:t xml:space="preserve">(Brookings-CUNY Project on Internal Displacement, 2001)</w:t>
      </w:r>
      <w:r>
        <w:t xml:space="preserve">. Angka nasional ini melampaui pengungsi Maluku. Oleh sebab itu, lantai skenario kajian ini ditulis dua: lantai kejadian regional dari Maluku 1999–2002, dan rujukan konflik serentak multiwilayah yang tidak boleh memakai pengungsi di bawah angka tercatat 2001. Korban meninggal tercatat terbesar dalam jendela itu tetap Maluku.</w:t>
      </w:r>
    </w:p>
    <w:p>
      <w:pPr>
        <w:pStyle w:val="IsiTemuan"/>
      </w:pPr>
      <w:r>
        <w:rPr>
          <w:b/>
          <w:bCs/>
          <w:color w:val="051C2C"/>
        </w:rPr>
        <w:t xml:space="preserve">Kerusuhan Mei 1998 dan kerusuhan Agustus 2025 disisihkan dari analog karena keduanya berhadapan dengan aparat atau negara dan memuat dugaan pelanggaran hak asasi manusia.</w:t>
      </w:r>
      <w:r>
        <w:t xml:space="preserve"> Wamena 2019 dimuat sebagai kasus batas dengan </w:t>
      </w:r>
      <w:r>
        <w:t xml:space="preserve">36</w:t>
      </w:r>
      <w:r>
        <w:t xml:space="preserve"> meninggal dan </w:t>
      </w:r>
      <w:r>
        <w:t xml:space="preserve">6.634</w:t>
      </w:r>
      <w:r>
        <w:t xml:space="preserve"> mengungsi menurut DIBI, berdampingan dengan </w:t>
      </w:r>
      <w:r>
        <w:t xml:space="preserve">33</w:t>
      </w:r>
      <w:r>
        <w:t xml:space="preserve"> meninggal menurut Presiden </w:t>
      </w:r>
      <w:r>
        <w:t xml:space="preserve">(BNPB, t.t.-a; Setkab, 2019)</w:t>
      </w:r>
      <w:r>
        <w:t xml:space="preserve">. Baris Jayawijaya Mei 2026 tidak dipakai sebagai analog karena angkanya dibantah keterangan kepolisian setempat yang hanya terbaca dari pemberitaan. Luas terdampak dan kerugian rupiah konflik tidak ditemukan di sumber yang dibuka, walaupun UU 7/2012 Pasal 44 huruf f memberi Satgas Penyelesaian Konflik Sosial fungsi penghitungan jumlah kerugian dan besaran kompensasi </w:t>
      </w:r>
      <w:r>
        <w:t xml:space="preserve">(Republik Indonesia, 2012)</w:t>
      </w:r>
      <w:r>
        <w:t xml:space="preserve">; laporan Satgas yang memuat hitungan itu tidak ditemukan. Kemungkinan konflik setara Maluku dalam 2026–2030 tidak dinilai karena tidak ada dasar peluangnya, dan kenaikan Podes 2021–2024 tidak dipakai sebagai dasar peluang.</w:t>
      </w:r>
    </w:p>
    <w:p>
      <w:r>
        <w:br w:type="page"/>
      </w:r>
    </w:p>
    <w:p>
      <w:pPr>
        <w:pStyle w:val="Caption"/>
        <w:pageBreakBefore/>
      </w:pPr>
      <w:bookmarkStart w:id="569" w:name="_Toc00181"/>
      <w:bookmarkStart w:id="568" w:name="_Ref029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68"/>
      <w:r>
        <w:rPr>
          <w:b/>
          <w:bCs/>
          <w:color w:val="051C2C"/>
        </w:rPr>
        <w:t xml:space="preserve"> </w:t>
      </w:r>
      <w:r>
        <w:t xml:space="preserve">Konflik sosial antarkelompok setara Maluku dan Maluku Utara 1999–2002</w:t>
      </w:r>
      <w:bookmarkEnd w:id="569"/>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6EAF0"/>
                  <w:tcMar>
                    <w:top w:w="45" w:type="dxa"/>
                    <w:left w:w="170" w:type="dxa"/>
                    <w:bottom w:w="45" w:type="dxa"/>
                    <w:right w:w="170" w:type="dxa"/>
                  </w:tcMar>
                </w:tcPr>
                <w:p>
                  <w:pPr>
                    <w:pStyle w:val="JudulKotak"/>
                    <w:keepNext/>
                    <w:spacing w:after="0"/>
                  </w:pPr>
                  <w:bookmarkStart w:id="571" w:name="_Kartu018a"/>
                  <w:bookmarkStart w:id="570" w:name="_Obj0057"/>
                  <w:r>
                    <w:rPr>
                      <w:position w:val="-10"/>
                    </w:rPr>
                    <w:drawing>
                      <wp:inline distT="0" distB="0" distL="0" distR="0">
                        <wp:extent cx="216000" cy="216000"/>
                        <wp:effectExtent l="0" t="0" r="0" b="0"/>
                        <wp:docPr id="171" name="Gambar 171"/>
                        <wp:cNvGraphicFramePr>
                          <a:graphicFrameLocks noChangeAspect="1"/>
                        </wp:cNvGraphicFramePr>
                        <a:graphic>
                          <a:graphicData uri="http://schemas.openxmlformats.org/drawingml/2006/picture">
                            <pic:pic>
                              <pic:nvPicPr>
                                <pic:cNvPr id="171" name="konflik-sosial-khusus-konflik-FFFFFF-4B4F58.png"/>
                                <pic:cNvPicPr/>
                              </pic:nvPicPr>
                              <pic:blipFill>
                                <a:blip r:embed="rId84"/>
                                <a:stretch>
                                  <a:fillRect/>
                                </a:stretch>
                              </pic:blipFill>
                              <pic:spPr>
                                <a:xfrm>
                                  <a:off x="0" y="0"/>
                                  <a:ext cx="216000" cy="216000"/>
                                </a:xfrm>
                                <a:prstGeom prst="rect">
                                  <a:avLst/>
                                </a:prstGeom>
                              </pic:spPr>
                            </pic:pic>
                          </a:graphicData>
                        </a:graphic>
                      </wp:inline>
                    </w:drawing>
                  </w:r>
                  <w:r>
                    <w:t xml:space="preserve"> </w:t>
                  </w:r>
                  <w:r>
                    <w:rPr>
                      <w:b/>
                      <w:bCs/>
                    </w:rPr>
                    <w:t xml:space="preserve">Kerusuhan dan konflik sosial</w:t>
                  </w:r>
                  <w:r>
                    <w:rPr>
                      <w:color w:val="2E3440"/>
                    </w:rPr>
                    <w:t xml:space="preserve">  Sosial</w:t>
                  </w:r>
                  <w:bookmarkEnd w:id="570"/>
                  <w:bookmarkEnd w:id="571"/>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keepNext/>
                    <w:suppressAutoHyphens/>
                    <w:spacing w:before="0" w:after="0"/>
                  </w:pPr>
                  <w:r>
                    <w:t xml:space="preserve">DASAR</w:t>
                  </w:r>
                </w:p>
              </w:tc>
              <w:tc>
                <w:tcPr>
                  <w:tcW w:w="7653" w:type="dxa"/>
                </w:tcPr>
                <w:p>
                  <w:pPr>
                    <w:pStyle w:val="IsiTabel"/>
                    <w:keepNext/>
                    <w:suppressAutoHyphens/>
                    <w:spacing w:after="0"/>
                  </w:pPr>
                  <w:r>
                    <w:t xml:space="preserve">Analog terbesar dalam jendela 1996–2026 menurut korban meninggal; rujukan pengungsi serentak nasional dari angka tercatat 2001; tanpa perkalian dan tanpa proyeksi per wilayah.</w:t>
                  </w:r>
                </w:p>
              </w:tc>
            </w:tr>
            <w:tr>
              <w:trPr>
                <w:cantSplit/>
              </w:trPr>
              <w:tc>
                <w:tcPr>
                  <w:tcW w:w="1701" w:type="dxa"/>
                </w:tcPr>
                <w:p>
                  <w:pPr>
                    <w:pStyle w:val="LabelBagian"/>
                    <w:keepNext/>
                    <w:suppressAutoHyphens/>
                    <w:spacing w:before="0" w:after="0"/>
                  </w:pPr>
                  <w:r>
                    <w:t xml:space="preserve">KEJADIAN ANALOG</w:t>
                  </w:r>
                </w:p>
              </w:tc>
              <w:tc>
                <w:tcPr>
                  <w:tcW w:w="7653" w:type="dxa"/>
                </w:tcPr>
                <w:p>
                  <w:pPr>
                    <w:pStyle w:val="IsiTabel"/>
                    <w:keepNext/>
                    <w:suppressAutoHyphens/>
                    <w:spacing w:after="0"/>
                  </w:pPr>
                  <w:r>
                    <w:t xml:space="preserve">Konflik antarkelompok Maluku dan Maluku Utara, 1999–2002</w:t>
                  </w:r>
                </w:p>
              </w:tc>
            </w:tr>
            <w:tr>
              <w:trPr>
                <w:cantSplit/>
              </w:trPr>
              <w:tc>
                <w:tcPr>
                  <w:tcW w:w="1701" w:type="dxa"/>
                </w:tcPr>
                <w:p>
                  <w:pPr>
                    <w:pStyle w:val="LabelBagian"/>
                    <w:keepNext/>
                    <w:suppressAutoHyphens/>
                    <w:spacing w:before="0" w:after="0"/>
                  </w:pPr>
                  <w:r>
                    <w:t xml:space="preserve">KEMUNGKINAN 5 TAHUN</w:t>
                  </w:r>
                </w:p>
              </w:tc>
              <w:tc>
                <w:tcPr>
                  <w:tcW w:w="7653" w:type="dxa"/>
                </w:tcPr>
                <w:p>
                  <w:pPr>
                    <w:pStyle w:val="IsiTabel"/>
                    <w:keepNext/>
                    <w:suppressAutoHyphens/>
                    <w:spacing w:after="0"/>
                  </w:pPr>
                  <w:r>
                    <w:t xml:space="preserve">Tidak dinilai: tidak ada dasar peluang untuk konflik setara Maluku dalam 2026–2030, dan kenaikan Podes 2021–2024 bukan dasar peluang</w:t>
                  </w:r>
                </w:p>
              </w:tc>
            </w:tr>
            <w:tr>
              <w:trPr>
                <w:cantSplit/>
              </w:trPr>
              <w:tc>
                <w:tcPr>
                  <w:tcW w:w="1701" w:type="dxa"/>
                </w:tcPr>
                <w:p>
                  <w:pPr>
                    <w:pStyle w:val="LabelBagian"/>
                    <w:keepNext/>
                    <w:suppressAutoHyphens/>
                    <w:spacing w:before="0" w:after="0"/>
                  </w:pPr>
                  <w:r>
                    <w:t xml:space="preserve">LEMBAGA</w:t>
                  </w:r>
                </w:p>
              </w:tc>
              <w:tc>
                <w:tcPr>
                  <w:tcW w:w="7653" w:type="dxa"/>
                </w:tcPr>
                <w:p>
                  <w:pPr>
                    <w:pStyle w:val="IsiTabel"/>
                    <w:keepNext/>
                    <w:suppressAutoHyphens/>
                    <w:spacing w:after="0"/>
                  </w:pPr>
                  <w:r>
                    <w:rPr>
                      <w:position w:val="-5"/>
                    </w:rPr>
                    <w:drawing>
                      <wp:inline distT="0" distB="0" distL="0" distR="0">
                        <wp:extent cx="162000" cy="162000"/>
                        <wp:effectExtent l="0" t="0" r="0" b="0"/>
                        <wp:docPr id="172" name="Gambar 172"/>
                        <wp:cNvGraphicFramePr>
                          <a:graphicFrameLocks noChangeAspect="1"/>
                        </wp:cNvGraphicFramePr>
                        <a:graphic>
                          <a:graphicData uri="http://schemas.openxmlformats.org/drawingml/2006/picture">
                            <pic:pic>
                              <pic:nvPicPr>
                                <pic:cNvPr id="17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Kepolisian Negara Republik Indonesia</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73" name="Gambar 173"/>
                        <wp:cNvGraphicFramePr>
                          <a:graphicFrameLocks noChangeAspect="1"/>
                        </wp:cNvGraphicFramePr>
                        <a:graphic>
                          <a:graphicData uri="http://schemas.openxmlformats.org/drawingml/2006/picture">
                            <pic:pic>
                              <pic:nvPicPr>
                                <pic:cNvPr id="17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74" name="Gambar 174"/>
                        <wp:cNvGraphicFramePr>
                          <a:graphicFrameLocks noChangeAspect="1"/>
                        </wp:cNvGraphicFramePr>
                        <a:graphic>
                          <a:graphicData uri="http://schemas.openxmlformats.org/drawingml/2006/picture">
                            <pic:pic>
                              <pic:nvPicPr>
                                <pic:cNvPr id="17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75" name="Gambar 175"/>
                        <wp:cNvGraphicFramePr>
                          <a:graphicFrameLocks noChangeAspect="1"/>
                        </wp:cNvGraphicFramePr>
                        <a:graphic>
                          <a:graphicData uri="http://schemas.openxmlformats.org/drawingml/2006/picture">
                            <pic:pic>
                              <pic:nvPicPr>
                                <pic:cNvPr id="17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r>
          </w:tbl>
          <w:p>
            <w:pPr>
              <w:pStyle w:val="LabelBagian"/>
              <w:keepNext/>
              <w:spacing w:before="80"/>
            </w:pPr>
            <w:r>
              <w:t xml:space="preserve">BATAS MANDAT</w:t>
            </w:r>
          </w:p>
          <w:p>
            <w:pPr>
              <w:pStyle w:val="IsiTabel"/>
              <w:keepNext/>
            </w:pPr>
            <w:r>
              <w:t xml:space="preserve">Status keadaan konflik ditetapkan kepala daerah atau Presiden menurut UU 7/2012, penghentian kekerasan dikendalikan Polri, koordinasi penanganan konflik ada pada Menteri Dalam Negeri (PP 2/2015 Pasal 97), dan kebutuhan dasar pengungsi konflik pada Menteri Sosial (Pasal 21). BNPB berperan bila ditunjuk sebagai unsur Satgas nasional, bila keadaan tertentu ditetapkan menurut Perpres 46/2026 Pasal 3, atau dalam rehabilitasi pascabencana yang memuat rekonsiliasi dan resolusi konflik (UU 24/2007 Pasal 58 ayat (1) huruf f).</w:t>
            </w:r>
          </w:p>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06"/>
              <w:gridCol w:w="1933"/>
              <w:gridCol w:w="1326"/>
              <w:gridCol w:w="1689"/>
            </w:tblGrid>
            <w:tr>
              <w:trPr>
                <w:cantSplit/>
                <w:tblHeader/>
              </w:trPr>
              <w:tc>
                <w:tcPr>
                  <w:tcW w:w="4406" w:type="dxa"/>
                  <w:shd w:val="clear" w:color="auto" w:fill="051C2C"/>
                  <w:vAlign w:val="center"/>
                </w:tcPr>
                <w:p>
                  <w:pPr>
                    <w:pStyle w:val="KepalaTabel"/>
                    <w:keepNext/>
                    <w:suppressAutoHyphens/>
                  </w:pPr>
                  <w:r>
                    <w:t xml:space="preserve">INDIKATOR</w:t>
                  </w:r>
                </w:p>
              </w:tc>
              <w:tc>
                <w:tcPr>
                  <w:tcW w:w="1933" w:type="dxa"/>
                  <w:shd w:val="clear" w:color="auto" w:fill="051C2C"/>
                  <w:vAlign w:val="center"/>
                </w:tcPr>
                <w:p>
                  <w:pPr>
                    <w:pStyle w:val="KepalaTabel"/>
                    <w:keepNext/>
                    <w:suppressAutoHyphens/>
                  </w:pPr>
                  <w:r>
                    <w:t xml:space="preserve">NILAI</w:t>
                  </w:r>
                </w:p>
              </w:tc>
              <w:tc>
                <w:tcPr>
                  <w:tcW w:w="1326" w:type="dxa"/>
                  <w:shd w:val="clear" w:color="auto" w:fill="051C2C"/>
                  <w:vAlign w:val="center"/>
                </w:tcPr>
                <w:p>
                  <w:pPr>
                    <w:pStyle w:val="KepalaTabel"/>
                    <w:keepNext/>
                    <w:suppressAutoHyphens/>
                  </w:pPr>
                  <w:r>
                    <w:t xml:space="preserve">KEYAKINAN</w:t>
                  </w:r>
                </w:p>
              </w:tc>
              <w:tc>
                <w:tcPr>
                  <w:tcW w:w="1689" w:type="dxa"/>
                  <w:shd w:val="clear" w:color="auto" w:fill="051C2C"/>
                  <w:vAlign w:val="center"/>
                </w:tcPr>
                <w:p>
                  <w:pPr>
                    <w:pStyle w:val="KepalaTabel"/>
                    <w:keepNext/>
                    <w:suppressAutoHyphens/>
                  </w:pPr>
                  <w:r>
                    <w:t xml:space="preserve">SUMBER</w:t>
                  </w:r>
                </w:p>
              </w:tc>
            </w:tr>
            <w:tr>
              <w:trPr>
                <w:cantSplit/>
              </w:trPr>
              <w:tc>
                <w:tcPr>
                  <w:tcW w:w="4406" w:type="dxa"/>
                </w:tcPr>
                <w:p>
                  <w:pPr>
                    <w:pStyle w:val="IsiTabel"/>
                    <w:keepNext/>
                    <w:suppressAutoHyphens/>
                    <w:jc w:val="left"/>
                  </w:pPr>
                  <w:r>
                    <w:t xml:space="preserve">Korban jiwa, lantai kejadian regional</w:t>
                  </w:r>
                </w:p>
              </w:tc>
              <w:tc>
                <w:tcPr>
                  <w:tcW w:w="1933" w:type="dxa"/>
                </w:tcPr>
                <w:p>
                  <w:pPr>
                    <w:pStyle w:val="IsiTabel"/>
                    <w:keepNext/>
                    <w:suppressAutoHyphens/>
                    <w:jc w:val="left"/>
                  </w:pPr>
                  <w:r>
                    <w:t xml:space="preserve">sedikitnya </w:t>
                  </w:r>
                  <w:r>
                    <w:t xml:space="preserve">5.000 jiwa</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89" w:type="dxa"/>
                </w:tcPr>
                <w:p>
                  <w:pPr>
                    <w:pStyle w:val="IsiTabel"/>
                    <w:keepNext/>
                    <w:suppressAutoHyphens/>
                    <w:jc w:val="left"/>
                  </w:pPr>
                  <w:r>
                    <w:t xml:space="preserve">ICG (2002), Maluku dan Maluku Utara</w:t>
                  </w:r>
                </w:p>
              </w:tc>
            </w:tr>
            <w:tr>
              <w:trPr>
                <w:cantSplit/>
              </w:trPr>
              <w:tc>
                <w:tcPr>
                  <w:tcW w:w="4406" w:type="dxa"/>
                </w:tcPr>
                <w:p>
                  <w:pPr>
                    <w:pStyle w:val="IsiTabel"/>
                    <w:keepNext/>
                    <w:suppressAutoHyphens/>
                    <w:jc w:val="left"/>
                  </w:pPr>
                  <w:r>
                    <w:t xml:space="preserve">Korban jiwa, batas atas perkiraan</w:t>
                  </w:r>
                </w:p>
              </w:tc>
              <w:tc>
                <w:tcPr>
                  <w:tcW w:w="1933" w:type="dxa"/>
                </w:tcPr>
                <w:p>
                  <w:pPr>
                    <w:pStyle w:val="IsiTabel"/>
                    <w:keepNext/>
                    <w:suppressAutoHyphens/>
                    <w:jc w:val="left"/>
                  </w:pPr>
                  <w:r>
                    <w:t xml:space="preserve">10.000 jiwa</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89" w:type="dxa"/>
                </w:tcPr>
                <w:p>
                  <w:pPr>
                    <w:pStyle w:val="IsiTabel"/>
                    <w:keepNext/>
                    <w:suppressAutoHyphens/>
                    <w:jc w:val="left"/>
                  </w:pPr>
                  <w:r>
                    <w:t xml:space="preserve">ICG (2002); pita dua kali batas bawah</w:t>
                  </w:r>
                </w:p>
              </w:tc>
            </w:tr>
            <w:tr>
              <w:trPr>
                <w:cantSplit/>
              </w:trPr>
              <w:tc>
                <w:tcPr>
                  <w:tcW w:w="4406" w:type="dxa"/>
                </w:tcPr>
                <w:p>
                  <w:pPr>
                    <w:pStyle w:val="IsiTabel"/>
                    <w:keepNext/>
                    <w:suppressAutoHyphens/>
                    <w:jc w:val="left"/>
                  </w:pPr>
                  <w:r>
                    <w:t xml:space="preserve">Korban jiwa dan pengungsi, analog Poso 1998–2002</w:t>
                  </w:r>
                </w:p>
              </w:tc>
              <w:tc>
                <w:tcPr>
                  <w:tcW w:w="1933" w:type="dxa"/>
                </w:tcPr>
                <w:p>
                  <w:pPr>
                    <w:pStyle w:val="IsiTabel"/>
                    <w:keepNext/>
                    <w:suppressAutoHyphens/>
                    <w:jc w:val="left"/>
                  </w:pPr>
                  <w:r>
                    <w:t xml:space="preserve">sekitar </w:t>
                  </w:r>
                  <w:r>
                    <w:t xml:space="preserve">1.000</w:t>
                  </w:r>
                  <w:r>
                    <w:t xml:space="preserve"> meninggal; lebih dari </w:t>
                  </w:r>
                  <w:r>
                    <w:t xml:space="preserve">100.000</w:t>
                  </w:r>
                  <w:r>
                    <w:t xml:space="preserve"> mengungsi</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89" w:type="dxa"/>
                </w:tcPr>
                <w:p>
                  <w:pPr>
                    <w:pStyle w:val="IsiTabel"/>
                    <w:keepNext/>
                    <w:suppressAutoHyphens/>
                    <w:jc w:val="left"/>
                  </w:pPr>
                  <w:r>
                    <w:t xml:space="preserve">HRW (2002)</w:t>
                  </w:r>
                </w:p>
              </w:tc>
            </w:tr>
            <w:tr>
              <w:trPr>
                <w:cantSplit/>
              </w:trPr>
              <w:tc>
                <w:tcPr>
                  <w:tcW w:w="4406" w:type="dxa"/>
                </w:tcPr>
                <w:p>
                  <w:pPr>
                    <w:pStyle w:val="IsiTabel"/>
                    <w:keepNext/>
                    <w:suppressAutoHyphens/>
                    <w:jc w:val="left"/>
                  </w:pPr>
                  <w:r>
                    <w:t xml:space="preserve">Korban jiwa dan pengungsi, analog Sampit 2001</w:t>
                  </w:r>
                </w:p>
              </w:tc>
              <w:tc>
                <w:tcPr>
                  <w:tcW w:w="1933" w:type="dxa"/>
                </w:tcPr>
                <w:p>
                  <w:pPr>
                    <w:pStyle w:val="IsiTabel"/>
                    <w:keepNext/>
                    <w:suppressAutoHyphens/>
                    <w:jc w:val="left"/>
                  </w:pPr>
                  <w:r>
                    <w:t xml:space="preserve">sekitar </w:t>
                  </w:r>
                  <w:r>
                    <w:t xml:space="preserve">500</w:t>
                  </w:r>
                  <w:r>
                    <w:t xml:space="preserve"> meninggal; sekitar </w:t>
                  </w:r>
                  <w:r>
                    <w:t xml:space="preserve">108.000</w:t>
                  </w:r>
                  <w:r>
                    <w:t xml:space="preserve"> mengungsi</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89" w:type="dxa"/>
                </w:tcPr>
                <w:p>
                  <w:pPr>
                    <w:pStyle w:val="IsiTabel"/>
                    <w:keepNext/>
                    <w:suppressAutoHyphens/>
                    <w:jc w:val="left"/>
                  </w:pPr>
                  <w:r>
                    <w:t xml:space="preserve">ICG (2001)</w:t>
                  </w:r>
                </w:p>
              </w:tc>
            </w:tr>
            <w:tr>
              <w:trPr>
                <w:cantSplit/>
              </w:trPr>
              <w:tc>
                <w:tcPr>
                  <w:tcW w:w="4406" w:type="dxa"/>
                </w:tcPr>
                <w:p>
                  <w:pPr>
                    <w:pStyle w:val="IsiTabel"/>
                    <w:keepNext/>
                    <w:suppressAutoHyphens/>
                    <w:jc w:val="left"/>
                  </w:pPr>
                  <w:r>
                    <w:t xml:space="preserve">Korban jiwa, kasus batas Wamena 2019</w:t>
                  </w:r>
                </w:p>
              </w:tc>
              <w:tc>
                <w:tcPr>
                  <w:tcW w:w="1933" w:type="dxa"/>
                </w:tcPr>
                <w:p>
                  <w:pPr>
                    <w:pStyle w:val="IsiTabel"/>
                    <w:keepNext/>
                    <w:suppressAutoHyphens/>
                    <w:jc w:val="left"/>
                  </w:pPr>
                  <w:r>
                    <w:t xml:space="preserve">36</w:t>
                  </w:r>
                  <w:r>
                    <w:t xml:space="preserve"> menurut DIBI; </w:t>
                  </w:r>
                  <w:r>
                    <w:t xml:space="preserve">33</w:t>
                  </w:r>
                  <w:r>
                    <w:t xml:space="preserve"> menurut Presiden</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689" w:type="dxa"/>
                </w:tcPr>
                <w:p>
                  <w:pPr>
                    <w:pStyle w:val="IsiTabel"/>
                    <w:keepNext/>
                    <w:suppressAutoHyphens/>
                    <w:jc w:val="left"/>
                  </w:pPr>
                  <w:r>
                    <w:t xml:space="preserve">DIBI menggolongkan konflik sosial, Presiden menggolongkan serangan kelompok kriminal bersenjata; bukan analog lantai</w:t>
                  </w:r>
                </w:p>
              </w:tc>
            </w:tr>
            <w:tr>
              <w:trPr>
                <w:cantSplit/>
              </w:trPr>
              <w:tc>
                <w:tcPr>
                  <w:tcW w:w="4406" w:type="dxa"/>
                </w:tcPr>
                <w:p>
                  <w:pPr>
                    <w:pStyle w:val="IsiTabel"/>
                    <w:keepNext/>
                    <w:suppressAutoHyphens/>
                    <w:jc w:val="left"/>
                  </w:pPr>
                  <w:bookmarkStart w:id="572" w:name="_Ekor068a"/>
                  <w:bookmarkEnd w:id="572"/>
                  <w:r>
                    <w:t xml:space="preserve">Luas terdampak</w:t>
                  </w:r>
                </w:p>
              </w:tc>
              <w:tc>
                <w:tcPr>
                  <w:tcW w:w="1933" w:type="dxa"/>
                </w:tcPr>
                <w:p>
                  <w:pPr>
                    <w:pStyle w:val="IsiTabel"/>
                    <w:keepNext/>
                    <w:suppressAutoHyphens/>
                    <w:jc w:val="left"/>
                  </w:pPr>
                  <w:r>
                    <w:t xml:space="preserve">–</w:t>
                  </w:r>
                </w:p>
              </w:tc>
              <w:tc>
                <w:tcPr>
                  <w:tcW w:w="1326" w:type="dxa"/>
                </w:tcPr>
                <w:p>
                  <w:pPr>
                    <w:pStyle w:val="IsiTabel"/>
                    <w:keepNext/>
                    <w:suppressAutoHyphens/>
                    <w:jc w:val="left"/>
                  </w:pPr>
                  <w:r>
                    <w:t xml:space="preserve">–</w:t>
                  </w:r>
                </w:p>
              </w:tc>
              <w:tc>
                <w:tcPr>
                  <w:tcW w:w="1689" w:type="dxa"/>
                </w:tcPr>
                <w:p>
                  <w:pPr>
                    <w:pStyle w:val="IsiTabel"/>
                    <w:keepNext/>
                    <w:suppressAutoHyphens/>
                    <w:jc w:val="left"/>
                  </w:pPr>
                  <w:r>
                    <w:t xml:space="preserve">luas tidak terdokumentasi; darurat sipil di dua provinsi sejak Juni 2000 hanya narasi</w:t>
                  </w:r>
                </w:p>
              </w:tc>
            </w:tr>
            <w:tr>
              <w:trPr>
                <w:cantSplit/>
              </w:trPr>
              <w:tc>
                <w:tcPr>
                  <w:tcW w:w="4406" w:type="dxa"/>
                </w:tcPr>
                <w:p>
                  <w:pPr>
                    <w:pStyle w:val="IsiTabel"/>
                    <w:keepNext/>
                    <w:suppressAutoHyphens/>
                    <w:jc w:val="left"/>
                  </w:pPr>
                  <w:r>
                    <w:t xml:space="preserve">Kerugian materiil</w:t>
                  </w:r>
                </w:p>
              </w:tc>
              <w:tc>
                <w:tcPr>
                  <w:tcW w:w="1933" w:type="dxa"/>
                </w:tcPr>
                <w:p>
                  <w:pPr>
                    <w:pStyle w:val="IsiTabel"/>
                    <w:keepNext/>
                    <w:suppressAutoHyphens/>
                    <w:jc w:val="left"/>
                  </w:pPr>
                  <w:r>
                    <w:t xml:space="preserve">–</w:t>
                  </w:r>
                </w:p>
              </w:tc>
              <w:tc>
                <w:tcPr>
                  <w:tcW w:w="1326" w:type="dxa"/>
                </w:tcPr>
                <w:p>
                  <w:pPr>
                    <w:pStyle w:val="IsiTabel"/>
                    <w:keepNext/>
                    <w:suppressAutoHyphens/>
                    <w:jc w:val="left"/>
                  </w:pPr>
                  <w:r>
                    <w:t xml:space="preserve">–</w:t>
                  </w:r>
                </w:p>
              </w:tc>
              <w:tc>
                <w:tcPr>
                  <w:tcW w:w="1689" w:type="dxa"/>
                </w:tcPr>
                <w:p>
                  <w:pPr>
                    <w:pStyle w:val="IsiTabel"/>
                    <w:keepNext/>
                    <w:suppressAutoHyphens/>
                    <w:jc w:val="left"/>
                  </w:pPr>
                  <w:r>
                    <w:t xml:space="preserve">tidak ada di sumber yang dibuka; penghitungnya Satgas Penyelesaian Konflik Sosial (UU 7/2012 Pasal 44 huruf f)</w:t>
                  </w:r>
                </w:p>
              </w:tc>
            </w:tr>
            <w:tr>
              <w:trPr>
                <w:cantSplit/>
              </w:trPr>
              <w:tc>
                <w:tcPr>
                  <w:tcW w:w="4406" w:type="dxa"/>
                </w:tcPr>
                <w:p>
                  <w:pPr>
                    <w:pStyle w:val="IsiTabel"/>
                    <w:keepNext/>
                    <w:suppressAutoHyphens/>
                    <w:jc w:val="left"/>
                  </w:pPr>
                  <w:r>
                    <w:t xml:space="preserve">Kerugian imateriil, pengungsi kejadian regional</w:t>
                  </w:r>
                </w:p>
              </w:tc>
              <w:tc>
                <w:tcPr>
                  <w:tcW w:w="1933" w:type="dxa"/>
                </w:tcPr>
                <w:p>
                  <w:pPr>
                    <w:pStyle w:val="IsiTabel"/>
                    <w:keepNext/>
                    <w:suppressAutoHyphens/>
                    <w:jc w:val="left"/>
                  </w:pPr>
                  <w:r>
                    <w:t xml:space="preserve">hampir </w:t>
                  </w:r>
                  <w:r>
                    <w:t xml:space="preserve">700.000 jiwa</w:t>
                  </w:r>
                  <w:r>
                    <w:t xml:space="preserve">, hampir sepertiga penduduk</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89" w:type="dxa"/>
                </w:tcPr>
                <w:p>
                  <w:pPr>
                    <w:pStyle w:val="IsiTabel"/>
                    <w:keepNext/>
                    <w:suppressAutoHyphens/>
                    <w:jc w:val="left"/>
                  </w:pPr>
                  <w:r>
                    <w:t xml:space="preserve">ICG (2002); pengungsi-hari tidak dihitung karena tanggal akhir pengungsian tidak ada</w:t>
                  </w:r>
                </w:p>
              </w:tc>
            </w:tr>
            <w:tr>
              <w:trPr>
                <w:cantSplit/>
              </w:trPr>
              <w:tc>
                <w:tcPr>
                  <w:tcW w:w="4406" w:type="dxa"/>
                </w:tcPr>
                <w:p>
                  <w:pPr>
                    <w:pStyle w:val="IsiTabel"/>
                    <w:keepNext/>
                    <w:suppressAutoHyphens/>
                    <w:jc w:val="left"/>
                  </w:pPr>
                  <w:bookmarkStart w:id="573" w:name="_Ekor068z"/>
                  <w:bookmarkEnd w:id="573"/>
                  <w:r>
                    <w:t xml:space="preserve">Kerugian imateriil, pengungsi serentak nasional</w:t>
                  </w:r>
                </w:p>
              </w:tc>
              <w:tc>
                <w:tcPr>
                  <w:tcW w:w="1933" w:type="dxa"/>
                </w:tcPr>
                <w:p>
                  <w:pPr>
                    <w:pStyle w:val="IsiTabel"/>
                    <w:keepNext/>
                    <w:suppressAutoHyphens/>
                    <w:jc w:val="left"/>
                  </w:pPr>
                  <w:r>
                    <w:t xml:space="preserve">lebih dari </w:t>
                  </w:r>
                  <w:r>
                    <w:t xml:space="preserve">1 juta</w:t>
                  </w:r>
                  <w:r>
                    <w:t xml:space="preserve"> jiwa tercatat resmi (2001)</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89" w:type="dxa"/>
                </w:tcPr>
                <w:p>
                  <w:pPr>
                    <w:pStyle w:val="IsiTabel"/>
                    <w:keepNext/>
                    <w:suppressAutoHyphens/>
                    <w:jc w:val="left"/>
                  </w:pPr>
                  <w:r>
                    <w:t xml:space="preserve">laporan seminar pengungsi internal 2001</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Penghentian kekerasan fisik oleh Polri dengan bantuan TNI yang dikoordinasikan Polri (UU 7/2012 Pasal 13 dan Pasal 34).</w:t>
                  </w:r>
                </w:p>
                <w:p>
                  <w:pPr>
                    <w:pStyle w:val="DaftarTabel"/>
                    <w:keepNext/>
                    <w:numPr>
                      <w:ilvl w:val="0"/>
                      <w:numId w:val="1"/>
                    </w:numPr>
                    <w:suppressAutoHyphens/>
                  </w:pPr>
                  <w:r>
                    <w:t xml:space="preserve">Pemenuhan kebutuhan dasar pengungsi oleh Kementerian Sosial atas permintaan pemerintah daerah, dengan verifikasi (PP 2/2015 Pasal 21–22).</w:t>
                  </w:r>
                </w:p>
                <w:p>
                  <w:pPr>
                    <w:pStyle w:val="DaftarTabel"/>
                    <w:keepNext/>
                    <w:numPr>
                      <w:ilvl w:val="0"/>
                      <w:numId w:val="1"/>
                    </w:numPr>
                    <w:suppressAutoHyphens/>
                  </w:pPr>
                  <w:r>
                    <w:t xml:space="preserve">Penyelenggaraan PB dalam keadaan tertentu oleh Kepala BNPB setelah rapat koordinasi yang dikoordinasikan menteri koordinator (Perpres 46/2026 Pasal 3 ayat (1)).</w:t>
                  </w:r>
                </w:p>
                <w:p>
                  <w:pPr>
                    <w:pStyle w:val="DaftarTabel"/>
                    <w:keepNext/>
                    <w:numPr>
                      <w:ilvl w:val="0"/>
                      <w:numId w:val="1"/>
                    </w:numPr>
                    <w:suppressAutoHyphens/>
                  </w:pPr>
                  <w:r>
                    <w:t xml:space="preserve">Kebutuhan respons dirujuk ke standar pemenuhan kebutuhan dasar Perka BNPB 7/2008 tanpa perkalian dengan angka pengungsi analog.</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Rekonsiliasi oleh Pemerintah dan pemerintah daerah (UU 7/2012 Pasal 37) dan rehabilitasi PB yang memuat rekonsiliasi dan resolusi konflik (UU 24/2007 Pasal 58).</w:t>
                  </w:r>
                </w:p>
                <w:p>
                  <w:pPr>
                    <w:pStyle w:val="DaftarTabel"/>
                    <w:keepNext/>
                    <w:numPr>
                      <w:ilvl w:val="0"/>
                      <w:numId w:val="1"/>
                    </w:numPr>
                    <w:suppressAutoHyphens/>
                  </w:pPr>
                  <w:r>
                    <w:t xml:space="preserve">Pendanaan pemulihan pascakonflik melalui Dana Alokasi Khusus (DAK) (UU 7/2012 Pasal 57) atau dana transfer ke daerah (PP 2/2015 Pasal 91); kedua jalur belum diselaraskan.</w:t>
                  </w:r>
                </w:p>
                <w:p>
                  <w:pPr>
                    <w:pStyle w:val="DaftarTabel"/>
                    <w:keepNext/>
                    <w:numPr>
                      <w:ilvl w:val="0"/>
                      <w:numId w:val="1"/>
                    </w:numPr>
                    <w:suppressAutoHyphens/>
                  </w:pPr>
                  <w:r>
                    <w:t xml:space="preserve">Penghitungan kerugian dan besaran kompensasi oleh Satgas Penyelesaian Konflik Sosial (UU 7/2012 Pasal 44 huruf f).</w:t>
                  </w:r>
                </w:p>
              </w:tc>
            </w:tr>
          </w:tbl>
          <w:p>
            <w:pPr>
              <w:pStyle w:val="IsiTabel"/>
              <w:keepNext/>
              <w:spacing w:before="80"/>
            </w:pPr>
            <w:r>
              <w:rPr>
                <w:i/>
                <w:iCs/>
                <w:color w:val="2E3440"/>
                <w:sz w:val="17"/>
                <w:szCs w:val="17"/>
              </w:rPr>
              <w:t xml:space="preserve">Kejadian analog, bukan proyeksi model. Kerusuhan Mei 1998 dan Agustus 2025 disisihkan dari analog karena berhadapan dengan aparat atau negara.</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74" w:name="_Kartu018z"/>
      <w:r>
        <w:rPr>
          <w:b/>
          <w:bCs/>
          <w:color w:val="6B7280"/>
          <w:sz w:val="17"/>
          <w:szCs w:val="17"/>
        </w:rPr>
        <w:t xml:space="preserve">Sumber: </w:t>
      </w:r>
      <w:r>
        <w:rPr>
          <w:color w:val="6B7280"/>
          <w:sz w:val="17"/>
          <w:szCs w:val="17"/>
        </w:rPr>
        <w:t xml:space="preserve">ICG (2001, 2002); HRW (2002); laporan seminar pengungsi internal 2001; DIBI BNPB; Sekretariat Kabinet (2019); UU 7/2012; PP 2/2015; Perpres 46/2026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5B7A99"/>
        </w:rPr>
        <w:t xml:space="preserve">  Terverifikasi  </w:t>
      </w:r>
      <w:bookmarkEnd w:id="574"/>
    </w:p>
    <w:p>
      <w:pPr>
        <w:pStyle w:val="IsiTemuan"/>
      </w:pPr>
      <w:r>
        <w:rPr>
          <w:b/>
          <w:bCs/>
          <w:color w:val="051C2C"/>
        </w:rPr>
        <w:t xml:space="preserve">Kepekaan kartu terhadap pilihan analog besar: batas atas perkiraan Maluku dua kali lipat batas bawahnya, dan tanpa Maluku sebagai analog terbesar, lantai korban turun ke sekitar </w:t>
      </w:r>
      <w:r>
        <w:rPr>
          <w:b/>
          <w:bCs/>
          <w:color w:val="051C2C"/>
        </w:rPr>
        <w:t xml:space="preserve">1.000</w:t>
      </w:r>
      <w:r>
        <w:rPr>
          <w:b/>
          <w:bCs/>
          <w:color w:val="051C2C"/>
        </w:rPr>
        <w:t xml:space="preserve"> meninggal dan lebih dari </w:t>
      </w:r>
      <w:r>
        <w:rPr>
          <w:b/>
          <w:bCs/>
          <w:color w:val="051C2C"/>
        </w:rPr>
        <w:t xml:space="preserve">100.000</w:t>
      </w:r>
      <w:r>
        <w:rPr>
          <w:b/>
          <w:bCs/>
          <w:color w:val="051C2C"/>
        </w:rPr>
        <w:t xml:space="preserve"> pengungsi dari Poso 1998–2002.</w:t>
      </w:r>
      <w:r>
        <w:t xml:space="preserve"> Lantai kartu tetap Maluku karena kejadian itu tercatat dalam periode acuan; angka Poso hanya menunjukkan besarnya ketergantungan kartu pada satu analog. Pita </w:t>
      </w:r>
      <w:r>
        <w:t xml:space="preserve">5.000</w:t>
      </w:r>
      <w:r>
        <w:t xml:space="preserve"> sampai </w:t>
      </w:r>
      <w:r>
        <w:t xml:space="preserve">10.000</w:t>
      </w:r>
      <w:r>
        <w:t xml:space="preserve"> cukup sempit untuk tampil di kartu, sedangkan pita perkiraan Sambas 1996–1997 selebar satu orde dan hanya dimuat di catatan </w:t>
      </w:r>
      <w:r>
        <w:t xml:space="preserve">(ICG, 2002, 2001)</w:t>
      </w:r>
      <w:r>
        <w:t xml:space="preserve">. Kebutuhan respons ditulis sebagai rujukan standar tanpa angka karena mengalikan pengungsi analog dengan standar berarti perkalian yang dilarang untuk kartu sosial </w:t>
      </w:r>
      <w:r>
        <w:t xml:space="preserve">(BNPB, 2008b)</w:t>
      </w:r>
      <w:r>
        <w:t xml:space="preserve">. Kompendium program kajian ini tidak memuat satu pun program untuk konflik sosial, sehingga tidak ada program konflik yang disebut terbukti; sel konflik pada matriks fase dan jenis di Bab 11 hanya dapat berisi aksi wajib menurut peraturan atau uji coba terukur.</w:t>
      </w:r>
    </w:p>
    <w:p>
      <w:pPr>
        <w:pStyle w:val="Heading2"/>
      </w:pPr>
      <w:bookmarkStart w:id="576" w:name="_Toc00182"/>
      <w:bookmarkStart w:id="575" w:name="_Ref0151"/>
      <w:r>
        <w:t xml:space="preserve">9.4</w:t>
      </w:r>
      <w:bookmarkEnd w:id="575"/>
      <w:r>
        <w:tab/>
      </w:r>
      <w:r>
        <w:t xml:space="preserve">Instrumen yang Belum Ada</w:t>
      </w:r>
      <w:bookmarkEnd w:id="576"/>
    </w:p>
    <w:p>
      <w:pPr>
        <w:pStyle w:val="IsiTemuan"/>
      </w:pPr>
      <w:r>
        <w:rPr>
          <w:b/>
          <w:bCs/>
          <w:color w:val="051C2C"/>
        </w:rPr>
        <w:t xml:space="preserve">UU 7/2012 Pasal 49 ayat (2) huruf l menyebut BNPB sebagai satu dari </w:t>
      </w:r>
      <w:r>
        <w:rPr>
          <w:b/>
          <w:bCs/>
          <w:color w:val="051C2C"/>
        </w:rPr>
        <w:t xml:space="preserve">15 unsur</w:t>
      </w:r>
      <w:r>
        <w:rPr>
          <w:b/>
          <w:bCs/>
          <w:color w:val="051C2C"/>
        </w:rPr>
        <w:t xml:space="preserve"> Pemerintah dalam Satgas Penyelesaian Konflik Sosial skala nasional, dan itu satu-satunya penyebutan BNPB dalam undang-undang tersebut.</w:t>
      </w:r>
      <w:r>
        <w:t xml:space="preserve"> Satgas bersifat ad hoc dan dibentuk bila pranata adat atau sosial tidak berfungsi, musyawarah tidak mencapai kesepakatan, dan status keadaan konflik telah ditetapkan (Pasal 42); Satgas skala nasional diusulkan Menteri Koordinator Bidang Politik, Hukum, dan Keamanan (Menko Polhukam) kepada Presiden (Pasal 45 huruf c) </w:t>
      </w:r>
      <w:r>
        <w:t xml:space="preserve">(Republik Indonesia, 2012)</w:t>
      </w:r>
      <w:r>
        <w:t xml:space="preserve">. Fungsi koordinasi Polhukam kini terbagi ke Kementerian Koordinator Bidang Politik dan Keamanan (Kemenko Polkam) dan Kementerian Koordinator Bidang Hukum, Hak Asasi Manusia, Imigrasi, dan Pemasyarakatan (Kemenko Kumham Imipas) menurut Perpres 90/2025, sedangkan Deputi Bidang Koordinasi Penanggulangan Bencana dan Konflik Sosial berada di Kemenko PMK </w:t>
      </w:r>
      <w:r>
        <w:t xml:space="preserve">(Republik Indonesia, 2024e)</w:t>
      </w:r>
      <w:r>
        <w:t xml:space="preserve">. Dokumen pembentukan Satgas nasional sejak 2012 tidak ditemukan, sehingga yang ditulis adalah mandatnya, bukan keberadaannya.</w:t>
      </w:r>
    </w:p>
    <w:p>
      <w:pPr>
        <w:pStyle w:val="IsiTemuan"/>
      </w:pPr>
      <w:r>
        <w:rPr>
          <w:b/>
          <w:bCs/>
          <w:color w:val="051C2C"/>
        </w:rPr>
        <w:t xml:space="preserve">Rezim penanganan konflik di bawah UU 7/2012 dibangun tanpa BNPB: PP 2/2015 tidak memuat kata bencana, dan Permendagri 42/2015 tidak menyebut BNPB atau Badan Penanggulangan Bencana Daerah (BPBD).</w:t>
      </w:r>
      <w:r>
        <w:t xml:space="preserve"> PP 2/2015 Pasal 97 menaruh koordinasi penanganan konflik pada menteri urusan dalam negeri, Pasal 98 membuka penunjukan Menko Polhukam untuk skala nasional, dan Pasal 5 ayat (4) menaruh koordinasi hasil pemetaan wilayah potensi konflik pada kementerian dalam negeri </w:t>
      </w:r>
      <w:r>
        <w:t xml:space="preserve">(Republik Indonesia, 2015b)</w:t>
      </w:r>
      <w:r>
        <w:t xml:space="preserve">. Tim Terpadu Penanganan Konflik Sosial tingkat nasional diketuai Menteri Dalam Negeri, dan tingkat kab/kota diketuai bupati/wali kota dengan sekretariat di Badan Kesatuan Bangsa dan Politik </w:t>
      </w:r>
      <w:r>
        <w:t xml:space="preserve">(Kementerian Dalam Negeri, 2015)</w:t>
      </w:r>
      <w:r>
        <w:t xml:space="preserve">. Peraturan organisasi dan tata kerja BNPB tidak memuat kata konflik, dan Rencana Strategis (Renstra) BNPB 2025–2029 hanya sekali menyebutnya, tentang bantuan kemanusiaan ke Palestina </w:t>
      </w:r>
      <w:r>
        <w:t xml:space="preserve">(BNPB, 2025f, 2025d, 2025e, hlm. 49)</w:t>
      </w:r>
      <w:r>
        <w:t xml:space="preserve">. Renas PB menaruh pengembangan jaringan pengamatan konflik sosial (kegiatan 1.1.2.j, target </w:t>
      </w:r>
      <w:r>
        <w:t xml:space="preserve">5 unit/jaringan</w:t>
      </w:r>
      <w:r>
        <w:t xml:space="preserve"> pada 2029) pada Kementerian Sosial tanpa BNPB, dan menyebut BNPB sebagai salah satu penanggung jawab riset jaringan itu (kegiatan 1.2.4.c, target </w:t>
      </w:r>
      <w:r>
        <w:t xml:space="preserve">10 riset</w:t>
      </w:r>
      <w:r>
        <w:t xml:space="preserve">) </w:t>
      </w:r>
      <w:r>
        <w:t xml:space="preserve">(BNPB, 2025c, hlm. 55, 62)</w:t>
      </w:r>
      <w:r>
        <w:t xml:space="preserve">. Kaitan tertulis rezim PB dengan pascakonflik ada di UU 24/2007: Pasal 58 ayat (1) huruf f memasukkan rekonsiliasi dan resolusi konflik ke kegiatan rehabilitasi </w:t>
      </w:r>
      <w:r>
        <w:t xml:space="preserve">(Republik Indonesia, 2007)</w:t>
      </w:r>
      <w:r>
        <w:t xml:space="preserve">. Kaitan itu belum diturunkan ke unit BNPB.</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Rancangan kajian ini menempatkan penanganan pengungsi konflik pada BNPB bersama Kementerian Sosial atas dasar PP 2/2015. Teks PP 2/2015 tidak memuat kata bencana: Pasal 21 menugaskan pemenuhan kebutuhan dasar pengungsi konflik kepada menteri sosial, sebagian kepada menteri pendidikan dan kebudayaan serta menteri kesehatan, dan BNPB tidak disebut </w:t>
            </w:r>
            <w:r>
              <w:t xml:space="preserve">(Republik Indonesia, 2015b)</w:t>
            </w:r>
            <w:r>
              <w:t xml:space="preserve">. Peran BNPB atas pengungsi konflik terbuka hanya bila penanganan berada dalam rezim PB, yaitu status keadaan darurat bencana atau keadaan tertentu.</w:t>
            </w:r>
          </w:p>
        </w:tc>
      </w:tr>
    </w:tbl>
    <w:p>
      <w:pPr>
        <w:pStyle w:val="Jarak"/>
      </w:pPr>
    </w:p>
    <w:p>
      <w:pPr>
        <w:pStyle w:val="Caption"/>
      </w:pPr>
      <w:bookmarkStart w:id="578" w:name="_Toc00183"/>
      <w:bookmarkStart w:id="577" w:name="_Ref031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577"/>
      <w:r>
        <w:rPr>
          <w:b/>
          <w:bCs/>
          <w:color w:val="051C2C"/>
        </w:rPr>
        <w:t xml:space="preserve"> </w:t>
      </w:r>
      <w:r>
        <w:t xml:space="preserve">Batas mandat dan sumber dana penanganan konflik sosial per fase menurut peraturan yang berlaku, Oktober 2026</w:t>
      </w:r>
      <w:bookmarkEnd w:id="57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75"/>
        <w:gridCol w:w="1764"/>
        <w:gridCol w:w="2165"/>
        <w:gridCol w:w="2250"/>
      </w:tblGrid>
      <w:tr>
        <w:trPr>
          <w:cantSplit/>
          <w:tblHeader/>
        </w:trPr>
        <w:tc>
          <w:tcPr>
            <w:tcW w:w="3175" w:type="dxa"/>
            <w:shd w:val="clear" w:color="auto" w:fill="051C2C"/>
            <w:vAlign w:val="center"/>
          </w:tcPr>
          <w:p>
            <w:pPr>
              <w:pStyle w:val="KepalaTabel"/>
              <w:suppressAutoHyphens/>
            </w:pPr>
            <w:r>
              <w:t xml:space="preserve">LEMBAGA</w:t>
            </w:r>
          </w:p>
        </w:tc>
        <w:tc>
          <w:tcPr>
            <w:tcW w:w="1764" w:type="dxa"/>
            <w:shd w:val="clear" w:color="auto" w:fill="051C2C"/>
            <w:vAlign w:val="center"/>
          </w:tcPr>
          <w:p>
            <w:pPr>
              <w:pStyle w:val="KepalaTabel"/>
              <w:suppressAutoHyphens/>
            </w:pPr>
            <w:r>
              <w:t xml:space="preserve">PRABENCANA</w:t>
            </w:r>
          </w:p>
        </w:tc>
        <w:tc>
          <w:tcPr>
            <w:tcW w:w="2165" w:type="dxa"/>
            <w:shd w:val="clear" w:color="auto" w:fill="051C2C"/>
            <w:vAlign w:val="center"/>
          </w:tcPr>
          <w:p>
            <w:pPr>
              <w:pStyle w:val="KepalaTabel"/>
              <w:suppressAutoHyphens/>
            </w:pPr>
            <w:r>
              <w:t xml:space="preserve">TANGGAP DARURAT</w:t>
            </w:r>
          </w:p>
        </w:tc>
        <w:tc>
          <w:tcPr>
            <w:tcW w:w="2250" w:type="dxa"/>
            <w:shd w:val="clear" w:color="auto" w:fill="051C2C"/>
            <w:vAlign w:val="center"/>
          </w:tcPr>
          <w:p>
            <w:pPr>
              <w:pStyle w:val="KepalaTabel"/>
              <w:suppressAutoHyphens/>
            </w:pPr>
            <w:r>
              <w:t xml:space="preserve">PASCABENCANA</w:t>
            </w:r>
          </w:p>
        </w:tc>
      </w:tr>
      <w:tr>
        <w:trPr>
          <w:cantSplit/>
        </w:trPr>
        <w:tc>
          <w:tcPr>
            <w:tcW w:w="3175" w:type="dxa"/>
          </w:tcPr>
          <w:p>
            <w:pPr>
              <w:pStyle w:val="IsiTabel"/>
              <w:suppressAutoHyphens/>
              <w:jc w:val="left"/>
            </w:pPr>
            <w:r>
              <w:t xml:space="preserve">Pemerintah daerah</w:t>
            </w:r>
          </w:p>
        </w:tc>
        <w:tc>
          <w:tcPr>
            <w:tcW w:w="1764" w:type="dxa"/>
          </w:tcPr>
          <w:p>
            <w:pPr>
              <w:pStyle w:val="IsiTabel"/>
              <w:suppressAutoHyphens/>
              <w:jc w:val="left"/>
            </w:pPr>
            <w:r>
              <w:t xml:space="preserve">pencegahan dan peringatan dini (UU 7/2012 Pasal 10–11)</w:t>
            </w:r>
          </w:p>
        </w:tc>
        <w:tc>
          <w:tcPr>
            <w:tcW w:w="2165" w:type="dxa"/>
          </w:tcPr>
          <w:p>
            <w:pPr>
              <w:pStyle w:val="IsiTabel"/>
              <w:suppressAutoHyphens/>
              <w:jc w:val="left"/>
            </w:pPr>
            <w:r>
              <w:t xml:space="preserve">status keadaan konflik kab/kota atau provinsi setelah konsultasi DPRD (Pasal 16 dan Pasal 18); tindakan darurat penyelamatan korban (PP 2/2015 Pasal 9)</w:t>
            </w:r>
          </w:p>
        </w:tc>
        <w:tc>
          <w:tcPr>
            <w:tcW w:w="2250" w:type="dxa"/>
          </w:tcPr>
          <w:p>
            <w:pPr>
              <w:pStyle w:val="IsiTabel"/>
              <w:suppressAutoHyphens/>
              <w:jc w:val="left"/>
            </w:pPr>
            <w:r>
              <w:t xml:space="preserve">rekonsiliasi bersama Pemerintah (UU 7/2012 Pasal 37); usulan DAK pascakonflik (Pasal 57) atau dana transfer ke daerah (PP 2/2015 Pasal 91)</w:t>
            </w:r>
          </w:p>
        </w:tc>
      </w:tr>
      <w:tr>
        <w:trPr>
          <w:cantSplit/>
        </w:trPr>
        <w:tc>
          <w:tcPr>
            <w:tcW w:w="3175" w:type="dxa"/>
          </w:tcPr>
          <w:p>
            <w:pPr>
              <w:pStyle w:val="IsiTabel"/>
              <w:suppressAutoHyphens/>
              <w:jc w:val="left"/>
            </w:pPr>
            <w:r>
              <w:t xml:space="preserve">Presiden</w:t>
            </w:r>
          </w:p>
        </w:tc>
        <w:tc>
          <w:tcPr>
            <w:tcW w:w="1764" w:type="dxa"/>
          </w:tcPr>
          <w:p>
            <w:pPr>
              <w:pStyle w:val="IsiTabel"/>
              <w:suppressAutoHyphens/>
              <w:jc w:val="left"/>
            </w:pPr>
            <w:r>
              <w:t xml:space="preserve">–</w:t>
            </w:r>
          </w:p>
        </w:tc>
        <w:tc>
          <w:tcPr>
            <w:tcW w:w="2165" w:type="dxa"/>
          </w:tcPr>
          <w:p>
            <w:pPr>
              <w:pStyle w:val="IsiTabel"/>
              <w:suppressAutoHyphens/>
              <w:jc w:val="left"/>
            </w:pPr>
            <w:r>
              <w:t xml:space="preserve">status keadaan konflik skala nasional setelah konsultasi DPR (UU 7/2012 Pasal 20); pembentukan Satgas nasional (Pasal 45 huruf c)</w:t>
            </w:r>
          </w:p>
        </w:tc>
        <w:tc>
          <w:tcPr>
            <w:tcW w:w="2250" w:type="dxa"/>
          </w:tcPr>
          <w:p>
            <w:pPr>
              <w:pStyle w:val="IsiTabel"/>
              <w:suppressAutoHyphens/>
              <w:jc w:val="left"/>
            </w:pPr>
            <w:r>
              <w:t xml:space="preserve">–</w:t>
            </w:r>
          </w:p>
        </w:tc>
      </w:tr>
      <w:tr>
        <w:trPr>
          <w:cantSplit/>
        </w:trPr>
        <w:tc>
          <w:tcPr>
            <w:tcW w:w="3175" w:type="dxa"/>
          </w:tcPr>
          <w:p>
            <w:pPr>
              <w:pStyle w:val="IsiTabel"/>
              <w:suppressAutoHyphens/>
              <w:jc w:val="left"/>
            </w:pPr>
            <w:r>
              <w:t xml:space="preserve">Polri dan TNI</w:t>
            </w:r>
          </w:p>
        </w:tc>
        <w:tc>
          <w:tcPr>
            <w:tcW w:w="1764" w:type="dxa"/>
          </w:tcPr>
          <w:p>
            <w:pPr>
              <w:pStyle w:val="IsiTabel"/>
              <w:suppressAutoHyphens/>
              <w:jc w:val="left"/>
            </w:pPr>
            <w:r>
              <w:t xml:space="preserve">keamanan dan ketertiban masyarakat (UU 2/2002 Pasal 13)</w:t>
            </w:r>
          </w:p>
        </w:tc>
        <w:tc>
          <w:tcPr>
            <w:tcW w:w="2165" w:type="dxa"/>
          </w:tcPr>
          <w:p>
            <w:pPr>
              <w:pStyle w:val="IsiTabel"/>
              <w:suppressAutoHyphens/>
              <w:jc w:val="left"/>
            </w:pPr>
            <w:r>
              <w:t xml:space="preserve">penghentian kekerasan fisik dikendalikan Polri; bantuan TNI dikoordinasikan Polri (UU 7/2012 Pasal 13 dan Pasal 34)</w:t>
            </w:r>
          </w:p>
        </w:tc>
        <w:tc>
          <w:tcPr>
            <w:tcW w:w="2250" w:type="dxa"/>
          </w:tcPr>
          <w:p>
            <w:pPr>
              <w:pStyle w:val="IsiTabel"/>
              <w:suppressAutoHyphens/>
              <w:jc w:val="left"/>
            </w:pPr>
            <w:r>
              <w:t xml:space="preserve">–</w:t>
            </w:r>
          </w:p>
        </w:tc>
      </w:tr>
      <w:tr>
        <w:trPr>
          <w:cantSplit/>
        </w:trPr>
        <w:tc>
          <w:tcPr>
            <w:tcW w:w="3175" w:type="dxa"/>
          </w:tcPr>
          <w:p>
            <w:pPr>
              <w:pStyle w:val="IsiTabel"/>
              <w:suppressAutoHyphens/>
              <w:jc w:val="left"/>
            </w:pPr>
            <w:r>
              <w:t xml:space="preserve">Kementerian Dalam Negeri</w:t>
            </w:r>
          </w:p>
        </w:tc>
        <w:tc>
          <w:tcPr>
            <w:tcW w:w="1764" w:type="dxa"/>
          </w:tcPr>
          <w:p>
            <w:pPr>
              <w:pStyle w:val="IsiTabel"/>
              <w:suppressAutoHyphens/>
              <w:jc w:val="left"/>
            </w:pPr>
            <w:r>
              <w:t xml:space="preserve">koordinasi hasil pemetaan wilayah potensi konflik (PP 2/2015 Pasal 5 ayat (4))</w:t>
            </w:r>
          </w:p>
        </w:tc>
        <w:tc>
          <w:tcPr>
            <w:tcW w:w="2165" w:type="dxa"/>
          </w:tcPr>
          <w:p>
            <w:pPr>
              <w:pStyle w:val="IsiTabel"/>
              <w:suppressAutoHyphens/>
              <w:jc w:val="left"/>
            </w:pPr>
            <w:r>
              <w:t xml:space="preserve">koordinasi penanganan konflik (Pasal 97); ketua Tim Terpadu nasional (Permendagri 42/2015)</w:t>
            </w:r>
          </w:p>
        </w:tc>
        <w:tc>
          <w:tcPr>
            <w:tcW w:w="2250" w:type="dxa"/>
          </w:tcPr>
          <w:p>
            <w:pPr>
              <w:pStyle w:val="IsiTabel"/>
              <w:suppressAutoHyphens/>
              <w:jc w:val="left"/>
            </w:pPr>
            <w:r>
              <w:t xml:space="preserve">koordinasi DAK pascakonflik (UU 7/2012 Pasal 57)</w:t>
            </w:r>
          </w:p>
        </w:tc>
      </w:tr>
      <w:tr>
        <w:trPr>
          <w:cantSplit/>
        </w:trPr>
        <w:tc>
          <w:tcPr>
            <w:tcW w:w="3175" w:type="dxa"/>
          </w:tcPr>
          <w:p>
            <w:pPr>
              <w:pStyle w:val="IsiTabel"/>
              <w:keepNext/>
              <w:suppressAutoHyphens/>
              <w:jc w:val="left"/>
            </w:pPr>
            <w:bookmarkStart w:id="579" w:name="_Ekor069a"/>
            <w:bookmarkEnd w:id="579"/>
            <w:r>
              <w:t xml:space="preserve">Kementerian Sosial</w:t>
            </w:r>
          </w:p>
        </w:tc>
        <w:tc>
          <w:tcPr>
            <w:tcW w:w="1764" w:type="dxa"/>
          </w:tcPr>
          <w:p>
            <w:pPr>
              <w:pStyle w:val="IsiTabel"/>
              <w:keepNext/>
              <w:suppressAutoHyphens/>
              <w:jc w:val="left"/>
            </w:pPr>
            <w:r>
              <w:t xml:space="preserve">penanggung jawab jaringan pengamatan konflik sosial (Renas PB 1.1.2.j)</w:t>
            </w:r>
          </w:p>
        </w:tc>
        <w:tc>
          <w:tcPr>
            <w:tcW w:w="2165" w:type="dxa"/>
          </w:tcPr>
          <w:p>
            <w:pPr>
              <w:pStyle w:val="IsiTabel"/>
              <w:keepNext/>
              <w:suppressAutoHyphens/>
              <w:jc w:val="left"/>
            </w:pPr>
            <w:r>
              <w:t xml:space="preserve">kebutuhan dasar pengungsi atas permintaan pemerintah daerah (PP 2/2015 Pasal 21–22)</w:t>
            </w:r>
          </w:p>
        </w:tc>
        <w:tc>
          <w:tcPr>
            <w:tcW w:w="2250" w:type="dxa"/>
          </w:tcPr>
          <w:p>
            <w:pPr>
              <w:pStyle w:val="IsiTabel"/>
              <w:keepNext/>
              <w:suppressAutoHyphens/>
              <w:jc w:val="left"/>
            </w:pPr>
            <w:r>
              <w:t xml:space="preserve">–</w:t>
            </w:r>
          </w:p>
        </w:tc>
      </w:tr>
      <w:tr>
        <w:trPr>
          <w:cantSplit/>
        </w:trPr>
        <w:tc>
          <w:tcPr>
            <w:tcW w:w="3175" w:type="dxa"/>
          </w:tcPr>
          <w:p>
            <w:pPr>
              <w:pStyle w:val="IsiTabel"/>
              <w:keepNext/>
              <w:suppressAutoHyphens/>
              <w:jc w:val="left"/>
            </w:pPr>
            <w:r>
              <w:t xml:space="preserve">Kemenko PMK dan Kemenko Polkam</w:t>
            </w:r>
          </w:p>
        </w:tc>
        <w:tc>
          <w:tcPr>
            <w:tcW w:w="1764" w:type="dxa"/>
          </w:tcPr>
          <w:p>
            <w:pPr>
              <w:pStyle w:val="IsiTabel"/>
              <w:keepNext/>
              <w:suppressAutoHyphens/>
              <w:jc w:val="left"/>
            </w:pPr>
            <w:r>
              <w:t xml:space="preserve">–</w:t>
            </w:r>
          </w:p>
        </w:tc>
        <w:tc>
          <w:tcPr>
            <w:tcW w:w="2165" w:type="dxa"/>
          </w:tcPr>
          <w:p>
            <w:pPr>
              <w:pStyle w:val="IsiTabel"/>
              <w:keepNext/>
              <w:suppressAutoHyphens/>
              <w:jc w:val="left"/>
            </w:pPr>
            <w:r>
              <w:t xml:space="preserve">sinkronisasi PB dan konflik sosial (Perpres 144/2024); rapat koordinasi keadaan tertentu (Perpres 46/2026 Pasal 3 ayat (1)); usulan Satgas nasional (UU 7/2012 Pasal 45 huruf c)</w:t>
            </w:r>
          </w:p>
        </w:tc>
        <w:tc>
          <w:tcPr>
            <w:tcW w:w="2250" w:type="dxa"/>
          </w:tcPr>
          <w:p>
            <w:pPr>
              <w:pStyle w:val="IsiTabel"/>
              <w:keepNext/>
              <w:suppressAutoHyphens/>
              <w:jc w:val="left"/>
            </w:pPr>
            <w:r>
              <w:t xml:space="preserve">–</w:t>
            </w:r>
          </w:p>
        </w:tc>
      </w:tr>
      <w:tr>
        <w:trPr>
          <w:cantSplit/>
        </w:trPr>
        <w:tc>
          <w:tcPr>
            <w:tcW w:w="3175" w:type="dxa"/>
          </w:tcPr>
          <w:p>
            <w:pPr>
              <w:pStyle w:val="IsiTabel"/>
              <w:keepNext/>
              <w:suppressAutoHyphens/>
              <w:jc w:val="left"/>
            </w:pPr>
            <w:r>
              <w:t xml:space="preserve">Kementerian Keuangan</w:t>
            </w:r>
          </w:p>
        </w:tc>
        <w:tc>
          <w:tcPr>
            <w:tcW w:w="1764" w:type="dxa"/>
          </w:tcPr>
          <w:p>
            <w:pPr>
              <w:pStyle w:val="IsiTabel"/>
              <w:keepNext/>
              <w:suppressAutoHyphens/>
              <w:jc w:val="left"/>
            </w:pPr>
            <w:r>
              <w:t xml:space="preserve">–</w:t>
            </w:r>
          </w:p>
        </w:tc>
        <w:tc>
          <w:tcPr>
            <w:tcW w:w="2165" w:type="dxa"/>
          </w:tcPr>
          <w:p>
            <w:pPr>
              <w:pStyle w:val="IsiTabel"/>
              <w:keepNext/>
              <w:suppressAutoHyphens/>
              <w:jc w:val="left"/>
            </w:pPr>
            <w:r>
              <w:t xml:space="preserve">DSP atas usulan K/L dan DSP BA BUN untuk rekonsiliasi tanggap darurat (PP 2/2015 Pasal 86 dan Pasal 90)</w:t>
            </w:r>
          </w:p>
        </w:tc>
        <w:tc>
          <w:tcPr>
            <w:tcW w:w="2250" w:type="dxa"/>
          </w:tcPr>
          <w:p>
            <w:pPr>
              <w:pStyle w:val="IsiTabel"/>
              <w:keepNext/>
              <w:suppressAutoHyphens/>
              <w:jc w:val="left"/>
            </w:pPr>
            <w:r>
              <w:t xml:space="preserve">dana pemulihan pascakonflik melalui dana transfer ke daerah (Pasal 91)</w:t>
            </w:r>
          </w:p>
        </w:tc>
      </w:tr>
      <w:tr>
        <w:trPr>
          <w:cantSplit/>
        </w:trPr>
        <w:tc>
          <w:tcPr>
            <w:tcW w:w="3175" w:type="dxa"/>
          </w:tcPr>
          <w:p>
            <w:pPr>
              <w:pStyle w:val="IsiTabel"/>
              <w:suppressAutoHyphens/>
              <w:jc w:val="left"/>
            </w:pPr>
            <w:bookmarkStart w:id="580" w:name="_Ekor069z"/>
            <w:bookmarkEnd w:id="580"/>
            <w:r>
              <w:t xml:space="preserve">BNPB</w:t>
            </w:r>
          </w:p>
        </w:tc>
        <w:tc>
          <w:tcPr>
            <w:tcW w:w="1764" w:type="dxa"/>
          </w:tcPr>
          <w:p>
            <w:pPr>
              <w:pStyle w:val="IsiTabel"/>
              <w:suppressAutoHyphens/>
              <w:jc w:val="left"/>
            </w:pPr>
            <w:r>
              <w:t xml:space="preserve">salah satu penanggung jawab riset jaringan pengamatan konflik (Renas PB 1.2.4.c)</w:t>
            </w:r>
          </w:p>
        </w:tc>
        <w:tc>
          <w:tcPr>
            <w:tcW w:w="2165" w:type="dxa"/>
          </w:tcPr>
          <w:p>
            <w:pPr>
              <w:pStyle w:val="IsiTabel"/>
              <w:suppressAutoHyphens/>
              <w:jc w:val="left"/>
            </w:pPr>
            <w:r>
              <w:t xml:space="preserve">unsur Satgas nasional (UU 7/2012 Pasal 49 ayat (2) huruf l); keadaan tertentu (Perpres 46/2026 Pasal 3)</w:t>
            </w:r>
          </w:p>
        </w:tc>
        <w:tc>
          <w:tcPr>
            <w:tcW w:w="2250" w:type="dxa"/>
          </w:tcPr>
          <w:p>
            <w:pPr>
              <w:pStyle w:val="IsiTabel"/>
              <w:suppressAutoHyphens/>
              <w:jc w:val="left"/>
            </w:pPr>
            <w:r>
              <w:t xml:space="preserve">rehabilitasi yang memuat rekonsiliasi dan resolusi konflik (UU 24/2007 Pasal 58 ayat (1) huruf f)</w:t>
            </w:r>
          </w:p>
        </w:tc>
      </w:tr>
    </w:tbl>
    <w:p>
      <w:pPr>
        <w:pStyle w:val="Sumber"/>
        <w:spacing w:after="40"/>
      </w:pPr>
      <w:r>
        <w:rPr>
          <w:b/>
          <w:bCs/>
          <w:color w:val="6B7280"/>
          <w:sz w:val="17"/>
          <w:szCs w:val="17"/>
        </w:rPr>
        <w:t xml:space="preserve">Sumber: </w:t>
      </w:r>
      <w:r>
        <w:rPr>
          <w:color w:val="6B7280"/>
          <w:sz w:val="17"/>
          <w:szCs w:val="17"/>
        </w:rPr>
        <w:t xml:space="preserve">UU 7/2012; UU 24/2007; UU 2/2002; PP 2/2015; Permendagri 42/2015; Perpres 144/2024; Perpres 46/2026; Renas PB 2025–2029</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Isi sel adalah mandat tertulis berpasal; "–" berarti peraturan yang dibaca tidak memuat mandat lembaga itu pada fase tersebut. Penempatan pasal ke fase adalah pemetaan penyusun.</w:t>
      </w:r>
    </w:p>
    <w:p>
      <w:pPr>
        <w:pStyle w:val="IsiTemuan"/>
      </w:pPr>
      <w:r>
        <w:rPr>
          <w:b/>
          <w:bCs/>
          <w:color w:val="051C2C"/>
        </w:rPr>
        <w:t xml:space="preserve">Perpres 46/2026, yang ditetapkan 16 Juli 2026, membuka penyelenggaraan PB dalam keadaan tertentu pada </w:t>
      </w:r>
      <w:r>
        <w:rPr>
          <w:b/>
          <w:bCs/>
          <w:color w:val="051C2C"/>
        </w:rPr>
        <w:t xml:space="preserve">3 kondisi</w:t>
      </w:r>
      <w:r>
        <w:rPr>
          <w:b/>
          <w:bCs/>
          <w:color w:val="051C2C"/>
        </w:rPr>
        <w:t xml:space="preserve">, termasuk pemerintah daerah yang wilayahnya dalam proses rekonsiliasi pascakonflik sosial dan berkapasitas fiskal sangat rendah atau rendah.</w:t>
      </w:r>
      <w:r>
        <w:t xml:space="preserve"> Kondisi pertama adalah potensi bencana dengan ancaman maksimum akibat faktor alam, nonalam, dan/atau sosial. Kondisi kedua adalah evakuasi atau pengungsian yang telah terjadi atau gangguan layanan umum yang berdampak luas. Ketiga kondisi dihubungkan dengan "dan/atau", dan pelaksanaannya menunggu keputusan rapat koordinasi antar-K/L yang dikoordinasikan menteri koordinator (Pasal 3 ayat (1) dan ayat (2)). Pasal 3 ayat (4) memerintahkan kondisi dan tata caranya diatur dalam pedoman Kepala BNPB, dan konsiderans menyebut Perpres 17/2018 belum lengkap mengatur PB pada kondisi wilayah yang terkena dampak konflik sosial </w:t>
      </w:r>
      <w:r>
        <w:t xml:space="preserve">(Republik Indonesia, 2026a)</w:t>
      </w:r>
      <w:r>
        <w:t xml:space="preserve">. Pedoman itu belum ditetapkan per Oktober 2026 menurut katalog Jaringan Dokumentasi dan Informasi Hukum (JDIH) BNPB, dan rapat koordinasi yang pernah memakai kondisi ketiga tidak ditemukan.</w:t>
      </w:r>
    </w:p>
    <w:p>
      <w:pPr>
        <w:pStyle w:val="IsiTemuan"/>
      </w:pPr>
      <w:r>
        <w:rPr>
          <w:b/>
          <w:bCs/>
          <w:color w:val="051C2C"/>
        </w:rPr>
        <w:t xml:space="preserve">Pedoman yang berlaku masih Perban BNPB 5/2018, yang memuat </w:t>
      </w:r>
      <w:r>
        <w:rPr>
          <w:b/>
          <w:bCs/>
          <w:color w:val="051C2C"/>
        </w:rPr>
        <w:t xml:space="preserve">10 jenis</w:t>
      </w:r>
      <w:r>
        <w:rPr>
          <w:b/>
          <w:bCs/>
          <w:color w:val="051C2C"/>
        </w:rPr>
        <w:t xml:space="preserve"> ancaman tanpa ancaman sosial dan mensyaratkan ancaman maksimum dan evakuasi secara kumulatif.</w:t>
      </w:r>
      <w:r>
        <w:t xml:space="preserve"> Kata konflik dan rekonsiliasi tidak muncul dalam peraturan itu, begitu pula rujukan kapasitas fiskal. Rapat koordinasinya beranggotakan </w:t>
      </w:r>
      <w:r>
        <w:t xml:space="preserve">20 unsur</w:t>
      </w:r>
      <w:r>
        <w:t xml:space="preserve"> dengan nomenklatur lama; Kementerian Agama, Kementerian Pertahanan, Kejaksaan Agung, dan Komnas HAM, yang menjadi unsur Satgas nasional UU 7/2012, tidak disebut namanya dan hanya dapat masuk lewat butir kementerian/lembaga terkait lainnya </w:t>
      </w:r>
      <w:r>
        <w:t xml:space="preserve">(BNPB, 2018f)</w:t>
      </w:r>
      <w:r>
        <w:t xml:space="preserve">. Keputusan Kepala BNPB 327/2025 tentang Program Penyusunan Peraturan 2026 memuat </w:t>
      </w:r>
      <w:r>
        <w:t xml:space="preserve">11 rancangan peraturan</w:t>
      </w:r>
      <w:r>
        <w:t xml:space="preserve"> dan tidak satu pun mengubah Perban 5/2018 </w:t>
      </w:r>
      <w:r>
        <w:t xml:space="preserve">(BNPB, 2025b)</w:t>
      </w:r>
      <w:r>
        <w:t xml:space="preserve">. Keputusan itu ditetapkan 31 Desember 2025, sebelum Perpres 46/2026 terbit. Ketiadaan perubahan itu mencerminkan urutan waktu, dan perubahan Perban 5/2018 untuk melaksanakan Perpres 46/2026 Pasal 3 ayat (4) hanya dapat disusun di luar program tahunan itu melalui izin prakarsa (</w:t>
      </w:r>
      <w:r>
        <w:fldChar w:fldCharType="begin"/>
      </w:r>
      <w:r>
        <w:instrText xml:space="preserve"> REF _Ref0087 \h \* CHARFORMAT </w:instrText>
      </w:r>
      <w:r>
        <w:fldChar w:fldCharType="separate"/>
      </w:r>
      <w:r>
        <w:t xml:space="preserve">11</w:t>
      </w:r>
      <w:r>
        <w:fldChar w:fldCharType="end"/>
      </w:r>
      <w:r>
        <w:t xml:space="preserve">). Perbandingan kedua peraturan tampil pada </w:t>
      </w:r>
      <w:r>
        <w:fldChar w:fldCharType="begin"/>
      </w:r>
      <w:r>
        <w:instrText xml:space="preserve"> REF _Ref0329 \h \* CHARFORMAT </w:instrText>
      </w:r>
      <w:r>
        <w:fldChar w:fldCharType="separate"/>
      </w:r>
      <w:r>
        <w:t xml:space="preserve">Tabel 9.4</w:t>
      </w:r>
      <w:r>
        <w:fldChar w:fldCharType="end"/>
      </w:r>
      <w:r>
        <w:t xml:space="preserve">.</w:t>
      </w:r>
    </w:p>
    <w:p>
      <w:pPr>
        <w:pStyle w:val="Caption"/>
      </w:pPr>
      <w:bookmarkStart w:id="582" w:name="_Toc00184"/>
      <w:bookmarkStart w:id="581" w:name="_Ref032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581"/>
      <w:r>
        <w:rPr>
          <w:b/>
          <w:bCs/>
          <w:color w:val="051C2C"/>
        </w:rPr>
        <w:t xml:space="preserve"> </w:t>
      </w:r>
      <w:r>
        <w:t xml:space="preserve">Syarat penyelenggaraan PB dalam keadaan tertentu menurut Perpres 46/2026 dan Perban BNPB 5/2018</w:t>
      </w:r>
      <w:bookmarkEnd w:id="5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01"/>
        <w:gridCol w:w="3288"/>
        <w:gridCol w:w="3865"/>
      </w:tblGrid>
      <w:tr>
        <w:trPr>
          <w:cantSplit/>
          <w:tblHeader/>
        </w:trPr>
        <w:tc>
          <w:tcPr>
            <w:tcW w:w="2201" w:type="dxa"/>
            <w:shd w:val="clear" w:color="auto" w:fill="051C2C"/>
            <w:vAlign w:val="center"/>
          </w:tcPr>
          <w:p>
            <w:pPr>
              <w:pStyle w:val="KepalaTabel"/>
              <w:suppressAutoHyphens/>
            </w:pPr>
            <w:r>
              <w:t xml:space="preserve">ASPEK</w:t>
            </w:r>
          </w:p>
        </w:tc>
        <w:tc>
          <w:tcPr>
            <w:tcW w:w="3288" w:type="dxa"/>
            <w:shd w:val="clear" w:color="auto" w:fill="051C2C"/>
            <w:vAlign w:val="center"/>
          </w:tcPr>
          <w:p>
            <w:pPr>
              <w:pStyle w:val="KepalaTabel"/>
              <w:suppressAutoHyphens/>
            </w:pPr>
            <w:r>
              <w:t xml:space="preserve">PERPRES 46/2026</w:t>
            </w:r>
          </w:p>
        </w:tc>
        <w:tc>
          <w:tcPr>
            <w:tcW w:w="3865" w:type="dxa"/>
            <w:shd w:val="clear" w:color="auto" w:fill="051C2C"/>
            <w:vAlign w:val="center"/>
          </w:tcPr>
          <w:p>
            <w:pPr>
              <w:pStyle w:val="KepalaTabel"/>
              <w:suppressAutoHyphens/>
            </w:pPr>
            <w:r>
              <w:t xml:space="preserve">PERBAN BNPB 5/2018</w:t>
            </w:r>
          </w:p>
        </w:tc>
      </w:tr>
      <w:tr>
        <w:trPr>
          <w:cantSplit/>
        </w:trPr>
        <w:tc>
          <w:tcPr>
            <w:tcW w:w="2201" w:type="dxa"/>
          </w:tcPr>
          <w:p>
            <w:pPr>
              <w:pStyle w:val="IsiTabel"/>
              <w:suppressAutoHyphens/>
              <w:jc w:val="left"/>
            </w:pPr>
            <w:r>
              <w:t xml:space="preserve">Faktor ancaman</w:t>
            </w:r>
          </w:p>
        </w:tc>
        <w:tc>
          <w:tcPr>
            <w:tcW w:w="3288" w:type="dxa"/>
          </w:tcPr>
          <w:p>
            <w:pPr>
              <w:pStyle w:val="IsiTabel"/>
              <w:suppressAutoHyphens/>
              <w:jc w:val="left"/>
            </w:pPr>
            <w:r>
              <w:t xml:space="preserve">alam, nonalam, dan/atau sosial (Pasal 3 ayat (2) huruf a)</w:t>
            </w:r>
          </w:p>
        </w:tc>
        <w:tc>
          <w:tcPr>
            <w:tcW w:w="3865" w:type="dxa"/>
          </w:tcPr>
          <w:p>
            <w:pPr>
              <w:pStyle w:val="IsiTabel"/>
              <w:suppressAutoHyphens/>
              <w:jc w:val="left"/>
            </w:pPr>
            <w:r>
              <w:t xml:space="preserve">10 jenis</w:t>
            </w:r>
            <w:r>
              <w:t xml:space="preserve"> ancaman alam dan nonalam; ancaman sosial tidak ada (Pasal 3 ayat (2) huruf a)</w:t>
            </w:r>
          </w:p>
        </w:tc>
      </w:tr>
      <w:tr>
        <w:trPr>
          <w:cantSplit/>
        </w:trPr>
        <w:tc>
          <w:tcPr>
            <w:tcW w:w="2201" w:type="dxa"/>
          </w:tcPr>
          <w:p>
            <w:pPr>
              <w:pStyle w:val="IsiTabel"/>
              <w:suppressAutoHyphens/>
              <w:jc w:val="left"/>
            </w:pPr>
            <w:r>
              <w:t xml:space="preserve">Sifat syarat</w:t>
            </w:r>
          </w:p>
        </w:tc>
        <w:tc>
          <w:tcPr>
            <w:tcW w:w="3288" w:type="dxa"/>
          </w:tcPr>
          <w:p>
            <w:pPr>
              <w:pStyle w:val="IsiTabel"/>
              <w:suppressAutoHyphens/>
              <w:jc w:val="left"/>
            </w:pPr>
            <w:r>
              <w:t xml:space="preserve">"dan/atau" di antara tiga kondisi</w:t>
            </w:r>
          </w:p>
        </w:tc>
        <w:tc>
          <w:tcPr>
            <w:tcW w:w="3865" w:type="dxa"/>
          </w:tcPr>
          <w:p>
            <w:pPr>
              <w:pStyle w:val="IsiTabel"/>
              <w:suppressAutoHyphens/>
              <w:jc w:val="left"/>
            </w:pPr>
            <w:r>
              <w:t xml:space="preserve">kumulatif: ancaman maksimum dan evakuasi atau gangguan layanan (Pasal 3 ayat (1))</w:t>
            </w:r>
          </w:p>
        </w:tc>
      </w:tr>
      <w:tr>
        <w:trPr>
          <w:cantSplit/>
        </w:trPr>
        <w:tc>
          <w:tcPr>
            <w:tcW w:w="2201" w:type="dxa"/>
          </w:tcPr>
          <w:p>
            <w:pPr>
              <w:pStyle w:val="IsiTabel"/>
              <w:keepNext/>
              <w:suppressAutoHyphens/>
              <w:jc w:val="left"/>
            </w:pPr>
            <w:bookmarkStart w:id="583" w:name="_Ekor070a"/>
            <w:bookmarkEnd w:id="583"/>
            <w:r>
              <w:t xml:space="preserve">Kondisi pascakonflik</w:t>
            </w:r>
          </w:p>
        </w:tc>
        <w:tc>
          <w:tcPr>
            <w:tcW w:w="3288" w:type="dxa"/>
          </w:tcPr>
          <w:p>
            <w:pPr>
              <w:pStyle w:val="IsiTabel"/>
              <w:keepNext/>
              <w:suppressAutoHyphens/>
              <w:jc w:val="left"/>
            </w:pPr>
            <w:r>
              <w:t xml:space="preserve">pemda dalam proses rekonsiliasi pascakonflik sosial (huruf c)</w:t>
            </w:r>
          </w:p>
        </w:tc>
        <w:tc>
          <w:tcPr>
            <w:tcW w:w="3865" w:type="dxa"/>
          </w:tcPr>
          <w:p>
            <w:pPr>
              <w:pStyle w:val="IsiTabel"/>
              <w:keepNext/>
              <w:suppressAutoHyphens/>
              <w:jc w:val="left"/>
            </w:pPr>
            <w:r>
              <w:t xml:space="preserve">tidak ada</w:t>
            </w:r>
          </w:p>
        </w:tc>
      </w:tr>
      <w:tr>
        <w:trPr>
          <w:cantSplit/>
        </w:trPr>
        <w:tc>
          <w:tcPr>
            <w:tcW w:w="2201" w:type="dxa"/>
          </w:tcPr>
          <w:p>
            <w:pPr>
              <w:pStyle w:val="IsiTabel"/>
              <w:keepNext/>
              <w:suppressAutoHyphens/>
              <w:jc w:val="left"/>
            </w:pPr>
            <w:r>
              <w:t xml:space="preserve">Rujukan fiskal</w:t>
            </w:r>
          </w:p>
        </w:tc>
        <w:tc>
          <w:tcPr>
            <w:tcW w:w="3288" w:type="dxa"/>
          </w:tcPr>
          <w:p>
            <w:pPr>
              <w:pStyle w:val="IsiTabel"/>
              <w:keepNext/>
              <w:suppressAutoHyphens/>
              <w:jc w:val="left"/>
            </w:pPr>
            <w:r>
              <w:t xml:space="preserve">kapasitas fiskal sangat rendah atau rendah menurut peraturan keuangan negara (huruf c)</w:t>
            </w:r>
          </w:p>
        </w:tc>
        <w:tc>
          <w:tcPr>
            <w:tcW w:w="3865" w:type="dxa"/>
          </w:tcPr>
          <w:p>
            <w:pPr>
              <w:pStyle w:val="IsiTabel"/>
              <w:keepNext/>
              <w:suppressAutoHyphens/>
              <w:jc w:val="left"/>
            </w:pPr>
            <w:r>
              <w:t xml:space="preserve">tidak ada</w:t>
            </w:r>
          </w:p>
        </w:tc>
      </w:tr>
      <w:tr>
        <w:trPr>
          <w:cantSplit/>
        </w:trPr>
        <w:tc>
          <w:tcPr>
            <w:tcW w:w="2201" w:type="dxa"/>
          </w:tcPr>
          <w:p>
            <w:pPr>
              <w:pStyle w:val="IsiTabel"/>
              <w:keepNext/>
              <w:suppressAutoHyphens/>
              <w:jc w:val="left"/>
            </w:pPr>
            <w:r>
              <w:t xml:space="preserve">Pemberi status ancaman</w:t>
            </w:r>
          </w:p>
        </w:tc>
        <w:tc>
          <w:tcPr>
            <w:tcW w:w="3288" w:type="dxa"/>
          </w:tcPr>
          <w:p>
            <w:pPr>
              <w:pStyle w:val="IsiTabel"/>
              <w:keepNext/>
              <w:suppressAutoHyphens/>
              <w:jc w:val="left"/>
            </w:pPr>
            <w:r>
              <w:t xml:space="preserve">tidak diatur; diserahkan ke pedoman Kepala BNPB (ayat (4))</w:t>
            </w:r>
          </w:p>
        </w:tc>
        <w:tc>
          <w:tcPr>
            <w:tcW w:w="3865" w:type="dxa"/>
          </w:tcPr>
          <w:p>
            <w:pPr>
              <w:pStyle w:val="IsiTabel"/>
              <w:keepNext/>
              <w:suppressAutoHyphens/>
              <w:jc w:val="left"/>
            </w:pPr>
            <w:r>
              <w:t xml:space="preserve">K/L yang berwenang secara teknis dan kaji cepat BNPB/BPBD (Pasal 4)</w:t>
            </w:r>
          </w:p>
        </w:tc>
      </w:tr>
      <w:tr>
        <w:trPr>
          <w:cantSplit/>
        </w:trPr>
        <w:tc>
          <w:tcPr>
            <w:tcW w:w="2201" w:type="dxa"/>
          </w:tcPr>
          <w:p>
            <w:pPr>
              <w:pStyle w:val="IsiTabel"/>
              <w:suppressAutoHyphens/>
              <w:jc w:val="left"/>
            </w:pPr>
            <w:bookmarkStart w:id="584" w:name="_Ekor070z"/>
            <w:bookmarkEnd w:id="584"/>
            <w:r>
              <w:t xml:space="preserve">Rapat koordinasi</w:t>
            </w:r>
          </w:p>
        </w:tc>
        <w:tc>
          <w:tcPr>
            <w:tcW w:w="3288" w:type="dxa"/>
          </w:tcPr>
          <w:p>
            <w:pPr>
              <w:pStyle w:val="IsiTabel"/>
              <w:suppressAutoHyphens/>
              <w:jc w:val="left"/>
            </w:pPr>
            <w:r>
              <w:t xml:space="preserve">dikoordinasikan menteri koordinator yang membidangi PB (ayat (1))</w:t>
            </w:r>
          </w:p>
        </w:tc>
        <w:tc>
          <w:tcPr>
            <w:tcW w:w="3865" w:type="dxa"/>
          </w:tcPr>
          <w:p>
            <w:pPr>
              <w:pStyle w:val="IsiTabel"/>
              <w:suppressAutoHyphens/>
              <w:jc w:val="left"/>
            </w:pPr>
            <w:r>
              <w:t xml:space="preserve">20 unsur</w:t>
            </w:r>
            <w:r>
              <w:t xml:space="preserve"> bernomenklatur lama (Pasal 6)</w:t>
            </w:r>
          </w:p>
        </w:tc>
      </w:tr>
    </w:tbl>
    <w:p>
      <w:pPr>
        <w:pStyle w:val="Sumber"/>
        <w:spacing w:after="40"/>
      </w:pPr>
      <w:r>
        <w:rPr>
          <w:b/>
          <w:bCs/>
          <w:color w:val="6B7280"/>
          <w:sz w:val="17"/>
          <w:szCs w:val="17"/>
        </w:rPr>
        <w:t xml:space="preserve">Sumber: </w:t>
      </w:r>
      <w:r>
        <w:rPr>
          <w:color w:val="6B7280"/>
          <w:sz w:val="17"/>
          <w:szCs w:val="17"/>
        </w:rPr>
        <w:t xml:space="preserve">Perpres 46/2026 Pasal 3; Perban BNPB 5/2018 Pasal 3, Pasal 4, dan Pasal 6; PMK 97/2025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Perban BNPB 5/2018 ditetapkan untuk melaksanakan Perpres 17/2018 Pasal 3 ayat (4) dan berstatus berlaku di katalog JDIH BNPB.</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Syarat fiskal keadaan tertentu dipenuhi </w:t>
            </w:r>
            <w:r>
              <w:rPr>
                <w:b/>
                <w:bCs/>
                <w:color w:val="1A1A1A"/>
              </w:rPr>
              <w:t xml:space="preserve">24</w:t>
            </w:r>
            <w:r>
              <w:rPr>
                <w:b/>
                <w:bCs/>
                <w:color w:val="1A1A1A"/>
              </w:rPr>
              <w:t xml:space="preserve"> dari </w:t>
            </w:r>
            <w:r>
              <w:rPr>
                <w:b/>
                <w:bCs/>
                <w:color w:val="1A1A1A"/>
              </w:rPr>
              <w:t xml:space="preserve">38</w:t>
            </w:r>
            <w:r>
              <w:rPr>
                <w:b/>
                <w:bCs/>
                <w:color w:val="1A1A1A"/>
              </w:rPr>
              <w:t xml:space="preserve"> provinsi dan </w:t>
            </w:r>
            <w:r>
              <w:rPr>
                <w:b/>
                <w:bCs/>
                <w:color w:val="1A1A1A"/>
              </w:rPr>
              <w:t xml:space="preserve">351</w:t>
            </w:r>
            <w:r>
              <w:rPr>
                <w:b/>
                <w:bCs/>
                <w:color w:val="1A1A1A"/>
              </w:rPr>
              <w:t xml:space="preserve"> dari </w:t>
            </w:r>
            <w:r>
              <w:rPr>
                <w:b/>
                <w:bCs/>
                <w:color w:val="1A1A1A"/>
              </w:rPr>
              <w:t xml:space="preserve">508</w:t>
            </w:r>
            <w:r>
              <w:rPr>
                <w:b/>
                <w:bCs/>
                <w:color w:val="1A1A1A"/>
              </w:rPr>
              <w:t xml:space="preserve"> kab/kota</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PMK 97/2025 tentang Peta Kapasitas Fiskal Daerah, ditetapkan 22 Desember 2025, menempatkan </w:t>
            </w:r>
            <w:r>
              <w:t xml:space="preserve">24</w:t>
            </w:r>
            <w:r>
              <w:t xml:space="preserve"> dari </w:t>
            </w:r>
            <w:r>
              <w:t xml:space="preserve">38</w:t>
            </w:r>
            <w:r>
              <w:t xml:space="preserve"> provinsi dan </w:t>
            </w:r>
            <w:r>
              <w:t xml:space="preserve">351</w:t>
            </w:r>
            <w:r>
              <w:t xml:space="preserve"> dari </w:t>
            </w:r>
            <w:r>
              <w:t xml:space="preserve">508</w:t>
            </w:r>
            <w:r>
              <w:t xml:space="preserve"> kab/kota di kategori rendah atau sangat rendah, termasuk DKI Jakarta, Maluku, dan Maluku Utara </w:t>
            </w:r>
            <w:r>
              <w:t xml:space="preserve">(Kementerian Keuangan, 2025)</w:t>
            </w:r>
            <w:r>
              <w:t xml:space="preserve">. Dari sembilan kabupaten dengan baris konflik sosial DIBI 2025–2026, </w:t>
            </w:r>
            <w:r>
              <w:t xml:space="preserve">3</w:t>
            </w:r>
            <w:r>
              <w:t xml:space="preserve"> di antaranya berkategori rendah.</w:t>
            </w:r>
          </w:p>
          <w:p>
            <w:pPr>
              <w:pStyle w:val="IsiKotak"/>
            </w:pPr>
            <w:r>
              <w:rPr>
                <w:b/>
                <w:bCs/>
                <w:color w:val="1A1A1A"/>
              </w:rPr>
              <w:t xml:space="preserve">Dampak: </w:t>
            </w:r>
            <w:r>
              <w:t xml:space="preserve">Syarat fiskal hampir tidak menyaring. Penyaring yang sebenarnya adalah frasa "dalam proses rekonsiliasi pascakonflik", yang tidak didefinisikan di peraturan mana pun yang dibaca. Pedoman yang tidak mendefinisikannya membuka kondisi ketiga bagi </w:t>
            </w:r>
            <w:r>
              <w:t xml:space="preserve">24</w:t>
            </w:r>
            <w:r>
              <w:t xml:space="preserve"> provinsi dan </w:t>
            </w:r>
            <w:r>
              <w:t xml:space="preserve">351</w:t>
            </w:r>
            <w:r>
              <w:t xml:space="preserve"> kab/kota yang lolos syarat fiskal.</w:t>
            </w:r>
          </w:p>
          <w:p>
            <w:pPr>
              <w:pStyle w:val="IsiKotak"/>
            </w:pPr>
            <w:r>
              <w:rPr>
                <w:b/>
                <w:bCs/>
                <w:color w:val="1A1A1A"/>
              </w:rPr>
              <w:t xml:space="preserve">Pembuka: </w:t>
            </w:r>
            <w:r>
              <w:t xml:space="preserve">Deputi Bidang Penanganan Darurat bersama Biro Hukum, Organisasi, dan Kerja Sama menulis kriteria rekonsiliasi pascakonflik dan rujukan peta kapasitas fiskal dalam perubahan Perban BNPB 5/2018 (rekomendasi </w:t>
            </w:r>
            <w:r>
              <w:fldChar w:fldCharType="begin"/>
            </w:r>
            <w:r>
              <w:instrText xml:space="preserve"> REF _Ref0088 \h \* CHARFORMAT </w:instrText>
            </w:r>
            <w:r>
              <w:fldChar w:fldCharType="separate"/>
            </w:r>
            <w:r>
              <w:t xml:space="preserve">14</w:t>
            </w:r>
            <w:r>
              <w:fldChar w:fldCharType="end"/>
            </w:r>
            <w:r>
              <w:t xml:space="preserve">).</w:t>
            </w:r>
          </w:p>
        </w:tc>
      </w:tr>
    </w:tbl>
    <w:p>
      <w:pPr>
        <w:pStyle w:val="Jarak"/>
      </w:pPr>
    </w:p>
    <w:p>
      <w:pPr>
        <w:pStyle w:val="IsiTemuan"/>
      </w:pPr>
      <w:r>
        <w:rPr>
          <w:b/>
          <w:bCs/>
          <w:color w:val="051C2C"/>
        </w:rPr>
        <w:t xml:space="preserve">Selisih teks Perban BNPB 5/2018 dengan Perpres 46/2026 menghasilkan lima instrumen yang belum ada.</w:t>
      </w:r>
      <w:r>
        <w:t xml:space="preserve"> Kelimanya disusun dari perbandingan pada </w:t>
      </w:r>
      <w:r>
        <w:fldChar w:fldCharType="begin"/>
      </w:r>
      <w:r>
        <w:instrText xml:space="preserve"> REF _Ref0329 \h \* CHARFORMAT </w:instrText>
      </w:r>
      <w:r>
        <w:fldChar w:fldCharType="separate"/>
      </w:r>
      <w:r>
        <w:t xml:space="preserve">Tabel 9.4</w:t>
      </w:r>
      <w:r>
        <w:fldChar w:fldCharType="end"/>
      </w:r>
      <w:r>
        <w:t xml:space="preserve"> dan mandat pada </w:t>
      </w:r>
      <w:r>
        <w:fldChar w:fldCharType="begin"/>
      </w:r>
      <w:r>
        <w:instrText xml:space="preserve"> REF _Ref0310 \h \* CHARFORMAT </w:instrText>
      </w:r>
      <w:r>
        <w:fldChar w:fldCharType="separate"/>
      </w:r>
      <w:r>
        <w:t xml:space="preserve">Tabel 9.3</w:t>
      </w:r>
      <w:r>
        <w:fldChar w:fldCharType="end"/>
      </w:r>
      <w:r>
        <w:t xml:space="preserve">:</w:t>
      </w:r>
    </w:p>
    <w:p>
      <w:pPr>
        <w:pStyle w:val="Daftar"/>
        <w:numPr>
          <w:ilvl w:val="0"/>
          <w:numId w:val="3"/>
        </w:numPr>
      </w:pPr>
      <w:r>
        <w:t xml:space="preserve">Ancaman sosial dalam daftar jenis ancaman dan penunjukan K/L pemberi status ancaman untuk faktor sosial; kandidat dari mandat yang ada adalah Kementerian Dalam Negeri, pemegang koordinasi pemetaan wilayah potensi konflik (PP 2/2015 Pasal 5 ayat (4)), sebagai usulan penugasan dan bukan mandat tertulis.</w:t>
      </w:r>
    </w:p>
    <w:p>
      <w:pPr>
        <w:pStyle w:val="Daftar"/>
        <w:numPr>
          <w:ilvl w:val="0"/>
          <w:numId w:val="3"/>
        </w:numPr>
      </w:pPr>
      <w:r>
        <w:t xml:space="preserve">Penyelarasan syarat kumulatif Perban 5/2018 Pasal 3 ayat (1) dengan "dan/atau" Perpres 46/2026.</w:t>
      </w:r>
    </w:p>
    <w:p>
      <w:pPr>
        <w:pStyle w:val="Daftar"/>
        <w:numPr>
          <w:ilvl w:val="0"/>
          <w:numId w:val="3"/>
        </w:numPr>
      </w:pPr>
      <w:r>
        <w:t xml:space="preserve">Kriteria "dalam proses rekonsiliasi pascakonflik sosial". Status keadaan konflik berakhir paling lama </w:t>
      </w:r>
      <w:r>
        <w:t xml:space="preserve">90 hari</w:t>
      </w:r>
      <w:r>
        <w:t xml:space="preserve"> ditambah perpanjangan </w:t>
      </w:r>
      <w:r>
        <w:t xml:space="preserve">30 hari</w:t>
      </w:r>
      <w:r>
        <w:t xml:space="preserve">, sebelum rekonsiliasi selesai, sedangkan rekonsiliasi (UU 7/2012 Pasal 37) berjalan tanpa status. Calon dasarnya laporan akhir Satgas (Pasal 44 huruf h) atau keputusan kepala daerah. Pedoman juga perlu menyebut tingkat pemerintahan yang diukur kapasitas fiskalnya, karena Kabupaten Maluku Tengah berkategori sedang sementara Provinsi Maluku rendah.</w:t>
      </w:r>
    </w:p>
    <w:p>
      <w:pPr>
        <w:pStyle w:val="Daftar"/>
        <w:numPr>
          <w:ilvl w:val="0"/>
          <w:numId w:val="3"/>
        </w:numPr>
      </w:pPr>
      <w:r>
        <w:t xml:space="preserve">Susunan rapat koordinasi yang menyebut unsur Satgas nasional UU 7/2012 Pasal 49 ayat (2) dan memakai nomenklatur Perpres 90/2025.</w:t>
      </w:r>
    </w:p>
    <w:p>
      <w:pPr>
        <w:pStyle w:val="Daftar"/>
        <w:numPr>
          <w:ilvl w:val="0"/>
          <w:numId w:val="3"/>
        </w:numPr>
      </w:pPr>
      <w:r>
        <w:t xml:space="preserve">Hubungan dana siap pakai (DSP) BNPB dalam keadaan tertentu dengan DSP Bagian Anggaran Bendahara Umum Negara (BA BUN) untuk penghentian konflik dan rekonsiliasi tanggap darurat (UU 7/2012 Pasal 55; PP 2/2015 Pasal 86 dan Pasal 90). Teks yang dibaca tidak menyatakan apakah keduanya pos yang sama.</w:t>
      </w:r>
    </w:p>
    <w:p>
      <w:pPr>
        <w:pStyle w:val="Heading2"/>
      </w:pPr>
      <w:bookmarkStart w:id="586" w:name="_Toc00185"/>
      <w:bookmarkStart w:id="585" w:name="_Ref0147"/>
      <w:r>
        <w:t xml:space="preserve">9.5</w:t>
      </w:r>
      <w:bookmarkEnd w:id="585"/>
      <w:r>
        <w:tab/>
      </w:r>
      <w:r>
        <w:t xml:space="preserve">Implikasi</w:t>
      </w:r>
      <w:bookmarkEnd w:id="586"/>
    </w:p>
    <w:p>
      <w:pPr>
        <w:pStyle w:val="IsiTemuan"/>
      </w:pPr>
      <w:r>
        <w:rPr>
          <w:b/>
          <w:bCs/>
          <w:color w:val="051C2C"/>
        </w:rPr>
        <w:t xml:space="preserve">Perpres 46/2026 menambah kewenangan BNPB di wilayah pascakonflik, sementara rezim UU 7/2012 dan PP 2/2015 menaruh koordinasi pada Menteri Dalam Negeri, pengungsi pada Menteri Sosial, dan penghentian kekerasan pada Polri.</w:t>
      </w:r>
      <w:r>
        <w:t xml:space="preserve"> Pedoman Kepala BNPB yang tidak menyebut hubungannya dengan Tim Terpadu Permendagri 42/2015 dan Satgas UU 7/2012 berisiko menciptakan jalur komando ketiga di wilayah yang sama </w:t>
      </w:r>
      <w:r>
        <w:t xml:space="preserve">(Republik Indonesia, 2015b; Kementerian Dalam Negeri, 2015)</w:t>
      </w:r>
      <w:r>
        <w:t xml:space="preserve">. Pengungsian konflik terbesar dalam jendela kajian, lebih dari </w:t>
      </w:r>
      <w:r>
        <w:t xml:space="preserve">1 juta</w:t>
      </w:r>
      <w:r>
        <w:t xml:space="preserve"> jiwa pada 2001, dikoordinasikan pendahulu BNPB, Bakornas PBP </w:t>
      </w:r>
      <w:r>
        <w:t xml:space="preserve">(Brookings-CUNY Project on Internal Displacement, 2001)</w:t>
      </w:r>
      <w:r>
        <w:t xml:space="preserve">. Peraturan yang berlaku kini tidak menaruh koordinasi pengungsian konflik skala nasional pada BNPB; apakah itu kesenjangan atau pembagian kerja yang disengaja bukan keputusan bab ini dan menjadi bahan Bab 10 dan Bab 12. Kesenjangan yang langsung menjadi rekomendasi:</w:t>
      </w:r>
    </w:p>
    <w:p>
      <w:pPr>
        <w:pStyle w:val="Daftar"/>
        <w:numPr>
          <w:ilvl w:val="0"/>
          <w:numId w:val="1"/>
        </w:numPr>
      </w:pPr>
      <w:r>
        <w:t xml:space="preserve">Pedoman keadaan tertentu untuk faktor sosial dan pascakonflik belum ada, dan perubahan Perban 5/2018 tidak termuat di Program Penyusunan Peraturan 2026 (</w:t>
      </w:r>
      <w:r>
        <w:fldChar w:fldCharType="begin"/>
      </w:r>
      <w:r>
        <w:instrText xml:space="preserve"> REF _Ref0088 \h \* CHARFORMAT </w:instrText>
      </w:r>
      <w:r>
        <w:fldChar w:fldCharType="separate"/>
      </w:r>
      <w:r>
        <w:t xml:space="preserve">14</w:t>
      </w:r>
      <w:r>
        <w:fldChar w:fldCharType="end"/>
      </w:r>
      <w:r>
        <w:t xml:space="preserve">, </w:t>
      </w:r>
      <w:r>
        <w:fldChar w:fldCharType="begin"/>
      </w:r>
      <w:r>
        <w:instrText xml:space="preserve"> REF _Ref0087 \h \* CHARFORMAT </w:instrText>
      </w:r>
      <w:r>
        <w:fldChar w:fldCharType="separate"/>
      </w:r>
      <w:r>
        <w:t xml:space="preserve">11</w:t>
      </w:r>
      <w:r>
        <w:fldChar w:fldCharType="end"/>
      </w:r>
      <w:r>
        <w:t xml:space="preserve">).</w:t>
      </w:r>
    </w:p>
    <w:p>
      <w:pPr>
        <w:pStyle w:val="Daftar"/>
        <w:numPr>
          <w:ilvl w:val="0"/>
          <w:numId w:val="1"/>
        </w:numPr>
      </w:pPr>
      <w:r>
        <w:t xml:space="preserve">DIBI tidak memuat baris konflik sosial 2020–2024, memuat dugaan entri ganda, dan tidak membedakan konflik antarkelompok dari unjuk rasa (</w:t>
      </w:r>
      <w:r>
        <w:fldChar w:fldCharType="begin"/>
      </w:r>
      <w:r>
        <w:instrText xml:space="preserve"> REF _Ref0093 \h \* CHARFORMAT </w:instrText>
      </w:r>
      <w:r>
        <w:fldChar w:fldCharType="separate"/>
      </w:r>
      <w:r>
        <w:t xml:space="preserve">20</w:t>
      </w:r>
      <w:r>
        <w:fldChar w:fldCharType="end"/>
      </w:r>
      <w:r>
        <w:t xml:space="preserve">).</w:t>
      </w:r>
    </w:p>
    <w:p>
      <w:pPr>
        <w:pStyle w:val="Daftar"/>
        <w:numPr>
          <w:ilvl w:val="0"/>
          <w:numId w:val="1"/>
        </w:numP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Podes per kab/kota dan status SNPK 2026 belum tersedia untuk peta sasaran; keduanya menjadi permintaan data Pusat Data, Informasi, dan Komunikasi Kebencanaan kepada BPS dan Kemenko PMK (</w:t>
      </w:r>
      <w:r>
        <w:fldChar w:fldCharType="begin"/>
      </w:r>
      <w:r>
        <w:instrText xml:space="preserve"> REF _Ref0093 \h \* CHARFORMAT </w:instrText>
      </w:r>
      <w:r>
        <w:fldChar w:fldCharType="separate"/>
      </w:r>
      <w:r>
        <w:t xml:space="preserve">20</w:t>
      </w:r>
      <w:r>
        <w:fldChar w:fldCharType="end"/>
      </w:r>
      <w:r>
        <w:t xml:space="preserve">).</w:t>
      </w:r>
    </w:p>
    <w:p>
      <w:pPr>
        <w:pBdr>
          <w:top w:val="single" w:sz="16" w:space="0" w:color="D9600B"/>
        </w:pBdr>
        <w:spacing w:before="0" w:after="80" w:line="60" w:lineRule="exact"/>
        <w:ind w:right="8674"/>
      </w:pPr>
    </w:p>
    <w:p>
      <w:pPr>
        <w:pStyle w:val="Heading1"/>
        <w:numPr>
          <w:ilvl w:val="0"/>
          <w:numId w:val="910"/>
        </w:numPr>
      </w:pPr>
      <w:bookmarkStart w:id="588" w:name="_Toc00186"/>
      <w:r>
        <w:rPr>
          <w:sz w:val="18"/>
          <w:szCs w:val="18"/>
        </w:rPr>
        <w:br/>
      </w:r>
      <w:bookmarkStart w:id="587" w:name="_Ref0005"/>
      <w:r>
        <w:t xml:space="preserve">ANALISIS KESENJANGAN SISTEM PENANGGULANGAN BENCANA</w:t>
      </w:r>
      <w:bookmarkEnd w:id="587"/>
      <w:bookmarkEnd w:id="588"/>
    </w:p>
    <w:p>
      <w:pPr>
        <w:pStyle w:val="Pertanyaan"/>
      </w:pPr>
      <w:r>
        <w:t xml:space="preserve">Norma dan rantai komando mana yang belum ada atau sudah usang? Mengapa cakupan peringatan dini dan kapasitas daerah diukur dengan angka yang berbeda, dan apa hambatan daerah? Berapa sel fase × jenis bencana yang belum punya program berbukti kuat?</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76" name="Gambar 176"/>
                  <wp:cNvGraphicFramePr>
                    <a:graphicFrameLocks noChangeAspect="1"/>
                  </wp:cNvGraphicFramePr>
                  <a:graphic>
                    <a:graphicData uri="http://schemas.openxmlformats.org/drawingml/2006/picture">
                      <pic:pic>
                        <pic:nvPicPr>
                          <pic:cNvPr id="176"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Peraturan Presiden (Perpres) penetapan status dan tingkatan bencana yang diperintahkan UU 24/2007 Pasal 7 ayat (3) belum ditemukan terbit per 24 Oktober 2026. Sejak Putusan Mahkamah Konstitusi (MK) 28 Agustus 2026, status bencana nasional didasarkan pada sekurang-kurangnya </w:t>
            </w:r>
            <w:r>
              <w:t xml:space="preserve">3</w:t>
            </w:r>
            <w:r>
              <w:t xml:space="preserve"> dari </w:t>
            </w:r>
            <w:r>
              <w:t xml:space="preserve">5 indikator</w:t>
            </w:r>
            <w:r>
              <w:t xml:space="preserve"> dengan jumlah korban sebagai indikator wajib.</w:t>
            </w:r>
          </w:p>
          <w:p>
            <w:pPr>
              <w:pStyle w:val="DaftarKotak"/>
              <w:numPr>
                <w:ilvl w:val="0"/>
                <w:numId w:val="1"/>
              </w:numPr>
            </w:pPr>
            <w:r>
              <w:t xml:space="preserve">Cakupan peringatan dini diukur dengan dua indikator berpenyebut berbeda: Rencana Strategis (Renstra) Badan Nasional Penanggulangan Bencana (BNPB) naik dari </w:t>
            </w:r>
            <w:r>
              <w:t xml:space="preserve">6,10%</w:t>
            </w:r>
            <w:r>
              <w:t xml:space="preserve"> ke </w:t>
            </w:r>
            <w:r>
              <w:t xml:space="preserve">6,32%</w:t>
            </w:r>
            <w:r>
              <w:t xml:space="preserve">, Rencana Nasional Penanggulangan Bencana (Renas PB) indikator 1.c dari </w:t>
            </w:r>
            <w:r>
              <w:t xml:space="preserve">11.060</w:t>
            </w:r>
            <w:r>
              <w:t xml:space="preserve"> ke </w:t>
            </w:r>
            <w:r>
              <w:t xml:space="preserve">52.000 per 100.000 penduduk</w:t>
            </w:r>
            <w:r>
              <w:t xml:space="preserve">. Dibaca dalam persen, angka Renas 2025 setara </w:t>
            </w:r>
            <w:r>
              <w:t xml:space="preserve">11,06%</w:t>
            </w:r>
            <w:r>
              <w:t xml:space="preserve">, hampir dua kali angka Renstra tahun yang sama.</w:t>
            </w:r>
          </w:p>
          <w:p>
            <w:pPr>
              <w:pStyle w:val="DaftarKotak"/>
              <w:numPr>
                <w:ilvl w:val="0"/>
                <w:numId w:val="1"/>
              </w:numPr>
            </w:pPr>
            <w:r>
              <w:t xml:space="preserve">Dari </w:t>
            </w:r>
            <w:r>
              <w:t xml:space="preserve">39 sel</w:t>
            </w:r>
            <w:r>
              <w:t xml:space="preserve"> fase × jenis bencana, </w:t>
            </w:r>
            <w:r>
              <w:t xml:space="preserve">34 sel</w:t>
            </w:r>
            <w:r>
              <w:t xml:space="preserve"> tidak punya program berbukti kuat dan tidak satu pun punya program dalam negeri berbukti kuat; </w:t>
            </w:r>
            <w:r>
              <w:t xml:space="preserve">12 sel</w:t>
            </w:r>
            <w:r>
              <w:t xml:space="preserve"> nonalam dan sosial tidak punya program sama sekali.</w:t>
            </w:r>
          </w:p>
          <w:p>
            <w:pPr>
              <w:pStyle w:val="IsiKotak"/>
            </w:pPr>
            <w:r>
              <w:rPr>
                <w:b/>
                <w:bCs/>
                <w:color w:val="1A1A1A"/>
              </w:rPr>
              <w:t xml:space="preserve">Angka kunci: </w:t>
            </w:r>
          </w:p>
          <w:p>
            <w:pPr>
              <w:pStyle w:val="DaftarKotak"/>
              <w:numPr>
                <w:ilvl w:val="0"/>
                <w:numId w:val="1"/>
              </w:numPr>
            </w:pPr>
            <w:r>
              <w:t xml:space="preserve">6</w:t>
            </w:r>
            <w:r>
              <w:t xml:space="preserve"> peraturan pelaksana belum disahkan dan </w:t>
            </w:r>
            <w:r>
              <w:t xml:space="preserve">11</w:t>
            </w:r>
            <w:r>
              <w:t xml:space="preserve"> belum diinisiasi BNPB menurut Ikhtisar Hasil Pemeriksaan Semester (IHPS) II 2024 </w:t>
            </w:r>
            <w:r>
              <w:t xml:space="preserve">(Badan Pemeriksa Keuangan Republik Indonesia [BPK], 2025, hlm. 188–189)</w:t>
            </w:r>
            <w:r>
              <w:t xml:space="preserve">.</w:t>
            </w:r>
          </w:p>
          <w:p>
            <w:pPr>
              <w:pStyle w:val="DaftarKotak"/>
              <w:numPr>
                <w:ilvl w:val="0"/>
                <w:numId w:val="1"/>
              </w:numPr>
            </w:pPr>
            <w:r>
              <w:t xml:space="preserve">315</w:t>
            </w:r>
            <w:r>
              <w:t xml:space="preserve"> kab/kota berkelas kapasitas rendah menurut Kajian Risiko Bencana (KRB) 2022–2026 </w:t>
            </w:r>
            <w:r>
              <w:t xml:space="preserve">(BNPB, 2026j)</w:t>
            </w:r>
            <w:r>
              <w:t xml:space="preserve">.</w:t>
            </w:r>
          </w:p>
          <w:p>
            <w:pPr>
              <w:pStyle w:val="DaftarKotak"/>
              <w:numPr>
                <w:ilvl w:val="0"/>
                <w:numId w:val="1"/>
              </w:numPr>
            </w:pPr>
            <w:r>
              <w:t xml:space="preserve">87 daerah</w:t>
            </w:r>
            <w:r>
              <w:t xml:space="preserve"> belum mengaktifkan KRB dan </w:t>
            </w:r>
            <w:r>
              <w:t xml:space="preserve">63 daerah</w:t>
            </w:r>
            <w:r>
              <w:t xml:space="preserve"> belum menuntaskan standar pelayanan minimal (SPM) sub-urusan bencana, September 2025 </w:t>
            </w:r>
            <w:r>
              <w:t xml:space="preserve">(Kemenko PMK, 2025a)</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_Ref0091 \h \* CHARFORMAT </w:instrText>
            </w:r>
            <w:r>
              <w:fldChar w:fldCharType="separate"/>
            </w:r>
            <w:r>
              <w:t xml:space="preserve">19</w:t>
            </w:r>
            <w:r>
              <w:fldChar w:fldCharType="end"/>
            </w:r>
            <w:r>
              <w:t xml:space="preserve"> Usulkan inisiasi Perpres status dan tingkatan bencana (Usulan baru; Deputi Bidang Sistem dan Strategi melalui Direktorat Sistem Penanggulangan Bencana, dengan Biro Hukum, Organisasi, dan Kerja Sama; Kementerian Koordinator Bidang Pembangunan Manusia dan Kebudayaan (Kemenko PMK) dan Kementerian Sekretariat Negara; 2026–2027).</w:t>
            </w:r>
          </w:p>
          <w:p>
            <w:pPr>
              <w:pStyle w:val="DaftarKotak"/>
              <w:numPr>
                <w:ilvl w:val="0"/>
                <w:numId w:val="1"/>
              </w:numPr>
            </w:pPr>
            <w:r>
              <w:fldChar w:fldCharType="begin"/>
            </w:r>
            <w:r>
              <w:instrText xml:space="preserve"> REF _Ref0095 \h \* CHARFORMAT </w:instrText>
            </w:r>
            <w:r>
              <w:fldChar w:fldCharType="separate"/>
            </w:r>
            <w:r>
              <w:t xml:space="preserve">22</w:t>
            </w:r>
            <w:r>
              <w:fldChar w:fldCharType="end"/>
            </w:r>
            <w:r>
              <w:t xml:space="preserve"> Selaraskan klaster dan dokumen ke organisasi berlaku (Sudah ada, perlu dikembangkan; Biro Hukum, Organisasi, dan Kerja Sama dengan Direktorat Koordinasi Pengendalian Operasi Darurat dan Biro Perencanaan; 2026–2027).</w:t>
            </w:r>
          </w:p>
          <w:p>
            <w:pPr>
              <w:pStyle w:val="DaftarKotak"/>
              <w:numPr>
                <w:ilvl w:val="0"/>
                <w:numId w:val="1"/>
              </w:numPr>
            </w:pPr>
            <w:r>
              <w:fldChar w:fldCharType="begin"/>
            </w:r>
            <w:r>
              <w:instrText xml:space="preserve"> REF _Ref0097 \h \* CHARFORMAT </w:instrText>
            </w:r>
            <w:r>
              <w:fldChar w:fldCharType="separate"/>
            </w:r>
            <w:r>
              <w:t xml:space="preserve">24</w:t>
            </w:r>
            <w:r>
              <w:fldChar w:fldCharType="end"/>
            </w:r>
            <w:r>
              <w:t xml:space="preserve"> Susun rencana induk peringatan dini multiancaman (Sudah ada, perlu dikembangkan; Direktorat Peringatan Dini dengan Biro Hukum, Organisasi, dan Kerja Sama; Badan Meteorologi, Klimatologi, dan Geofisika (BMKG), Kementerian Pekerjaan Umum, dan Kementerian Energi dan Sumber Daya Mineral melalui rapat koordinasi Kemenko PMK; 2026–2027).</w:t>
            </w:r>
          </w:p>
          <w:p>
            <w:pPr>
              <w:pStyle w:val="DaftarKotak"/>
              <w:numPr>
                <w:ilvl w:val="0"/>
                <w:numId w:val="1"/>
              </w:numPr>
            </w:pPr>
            <w:r>
              <w:fldChar w:fldCharType="begin"/>
            </w:r>
            <w:r>
              <w:instrText xml:space="preserve"> REF _Ref0081 \h \* CHARFORMAT </w:instrText>
            </w:r>
            <w:r>
              <w:fldChar w:fldCharType="separate"/>
            </w:r>
            <w:r>
              <w:t xml:space="preserve">33</w:t>
            </w:r>
            <w:r>
              <w:fldChar w:fldCharType="end"/>
            </w:r>
            <w:r>
              <w:t xml:space="preserve"> Selaraskan target cakupan peringatan dini (Usulan baru; Biro Perencanaan dengan Direktorat Peringatan Dini dan Direktorat Pengembangan Strategi Penanggulangan Bencana; Kementerian PPN/Bappenas; 2026–2027).</w:t>
            </w:r>
          </w:p>
          <w:p>
            <w:pPr>
              <w:pStyle w:val="DaftarKotak"/>
              <w:numPr>
                <w:ilvl w:val="0"/>
                <w:numId w:val="1"/>
              </w:numPr>
            </w:pPr>
            <w:r>
              <w:fldChar w:fldCharType="begin"/>
            </w:r>
            <w:r>
              <w:instrText xml:space="preserve"> REF _Ref0098 \h \* CHARFORMAT </w:instrText>
            </w:r>
            <w:r>
              <w:fldChar w:fldCharType="separate"/>
            </w:r>
            <w:r>
              <w:t xml:space="preserve">25</w:t>
            </w:r>
            <w:r>
              <w:fldChar w:fldCharType="end"/>
            </w:r>
            <w:r>
              <w:t xml:space="preserve"> Lengkapi dokumen dasar daerah berkapasitas rendah (Sudah ada, perlu dikembangkan; Direktorat Kesiapsiagaan dengan Direktorat Pemetaan dan Evaluasi Risiko Bencana; Kementerian Dalam Negeri (Kemendagri) untuk SPM; 2026–2027).</w:t>
            </w:r>
          </w:p>
        </w:tc>
      </w:tr>
    </w:tbl>
    <w:p>
      <w:pPr>
        <w:pStyle w:val="Jarak"/>
      </w:pPr>
    </w:p>
    <w:p>
      <w:pPr>
        <w:pStyle w:val="Caption"/>
      </w:pPr>
      <w:bookmarkStart w:id="590" w:name="_Toc00187"/>
      <w:bookmarkStart w:id="589" w:name="_Ref002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89"/>
      <w:r>
        <w:rPr>
          <w:b/>
          <w:bCs/>
          <w:color w:val="051C2C"/>
        </w:rPr>
        <w:t xml:space="preserve"> </w:t>
      </w:r>
      <w:r>
        <w:t xml:space="preserve">Petugas menyemprot bara di lahan gambut, Taman Nasional Sebangau, Kalimantan Tengah, 2019</w:t>
      </w:r>
      <w:bookmarkEnd w:id="590"/>
    </w:p>
    <w:p xmlns:a="http://schemas.openxmlformats.org/drawingml/2006/main" xmlns:pic="http://schemas.openxmlformats.org/drawingml/2006/picture">
      <w:pPr>
        <w:keepNext/>
        <w:spacing w:after="0" w:line="240" w:lineRule="auto"/>
        <w:jc w:val="center"/>
      </w:pPr>
      <w:bookmarkStart w:id="591" w:name="_Obj0058"/>
      <w:r>
        <w:drawing>
          <wp:inline distT="0" distB="0" distL="0" distR="0">
            <wp:extent cx="5940000" cy="2970000"/>
            <wp:effectExtent l="0" t="0" r="0" b="0"/>
            <wp:docPr id="177" name="Gambar 177"/>
            <wp:cNvGraphicFramePr>
              <a:graphicFrameLocks noChangeAspect="1"/>
            </wp:cNvGraphicFramePr>
            <a:graphic>
              <a:graphicData uri="http://schemas.openxmlformats.org/drawingml/2006/picture">
                <pic:pic>
                  <pic:nvPicPr>
                    <pic:cNvPr id="177" name="mit-b10-pemadam.jpg"/>
                    <pic:cNvPicPr/>
                  </pic:nvPicPr>
                  <pic:blipFill>
                    <a:blip r:embed="rId85"/>
                    <a:stretch>
                      <a:fillRect/>
                    </a:stretch>
                  </pic:blipFill>
                  <pic:spPr>
                    <a:xfrm>
                      <a:off x="0" y="0"/>
                      <a:ext cx="5940000" cy="2970000"/>
                    </a:xfrm>
                    <a:prstGeom prst="rect">
                      <a:avLst/>
                    </a:prstGeom>
                  </pic:spPr>
                </pic:pic>
              </a:graphicData>
            </a:graphic>
          </wp:inline>
        </w:drawing>
      </w:r>
      <w:bookmarkEnd w:id="591"/>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IsiTemuan"/>
      </w:pPr>
      <w:r>
        <w:rPr>
          <w:b/>
          <w:bCs/>
          <w:color w:val="051C2C"/>
        </w:rPr>
        <w:t xml:space="preserve">Analisis SWOT Renstra BNPB 2025–2029 memuat </w:t>
      </w:r>
      <w:r>
        <w:rPr>
          <w:b/>
          <w:bCs/>
          <w:color w:val="051C2C"/>
        </w:rPr>
        <w:t xml:space="preserve">28</w:t>
      </w:r>
      <w:r>
        <w:rPr>
          <w:b/>
          <w:bCs/>
          <w:color w:val="051C2C"/>
        </w:rPr>
        <w:t xml:space="preserve"> kelemahan dan </w:t>
      </w:r>
      <w:r>
        <w:rPr>
          <w:b/>
          <w:bCs/>
          <w:color w:val="051C2C"/>
        </w:rPr>
        <w:t xml:space="preserve">11</w:t>
      </w:r>
      <w:r>
        <w:rPr>
          <w:b/>
          <w:bCs/>
          <w:color w:val="051C2C"/>
        </w:rPr>
        <w:t xml:space="preserve"> ancaman, dan kelemahan pertamanya adalah peraturan yang tidak harmonis.</w:t>
      </w:r>
      <w:r>
        <w:t xml:space="preserve"> Renstra menulis bahwa masih terdapat peraturan perundang-undangan dan peraturan internal BNPB yang tidak harmonis atau saling bertentangan, dan mengutip National Assessment Report 2023 bahwa ketidakjelasan regulasi dan pembagian kewenangan mengakibatkan tumpang tindih penanganan bencana </w:t>
      </w:r>
      <w:r>
        <w:t xml:space="preserve">(BNPB, 2025e, hlm. 24, 73–76)</w:t>
      </w:r>
      <w:r>
        <w:t xml:space="preserve">. Badan Pemeriksa Keuangan (BPK) memeriksa kinerja penanggulangan bencana atas </w:t>
      </w:r>
      <w:r>
        <w:t xml:space="preserve">30 objek pemeriksaan</w:t>
      </w:r>
      <w:r>
        <w:t xml:space="preserve">, terdiri atas </w:t>
      </w:r>
      <w:r>
        <w:t xml:space="preserve">5</w:t>
      </w:r>
      <w:r>
        <w:t xml:space="preserve"> objek pusat dan </w:t>
      </w:r>
      <w:r>
        <w:t xml:space="preserve">25</w:t>
      </w:r>
      <w:r>
        <w:t xml:space="preserve"> pemerintah daerah </w:t>
      </w:r>
      <w:r>
        <w:t xml:space="preserve">(BPK, 2025, hlm. 11–12)</w:t>
      </w:r>
      <w:r>
        <w:t xml:space="preserve">. Temuan BPK dalam bab ini dikutip dengan atribusi IHPS II 2024, dan laporan hasil pemeriksaan per entitas tidak dibuka.</w:t>
      </w:r>
    </w:p>
    <w:p>
      <w:pPr>
        <w:pStyle w:val="Heading2"/>
      </w:pPr>
      <w:bookmarkStart w:id="593" w:name="_Toc00188"/>
      <w:bookmarkStart w:id="592" w:name="_Ref0174"/>
      <w:r>
        <w:t xml:space="preserve">10.1</w:t>
      </w:r>
      <w:bookmarkEnd w:id="592"/>
      <w:r>
        <w:tab/>
      </w:r>
      <w:r>
        <w:t xml:space="preserve">Regulasi</w:t>
      </w:r>
      <w:bookmarkEnd w:id="593"/>
    </w:p>
    <w:p>
      <w:pPr>
        <w:pStyle w:val="IsiTemuan"/>
      </w:pPr>
      <w:r>
        <w:rPr>
          <w:b/>
          <w:bCs/>
          <w:color w:val="051C2C"/>
        </w:rPr>
        <w:t xml:space="preserve">Perpres penetapan status dan tingkatan bencana yang diperintahkan UU 24/2007 Pasal 7 ayat (3) belum ditemukan terbit per 24 Oktober 2026.</w:t>
      </w:r>
      <w:r>
        <w:t xml:space="preserve"> Tiga sumber resmi mencatat ketiadaannya. Menurut IHPS II 2024, regulasi penyelenggaraan penanggulangan bencana "belum sepenuhnya lengkap, selaras, dan terpadu", antara lain karena "Belum disusunnya Perpres penetapan status dan tingkatan bencana" </w:t>
      </w:r>
      <w:r>
        <w:t xml:space="preserve">(BPK, 2025, hlm. 188–189)</w:t>
      </w:r>
      <w:r>
        <w:t xml:space="preserve">. Mahkamah Konstitusi menyatakan amanat Pasal 7 ayat (3) "hingga saat ini belum dilakukan oleh pemerintah", dan Pemerintah dalam keterangannya mengakui Perpres itu belum dibentuk secara tersendiri </w:t>
      </w:r>
      <w:r>
        <w:t xml:space="preserve">(Mahkamah Konstitusi Republik Indonesia [MK], 2026, hlm. 190, 227–228)</w:t>
      </w:r>
      <w:r>
        <w:t xml:space="preserve">. BPK Perwakilan Jawa Barat menulis hal yang sama pada 3 Februari 2025 </w:t>
      </w:r>
      <w:r>
        <w:t xml:space="preserve">(BPK Perwakilan Provinsi Jawa Barat, 2025)</w:t>
      </w:r>
      <w:r>
        <w:t xml:space="preserve">. Pemerintah juga berpendapat substansi Pasal 7 ayat (3) sudah dielaborasi dalam PP 21/2008, yang Penjelasan Pasal 21 ayat (1) huruf b-nya memasukkan penentuan tingkatan ke dalam penentuan status </w:t>
      </w:r>
      <w:r>
        <w:t xml:space="preserve">(MK, 2026, hlm. 190; Republik Indonesia, 2008a)</w:t>
      </w:r>
      <w:r>
        <w:t xml:space="preserve">. Mahkamah tetap menyatakan aturan lanjut itu belum dibuat. Status belum terbit adalah hasil penelusuran, karena basis data peraturan Kementerian Sekretariat Negara tidak dapat dicari.</w:t>
      </w:r>
    </w:p>
    <w:p>
      <w:pPr>
        <w:pStyle w:val="IsiTemuan"/>
      </w:pPr>
      <w:r>
        <w:rPr>
          <w:b/>
          <w:bCs/>
          <w:color w:val="051C2C"/>
        </w:rPr>
        <w:t xml:space="preserve">Putusan MK 261/PUU-XXIII/2025 tanggal 28 Agustus 2026 memaknai ulang UU 24/2007 Pasal 7 ayat (2): status bencana nasional didasarkan pada sekurang-kurangnya </w:t>
      </w:r>
      <w:r>
        <w:rPr>
          <w:b/>
          <w:bCs/>
          <w:color w:val="051C2C"/>
        </w:rPr>
        <w:t xml:space="preserve">3</w:t>
      </w:r>
      <w:r>
        <w:rPr>
          <w:b/>
          <w:bCs/>
          <w:color w:val="051C2C"/>
        </w:rPr>
        <w:t xml:space="preserve"> dari </w:t>
      </w:r>
      <w:r>
        <w:rPr>
          <w:b/>
          <w:bCs/>
          <w:color w:val="051C2C"/>
        </w:rPr>
        <w:t xml:space="preserve">5 indikator</w:t>
      </w:r>
      <w:r>
        <w:rPr>
          <w:b/>
          <w:bCs/>
          <w:color w:val="051C2C"/>
        </w:rPr>
        <w:t xml:space="preserve">, dengan jumlah korban wajib dipenuhi.</w:t>
      </w:r>
      <w:r>
        <w:t xml:space="preserve"> Permohonan atas Pasal 7 ayat (3) dan Pasal 84 ditolak </w:t>
      </w:r>
      <w:r>
        <w:t xml:space="preserve">(MK, 2026, hlm. 234–240)</w:t>
      </w:r>
      <w:r>
        <w:t xml:space="preserve">. Pertimbangan [3.13.6] memberi rambu bahwa status menjadi nasional bila dampak melampaui kemampuan pemerintah daerah, dan permohonan diajukan dengan latar banjir akhir 2025 di Aceh dan Sumatera Utara </w:t>
      </w:r>
      <w:r>
        <w:t xml:space="preserve">(MK, 2026, hlm. 221, 229)</w:t>
      </w:r>
      <w:r>
        <w:t xml:space="preserve">. Kajian menilai kesenjangan norma bergeser sejak Agustus 2026. Indikator status kini punya tafsir mengikat, sedangkan tata cara penetapan dan ambang tiap indikator tetap tanpa Perpres, begitu pula penetapan tingkatan. Jumlah korban kini indikator wajib, sehingga catatan korban di Data dan Informasi Bencana Indonesia (DIBI) ikut menjadi data penentu status (</w:t>
      </w:r>
      <w:r>
        <w:t xml:space="preserve">Subbab </w:t>
      </w:r>
      <w:r>
        <w:fldChar w:fldCharType="begin"/>
      </w:r>
      <w:r>
        <w:instrText xml:space="preserve"> REF _Ref0168 \h \* CHARFORMAT </w:instrText>
      </w:r>
      <w:r>
        <w:fldChar w:fldCharType="separate"/>
      </w:r>
      <w:r>
        <w:t xml:space="preserve">10.3</w:t>
      </w:r>
      <w:r>
        <w:fldChar w:fldCharType="end"/>
      </w:r>
      <w:r>
        <w:t xml:space="preserve">).</w:t>
      </w:r>
    </w:p>
    <w:p>
      <w:pPr>
        <w:pStyle w:val="IsiTemuan"/>
      </w:pPr>
      <w:r>
        <w:rPr>
          <w:b/>
          <w:bCs/>
          <w:color w:val="051C2C"/>
        </w:rPr>
        <w:t xml:space="preserve">Menurut IHPS II 2024, </w:t>
      </w:r>
      <w:r>
        <w:rPr>
          <w:b/>
          <w:bCs/>
          <w:color w:val="051C2C"/>
        </w:rPr>
        <w:t xml:space="preserve">6 peraturan pelaksana</w:t>
      </w:r>
      <w:r>
        <w:rPr>
          <w:b/>
          <w:bCs/>
          <w:color w:val="051C2C"/>
        </w:rPr>
        <w:t xml:space="preserve"> belum disahkan dan </w:t>
      </w:r>
      <w:r>
        <w:rPr>
          <w:b/>
          <w:bCs/>
          <w:color w:val="051C2C"/>
        </w:rPr>
        <w:t xml:space="preserve">11 peraturan pelaksana</w:t>
      </w:r>
      <w:r>
        <w:rPr>
          <w:b/>
          <w:bCs/>
          <w:color w:val="051C2C"/>
        </w:rPr>
        <w:t xml:space="preserve"> belum diinisiasi BNPB.</w:t>
      </w:r>
      <w:r>
        <w:t xml:space="preserve"> BPK merekomendasikan Kepala BNPB mengesahkan peraturan itu dan menginisiasi Perpres status dan tingkatan bencana; judul masing-masing peraturan tidak disebut dalam IHPS </w:t>
      </w:r>
      <w:r>
        <w:t xml:space="preserve">(BPK, 2025, hlm. 188–189)</w:t>
      </w:r>
      <w:r>
        <w:t xml:space="preserve">. Program Penyusunan Peraturan (Progsun) BNPB 2026 memuat </w:t>
      </w:r>
      <w:r>
        <w:t xml:space="preserve">11 rancangan peraturan</w:t>
      </w:r>
      <w:r>
        <w:t xml:space="preserve"> dan berlaku satu tahun </w:t>
      </w:r>
      <w:r>
        <w:t xml:space="preserve">(BNPB, 2025b)</w:t>
      </w:r>
      <w:r>
        <w:t xml:space="preserve">. Kebutuhan yang muncul sesudah Progsun ditetapkan pada 31 Desember 2025 tidak ada di dalamnya, yaitu pedoman Perpres 46/2026 Pasal 3 ayat (4), perubahan Renas PB, perubahan Perban 2/2024, dan syarat manfaat-biaya Dana Bersama. Daftar kebutuhan itu disusun kajian ini.</w:t>
      </w:r>
    </w:p>
    <w:p>
      <w:pPr>
        <w:pStyle w:val="IsiTemuan"/>
      </w:pPr>
      <w:r>
        <w:rPr>
          <w:b/>
          <w:bCs/>
          <w:color w:val="051C2C"/>
        </w:rPr>
        <w:t xml:space="preserve">Perpres 46/2026 tanggal 16 Juli 2026 memperluas keadaan tertentu ke potensi bencana nonalam dan sosial serta ke daerah dalam rekonsiliasi pascakonflik berkapasitas fiskal rendah, tetapi Perban 5/2018 masih melaksanakan Perpres 17/2018 versi lama.</w:t>
      </w:r>
      <w:r>
        <w:t xml:space="preserve"> Pasal 3 ayat (4) Perpres itu menyerahkan ketentuan lebih lanjut ke pedoman yang ditetapkan Kepala BNPB </w:t>
      </w:r>
      <w:r>
        <w:t xml:space="preserve">(Republik Indonesia, 2026a, hlm. 3–4)</w:t>
      </w:r>
      <w:r>
        <w:t xml:space="preserve">. Perban 5/2018 tidak memuat kata konflik dan masih menyebut Kementerian Pekerjaan Umum dan Perumahan Rakyat sebagai anggota rapat koordinasi </w:t>
      </w:r>
      <w:r>
        <w:t xml:space="preserve">(BNPB, 2018f, hlm. 1, 3, 6)</w:t>
      </w:r>
      <w:r>
        <w:t xml:space="preserve">. Untuk epidemi, penetapan status "kejadian luar biasa" (KLB) oleh kepala daerah atau Menteri Kesehatan menurut UU 17/2023 terkait dengan status keadaan darurat bencana menurut Perpres 17/2018 Pasal 2 hanya pada skala nasional, lewat UU 17/2023 Pasal 369–370 </w:t>
      </w:r>
      <w:r>
        <w:t xml:space="preserve">(Republik Indonesia, 2023b, 2018c)</w:t>
      </w:r>
      <w:r>
        <w:t xml:space="preserve">. Pengait skala provinsi dan kab/kota tidak ditemukan pada peraturan yang dibaca di Bab 8. BPK juga mencatat Menteri Kesehatan belum memutakhirkan Permenkes 75/2019 tentang Penanggulangan Krisis Kesehatan sesuai PP 28/2024 </w:t>
      </w:r>
      <w:r>
        <w:t xml:space="preserve">(BPK, 2025, hlm. 184)</w:t>
      </w:r>
      <w:r>
        <w:t xml:space="preserve">. Untuk konflik, status keadaan konflik ditetapkan kepala daerah atau Presiden menurut UU 7/2012 Pasal 16–20, sedangkan konflik antarkelompok juga bencana sosial menurut UU 24/2007 Pasal 1 angka 4 </w:t>
      </w:r>
      <w:r>
        <w:t xml:space="preserve">(Republik Indonesia, 2012, 2007)</w:t>
      </w:r>
      <w:r>
        <w:t xml:space="preserve">.</w:t>
      </w:r>
    </w:p>
    <w:p>
      <w:pPr>
        <w:pStyle w:val="IsiTemuan"/>
      </w:pPr>
      <w:r>
        <w:rPr>
          <w:b/>
          <w:bCs/>
          <w:color w:val="051C2C"/>
        </w:rPr>
        <w:t xml:space="preserve">Inpres 3/2020 tentang karhutla, yang masih berstatus berlaku, ditujukan antara lain kepada Menteri Lingkungan Hidup dan Kehutanan, Kepala Lembaga Penerbangan dan Antariksa Nasional (LAPAN), Kepala Badan Pengkajian dan Penerapan Teknologi (BPPT), dan Sekretaris Kabinet.</w:t>
      </w:r>
      <w:r>
        <w:t xml:space="preserve"> Pengendalian kebakaran hutan kini berada di Kementerian Kehutanan, kebakaran lahan di Badan Pengendalian Lingkungan Hidup, LAPAN dan BPPT dilebur ke Badan Riset dan Inovasi Nasional (BRIN), dan Sekretariat Kabinet dibubarkan </w:t>
      </w:r>
      <w:r>
        <w:t xml:space="preserve">(Republik Indonesia, 2020a; Pantau Bencana, 2026b)</w:t>
      </w:r>
      <w:r>
        <w:t xml:space="preserve">. Perpres 1/2019 Pasal 13 masih menempatkan Kemenko Polhukam dan Kementerian PUPR di Unsur Pengarah, dan Perban 6/2018 Pasal 17 ayat (2) membagi peran bantuan internasional ke kementerian dengan nama lama </w:t>
      </w:r>
      <w:r>
        <w:t xml:space="preserve">(Republik Indonesia, 2019a; BNPB, 2018g)</w:t>
      </w:r>
      <w:r>
        <w:t xml:space="preserve">. Sebaliknya, Perban 6/2025 Pasal 10 ayat (2) sudah memakai nama baru untuk </w:t>
      </w:r>
      <w:r>
        <w:t xml:space="preserve">11 pejabat instansi</w:t>
      </w:r>
      <w:r>
        <w:t xml:space="preserve"> anggota Unsur Pengarah </w:t>
      </w:r>
      <w:r>
        <w:t xml:space="preserve">(BNPB, 2025f, hlm. 3–4)</w:t>
      </w:r>
      <w:r>
        <w:t xml:space="preserve">. Ketertinggalan nomenklatur karena itu tinggal di tingkat Perpres dan Perban 6/2018.</w:t>
      </w:r>
    </w:p>
    <w:p>
      <w:pPr>
        <w:pStyle w:val="IsiTemuan"/>
      </w:pPr>
      <w:r>
        <w:rPr>
          <w:b/>
          <w:bCs/>
          <w:color w:val="051C2C"/>
        </w:rPr>
        <w:t xml:space="preserve">Renas PB 2025–2029 mencatat "Belum optimalnya regulasi peringatan dini yang ada terutama untuk multi ancaman bencana" (hlm. 26).</w:t>
      </w:r>
      <w:r>
        <w:t xml:space="preserve"> Menurut IHPS II 2024, regulasi fungsi peringatan dini di BMKG belum sepenuhnya ditetapkan, termasuk kekosongan pengaturan peringatan dini banjir yang tidak disebabkan luapan daerah aliran sungai, dan BPK merekomendasikan landasan hukum sistem informasi hidrologi diusulkan kepada Presiden </w:t>
      </w:r>
      <w:r>
        <w:t xml:space="preserve">(BNPB, 2025c, hlm. 26; BPK, 2025, hlm. 186–187)</w:t>
      </w:r>
      <w:r>
        <w:t xml:space="preserve">. PP 30/2024 Pasal 96 menetapkan sistem peringatan dini pada setiap wilayah sungai, dan kajian tidak menemukan norma yang menyambungkannya ke Perban 2/2024 </w:t>
      </w:r>
      <w:r>
        <w:t xml:space="preserve">(Pantau Bencana, 2026b)</w:t>
      </w:r>
      <w:r>
        <w:t xml:space="preserve">. Untuk daerah, BPK mencatat Kemendagri belum menyelesaikan perubahan Permendagri 46/2008 tentang Pedoman Organisasi dan Tata Kerja Badan Penanggulangan Bencana Daerah (BPBD), dan norma pemaduan dokumen kebencanaan ke perencanaan daerah belum ada </w:t>
      </w:r>
      <w:r>
        <w:t xml:space="preserve">(BPK, 2025, hlm. 182–183)</w:t>
      </w:r>
      <w:r>
        <w:t xml:space="preserve">. Renas juga menulis belum optimalnya dukungan regulasi untuk persyaratan analisis risiko bencana dalam perizinan berusaha; rancangan Perban tentang itu masuk Progsun 2026 butir 3 </w:t>
      </w:r>
      <w:r>
        <w:t xml:space="preserve">(BNPB, 2025c, hlm. 28, 2025b)</w:t>
      </w:r>
      <w:r>
        <w:t xml:space="preserve">.</w:t>
      </w:r>
    </w:p>
    <w:p>
      <w:pPr>
        <w:pStyle w:val="IsiTemuan"/>
      </w:pPr>
      <w:r>
        <w:rPr>
          <w:b/>
          <w:bCs/>
          <w:color w:val="051C2C"/>
        </w:rPr>
        <w:t xml:space="preserve">Dua belas dari </w:t>
      </w:r>
      <w:r>
        <w:rPr>
          <w:b/>
          <w:bCs/>
          <w:color w:val="051C2C"/>
        </w:rPr>
        <w:t xml:space="preserve">17</w:t>
      </w:r>
      <w:r>
        <w:rPr>
          <w:b/>
          <w:bCs/>
          <w:color w:val="051C2C"/>
        </w:rPr>
        <w:t xml:space="preserve"> celah kelembagaan dalam paket data kajian berada di luar rezim air, dan pola yang berulang di antaranya adalah selisih waktu antara norma atas dan norma pelaksana (</w:t>
      </w:r>
      <w:r>
        <w:rPr>
          <w:b/>
          <w:bCs/>
          <w:color w:val="051C2C"/>
        </w:rPr>
        <w:fldChar w:fldCharType="begin"/>
      </w:r>
      <w:r>
        <w:rPr>
          <w:b/>
          <w:bCs/>
          <w:color w:val="051C2C"/>
        </w:rPr>
        <w:instrText xml:space="preserve"> REF _Ref0241 \h \* CHARFORMAT </w:instrText>
      </w:r>
      <w:r>
        <w:rPr>
          <w:b/>
          <w:bCs/>
          <w:color w:val="051C2C"/>
        </w:rPr>
        <w:fldChar w:fldCharType="separate"/>
      </w:r>
      <w:r>
        <w:rPr>
          <w:b/>
          <w:bCs/>
          <w:color w:val="051C2C"/>
        </w:rPr>
        <w:t xml:space="preserve">Tabel 10.1</w:t>
      </w:r>
      <w:r>
        <w:rPr>
          <w:b/>
          <w:bCs/>
          <w:color w:val="051C2C"/>
        </w:rPr>
        <w:fldChar w:fldCharType="end"/>
      </w:r>
      <w:r>
        <w:rPr>
          <w:b/>
          <w:bCs/>
          <w:color w:val="051C2C"/>
        </w:rPr>
        <w:t xml:space="preserve">).</w:t>
      </w:r>
      <w:r>
        <w:t xml:space="preserve"> Perpres 46/2026 terbit sesudah Progsun 2026, Perban 11/2025 tidak menyesuaikan Perban 2/2024, dan Perpres organisasi kementerian 2024–2025 tidak diikuti penyesuaian Inpres 3/2020, Perpres 1/2019, dan Perban 6/2018 </w:t>
      </w:r>
      <w:r>
        <w:t xml:space="preserve">(BNPB, 2025d, 2025b)</w:t>
      </w:r>
      <w:r>
        <w:t xml:space="preserve">. Data itu menunjukkan selisih waktu, bukan kelalaian. Kajian menilai norma yang paling tidak terhubung menyangkut epidemi dan konflik, termasuk keadaan tertentu pascakonflik, jenis yang juga tidak punya program (</w:t>
      </w:r>
      <w:r>
        <w:t xml:space="preserve">Subbab </w:t>
      </w:r>
      <w:r>
        <w:fldChar w:fldCharType="begin"/>
      </w:r>
      <w:r>
        <w:instrText xml:space="preserve"> REF _Ref0167 \h \* CHARFORMAT </w:instrText>
      </w:r>
      <w:r>
        <w:fldChar w:fldCharType="separate"/>
      </w:r>
      <w:r>
        <w:t xml:space="preserve">10.8</w:t>
      </w:r>
      <w:r>
        <w:fldChar w:fldCharType="end"/>
      </w:r>
      <w:r>
        <w:t xml:space="preserve">).</w:t>
      </w:r>
    </w:p>
    <w:p>
      <w:pPr>
        <w:pStyle w:val="Caption"/>
      </w:pPr>
      <w:bookmarkStart w:id="595" w:name="_Toc00189"/>
      <w:bookmarkStart w:id="594" w:name="_Ref024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94"/>
      <w:r>
        <w:rPr>
          <w:b/>
          <w:bCs/>
          <w:color w:val="051C2C"/>
        </w:rPr>
        <w:t xml:space="preserve"> </w:t>
      </w:r>
      <w:r>
        <w:t xml:space="preserve">Celah kewenangan penanggulangan bencana di luar rezim air menurut teks peraturan, 2026</w:t>
      </w:r>
      <w:bookmarkEnd w:id="59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93"/>
        <w:gridCol w:w="1710"/>
        <w:gridCol w:w="1741"/>
        <w:gridCol w:w="3223"/>
        <w:gridCol w:w="1987"/>
      </w:tblGrid>
      <w:tr>
        <w:trPr>
          <w:cantSplit/>
          <w:tblHeader/>
        </w:trPr>
        <w:tc>
          <w:tcPr>
            <w:tcW w:w="693" w:type="dxa"/>
            <w:shd w:val="clear" w:color="auto" w:fill="051C2C"/>
            <w:vAlign w:val="center"/>
          </w:tcPr>
          <w:p>
            <w:pPr>
              <w:pStyle w:val="KepalaTabel"/>
              <w:suppressAutoHyphens/>
            </w:pPr>
            <w:r>
              <w:t xml:space="preserve">KODE</w:t>
            </w:r>
          </w:p>
        </w:tc>
        <w:tc>
          <w:tcPr>
            <w:tcW w:w="1710" w:type="dxa"/>
            <w:shd w:val="clear" w:color="auto" w:fill="051C2C"/>
            <w:vAlign w:val="center"/>
          </w:tcPr>
          <w:p>
            <w:pPr>
              <w:pStyle w:val="KepalaTabel"/>
              <w:suppressAutoHyphens/>
            </w:pPr>
            <w:r>
              <w:t xml:space="preserve">TOPIK</w:t>
            </w:r>
          </w:p>
        </w:tc>
        <w:tc>
          <w:tcPr>
            <w:tcW w:w="1741" w:type="dxa"/>
            <w:shd w:val="clear" w:color="auto" w:fill="051C2C"/>
            <w:vAlign w:val="center"/>
          </w:tcPr>
          <w:p>
            <w:pPr>
              <w:pStyle w:val="KepalaTabel"/>
              <w:suppressAutoHyphens/>
            </w:pPr>
            <w:r>
              <w:t xml:space="preserve">JENIS</w:t>
            </w:r>
          </w:p>
        </w:tc>
        <w:tc>
          <w:tcPr>
            <w:tcW w:w="3223" w:type="dxa"/>
            <w:shd w:val="clear" w:color="auto" w:fill="051C2C"/>
            <w:vAlign w:val="center"/>
          </w:tcPr>
          <w:p>
            <w:pPr>
              <w:pStyle w:val="KepalaTabel"/>
              <w:suppressAutoHyphens/>
            </w:pPr>
            <w:r>
              <w:t xml:space="preserve">LEMBAGA</w:t>
            </w:r>
          </w:p>
        </w:tc>
        <w:tc>
          <w:tcPr>
            <w:tcW w:w="1987" w:type="dxa"/>
            <w:shd w:val="clear" w:color="auto" w:fill="051C2C"/>
            <w:vAlign w:val="center"/>
          </w:tcPr>
          <w:p>
            <w:pPr>
              <w:pStyle w:val="KepalaTabel"/>
              <w:suppressAutoHyphens/>
            </w:pPr>
            <w:r>
              <w:t xml:space="preserve">JENIS BUKTI</w:t>
            </w:r>
          </w:p>
        </w:tc>
      </w:tr>
      <w:tr>
        <w:trPr>
          <w:cantSplit/>
        </w:trPr>
        <w:tc>
          <w:tcPr>
            <w:tcW w:w="693" w:type="dxa"/>
          </w:tcPr>
          <w:p>
            <w:pPr>
              <w:pStyle w:val="IsiTabel"/>
              <w:suppressAutoHyphens/>
              <w:jc w:val="left"/>
            </w:pPr>
            <w:r>
              <w:t xml:space="preserve">C01</w:t>
            </w:r>
          </w:p>
        </w:tc>
        <w:tc>
          <w:tcPr>
            <w:tcW w:w="1710" w:type="dxa"/>
          </w:tcPr>
          <w:p>
            <w:pPr>
              <w:pStyle w:val="IsiTabel"/>
              <w:suppressAutoHyphens/>
              <w:jc w:val="left"/>
            </w:pPr>
            <w:r>
              <w:t xml:space="preserve">Ketidakjelasan regulasi dan pembagian kewenangan mengakibatkan tumpang tindih penanganan bencana</w:t>
            </w:r>
          </w:p>
        </w:tc>
        <w:tc>
          <w:tcPr>
            <w:tcW w:w="1741" w:type="dxa"/>
          </w:tcPr>
          <w:p>
            <w:pPr>
              <w:pStyle w:val="IsiTabel"/>
              <w:suppressAutoHyphens/>
              <w:jc w:val="left"/>
            </w:pPr>
            <w:r>
              <w:t xml:space="preserve">tumpang tindih</w:t>
            </w:r>
          </w:p>
        </w:tc>
        <w:tc>
          <w:tcPr>
            <w:tcW w:w="3223" w:type="dxa"/>
          </w:tcPr>
          <w:p>
            <w:pPr>
              <w:pStyle w:val="IsiTabel"/>
              <w:suppressAutoHyphens/>
              <w:jc w:val="left"/>
            </w:pPr>
            <w:r>
              <w:t xml:space="preserve">BNPB; BPBD; pemerintah daerah</w:t>
            </w:r>
          </w:p>
        </w:tc>
        <w:tc>
          <w:tcPr>
            <w:tcW w:w="1987" w:type="dxa"/>
          </w:tcPr>
          <w:p>
            <w:pPr>
              <w:pStyle w:val="IsiTabel"/>
              <w:suppressAutoHyphens/>
              <w:jc w:val="left"/>
            </w:pPr>
            <w:r>
              <w:t xml:space="preserve">dinyatakan sumber</w:t>
            </w:r>
          </w:p>
        </w:tc>
      </w:tr>
      <w:tr>
        <w:trPr>
          <w:cantSplit/>
        </w:trPr>
        <w:tc>
          <w:tcPr>
            <w:tcW w:w="693" w:type="dxa"/>
          </w:tcPr>
          <w:p>
            <w:pPr>
              <w:pStyle w:val="IsiTabel"/>
              <w:suppressAutoHyphens/>
              <w:jc w:val="left"/>
            </w:pPr>
            <w:r>
              <w:t xml:space="preserve">C02</w:t>
            </w:r>
          </w:p>
        </w:tc>
        <w:tc>
          <w:tcPr>
            <w:tcW w:w="1710" w:type="dxa"/>
          </w:tcPr>
          <w:p>
            <w:pPr>
              <w:pStyle w:val="IsiTabel"/>
              <w:suppressAutoHyphens/>
              <w:jc w:val="left"/>
            </w:pPr>
            <w:r>
              <w:t xml:space="preserve">Belanja tidak terduga (BTT) dan dana siap pakai (DSP) belum sinkron; Tim Reaksi Cepat multisektor tanpa aturan; koordinasi sistem komando kurang</w:t>
            </w:r>
          </w:p>
        </w:tc>
        <w:tc>
          <w:tcPr>
            <w:tcW w:w="1741" w:type="dxa"/>
          </w:tcPr>
          <w:p>
            <w:pPr>
              <w:pStyle w:val="IsiTabel"/>
              <w:suppressAutoHyphens/>
              <w:jc w:val="left"/>
            </w:pPr>
            <w:r>
              <w:t xml:space="preserve">celah</w:t>
            </w:r>
          </w:p>
        </w:tc>
        <w:tc>
          <w:tcPr>
            <w:tcW w:w="3223" w:type="dxa"/>
          </w:tcPr>
          <w:p>
            <w:pPr>
              <w:pStyle w:val="IsiTabel"/>
              <w:suppressAutoHyphens/>
              <w:jc w:val="left"/>
            </w:pPr>
            <w:r>
              <w:t xml:space="preserve">BNPB; BPBD; Kemenkeu; Kemendagri</w:t>
            </w:r>
          </w:p>
        </w:tc>
        <w:tc>
          <w:tcPr>
            <w:tcW w:w="1987" w:type="dxa"/>
          </w:tcPr>
          <w:p>
            <w:pPr>
              <w:pStyle w:val="IsiTabel"/>
              <w:suppressAutoHyphens/>
              <w:jc w:val="left"/>
            </w:pPr>
            <w:r>
              <w:t xml:space="preserve">dinyatakan sumber</w:t>
            </w:r>
          </w:p>
        </w:tc>
      </w:tr>
      <w:tr>
        <w:trPr>
          <w:cantSplit/>
        </w:trPr>
        <w:tc>
          <w:tcPr>
            <w:tcW w:w="693" w:type="dxa"/>
          </w:tcPr>
          <w:p>
            <w:pPr>
              <w:pStyle w:val="IsiTabel"/>
              <w:suppressAutoHyphens/>
              <w:jc w:val="left"/>
            </w:pPr>
            <w:r>
              <w:t xml:space="preserve">C03</w:t>
            </w:r>
          </w:p>
        </w:tc>
        <w:tc>
          <w:tcPr>
            <w:tcW w:w="1710" w:type="dxa"/>
          </w:tcPr>
          <w:p>
            <w:pPr>
              <w:pStyle w:val="IsiTabel"/>
              <w:suppressAutoHyphens/>
              <w:jc w:val="left"/>
            </w:pPr>
            <w:r>
              <w:t xml:space="preserve">Regulasi peringatan dini multiancaman belum memadai</w:t>
            </w:r>
          </w:p>
        </w:tc>
        <w:tc>
          <w:tcPr>
            <w:tcW w:w="1741" w:type="dxa"/>
          </w:tcPr>
          <w:p>
            <w:pPr>
              <w:pStyle w:val="IsiTabel"/>
              <w:suppressAutoHyphens/>
              <w:jc w:val="left"/>
            </w:pPr>
            <w:r>
              <w:t xml:space="preserve">celah</w:t>
            </w:r>
          </w:p>
        </w:tc>
        <w:tc>
          <w:tcPr>
            <w:tcW w:w="3223" w:type="dxa"/>
          </w:tcPr>
          <w:p>
            <w:pPr>
              <w:pStyle w:val="IsiTabel"/>
              <w:suppressAutoHyphens/>
              <w:jc w:val="left"/>
            </w:pPr>
            <w:r>
              <w:t xml:space="preserve">BNPB</w:t>
            </w:r>
          </w:p>
        </w:tc>
        <w:tc>
          <w:tcPr>
            <w:tcW w:w="1987" w:type="dxa"/>
          </w:tcPr>
          <w:p>
            <w:pPr>
              <w:pStyle w:val="IsiTabel"/>
              <w:suppressAutoHyphens/>
              <w:jc w:val="left"/>
            </w:pPr>
            <w:r>
              <w:t xml:space="preserve">dinyatakan sumber</w:t>
            </w:r>
          </w:p>
        </w:tc>
      </w:tr>
      <w:tr>
        <w:trPr>
          <w:cantSplit/>
        </w:trPr>
        <w:tc>
          <w:tcPr>
            <w:tcW w:w="693" w:type="dxa"/>
          </w:tcPr>
          <w:p>
            <w:pPr>
              <w:pStyle w:val="IsiTabel"/>
              <w:suppressAutoHyphens/>
              <w:jc w:val="left"/>
            </w:pPr>
            <w:r>
              <w:t xml:space="preserve">C04</w:t>
            </w:r>
          </w:p>
        </w:tc>
        <w:tc>
          <w:tcPr>
            <w:tcW w:w="1710" w:type="dxa"/>
          </w:tcPr>
          <w:p>
            <w:pPr>
              <w:pStyle w:val="IsiTabel"/>
              <w:suppressAutoHyphens/>
              <w:jc w:val="left"/>
            </w:pPr>
            <w:r>
              <w:t xml:space="preserve">Inpres 3/2020 berlaku dengan alamat lembaga yang sudah berubah</w:t>
            </w:r>
          </w:p>
        </w:tc>
        <w:tc>
          <w:tcPr>
            <w:tcW w:w="1741" w:type="dxa"/>
          </w:tcPr>
          <w:p>
            <w:pPr>
              <w:pStyle w:val="IsiTabel"/>
              <w:suppressAutoHyphens/>
              <w:jc w:val="left"/>
            </w:pPr>
            <w:r>
              <w:t xml:space="preserve">nomenklatur usang</w:t>
            </w:r>
          </w:p>
        </w:tc>
        <w:tc>
          <w:tcPr>
            <w:tcW w:w="3223" w:type="dxa"/>
          </w:tcPr>
          <w:p>
            <w:pPr>
              <w:pStyle w:val="IsiTabel"/>
              <w:suppressAutoHyphens/>
              <w:jc w:val="left"/>
            </w:pPr>
            <w:r>
              <w:t xml:space="preserve">Kementerian Kehutanan; KLH/BPLH; BRIN; BMKG</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C08</w:t>
            </w:r>
          </w:p>
        </w:tc>
        <w:tc>
          <w:tcPr>
            <w:tcW w:w="1710" w:type="dxa"/>
          </w:tcPr>
          <w:p>
            <w:pPr>
              <w:pStyle w:val="IsiTabel"/>
              <w:suppressAutoHyphens/>
              <w:jc w:val="left"/>
            </w:pPr>
            <w:r>
              <w:t xml:space="preserve">Klaster nasional berkurang dari delapan menjadi enam; nama koordinator pendidikan usang</w:t>
            </w:r>
          </w:p>
        </w:tc>
        <w:tc>
          <w:tcPr>
            <w:tcW w:w="1741" w:type="dxa"/>
          </w:tcPr>
          <w:p>
            <w:pPr>
              <w:pStyle w:val="IsiTabel"/>
              <w:suppressAutoHyphens/>
              <w:jc w:val="left"/>
            </w:pPr>
            <w:r>
              <w:t xml:space="preserve">nomenklatur usang</w:t>
            </w:r>
          </w:p>
        </w:tc>
        <w:tc>
          <w:tcPr>
            <w:tcW w:w="3223" w:type="dxa"/>
          </w:tcPr>
          <w:p>
            <w:pPr>
              <w:pStyle w:val="IsiTabel"/>
              <w:suppressAutoHyphens/>
              <w:jc w:val="left"/>
            </w:pPr>
            <w:r>
              <w:t xml:space="preserve">Kementerian PU; Kementan; Kemendikdasmen; BNPB</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C09</w:t>
            </w:r>
          </w:p>
        </w:tc>
        <w:tc>
          <w:tcPr>
            <w:tcW w:w="1710" w:type="dxa"/>
          </w:tcPr>
          <w:p>
            <w:pPr>
              <w:pStyle w:val="IsiTabel"/>
              <w:suppressAutoHyphens/>
              <w:jc w:val="left"/>
            </w:pPr>
            <w:r>
              <w:t xml:space="preserve">UU 6/2018 dicabut UU 17/2023; dua penetapan status untuk satu kejadian epidemi, dengan pengait hanya pada skala nasional (UU 17/2023 Pasal 369–370)</w:t>
            </w:r>
          </w:p>
        </w:tc>
        <w:tc>
          <w:tcPr>
            <w:tcW w:w="1741" w:type="dxa"/>
          </w:tcPr>
          <w:p>
            <w:pPr>
              <w:pStyle w:val="IsiTabel"/>
              <w:suppressAutoHyphens/>
              <w:jc w:val="left"/>
            </w:pPr>
            <w:r>
              <w:t xml:space="preserve">regulasi dicabut</w:t>
            </w:r>
          </w:p>
        </w:tc>
        <w:tc>
          <w:tcPr>
            <w:tcW w:w="3223" w:type="dxa"/>
          </w:tcPr>
          <w:p>
            <w:pPr>
              <w:pStyle w:val="IsiTabel"/>
              <w:suppressAutoHyphens/>
              <w:jc w:val="left"/>
            </w:pPr>
            <w:r>
              <w:t xml:space="preserve">Kemenkes; pemerintah daerah; BNPB</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C10</w:t>
            </w:r>
          </w:p>
        </w:tc>
        <w:tc>
          <w:tcPr>
            <w:tcW w:w="1710" w:type="dxa"/>
          </w:tcPr>
          <w:p>
            <w:pPr>
              <w:pStyle w:val="IsiTabel"/>
              <w:suppressAutoHyphens/>
              <w:jc w:val="left"/>
            </w:pPr>
            <w:r>
              <w:t xml:space="preserve">Konflik sosial diatur UU 7/2012 dan UU 24/2007; fungsi koordinator yang dirujuk sudah terbelah</w:t>
            </w:r>
          </w:p>
        </w:tc>
        <w:tc>
          <w:tcPr>
            <w:tcW w:w="1741" w:type="dxa"/>
          </w:tcPr>
          <w:p>
            <w:pPr>
              <w:pStyle w:val="IsiTabel"/>
              <w:suppressAutoHyphens/>
              <w:jc w:val="left"/>
            </w:pPr>
            <w:r>
              <w:t xml:space="preserve">tumpang tindih</w:t>
            </w:r>
          </w:p>
        </w:tc>
        <w:tc>
          <w:tcPr>
            <w:tcW w:w="3223" w:type="dxa"/>
          </w:tcPr>
          <w:p>
            <w:pPr>
              <w:pStyle w:val="IsiTabel"/>
              <w:suppressAutoHyphens/>
              <w:jc w:val="left"/>
            </w:pPr>
            <w:r>
              <w:t xml:space="preserve">pemerintah daerah; BNPB; Kemenko Polkam; Kemenko PMK; Polri</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C11</w:t>
            </w:r>
          </w:p>
        </w:tc>
        <w:tc>
          <w:tcPr>
            <w:tcW w:w="1710" w:type="dxa"/>
          </w:tcPr>
          <w:p>
            <w:pPr>
              <w:pStyle w:val="IsiTabel"/>
              <w:suppressAutoHyphens/>
              <w:jc w:val="left"/>
            </w:pPr>
            <w:r>
              <w:t xml:space="preserve">Kementerian BUMN masih tercantum di Perpres 140/2024 jo. 90/2025 padahal sudah diganti BP BUMN</w:t>
            </w:r>
          </w:p>
        </w:tc>
        <w:tc>
          <w:tcPr>
            <w:tcW w:w="1741" w:type="dxa"/>
          </w:tcPr>
          <w:p>
            <w:pPr>
              <w:pStyle w:val="IsiTabel"/>
              <w:suppressAutoHyphens/>
              <w:jc w:val="left"/>
            </w:pPr>
            <w:r>
              <w:t xml:space="preserve">nomenklatur usang</w:t>
            </w:r>
          </w:p>
        </w:tc>
        <w:tc>
          <w:tcPr>
            <w:tcW w:w="3223" w:type="dxa"/>
          </w:tcPr>
          <w:p>
            <w:pPr>
              <w:pStyle w:val="IsiTabel"/>
              <w:suppressAutoHyphens/>
              <w:jc w:val="left"/>
            </w:pPr>
            <w:r>
              <w:t xml:space="preserve">BP BUMN; Kemenko Perekonomian</w:t>
            </w:r>
          </w:p>
        </w:tc>
        <w:tc>
          <w:tcPr>
            <w:tcW w:w="1987" w:type="dxa"/>
          </w:tcPr>
          <w:p>
            <w:pPr>
              <w:pStyle w:val="IsiTabel"/>
              <w:suppressAutoHyphens/>
              <w:jc w:val="left"/>
            </w:pPr>
            <w:r>
              <w:t xml:space="preserve">disimpulkan penyusun</w:t>
            </w:r>
          </w:p>
        </w:tc>
      </w:tr>
      <w:tr>
        <w:trPr>
          <w:cantSplit/>
        </w:trPr>
        <w:tc>
          <w:tcPr>
            <w:tcW w:w="693" w:type="dxa"/>
          </w:tcPr>
          <w:p>
            <w:pPr>
              <w:pStyle w:val="IsiTabel"/>
              <w:keepNext/>
              <w:suppressAutoHyphens/>
              <w:jc w:val="left"/>
            </w:pPr>
            <w:bookmarkStart w:id="596" w:name="_Ekor071a"/>
            <w:bookmarkEnd w:id="596"/>
            <w:r>
              <w:t xml:space="preserve">C12</w:t>
            </w:r>
          </w:p>
        </w:tc>
        <w:tc>
          <w:tcPr>
            <w:tcW w:w="1710" w:type="dxa"/>
          </w:tcPr>
          <w:p>
            <w:pPr>
              <w:pStyle w:val="IsiTabel"/>
              <w:keepNext/>
              <w:suppressAutoHyphens/>
              <w:jc w:val="left"/>
            </w:pPr>
            <w:r>
              <w:t xml:space="preserve">Unsur Pengarah dalam Perpres 1/2019 dan peran bantuan internasional dalam Perban 6/2018 memakai nama lama</w:t>
            </w:r>
          </w:p>
        </w:tc>
        <w:tc>
          <w:tcPr>
            <w:tcW w:w="1741" w:type="dxa"/>
          </w:tcPr>
          <w:p>
            <w:pPr>
              <w:pStyle w:val="IsiTabel"/>
              <w:keepNext/>
              <w:suppressAutoHyphens/>
              <w:jc w:val="left"/>
            </w:pPr>
            <w:r>
              <w:t xml:space="preserve">nomenklatur usang</w:t>
            </w:r>
          </w:p>
        </w:tc>
        <w:tc>
          <w:tcPr>
            <w:tcW w:w="3223" w:type="dxa"/>
          </w:tcPr>
          <w:p>
            <w:pPr>
              <w:pStyle w:val="IsiTabel"/>
              <w:keepNext/>
              <w:suppressAutoHyphens/>
              <w:jc w:val="left"/>
            </w:pPr>
            <w:r>
              <w:t xml:space="preserve">BNPB; Kemenko Polkam; Kementerian PU; BRIN</w:t>
            </w:r>
          </w:p>
        </w:tc>
        <w:tc>
          <w:tcPr>
            <w:tcW w:w="1987" w:type="dxa"/>
          </w:tcPr>
          <w:p>
            <w:pPr>
              <w:pStyle w:val="IsiTabel"/>
              <w:keepNext/>
              <w:suppressAutoHyphens/>
              <w:jc w:val="left"/>
            </w:pPr>
            <w:r>
              <w:t xml:space="preserve">disimpulkan penyusun</w:t>
            </w:r>
          </w:p>
        </w:tc>
      </w:tr>
      <w:tr>
        <w:trPr>
          <w:cantSplit/>
        </w:trPr>
        <w:tc>
          <w:tcPr>
            <w:tcW w:w="693" w:type="dxa"/>
          </w:tcPr>
          <w:p>
            <w:pPr>
              <w:pStyle w:val="IsiTabel"/>
              <w:keepNext/>
              <w:suppressAutoHyphens/>
              <w:jc w:val="left"/>
            </w:pPr>
            <w:r>
              <w:t xml:space="preserve">C14</w:t>
            </w:r>
          </w:p>
        </w:tc>
        <w:tc>
          <w:tcPr>
            <w:tcW w:w="1710" w:type="dxa"/>
          </w:tcPr>
          <w:p>
            <w:pPr>
              <w:pStyle w:val="IsiTabel"/>
              <w:keepNext/>
              <w:suppressAutoHyphens/>
              <w:jc w:val="left"/>
            </w:pPr>
            <w:r>
              <w:t xml:space="preserve">Pengawasan keselamatan kebakaran industri ada pada tiga menteri sektor tanpa menyebut BNPB; titik temunya dengan rezim penanggulangan bencana, persyaratan analisis risiko Perka BNPB 5/2008, teksnya tidak tersedia</w:t>
            </w:r>
          </w:p>
        </w:tc>
        <w:tc>
          <w:tcPr>
            <w:tcW w:w="1741" w:type="dxa"/>
          </w:tcPr>
          <w:p>
            <w:pPr>
              <w:pStyle w:val="IsiTabel"/>
              <w:keepNext/>
              <w:suppressAutoHyphens/>
              <w:jc w:val="left"/>
            </w:pPr>
            <w:r>
              <w:t xml:space="preserve">celah</w:t>
            </w:r>
          </w:p>
        </w:tc>
        <w:tc>
          <w:tcPr>
            <w:tcW w:w="3223" w:type="dxa"/>
          </w:tcPr>
          <w:p>
            <w:pPr>
              <w:pStyle w:val="IsiTabel"/>
              <w:keepNext/>
              <w:suppressAutoHyphens/>
              <w:jc w:val="left"/>
            </w:pPr>
            <w:r>
              <w:t xml:space="preserve">Kementerian ESDM; Kementerian Perindustrian; Kemnaker; pemerintah daerah; BNPB</w:t>
            </w:r>
          </w:p>
        </w:tc>
        <w:tc>
          <w:tcPr>
            <w:tcW w:w="1987" w:type="dxa"/>
          </w:tcPr>
          <w:p>
            <w:pPr>
              <w:pStyle w:val="IsiTabel"/>
              <w:keepNext/>
              <w:suppressAutoHyphens/>
              <w:jc w:val="left"/>
            </w:pPr>
            <w:r>
              <w:t xml:space="preserve">disimpulkan penyusun</w:t>
            </w:r>
          </w:p>
        </w:tc>
      </w:tr>
      <w:tr>
        <w:trPr>
          <w:cantSplit/>
        </w:trPr>
        <w:tc>
          <w:tcPr>
            <w:tcW w:w="693" w:type="dxa"/>
          </w:tcPr>
          <w:p>
            <w:pPr>
              <w:pStyle w:val="IsiTabel"/>
              <w:keepNext/>
              <w:suppressAutoHyphens/>
              <w:jc w:val="left"/>
            </w:pPr>
            <w:r>
              <w:t xml:space="preserve">C15</w:t>
            </w:r>
          </w:p>
        </w:tc>
        <w:tc>
          <w:tcPr>
            <w:tcW w:w="1710" w:type="dxa"/>
          </w:tcPr>
          <w:p>
            <w:pPr>
              <w:pStyle w:val="IsiTabel"/>
              <w:keepNext/>
              <w:suppressAutoHyphens/>
              <w:jc w:val="left"/>
            </w:pPr>
            <w:r>
              <w:t xml:space="preserve">Rantai peringatan dini dan pertolongan melintasi tiga Kemenko</w:t>
            </w:r>
          </w:p>
        </w:tc>
        <w:tc>
          <w:tcPr>
            <w:tcW w:w="1741" w:type="dxa"/>
          </w:tcPr>
          <w:p>
            <w:pPr>
              <w:pStyle w:val="IsiTabel"/>
              <w:keepNext/>
              <w:suppressAutoHyphens/>
              <w:jc w:val="left"/>
            </w:pPr>
            <w:r>
              <w:t xml:space="preserve">celah</w:t>
            </w:r>
          </w:p>
        </w:tc>
        <w:tc>
          <w:tcPr>
            <w:tcW w:w="3223" w:type="dxa"/>
          </w:tcPr>
          <w:p>
            <w:pPr>
              <w:pStyle w:val="IsiTabel"/>
              <w:keepNext/>
              <w:suppressAutoHyphens/>
              <w:jc w:val="left"/>
            </w:pPr>
            <w:r>
              <w:t xml:space="preserve">BMKG; Basarnas; BNPB; Kementerian PU; Kementerian ESDM</w:t>
            </w:r>
          </w:p>
        </w:tc>
        <w:tc>
          <w:tcPr>
            <w:tcW w:w="1987" w:type="dxa"/>
          </w:tcPr>
          <w:p>
            <w:pPr>
              <w:pStyle w:val="IsiTabel"/>
              <w:keepNext/>
              <w:suppressAutoHyphens/>
              <w:jc w:val="left"/>
            </w:pPr>
            <w:r>
              <w:t xml:space="preserve">disimpulkan penyusun</w:t>
            </w:r>
          </w:p>
        </w:tc>
      </w:tr>
      <w:tr>
        <w:trPr>
          <w:cantSplit/>
        </w:trPr>
        <w:tc>
          <w:tcPr>
            <w:tcW w:w="693" w:type="dxa"/>
          </w:tcPr>
          <w:p>
            <w:pPr>
              <w:pStyle w:val="IsiTabel"/>
              <w:suppressAutoHyphens/>
              <w:jc w:val="left"/>
            </w:pPr>
            <w:bookmarkStart w:id="597" w:name="_Ekor071z"/>
            <w:bookmarkEnd w:id="597"/>
            <w:r>
              <w:t xml:space="preserve">C17</w:t>
            </w:r>
          </w:p>
        </w:tc>
        <w:tc>
          <w:tcPr>
            <w:tcW w:w="1710" w:type="dxa"/>
          </w:tcPr>
          <w:p>
            <w:pPr>
              <w:pStyle w:val="IsiTabel"/>
              <w:suppressAutoHyphens/>
              <w:jc w:val="left"/>
            </w:pPr>
            <w:r>
              <w:t xml:space="preserve">Sistem peringatan dini per wilayah sungai tidak tersambung ke Perban 2/2024; kekeringan hidrologis tanpa penyedia</w:t>
            </w:r>
          </w:p>
        </w:tc>
        <w:tc>
          <w:tcPr>
            <w:tcW w:w="1741" w:type="dxa"/>
          </w:tcPr>
          <w:p>
            <w:pPr>
              <w:pStyle w:val="IsiTabel"/>
              <w:suppressAutoHyphens/>
              <w:jc w:val="left"/>
            </w:pPr>
            <w:r>
              <w:t xml:space="preserve">celah</w:t>
            </w:r>
          </w:p>
        </w:tc>
        <w:tc>
          <w:tcPr>
            <w:tcW w:w="3223" w:type="dxa"/>
          </w:tcPr>
          <w:p>
            <w:pPr>
              <w:pStyle w:val="IsiTabel"/>
              <w:suppressAutoHyphens/>
              <w:jc w:val="left"/>
            </w:pPr>
            <w:r>
              <w:t xml:space="preserve">BNPB; BMKG; Kementerian PU; Kementerian ESDM</w:t>
            </w:r>
          </w:p>
        </w:tc>
        <w:tc>
          <w:tcPr>
            <w:tcW w:w="1987" w:type="dxa"/>
          </w:tcPr>
          <w:p>
            <w:pPr>
              <w:pStyle w:val="IsiTabel"/>
              <w:suppressAutoHyphens/>
              <w:jc w:val="left"/>
            </w:pPr>
            <w:r>
              <w:t xml:space="preserve">disimpulkan penyusun</w:t>
            </w:r>
          </w:p>
        </w:tc>
      </w:tr>
    </w:tbl>
    <w:p>
      <w:pPr>
        <w:pStyle w:val="Sumber"/>
        <w:spacing w:after="40"/>
      </w:pPr>
      <w:r>
        <w:rPr>
          <w:b/>
          <w:bCs/>
          <w:color w:val="6B7280"/>
          <w:sz w:val="17"/>
          <w:szCs w:val="17"/>
        </w:rPr>
        <w:t xml:space="preserve">Sumber: </w:t>
      </w:r>
      <w:r>
        <w:rPr>
          <w:color w:val="6B7280"/>
          <w:sz w:val="17"/>
          <w:szCs w:val="17"/>
        </w:rPr>
        <w:t xml:space="preserve">Paket data lembaga Pantau Bencana (celah.csv), dicocokkan ke halaman Renstra BNPB 2025–2029, Renas PB 2025–2029, Inpres 3/2020, UU 7/2012, UU 17/2023, UU 24/2007, Perpres 1/2019, Perpres 90/2025, Perban BNPB 2/2024, 6/2018, dan 6/2025; baris C09 dan C14 menurut pembacaan teks lengkap di Bab 8</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Kolom JENIS BUKTI membedakan celah yang dinyatakan dokumen sumber dari celah yang disimpulkan penyusun dari teks resmi; sembilan dari dua belas baris adalah simpulan penyusun. Topik C09 dan C14 disesuaikan dengan teks lengkap UU 17/2023 dan peraturan keselamatan sektoral yang dibaca di Bab 8; isi celah.csv untuk kedua baris belum diperbarui. Baris air (C05, C06, C07, C13, C16) dibahas di kajian air.</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Perpres status dan tingkatan bencana belum terbit, dan </w:t>
            </w:r>
            <w:r>
              <w:rPr>
                <w:b/>
                <w:bCs/>
                <w:color w:val="1A1A1A"/>
              </w:rPr>
              <w:t xml:space="preserve">11</w:t>
            </w:r>
            <w:r>
              <w:rPr>
                <w:b/>
                <w:bCs/>
                <w:color w:val="1A1A1A"/>
              </w:rPr>
              <w:t xml:space="preserve"> peraturan pelaksana belum diinisiasi BNPB menurut BPK</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IHPS II 2024 </w:t>
            </w:r>
            <w:r>
              <w:t xml:space="preserve">(BPK, 2025, hlm. 188–189)</w:t>
            </w:r>
            <w:r>
              <w:t xml:space="preserve">; pertimbangan dan amar Putusan MK 261/PUU-XXIII/2025 </w:t>
            </w:r>
            <w:r>
              <w:t xml:space="preserve">(MK, 2026, hlm. 228, 240)</w:t>
            </w:r>
            <w:r>
              <w:t xml:space="preserve">; Perpres 46/2026 dan Perban 5/2018 </w:t>
            </w:r>
            <w:r>
              <w:t xml:space="preserve">(Republik Indonesia, 2026a; BNPB, 2018f)</w:t>
            </w:r>
            <w:r>
              <w:t xml:space="preserve">; celah C09 dan C10 (</w:t>
            </w:r>
            <w:r>
              <w:fldChar w:fldCharType="begin"/>
            </w:r>
            <w:r>
              <w:instrText xml:space="preserve"> REF _Ref0241 \h \* CHARFORMAT </w:instrText>
            </w:r>
            <w:r>
              <w:fldChar w:fldCharType="separate"/>
            </w:r>
            <w:r>
              <w:t xml:space="preserve">Tabel 10.1</w:t>
            </w:r>
            <w:r>
              <w:fldChar w:fldCharType="end"/>
            </w:r>
            <w:r>
              <w:t xml:space="preserve">).</w:t>
            </w:r>
          </w:p>
          <w:p>
            <w:pPr>
              <w:pStyle w:val="IsiKotak"/>
            </w:pPr>
            <w:r>
              <w:rPr>
                <w:b/>
                <w:bCs/>
                <w:color w:val="1A1A1A"/>
              </w:rPr>
              <w:t xml:space="preserve">Dampak: </w:t>
            </w:r>
            <w:r>
              <w:t xml:space="preserve">Penetapan status bencana nasional bersandar pada tafsir MK tanpa tata cara dan ambang tiap indikator, dan keadaan tertentu nonalam serta pascakonflik belum punya pedoman pelaksana.</w:t>
            </w:r>
          </w:p>
          <w:p>
            <w:pPr>
              <w:pStyle w:val="IsiKotak"/>
            </w:pPr>
            <w:r>
              <w:rPr>
                <w:b/>
                <w:bCs/>
                <w:color w:val="1A1A1A"/>
              </w:rPr>
              <w:t xml:space="preserve">Pembuka: </w:t>
            </w:r>
            <w:r>
              <w:t xml:space="preserve">Biro Hukum, Organisasi, dan Kerja Sama BNPB untuk Progsun 2027; Deputi Bidang Sistem dan Strategi; Kemenko PMK untuk rapat koordinasi dan jalur Perpres (</w:t>
            </w:r>
            <w:r>
              <w:fldChar w:fldCharType="begin"/>
            </w:r>
            <w:r>
              <w:instrText xml:space="preserve"> REF _Ref0091 \h \* CHARFORMAT </w:instrText>
            </w:r>
            <w:r>
              <w:fldChar w:fldCharType="separate"/>
            </w:r>
            <w:r>
              <w:t xml:space="preserve">19</w:t>
            </w:r>
            <w:r>
              <w:fldChar w:fldCharType="end"/>
            </w:r>
            <w:r>
              <w:t xml:space="preserve">); Kementerian Kesehatan untuk pengait status KLB; Kementerian Sekretariat Negara untuk penyesuaian Inpres 3/2020 dan Perpres 1/2019.</w:t>
            </w:r>
          </w:p>
        </w:tc>
      </w:tr>
    </w:tbl>
    <w:p>
      <w:pPr>
        <w:pStyle w:val="Jarak"/>
      </w:pPr>
    </w:p>
    <w:p>
      <w:pPr>
        <w:pStyle w:val="Heading2"/>
      </w:pPr>
      <w:bookmarkStart w:id="599" w:name="_Toc00190"/>
      <w:bookmarkStart w:id="598" w:name="_Ref0171"/>
      <w:r>
        <w:t xml:space="preserve">10.2</w:t>
      </w:r>
      <w:bookmarkEnd w:id="598"/>
      <w:r>
        <w:tab/>
      </w:r>
      <w:r>
        <w:t xml:space="preserve">Kelembagaan dan Komando</w:t>
      </w:r>
      <w:bookmarkEnd w:id="599"/>
    </w:p>
    <w:p>
      <w:pPr>
        <w:pStyle w:val="IsiTemuan"/>
      </w:pPr>
      <w:r>
        <w:rPr>
          <w:b/>
          <w:bCs/>
          <w:color w:val="051C2C"/>
        </w:rPr>
        <w:t xml:space="preserve">Klaster nasional penanggulangan bencana berkurang dari delapan menjadi </w:t>
      </w:r>
      <w:r>
        <w:rPr>
          <w:b/>
          <w:bCs/>
          <w:color w:val="051C2C"/>
        </w:rPr>
        <w:t xml:space="preserve">6 klaster</w:t>
      </w:r>
      <w:r>
        <w:rPr>
          <w:b/>
          <w:bCs/>
          <w:color w:val="051C2C"/>
        </w:rPr>
        <w:t xml:space="preserve"> menurut Keputusan Kepala BNPB 308/2024 yang dikutip Juklak BNPB 16/2025.</w:t>
      </w:r>
      <w:r>
        <w:t xml:space="preserve"> Klaster Sarana dan Prasarana, yang dikoordinasikan Kementerian Pekerjaan Umum, dan klaster Ekonomi, yang dikoordinasikan Kementerian Pertanian, tidak ada lagi (</w:t>
      </w:r>
      <w:r>
        <w:fldChar w:fldCharType="begin"/>
      </w:r>
      <w:r>
        <w:instrText xml:space="preserve"> REF _Ref0305 \h \* CHARFORMAT </w:instrText>
      </w:r>
      <w:r>
        <w:fldChar w:fldCharType="separate"/>
      </w:r>
      <w:r>
        <w:t xml:space="preserve">Tabel 10.2</w:t>
      </w:r>
      <w:r>
        <w:fldChar w:fldCharType="end"/>
      </w:r>
      <w:r>
        <w:t xml:space="preserve">). Koordinator klaster pendidikan masih ditulis Kementerian Pendidikan dan Kebudayaan, nama yang tidak ada dalam daftar kementerian Perpres 90/2025 </w:t>
      </w:r>
      <w:r>
        <w:t xml:space="preserve">(BNPB, 2025j, hlm. 1; Pantau Bencana, 2026b)</w:t>
      </w:r>
      <w:r>
        <w:t xml:space="preserve">. Teks kedua keputusan tidak dibuka. Daftar versi lama hanya tersedia dari berita instansi, yang menulis tahun keputusan berbeda-beda, dan apakah keputusan 2024 mencabut versi lama tidak tertulis di sumber yang dibuka. Integrasi layanan klaster ke Pos Komando Tanggap Darurat mengikuti keputusan 2024 itu </w:t>
      </w:r>
      <w:r>
        <w:t xml:space="preserve">(BNPB, 2025j, hlm. 37)</w:t>
      </w:r>
      <w:r>
        <w:t xml:space="preserve">. Kajian membaca kedua klaster yang hilang sebagai klaster yang paling dekat dengan peralihan dari tanggap darurat ke pemulihan, dan fungsinya kini hanya tersisa di klaster Pemulihan yang dikoordinasikan Kemendagri. Bacaan itu potensi celah peran; data kejadian yang menunjukkan kegagalan tidak ada di bahan kajian.</w:t>
      </w:r>
    </w:p>
    <w:p>
      <w:pPr>
        <w:pStyle w:val="Caption"/>
      </w:pPr>
      <w:bookmarkStart w:id="601" w:name="_Toc00191"/>
      <w:bookmarkStart w:id="600" w:name="_Ref030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00"/>
      <w:r>
        <w:rPr>
          <w:b/>
          <w:bCs/>
          <w:color w:val="051C2C"/>
        </w:rPr>
        <w:t xml:space="preserve"> </w:t>
      </w:r>
      <w:r>
        <w:t xml:space="preserve">Klaster nasional penanggulangan bencana menurut dua versi keputusan Kepala BNPB dan nama lembaga Oktober 2026</w:t>
      </w:r>
      <w:bookmarkEnd w:id="60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23"/>
        <w:gridCol w:w="2134"/>
        <w:gridCol w:w="1282"/>
        <w:gridCol w:w="2371"/>
        <w:gridCol w:w="2144"/>
      </w:tblGrid>
      <w:tr>
        <w:trPr>
          <w:cantSplit/>
          <w:tblHeader/>
        </w:trPr>
        <w:tc>
          <w:tcPr>
            <w:tcW w:w="1423" w:type="dxa"/>
            <w:shd w:val="clear" w:color="auto" w:fill="051C2C"/>
            <w:vAlign w:val="center"/>
          </w:tcPr>
          <w:p>
            <w:pPr>
              <w:pStyle w:val="KepalaTabel"/>
              <w:suppressAutoHyphens/>
            </w:pPr>
            <w:r>
              <w:t xml:space="preserve">KLASTER VERSI LAMA</w:t>
            </w:r>
          </w:p>
        </w:tc>
        <w:tc>
          <w:tcPr>
            <w:tcW w:w="2134" w:type="dxa"/>
            <w:shd w:val="clear" w:color="auto" w:fill="051C2C"/>
            <w:vAlign w:val="center"/>
          </w:tcPr>
          <w:p>
            <w:pPr>
              <w:pStyle w:val="KepalaTabel"/>
              <w:suppressAutoHyphens/>
            </w:pPr>
            <w:r>
              <w:t xml:space="preserve">KOORDINATOR VERSI LAMA</w:t>
            </w:r>
          </w:p>
        </w:tc>
        <w:tc>
          <w:tcPr>
            <w:tcW w:w="1282" w:type="dxa"/>
            <w:shd w:val="clear" w:color="auto" w:fill="051C2C"/>
            <w:vAlign w:val="center"/>
          </w:tcPr>
          <w:p>
            <w:pPr>
              <w:pStyle w:val="KepalaTabel"/>
              <w:suppressAutoHyphens/>
            </w:pPr>
            <w:r>
              <w:t xml:space="preserve">KLASTER KEPKA 308/2024</w:t>
            </w:r>
          </w:p>
        </w:tc>
        <w:tc>
          <w:tcPr>
            <w:tcW w:w="2371" w:type="dxa"/>
            <w:shd w:val="clear" w:color="auto" w:fill="051C2C"/>
            <w:vAlign w:val="center"/>
          </w:tcPr>
          <w:p>
            <w:pPr>
              <w:pStyle w:val="KepalaTabel"/>
              <w:suppressAutoHyphens/>
            </w:pPr>
            <w:r>
              <w:t xml:space="preserve">KOORDINATOR KEPKA 308/2024</w:t>
            </w:r>
          </w:p>
        </w:tc>
        <w:tc>
          <w:tcPr>
            <w:tcW w:w="2144" w:type="dxa"/>
            <w:shd w:val="clear" w:color="auto" w:fill="051C2C"/>
            <w:vAlign w:val="center"/>
          </w:tcPr>
          <w:p>
            <w:pPr>
              <w:pStyle w:val="KepalaTabel"/>
              <w:suppressAutoHyphens/>
            </w:pPr>
            <w:r>
              <w:t xml:space="preserve">NAMA LEMBAGA OKTOBER 2026</w:t>
            </w:r>
          </w:p>
        </w:tc>
      </w:tr>
      <w:tr>
        <w:trPr>
          <w:cantSplit/>
        </w:trPr>
        <w:tc>
          <w:tcPr>
            <w:tcW w:w="1423" w:type="dxa"/>
          </w:tcPr>
          <w:p>
            <w:pPr>
              <w:pStyle w:val="IsiTabel"/>
              <w:suppressAutoHyphens/>
              <w:jc w:val="left"/>
            </w:pPr>
            <w:r>
              <w:t xml:space="preserve">Kesehatan</w:t>
            </w:r>
          </w:p>
        </w:tc>
        <w:tc>
          <w:tcPr>
            <w:tcW w:w="2134" w:type="dxa"/>
          </w:tcPr>
          <w:p>
            <w:pPr>
              <w:pStyle w:val="IsiTabel"/>
              <w:suppressAutoHyphens/>
              <w:jc w:val="left"/>
            </w:pPr>
            <w:r>
              <w:t xml:space="preserve">Kepala Pusat Penanggulangan Krisis Kesehatan, Kementerian Kesehatan</w:t>
            </w:r>
          </w:p>
        </w:tc>
        <w:tc>
          <w:tcPr>
            <w:tcW w:w="1282" w:type="dxa"/>
          </w:tcPr>
          <w:p>
            <w:pPr>
              <w:pStyle w:val="IsiTabel"/>
              <w:suppressAutoHyphens/>
              <w:jc w:val="left"/>
            </w:pPr>
            <w:r>
              <w:t xml:space="preserve">Kesehatan</w:t>
            </w:r>
          </w:p>
        </w:tc>
        <w:tc>
          <w:tcPr>
            <w:tcW w:w="2371" w:type="dxa"/>
          </w:tcPr>
          <w:p>
            <w:pPr>
              <w:pStyle w:val="IsiTabel"/>
              <w:suppressAutoHyphens/>
              <w:jc w:val="left"/>
            </w:pPr>
            <w:r>
              <w:t xml:space="preserve">Kementerian Kesehatan</w:t>
            </w:r>
          </w:p>
        </w:tc>
        <w:tc>
          <w:tcPr>
            <w:tcW w:w="2144" w:type="dxa"/>
          </w:tcPr>
          <w:p>
            <w:pPr>
              <w:pStyle w:val="IsiTabel"/>
              <w:suppressAutoHyphens/>
              <w:jc w:val="left"/>
            </w:pPr>
            <w:r>
              <w:t xml:space="preserve">Kementerian Kesehatan</w:t>
            </w:r>
          </w:p>
        </w:tc>
      </w:tr>
      <w:tr>
        <w:trPr>
          <w:cantSplit/>
        </w:trPr>
        <w:tc>
          <w:tcPr>
            <w:tcW w:w="1423" w:type="dxa"/>
          </w:tcPr>
          <w:p>
            <w:pPr>
              <w:pStyle w:val="IsiTabel"/>
              <w:suppressAutoHyphens/>
              <w:jc w:val="left"/>
            </w:pPr>
            <w:r>
              <w:t xml:space="preserve">Pencarian dan Penyelamatan</w:t>
            </w:r>
          </w:p>
        </w:tc>
        <w:tc>
          <w:tcPr>
            <w:tcW w:w="2134" w:type="dxa"/>
          </w:tcPr>
          <w:p>
            <w:pPr>
              <w:pStyle w:val="IsiTabel"/>
              <w:suppressAutoHyphens/>
              <w:jc w:val="left"/>
            </w:pPr>
            <w:r>
              <w:t xml:space="preserve">Direktur Operasi dan Pelatihan, Basarnas</w:t>
            </w:r>
          </w:p>
        </w:tc>
        <w:tc>
          <w:tcPr>
            <w:tcW w:w="1282" w:type="dxa"/>
          </w:tcPr>
          <w:p>
            <w:pPr>
              <w:pStyle w:val="IsiTabel"/>
              <w:suppressAutoHyphens/>
              <w:jc w:val="left"/>
            </w:pPr>
            <w:r>
              <w:t xml:space="preserve">Pencarian dan Pertolongan</w:t>
            </w:r>
          </w:p>
        </w:tc>
        <w:tc>
          <w:tcPr>
            <w:tcW w:w="2371" w:type="dxa"/>
          </w:tcPr>
          <w:p>
            <w:pPr>
              <w:pStyle w:val="IsiTabel"/>
              <w:suppressAutoHyphens/>
              <w:jc w:val="left"/>
            </w:pPr>
            <w:r>
              <w:t xml:space="preserve">Badan Nasional Pencarian dan Pertolongan</w:t>
            </w:r>
          </w:p>
        </w:tc>
        <w:tc>
          <w:tcPr>
            <w:tcW w:w="2144" w:type="dxa"/>
          </w:tcPr>
          <w:p>
            <w:pPr>
              <w:pStyle w:val="IsiTabel"/>
              <w:suppressAutoHyphens/>
              <w:jc w:val="left"/>
            </w:pPr>
            <w:r>
              <w:t xml:space="preserve">Badan Nasional Pencarian dan Pertolongan</w:t>
            </w:r>
          </w:p>
        </w:tc>
      </w:tr>
      <w:tr>
        <w:trPr>
          <w:cantSplit/>
        </w:trPr>
        <w:tc>
          <w:tcPr>
            <w:tcW w:w="1423" w:type="dxa"/>
          </w:tcPr>
          <w:p>
            <w:pPr>
              <w:pStyle w:val="IsiTabel"/>
              <w:suppressAutoHyphens/>
              <w:jc w:val="left"/>
            </w:pPr>
            <w:r>
              <w:t xml:space="preserve">Logistik</w:t>
            </w:r>
          </w:p>
        </w:tc>
        <w:tc>
          <w:tcPr>
            <w:tcW w:w="2134" w:type="dxa"/>
          </w:tcPr>
          <w:p>
            <w:pPr>
              <w:pStyle w:val="IsiTabel"/>
              <w:suppressAutoHyphens/>
              <w:jc w:val="left"/>
            </w:pPr>
            <w:r>
              <w:t xml:space="preserve">Direktur Logistik, BNPB</w:t>
            </w:r>
          </w:p>
        </w:tc>
        <w:tc>
          <w:tcPr>
            <w:tcW w:w="1282" w:type="dxa"/>
          </w:tcPr>
          <w:p>
            <w:pPr>
              <w:pStyle w:val="IsiTabel"/>
              <w:suppressAutoHyphens/>
              <w:jc w:val="left"/>
            </w:pPr>
            <w:r>
              <w:t xml:space="preserve">Logistik</w:t>
            </w:r>
          </w:p>
        </w:tc>
        <w:tc>
          <w:tcPr>
            <w:tcW w:w="2371" w:type="dxa"/>
          </w:tcPr>
          <w:p>
            <w:pPr>
              <w:pStyle w:val="IsiTabel"/>
              <w:suppressAutoHyphens/>
              <w:jc w:val="left"/>
            </w:pPr>
            <w:r>
              <w:t xml:space="preserve">BNPB</w:t>
            </w:r>
          </w:p>
        </w:tc>
        <w:tc>
          <w:tcPr>
            <w:tcW w:w="2144" w:type="dxa"/>
          </w:tcPr>
          <w:p>
            <w:pPr>
              <w:pStyle w:val="IsiTabel"/>
              <w:suppressAutoHyphens/>
              <w:jc w:val="left"/>
            </w:pPr>
            <w:r>
              <w:t xml:space="preserve">BNPB</w:t>
            </w:r>
          </w:p>
        </w:tc>
      </w:tr>
      <w:tr>
        <w:trPr>
          <w:cantSplit/>
        </w:trPr>
        <w:tc>
          <w:tcPr>
            <w:tcW w:w="1423" w:type="dxa"/>
          </w:tcPr>
          <w:p>
            <w:pPr>
              <w:pStyle w:val="IsiTabel"/>
              <w:suppressAutoHyphens/>
              <w:jc w:val="left"/>
            </w:pPr>
            <w:r>
              <w:t xml:space="preserve">Pengungsian dan Perlindungan</w:t>
            </w:r>
          </w:p>
        </w:tc>
        <w:tc>
          <w:tcPr>
            <w:tcW w:w="2134" w:type="dxa"/>
          </w:tcPr>
          <w:p>
            <w:pPr>
              <w:pStyle w:val="IsiTabel"/>
              <w:suppressAutoHyphens/>
              <w:jc w:val="left"/>
            </w:pPr>
            <w:r>
              <w:t xml:space="preserve">Direktur Perlindungan Sosial Korban Bencana Alam, Kementerian Sosial</w:t>
            </w:r>
          </w:p>
        </w:tc>
        <w:tc>
          <w:tcPr>
            <w:tcW w:w="1282" w:type="dxa"/>
          </w:tcPr>
          <w:p>
            <w:pPr>
              <w:pStyle w:val="IsiTabel"/>
              <w:suppressAutoHyphens/>
              <w:jc w:val="left"/>
            </w:pPr>
            <w:r>
              <w:t xml:space="preserve">Pengungsian dan Perlindungan</w:t>
            </w:r>
          </w:p>
        </w:tc>
        <w:tc>
          <w:tcPr>
            <w:tcW w:w="2371" w:type="dxa"/>
          </w:tcPr>
          <w:p>
            <w:pPr>
              <w:pStyle w:val="IsiTabel"/>
              <w:suppressAutoHyphens/>
              <w:jc w:val="left"/>
            </w:pPr>
            <w:r>
              <w:t xml:space="preserve">Kementerian Sosial</w:t>
            </w:r>
          </w:p>
        </w:tc>
        <w:tc>
          <w:tcPr>
            <w:tcW w:w="2144" w:type="dxa"/>
          </w:tcPr>
          <w:p>
            <w:pPr>
              <w:pStyle w:val="IsiTabel"/>
              <w:suppressAutoHyphens/>
              <w:jc w:val="left"/>
            </w:pPr>
            <w:r>
              <w:t xml:space="preserve">Kementerian Sosial</w:t>
            </w:r>
          </w:p>
        </w:tc>
      </w:tr>
      <w:tr>
        <w:trPr>
          <w:cantSplit/>
        </w:trPr>
        <w:tc>
          <w:tcPr>
            <w:tcW w:w="1423" w:type="dxa"/>
          </w:tcPr>
          <w:p>
            <w:pPr>
              <w:pStyle w:val="IsiTabel"/>
              <w:keepNext/>
              <w:suppressAutoHyphens/>
              <w:jc w:val="left"/>
            </w:pPr>
            <w:bookmarkStart w:id="602" w:name="_Ekor072a"/>
            <w:bookmarkEnd w:id="602"/>
            <w:r>
              <w:t xml:space="preserve">Pendidikan</w:t>
            </w:r>
          </w:p>
        </w:tc>
        <w:tc>
          <w:tcPr>
            <w:tcW w:w="2134" w:type="dxa"/>
          </w:tcPr>
          <w:p>
            <w:pPr>
              <w:pStyle w:val="IsiTabel"/>
              <w:keepNext/>
              <w:suppressAutoHyphens/>
              <w:jc w:val="left"/>
            </w:pPr>
            <w:r>
              <w:t xml:space="preserve">Kepala Biro Perencanaan dan Kerja Sama Luar Negeri, Kementerian Pendidikan</w:t>
            </w:r>
          </w:p>
        </w:tc>
        <w:tc>
          <w:tcPr>
            <w:tcW w:w="1282" w:type="dxa"/>
          </w:tcPr>
          <w:p>
            <w:pPr>
              <w:pStyle w:val="IsiTabel"/>
              <w:keepNext/>
              <w:suppressAutoHyphens/>
              <w:jc w:val="left"/>
            </w:pPr>
            <w:r>
              <w:t xml:space="preserve">Pendidikan</w:t>
            </w:r>
          </w:p>
        </w:tc>
        <w:tc>
          <w:tcPr>
            <w:tcW w:w="2371" w:type="dxa"/>
          </w:tcPr>
          <w:p>
            <w:pPr>
              <w:pStyle w:val="IsiTabel"/>
              <w:keepNext/>
              <w:suppressAutoHyphens/>
              <w:jc w:val="left"/>
            </w:pPr>
            <w:r>
              <w:t xml:space="preserve">Kementerian Pendidikan dan Kebudayaan</w:t>
            </w:r>
          </w:p>
        </w:tc>
        <w:tc>
          <w:tcPr>
            <w:tcW w:w="2144" w:type="dxa"/>
          </w:tcPr>
          <w:p>
            <w:pPr>
              <w:pStyle w:val="IsiTabel"/>
              <w:keepNext/>
              <w:suppressAutoHyphens/>
              <w:jc w:val="left"/>
            </w:pPr>
            <w:r>
              <w:t xml:space="preserve">Kementerian Pendidikan Dasar dan Menengah</w:t>
            </w:r>
          </w:p>
        </w:tc>
      </w:tr>
      <w:tr>
        <w:trPr>
          <w:cantSplit/>
        </w:trPr>
        <w:tc>
          <w:tcPr>
            <w:tcW w:w="1423" w:type="dxa"/>
          </w:tcPr>
          <w:p>
            <w:pPr>
              <w:pStyle w:val="IsiTabel"/>
              <w:keepNext/>
              <w:suppressAutoHyphens/>
              <w:jc w:val="left"/>
            </w:pPr>
            <w:r>
              <w:t xml:space="preserve">Sarana dan Prasarana</w:t>
            </w:r>
          </w:p>
        </w:tc>
        <w:tc>
          <w:tcPr>
            <w:tcW w:w="2134" w:type="dxa"/>
          </w:tcPr>
          <w:p>
            <w:pPr>
              <w:pStyle w:val="IsiTabel"/>
              <w:keepNext/>
              <w:suppressAutoHyphens/>
              <w:jc w:val="left"/>
            </w:pPr>
            <w:r>
              <w:t xml:space="preserve">Sekretaris Ditjen Cipta Karya, Kementerian Pekerjaan Umum</w:t>
            </w:r>
          </w:p>
        </w:tc>
        <w:tc>
          <w:tcPr>
            <w:tcW w:w="1282" w:type="dxa"/>
          </w:tcPr>
          <w:p>
            <w:pPr>
              <w:pStyle w:val="IsiTabel"/>
              <w:keepNext/>
              <w:suppressAutoHyphens/>
              <w:jc w:val="left"/>
            </w:pPr>
            <w:r>
              <w:t xml:space="preserve">–</w:t>
            </w:r>
          </w:p>
        </w:tc>
        <w:tc>
          <w:tcPr>
            <w:tcW w:w="2371" w:type="dxa"/>
          </w:tcPr>
          <w:p>
            <w:pPr>
              <w:pStyle w:val="IsiTabel"/>
              <w:keepNext/>
              <w:suppressAutoHyphens/>
              <w:jc w:val="left"/>
            </w:pPr>
            <w:r>
              <w:t xml:space="preserve">–</w:t>
            </w:r>
          </w:p>
        </w:tc>
        <w:tc>
          <w:tcPr>
            <w:tcW w:w="2144" w:type="dxa"/>
          </w:tcPr>
          <w:p>
            <w:pPr>
              <w:pStyle w:val="IsiTabel"/>
              <w:keepNext/>
              <w:suppressAutoHyphens/>
              <w:jc w:val="left"/>
            </w:pPr>
            <w:r>
              <w:t xml:space="preserve">Kementerian Pekerjaan Umum</w:t>
            </w:r>
          </w:p>
        </w:tc>
      </w:tr>
      <w:tr>
        <w:trPr>
          <w:cantSplit/>
        </w:trPr>
        <w:tc>
          <w:tcPr>
            <w:tcW w:w="1423" w:type="dxa"/>
          </w:tcPr>
          <w:p>
            <w:pPr>
              <w:pStyle w:val="IsiTabel"/>
              <w:keepNext/>
              <w:suppressAutoHyphens/>
              <w:jc w:val="left"/>
            </w:pPr>
            <w:r>
              <w:t xml:space="preserve">Ekonomi</w:t>
            </w:r>
          </w:p>
        </w:tc>
        <w:tc>
          <w:tcPr>
            <w:tcW w:w="2134" w:type="dxa"/>
          </w:tcPr>
          <w:p>
            <w:pPr>
              <w:pStyle w:val="IsiTabel"/>
              <w:keepNext/>
              <w:suppressAutoHyphens/>
              <w:jc w:val="left"/>
            </w:pPr>
            <w:r>
              <w:t xml:space="preserve">Sekretaris Ditjen Hortikultura, Kementerian Pertanian</w:t>
            </w:r>
          </w:p>
        </w:tc>
        <w:tc>
          <w:tcPr>
            <w:tcW w:w="1282" w:type="dxa"/>
          </w:tcPr>
          <w:p>
            <w:pPr>
              <w:pStyle w:val="IsiTabel"/>
              <w:keepNext/>
              <w:suppressAutoHyphens/>
              <w:jc w:val="left"/>
            </w:pPr>
            <w:r>
              <w:t xml:space="preserve">–</w:t>
            </w:r>
          </w:p>
        </w:tc>
        <w:tc>
          <w:tcPr>
            <w:tcW w:w="2371" w:type="dxa"/>
          </w:tcPr>
          <w:p>
            <w:pPr>
              <w:pStyle w:val="IsiTabel"/>
              <w:keepNext/>
              <w:suppressAutoHyphens/>
              <w:jc w:val="left"/>
            </w:pPr>
            <w:r>
              <w:t xml:space="preserve">–</w:t>
            </w:r>
          </w:p>
        </w:tc>
        <w:tc>
          <w:tcPr>
            <w:tcW w:w="2144" w:type="dxa"/>
          </w:tcPr>
          <w:p>
            <w:pPr>
              <w:pStyle w:val="IsiTabel"/>
              <w:keepNext/>
              <w:suppressAutoHyphens/>
              <w:jc w:val="left"/>
            </w:pPr>
            <w:r>
              <w:t xml:space="preserve">Kementerian Pertanian</w:t>
            </w:r>
          </w:p>
        </w:tc>
      </w:tr>
      <w:tr>
        <w:trPr>
          <w:cantSplit/>
        </w:trPr>
        <w:tc>
          <w:tcPr>
            <w:tcW w:w="1423" w:type="dxa"/>
          </w:tcPr>
          <w:p>
            <w:pPr>
              <w:pStyle w:val="IsiTabel"/>
              <w:suppressAutoHyphens/>
              <w:jc w:val="left"/>
            </w:pPr>
            <w:bookmarkStart w:id="603" w:name="_Ekor072z"/>
            <w:bookmarkEnd w:id="603"/>
            <w:r>
              <w:t xml:space="preserve">Pemulihan Dini</w:t>
            </w:r>
          </w:p>
        </w:tc>
        <w:tc>
          <w:tcPr>
            <w:tcW w:w="2134" w:type="dxa"/>
          </w:tcPr>
          <w:p>
            <w:pPr>
              <w:pStyle w:val="IsiTabel"/>
              <w:suppressAutoHyphens/>
              <w:jc w:val="left"/>
            </w:pPr>
            <w:r>
              <w:t xml:space="preserve">Direktur Pencegahan dan Penanggulangan Bencana, Kementerian Dalam Negeri</w:t>
            </w:r>
          </w:p>
        </w:tc>
        <w:tc>
          <w:tcPr>
            <w:tcW w:w="1282" w:type="dxa"/>
          </w:tcPr>
          <w:p>
            <w:pPr>
              <w:pStyle w:val="IsiTabel"/>
              <w:suppressAutoHyphens/>
              <w:jc w:val="left"/>
            </w:pPr>
            <w:r>
              <w:t xml:space="preserve">Pemulihan</w:t>
            </w:r>
          </w:p>
        </w:tc>
        <w:tc>
          <w:tcPr>
            <w:tcW w:w="2371" w:type="dxa"/>
          </w:tcPr>
          <w:p>
            <w:pPr>
              <w:pStyle w:val="IsiTabel"/>
              <w:suppressAutoHyphens/>
              <w:jc w:val="left"/>
            </w:pPr>
            <w:r>
              <w:t xml:space="preserve">Kementerian Dalam Negeri</w:t>
            </w:r>
          </w:p>
        </w:tc>
        <w:tc>
          <w:tcPr>
            <w:tcW w:w="2144" w:type="dxa"/>
          </w:tcPr>
          <w:p>
            <w:pPr>
              <w:pStyle w:val="IsiTabel"/>
              <w:suppressAutoHyphens/>
              <w:jc w:val="left"/>
            </w:pPr>
            <w:r>
              <w:t xml:space="preserve">Kementerian Dalam Negeri</w:t>
            </w:r>
          </w:p>
        </w:tc>
      </w:tr>
    </w:tbl>
    <w:p>
      <w:pPr>
        <w:pStyle w:val="Sumber"/>
        <w:spacing w:after="40"/>
      </w:pPr>
      <w:r>
        <w:rPr>
          <w:b/>
          <w:bCs/>
          <w:color w:val="6B7280"/>
          <w:sz w:val="17"/>
          <w:szCs w:val="17"/>
        </w:rPr>
        <w:t xml:space="preserve">Sumber: </w:t>
      </w:r>
      <w:r>
        <w:rPr>
          <w:color w:val="6B7280"/>
          <w:sz w:val="17"/>
          <w:szCs w:val="17"/>
        </w:rPr>
        <w:t xml:space="preserve">Paket data lembaga Pantau Bencana (klaster.csv); Juklak BNPB 16/2025 hlm. 1; Perpres 90/2025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Kolom versi lama (Kepka 173, tahun 2014 atau 2015 menurut sumber) berasal dari berita instansi BPBD DIY, sekunder terhadap keputusannya, karena teks keputusan tidak dibuka; kolom Kepka 308/2024 dari dokumen BNPB yang mengutipnya. Tanda "–" berarti klaster itu tidak ada di versi 2024.</w:t>
      </w:r>
    </w:p>
    <w:p>
      <w:pPr>
        <w:pStyle w:val="IsiTemuan"/>
      </w:pPr>
      <w:r>
        <w:rPr>
          <w:b/>
          <w:bCs/>
          <w:color w:val="051C2C"/>
        </w:rPr>
        <w:t xml:space="preserve">Menurut IHPS II 2024, Pusat Krisis Kesehatan belum membentuk klaster kesehatan nasional, dan advokasi rencana kontinjensi sektor kesehatan baru menjangkau </w:t>
      </w:r>
      <w:r>
        <w:rPr>
          <w:b/>
          <w:bCs/>
          <w:color w:val="051C2C"/>
        </w:rPr>
        <w:t xml:space="preserve">3</w:t>
      </w:r>
      <w:r>
        <w:rPr>
          <w:b/>
          <w:bCs/>
          <w:color w:val="051C2C"/>
        </w:rPr>
        <w:t xml:space="preserve"> dinas kesehatan provinsi.</w:t>
      </w:r>
      <w:r>
        <w:t xml:space="preserve"> BPK merekomendasikan konsep Keputusan Menteri Kesehatan tentang Klaster Kesehatan Nasional </w:t>
      </w:r>
      <w:r>
        <w:t xml:space="preserve">(BPK, 2025, hlm. 185–186)</w:t>
      </w:r>
      <w:r>
        <w:t xml:space="preserve">. Temuan itu ditulis berdampingan dengan Keputusan Kepala BNPB 308/2024, yang menunjuk Kementerian Kesehatan sebagai koordinator klaster kesehatan. Urutan waktu pemeriksaan terhadap tanggal keputusan tidak diketahui, sehingga kajian tidak menyimpulkan mana yang kini berlaku. Kajian menilai klaster yang tercantum dalam keputusan belum tentu sudah dibentuk dan dilatih koordinatornya, dan ini berlaku langsung pada epidemi.</w:t>
      </w:r>
    </w:p>
    <w:p>
      <w:pPr>
        <w:pStyle w:val="IsiTemuan"/>
      </w:pPr>
      <w:r>
        <w:rPr>
          <w:b/>
          <w:bCs/>
          <w:color w:val="051C2C"/>
        </w:rPr>
        <w:t xml:space="preserve">Perban BNPB 11/2025 tanggal 30 Desember 2025 membagi Deputi Bidang Penanganan Darurat menjadi satu direktorat koordinasi dan tiga direktorat wilayah; Renstra 2025–2029 masih menyebut unit lama, begitu pula Perban 2/2024.</w:t>
      </w:r>
      <w:r>
        <w:t xml:space="preserve"> Perban yang sama mengganti Pusat Pengendalian Operasi dengan Pusat Pembinaan Jabatan Fungsional Kebencanaan </w:t>
      </w:r>
      <w:r>
        <w:t xml:space="preserve">(BNPB, 2025d)</w:t>
      </w:r>
      <w:r>
        <w:t xml:space="preserve">. Indikator aktivasi pos komando Renstra, dari </w:t>
      </w:r>
      <w:r>
        <w:t xml:space="preserve">15%</w:t>
      </w:r>
      <w:r>
        <w:t xml:space="preserve"> pada 2025 ke </w:t>
      </w:r>
      <w:r>
        <w:t xml:space="preserve">35%</w:t>
      </w:r>
      <w:r>
        <w:t xml:space="preserve"> pada 2029, masih dipegang Pusat Pengendalian Operasi, dan Perban 2/2024 Pasal 12, 14, dan 19 menyebut unit yang sama </w:t>
      </w:r>
      <w:r>
        <w:t xml:space="preserve">(BNPB, 2025e, 2024c; Pantau Bencana, 2026d)</w:t>
      </w:r>
      <w:r>
        <w:t xml:space="preserve">. Perban 11/2025 juga tidak mengubah Pasal 104 dan 106 Perban 6/2025. Kajian menilai Sistem Komando Penanganan Darurat Bencana dalam Perka BNPB 3/2016 sendiri tidak usang, karena peraturan itu masih berlaku dan memuat klaster dalam struktur komando </w:t>
      </w:r>
      <w:r>
        <w:t xml:space="preserve">(BNPB, 2016, hlm. 6, 12)</w:t>
      </w:r>
      <w:r>
        <w:t xml:space="preserve">. Yang usang adalah dokumen yang menempelkan unit ke rantai itu, sehingga penanggung jawab indikator posko tidak dapat dibaca langsung dari organisasi dan tata kerja berlaku.</w:t>
      </w:r>
    </w:p>
    <w:p>
      <w:pPr>
        <w:pStyle w:val="IsiTemuan"/>
      </w:pPr>
      <w:r>
        <w:rPr>
          <w:b/>
          <w:bCs/>
          <w:color w:val="051C2C"/>
        </w:rPr>
        <w:t xml:space="preserve">Renstra BNPB 2025–2029 mencatat empat kelemahan komando pada halaman 73, termasuk peran unit dalam setiap fase darurat yang belum terdefinisi dan fase tanggap darurat yang belum terkoordinasi baik.</w:t>
      </w:r>
      <w:r>
        <w:t xml:space="preserve"> Dua kelemahan lainnya adalah definisi status siaga darurat dan peran BNPB sebagai pendukung di daerah yang belum jelas </w:t>
      </w:r>
      <w:r>
        <w:t xml:space="preserve">(BNPB, 2025e, hlm. 73, 75)</w:t>
      </w:r>
      <w:r>
        <w:t xml:space="preserve">. Renas mencatat belum adanya peraturan dan petunjuk pelaksanaan untuk pembentukan dan operasi Tim Reaksi Cepat Penanggulangan Bencana (TRC PB) multisektor, serta "kurang optimalnya koordinasi multisektor dalam penerapan Sistem Komando Penanganan Kedaruratan Bencana (SKPDB)" </w:t>
      </w:r>
      <w:r>
        <w:t xml:space="preserve">(BNPB, 2025c, hlm. 26–27)</w:t>
      </w:r>
      <w:r>
        <w:t xml:space="preserve">. Aturan TRC yang berlaku, Perka BNPB 9/2008, hanya untuk TRC BNPB </w:t>
      </w:r>
      <w:r>
        <w:t xml:space="preserve">(BNPB, 2008c)</w:t>
      </w:r>
      <w:r>
        <w:t xml:space="preserve">. Indeks Jaringan Dokumentasi dan Informasi Hukum (JDIH) lokal hanya memuat petunjuk pelaksanaan SKPDB untuk status kabupaten/kota, Juklak 10/2023; petunjuk untuk status provinsi dan nasional tidak ditemukan di indeks itu </w:t>
      </w:r>
      <w:r>
        <w:t xml:space="preserve">(BNPB, 2023f)</w:t>
      </w:r>
      <w:r>
        <w:t xml:space="preserve">.</w:t>
      </w:r>
    </w:p>
    <w:p>
      <w:pPr>
        <w:pStyle w:val="IsiTemuan"/>
      </w:pPr>
      <w:r>
        <w:rPr>
          <w:b/>
          <w:bCs/>
          <w:color w:val="051C2C"/>
        </w:rPr>
        <w:t xml:space="preserve">Rantai peringatan dini dan pertolongan melintasi tiga kementerian koordinator, dan kesiapan sarana Badan Nasional Pencarian dan Pertolongan (Basarnas) </w:t>
      </w:r>
      <w:r>
        <w:rPr>
          <w:b/>
          <w:bCs/>
          <w:color w:val="051C2C"/>
        </w:rPr>
        <w:t xml:space="preserve">92,86%</w:t>
      </w:r>
      <w:r>
        <w:rPr>
          <w:b/>
          <w:bCs/>
          <w:color w:val="051C2C"/>
        </w:rPr>
        <w:t xml:space="preserve"> terhadap target </w:t>
      </w:r>
      <w:r>
        <w:rPr>
          <w:b/>
          <w:bCs/>
          <w:color w:val="051C2C"/>
        </w:rPr>
        <w:t xml:space="preserve">93,91%</w:t>
      </w:r>
      <w:r>
        <w:rPr>
          <w:b/>
          <w:bCs/>
          <w:color w:val="051C2C"/>
        </w:rPr>
        <w:t xml:space="preserve"> menurut IHPS II 2024.</w:t>
      </w:r>
      <w:r>
        <w:t xml:space="preserve"> BMKG bertanggung jawab kepada Presiden melalui menteri bidang transportasi. Basarnas serta Kementerian PU berada di bawah koordinasi Kementerian Koordinator Bidang Infrastruktur dan Pembangunan Kewilayahan (Kemenko IPK), Badan Geologi di bawah Kemenko Perekonomian, dan BNPB dikoordinasikan Kemenko PMK</w:t>
      </w:r>
      <w:r>
        <w:rPr>
          <w:rStyle w:val="FootnoteReference"/>
        </w:rPr>
        <w:footnoteReference w:id="7"/>
      </w:r>
      <w:r>
        <w:t xml:space="preserve"> </w:t>
      </w:r>
      <w:r>
        <w:t xml:space="preserve">(Republik Indonesia, 2019a, hlm. 4; Pantau Bencana, 2026b)</w:t>
      </w:r>
      <w:r>
        <w:t xml:space="preserve">. BPK juga mencatat Basarnas belum menyusun peta jalan sarana dan prasarana secara memadai dan sistem informasinya belum terhubung dengan instansi kebencanaan </w:t>
      </w:r>
      <w:r>
        <w:t xml:space="preserve">(BPK, 2025, hlm. 182, 187–188)</w:t>
      </w:r>
      <w:r>
        <w:t xml:space="preserve">. Penyelenggaraan dalam keadaan tertentu kini memerlukan rapat koordinasi menteri koordinator yang membidangi penanggulangan bencana </w:t>
      </w:r>
      <w:r>
        <w:t xml:space="preserve">(Republik Indonesia, 2026a)</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Klaster nasional berkurang menjadi </w:t>
            </w:r>
            <w:r>
              <w:rPr>
                <w:b/>
                <w:bCs/>
                <w:color w:val="1A1A1A"/>
              </w:rPr>
              <w:t xml:space="preserve">6</w:t>
            </w:r>
            <w:r>
              <w:rPr>
                <w:b/>
                <w:bCs/>
                <w:color w:val="1A1A1A"/>
              </w:rPr>
              <w:t xml:space="preserve">, dan dokumen BNPB belum menyesuaikan organisasi dan tata kerja Desember 2025</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Dua versi klaster (</w:t>
            </w:r>
            <w:r>
              <w:fldChar w:fldCharType="begin"/>
            </w:r>
            <w:r>
              <w:instrText xml:space="preserve"> REF _Ref0305 \h \* CHARFORMAT </w:instrText>
            </w:r>
            <w:r>
              <w:fldChar w:fldCharType="separate"/>
            </w:r>
            <w:r>
              <w:t xml:space="preserve">Tabel 10.2</w:t>
            </w:r>
            <w:r>
              <w:fldChar w:fldCharType="end"/>
            </w:r>
            <w:r>
              <w:t xml:space="preserve">); temuan BPK atas klaster kesehatan nasional </w:t>
            </w:r>
            <w:r>
              <w:t xml:space="preserve">(BPK, 2025, hlm. 185)</w:t>
            </w:r>
            <w:r>
              <w:t xml:space="preserve">; Renstra kelemahan 9–12 </w:t>
            </w:r>
            <w:r>
              <w:t xml:space="preserve">(BNPB, 2025e, hlm. 73)</w:t>
            </w:r>
            <w:r>
              <w:t xml:space="preserve">; Perban 11/2025 terhadap Renstra dan Perban 2/2024 </w:t>
            </w:r>
            <w:r>
              <w:t xml:space="preserve">(BNPB, 2025d, 2024c)</w:t>
            </w:r>
            <w:r>
              <w:t xml:space="preserve">.</w:t>
            </w:r>
          </w:p>
          <w:p>
            <w:pPr>
              <w:pStyle w:val="IsiKotak"/>
            </w:pPr>
            <w:r>
              <w:rPr>
                <w:b/>
                <w:bCs/>
                <w:color w:val="1A1A1A"/>
              </w:rPr>
              <w:t xml:space="preserve">Dampak: </w:t>
            </w:r>
            <w:r>
              <w:t xml:space="preserve">Penanggung jawab indikator posko dan klaster di tingkat pusat tidak dapat dibaca dari dokumen yang berlaku, dan klaster kesehatan untuk epidemi belum dipastikan terbentuk.</w:t>
            </w:r>
          </w:p>
          <w:p>
            <w:pPr>
              <w:pStyle w:val="IsiKotak"/>
            </w:pPr>
            <w:r>
              <w:rPr>
                <w:b/>
                <w:bCs/>
                <w:color w:val="1A1A1A"/>
              </w:rPr>
              <w:t xml:space="preserve">Pembuka: </w:t>
            </w:r>
            <w:r>
              <w:t xml:space="preserve">Deputi Bidang Penanganan Darurat melalui Direktorat Koordinasi Pengendalian Operasi Darurat; Biro Hukum, Organisasi, dan Kerja Sama (</w:t>
            </w:r>
            <w:r>
              <w:fldChar w:fldCharType="begin"/>
            </w:r>
            <w:r>
              <w:instrText xml:space="preserve"> REF _Ref0095 \h \* CHARFORMAT </w:instrText>
            </w:r>
            <w:r>
              <w:fldChar w:fldCharType="separate"/>
            </w:r>
            <w:r>
              <w:t xml:space="preserve">22</w:t>
            </w:r>
            <w:r>
              <w:fldChar w:fldCharType="end"/>
            </w:r>
            <w:r>
              <w:t xml:space="preserve">); koordinator enam klaster, yaitu Basarnas, Kementerian Sosial, BNPB, Kementerian Kesehatan, Kementerian Pendidikan Dasar dan Menengah (Kemendikdasmen), dan Kemendagri; Kemenko PMK.</w:t>
            </w:r>
          </w:p>
        </w:tc>
      </w:tr>
    </w:tbl>
    <w:p>
      <w:pPr>
        <w:pStyle w:val="Jarak"/>
      </w:pPr>
    </w:p>
    <w:p>
      <w:pPr>
        <w:pStyle w:val="Caption"/>
      </w:pPr>
      <w:bookmarkStart w:id="605" w:name="_Toc00192"/>
      <w:bookmarkStart w:id="604" w:name="_Ref002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604"/>
      <w:r>
        <w:rPr>
          <w:b/>
          <w:bCs/>
          <w:color w:val="051C2C"/>
        </w:rPr>
        <w:t xml:space="preserve"> </w:t>
      </w:r>
      <w:r>
        <w:t xml:space="preserve">Helikopter menjatuhkan air di atas lahan terbakar, Indonesia, 2019</w:t>
      </w:r>
      <w:bookmarkEnd w:id="605"/>
    </w:p>
    <w:p xmlns:a="http://schemas.openxmlformats.org/drawingml/2006/main" xmlns:pic="http://schemas.openxmlformats.org/drawingml/2006/picture">
      <w:pPr>
        <w:keepNext/>
        <w:spacing w:after="0" w:line="240" w:lineRule="auto"/>
        <w:jc w:val="center"/>
      </w:pPr>
      <w:bookmarkStart w:id="606" w:name="_Obj0059"/>
      <w:r>
        <w:drawing>
          <wp:inline distT="0" distB="0" distL="0" distR="0">
            <wp:extent cx="2898000" cy="2173500"/>
            <wp:effectExtent l="0" t="0" r="0" b="0"/>
            <wp:docPr id="178" name="Gambar 178"/>
            <wp:cNvGraphicFramePr>
              <a:graphicFrameLocks noChangeAspect="1"/>
            </wp:cNvGraphicFramePr>
            <a:graphic>
              <a:graphicData uri="http://schemas.openxmlformats.org/drawingml/2006/picture">
                <pic:pic>
                  <pic:nvPicPr>
                    <pic:cNvPr id="178" name="mit-b10-heli.jpg"/>
                    <pic:cNvPicPr/>
                  </pic:nvPicPr>
                  <pic:blipFill>
                    <a:blip r:embed="rId86"/>
                    <a:stretch>
                      <a:fillRect/>
                    </a:stretch>
                  </pic:blipFill>
                  <pic:spPr>
                    <a:xfrm>
                      <a:off x="0" y="0"/>
                      <a:ext cx="2898000" cy="2173500"/>
                    </a:xfrm>
                    <a:prstGeom prst="rect">
                      <a:avLst/>
                    </a:prstGeom>
                  </pic:spPr>
                </pic:pic>
              </a:graphicData>
            </a:graphic>
          </wp:inline>
        </w:drawing>
      </w:r>
      <w:bookmarkEnd w:id="606"/>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Heading2"/>
      </w:pPr>
      <w:bookmarkStart w:id="608" w:name="_Toc00193"/>
      <w:bookmarkStart w:id="607" w:name="_Ref0168"/>
      <w:r>
        <w:t xml:space="preserve">10.3</w:t>
      </w:r>
      <w:bookmarkEnd w:id="607"/>
      <w:r>
        <w:tab/>
      </w:r>
      <w:r>
        <w:t xml:space="preserve">Data dan Peringatan Dini</w:t>
      </w:r>
      <w:bookmarkEnd w:id="608"/>
    </w:p>
    <w:p>
      <w:pPr>
        <w:pStyle w:val="IsiTemuan"/>
      </w:pPr>
      <w:r>
        <w:rPr>
          <w:b/>
          <w:bCs/>
          <w:color w:val="051C2C"/>
        </w:rPr>
        <w:t xml:space="preserve">Renstra BNPB menargetkan cakupan layanan peringatan dini </w:t>
      </w:r>
      <w:r>
        <w:rPr>
          <w:b/>
          <w:bCs/>
          <w:color w:val="051C2C"/>
        </w:rPr>
        <w:t xml:space="preserve">6,10%</w:t>
      </w:r>
      <w:r>
        <w:rPr>
          <w:b/>
          <w:bCs/>
          <w:color w:val="051C2C"/>
        </w:rPr>
        <w:t xml:space="preserve"> pada 2025 dan </w:t>
      </w:r>
      <w:r>
        <w:rPr>
          <w:b/>
          <w:bCs/>
          <w:color w:val="051C2C"/>
        </w:rPr>
        <w:t xml:space="preserve">6,32%</w:t>
      </w:r>
      <w:r>
        <w:rPr>
          <w:b/>
          <w:bCs/>
          <w:color w:val="051C2C"/>
        </w:rPr>
        <w:t xml:space="preserve"> pada 2029, sedangkan Renas PB indikator 1.c naik </w:t>
      </w:r>
      <w:r>
        <w:rPr>
          <w:b/>
          <w:bCs/>
          <w:color w:val="051C2C"/>
        </w:rPr>
        <w:t xml:space="preserve">4,7 kali</w:t>
      </w:r>
      <w:r>
        <w:rPr>
          <w:b/>
          <w:bCs/>
          <w:color w:val="051C2C"/>
        </w:rPr>
        <w:t xml:space="preserve"> pada periode yang sama.</w:t>
      </w:r>
      <w:r>
        <w:t xml:space="preserve"> Indikator kinerja program (IKP) Renstra itu naik </w:t>
      </w:r>
      <w:r>
        <w:t xml:space="preserve">0,22 poin persen</w:t>
      </w:r>
      <w:r>
        <w:t xml:space="preserve"> dan sama dengan Rencana Pembangunan Jangka Menengah Nasional (RPJMN) KP 08.04.02 yang berawal dari </w:t>
      </w:r>
      <w:r>
        <w:t xml:space="preserve">6,00%</w:t>
      </w:r>
      <w:r>
        <w:t xml:space="preserve"> </w:t>
      </w:r>
      <w:r>
        <w:t xml:space="preserve">(BNPB, 2025e, hlm. 130–133; Republik Indonesia, 2025b, hlm. 913)</w:t>
      </w:r>
      <w:r>
        <w:t xml:space="preserve">. Renas 1.c mengukur penduduk per 100.000 jiwa di daerah berisiko yang tercakup informasi peringatan dini melalui pemerintah daerah atau diseminasi nasional, dari </w:t>
      </w:r>
      <w:r>
        <w:t xml:space="preserve">11.060</w:t>
      </w:r>
      <w:r>
        <w:t xml:space="preserve"> ke </w:t>
      </w:r>
      <w:r>
        <w:t xml:space="preserve">52.000 per 100.000 penduduk</w:t>
      </w:r>
      <w:r>
        <w:t xml:space="preserve"> </w:t>
      </w:r>
      <w:r>
        <w:t xml:space="preserve">(BNPB, 2025c, hlm. 32)</w:t>
      </w:r>
      <w:r>
        <w:t xml:space="preserve">. IKP dipegang Deputi Bidang Pencegahan, sedangkan Renas 1.c adalah sasaran nasional lintas K/L (</w:t>
      </w:r>
      <w:r>
        <w:fldChar w:fldCharType="begin"/>
      </w:r>
      <w:r>
        <w:instrText xml:space="preserve"> REF _Ref0239 \h \* CHARFORMAT </w:instrText>
      </w:r>
      <w:r>
        <w:fldChar w:fldCharType="separate"/>
      </w:r>
      <w:r>
        <w:t xml:space="preserve">Tabel 10.3</w:t>
      </w:r>
      <w:r>
        <w:fldChar w:fldCharType="end"/>
      </w:r>
      <w:r>
        <w:t xml:space="preserve">). Aksi sarana diseminasi di daerah, Renas 1.1.2.a, dipimpin K/L sektor bahaya dengan Kemendagri sebagai kontributor, tanpa BNPB.</w:t>
      </w:r>
    </w:p>
    <w:p>
      <w:pPr>
        <w:pStyle w:val="Caption"/>
      </w:pPr>
      <w:bookmarkStart w:id="610" w:name="_Toc00194"/>
      <w:bookmarkStart w:id="609" w:name="_Ref023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609"/>
      <w:r>
        <w:rPr>
          <w:b/>
          <w:bCs/>
          <w:color w:val="051C2C"/>
        </w:rPr>
        <w:t xml:space="preserve"> </w:t>
      </w:r>
      <w:r>
        <w:t xml:space="preserve">Empat angka cakupan peringatan dini dalam dokumen perencanaan nasional, 2025–2029</w:t>
      </w:r>
      <w:bookmarkEnd w:id="6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58"/>
        <w:gridCol w:w="1537"/>
        <w:gridCol w:w="753"/>
        <w:gridCol w:w="932"/>
        <w:gridCol w:w="1207"/>
        <w:gridCol w:w="2367"/>
      </w:tblGrid>
      <w:tr>
        <w:trPr>
          <w:cantSplit/>
          <w:tblHeader/>
        </w:trPr>
        <w:tc>
          <w:tcPr>
            <w:tcW w:w="2558" w:type="dxa"/>
            <w:shd w:val="clear" w:color="auto" w:fill="051C2C"/>
            <w:vAlign w:val="center"/>
          </w:tcPr>
          <w:p>
            <w:pPr>
              <w:pStyle w:val="KepalaTabel"/>
              <w:keepNext/>
              <w:suppressAutoHyphens/>
            </w:pPr>
            <w:r>
              <w:t xml:space="preserve">DOKUMEN</w:t>
            </w:r>
          </w:p>
        </w:tc>
        <w:tc>
          <w:tcPr>
            <w:tcW w:w="1537" w:type="dxa"/>
            <w:shd w:val="clear" w:color="auto" w:fill="051C2C"/>
            <w:vAlign w:val="center"/>
          </w:tcPr>
          <w:p>
            <w:pPr>
              <w:pStyle w:val="KepalaTabel"/>
              <w:keepNext/>
              <w:suppressAutoHyphens/>
            </w:pPr>
            <w:r>
              <w:t xml:space="preserve">INDIKATOR</w:t>
            </w:r>
          </w:p>
        </w:tc>
        <w:tc>
          <w:tcPr>
            <w:tcW w:w="753" w:type="dxa"/>
            <w:shd w:val="clear" w:color="auto" w:fill="051C2C"/>
            <w:vAlign w:val="center"/>
          </w:tcPr>
          <w:p>
            <w:pPr>
              <w:pStyle w:val="KepalaTabel"/>
              <w:keepNext/>
              <w:suppressAutoHyphens/>
            </w:pPr>
            <w:r>
              <w:t xml:space="preserve">NILAI AWAL</w:t>
            </w:r>
          </w:p>
        </w:tc>
        <w:tc>
          <w:tcPr>
            <w:tcW w:w="932" w:type="dxa"/>
            <w:shd w:val="clear" w:color="auto" w:fill="051C2C"/>
            <w:vAlign w:val="center"/>
          </w:tcPr>
          <w:p>
            <w:pPr>
              <w:pStyle w:val="KepalaTabel"/>
              <w:keepNext/>
              <w:suppressAutoHyphens/>
            </w:pPr>
            <w:r>
              <w:t xml:space="preserve">TARGET 2029</w:t>
            </w:r>
          </w:p>
        </w:tc>
        <w:tc>
          <w:tcPr>
            <w:tcW w:w="1207" w:type="dxa"/>
            <w:shd w:val="clear" w:color="auto" w:fill="051C2C"/>
            <w:vAlign w:val="center"/>
          </w:tcPr>
          <w:p>
            <w:pPr>
              <w:pStyle w:val="KepalaTabel"/>
              <w:keepNext/>
              <w:suppressAutoHyphens/>
            </w:pPr>
            <w:r>
              <w:t xml:space="preserve">SATUAN</w:t>
            </w:r>
          </w:p>
        </w:tc>
        <w:tc>
          <w:tcPr>
            <w:tcW w:w="2367" w:type="dxa"/>
            <w:shd w:val="clear" w:color="auto" w:fill="051C2C"/>
            <w:vAlign w:val="center"/>
          </w:tcPr>
          <w:p>
            <w:pPr>
              <w:pStyle w:val="KepalaTabel"/>
              <w:keepNext/>
              <w:suppressAutoHyphens/>
            </w:pPr>
            <w:r>
              <w:t xml:space="preserve">PEMILIK</w:t>
            </w:r>
          </w:p>
        </w:tc>
      </w:tr>
      <w:tr>
        <w:trPr>
          <w:cantSplit/>
        </w:trPr>
        <w:tc>
          <w:tcPr>
            <w:tcW w:w="2558" w:type="dxa"/>
          </w:tcPr>
          <w:p>
            <w:pPr>
              <w:pStyle w:val="IsiTabel"/>
              <w:keepNext/>
              <w:suppressAutoHyphens/>
              <w:jc w:val="left"/>
            </w:pPr>
            <w:bookmarkStart w:id="611" w:name="_Ekor073a"/>
            <w:bookmarkEnd w:id="611"/>
            <w:r>
              <w:t xml:space="preserve">Renstra BNPB, isu strategis</w:t>
            </w:r>
          </w:p>
        </w:tc>
        <w:tc>
          <w:tcPr>
            <w:tcW w:w="1537" w:type="dxa"/>
          </w:tcPr>
          <w:p>
            <w:pPr>
              <w:pStyle w:val="IsiTabel"/>
              <w:keepNext/>
              <w:suppressAutoHyphens/>
              <w:jc w:val="left"/>
            </w:pPr>
            <w:r>
              <w:t xml:space="preserve">keterpenuhan sistem peringatan dini dari masyarakat terpapar di kawasan berisiko tinggi</w:t>
            </w:r>
          </w:p>
        </w:tc>
        <w:tc>
          <w:tcPr>
            <w:tcW w:w="753" w:type="dxa"/>
          </w:tcPr>
          <w:p>
            <w:pPr>
              <w:pStyle w:val="IsiTabel"/>
              <w:keepNext/>
              <w:suppressAutoHyphens/>
              <w:jc w:val="right"/>
            </w:pPr>
            <w:r>
              <w:t xml:space="preserve">6%</w:t>
            </w:r>
          </w:p>
        </w:tc>
        <w:tc>
          <w:tcPr>
            <w:tcW w:w="932" w:type="dxa"/>
          </w:tcPr>
          <w:p>
            <w:pPr>
              <w:pStyle w:val="IsiTabel"/>
              <w:keepNext/>
              <w:suppressAutoHyphens/>
              <w:jc w:val="right"/>
            </w:pPr>
            <w:r>
              <w:t xml:space="preserve">–</w:t>
            </w:r>
          </w:p>
        </w:tc>
        <w:tc>
          <w:tcPr>
            <w:tcW w:w="1207" w:type="dxa"/>
          </w:tcPr>
          <w:p>
            <w:pPr>
              <w:pStyle w:val="IsiTabel"/>
              <w:keepNext/>
              <w:suppressAutoHyphens/>
              <w:jc w:val="left"/>
            </w:pPr>
            <w:r>
              <w:t xml:space="preserve">persen masyarakat terpapar</w:t>
            </w:r>
          </w:p>
        </w:tc>
        <w:tc>
          <w:tcPr>
            <w:tcW w:w="2367" w:type="dxa"/>
          </w:tcPr>
          <w:p>
            <w:pPr>
              <w:pStyle w:val="IsiTabel"/>
              <w:keepNext/>
              <w:suppressAutoHyphens/>
              <w:jc w:val="left"/>
            </w:pPr>
            <w:r>
              <w:t xml:space="preserve">BNPB</w:t>
            </w:r>
          </w:p>
        </w:tc>
      </w:tr>
      <w:tr>
        <w:trPr>
          <w:cantSplit/>
        </w:trPr>
        <w:tc>
          <w:tcPr>
            <w:tcW w:w="2558" w:type="dxa"/>
          </w:tcPr>
          <w:p>
            <w:pPr>
              <w:pStyle w:val="IsiTabel"/>
              <w:keepNext/>
              <w:suppressAutoHyphens/>
              <w:jc w:val="left"/>
            </w:pPr>
            <w:r>
              <w:t xml:space="preserve">RPJMN, KP 08.04.02</w:t>
            </w:r>
          </w:p>
        </w:tc>
        <w:tc>
          <w:tcPr>
            <w:tcW w:w="1537" w:type="dxa"/>
          </w:tcPr>
          <w:p>
            <w:pPr>
              <w:pStyle w:val="IsiTabel"/>
              <w:keepNext/>
              <w:suppressAutoHyphens/>
              <w:jc w:val="left"/>
            </w:pPr>
            <w:r>
              <w:t xml:space="preserve">persentase cakupan layanan peringatan dini di daerah berisiko bencana (nilai awal: baseline)</w:t>
            </w:r>
          </w:p>
        </w:tc>
        <w:tc>
          <w:tcPr>
            <w:tcW w:w="753" w:type="dxa"/>
          </w:tcPr>
          <w:p>
            <w:pPr>
              <w:pStyle w:val="IsiTabel"/>
              <w:keepNext/>
              <w:suppressAutoHyphens/>
              <w:jc w:val="right"/>
            </w:pPr>
            <w:r>
              <w:t xml:space="preserve">6,00%</w:t>
            </w:r>
          </w:p>
        </w:tc>
        <w:tc>
          <w:tcPr>
            <w:tcW w:w="932" w:type="dxa"/>
          </w:tcPr>
          <w:p>
            <w:pPr>
              <w:pStyle w:val="IsiTabel"/>
              <w:keepNext/>
              <w:suppressAutoHyphens/>
              <w:jc w:val="right"/>
            </w:pPr>
            <w:r>
              <w:t xml:space="preserve">6,32%</w:t>
            </w:r>
          </w:p>
        </w:tc>
        <w:tc>
          <w:tcPr>
            <w:tcW w:w="1207" w:type="dxa"/>
          </w:tcPr>
          <w:p>
            <w:pPr>
              <w:pStyle w:val="IsiTabel"/>
              <w:keepNext/>
              <w:suppressAutoHyphens/>
              <w:jc w:val="left"/>
            </w:pPr>
            <w:r>
              <w:t xml:space="preserve">persen</w:t>
            </w:r>
          </w:p>
        </w:tc>
        <w:tc>
          <w:tcPr>
            <w:tcW w:w="2367" w:type="dxa"/>
          </w:tcPr>
          <w:p>
            <w:pPr>
              <w:pStyle w:val="IsiTabel"/>
              <w:keepNext/>
              <w:suppressAutoHyphens/>
              <w:jc w:val="left"/>
            </w:pPr>
            <w:r>
              <w:t xml:space="preserve">–</w:t>
            </w:r>
          </w:p>
        </w:tc>
      </w:tr>
      <w:tr>
        <w:trPr>
          <w:cantSplit/>
        </w:trPr>
        <w:tc>
          <w:tcPr>
            <w:tcW w:w="2558" w:type="dxa"/>
          </w:tcPr>
          <w:p>
            <w:pPr>
              <w:pStyle w:val="IsiTabel"/>
              <w:keepNext/>
              <w:suppressAutoHyphens/>
              <w:jc w:val="left"/>
            </w:pPr>
            <w:r>
              <w:t xml:space="preserve">Renstra BNPB, IKP Program 2</w:t>
            </w:r>
          </w:p>
        </w:tc>
        <w:tc>
          <w:tcPr>
            <w:tcW w:w="1537" w:type="dxa"/>
          </w:tcPr>
          <w:p>
            <w:pPr>
              <w:pStyle w:val="IsiTabel"/>
              <w:keepNext/>
              <w:suppressAutoHyphens/>
              <w:jc w:val="left"/>
            </w:pPr>
            <w:r>
              <w:t xml:space="preserve">persentase cakupan layanan peringatan dini di daerah berisiko bencana (nilai awal: 2025)</w:t>
            </w:r>
          </w:p>
        </w:tc>
        <w:tc>
          <w:tcPr>
            <w:tcW w:w="753" w:type="dxa"/>
          </w:tcPr>
          <w:p>
            <w:pPr>
              <w:pStyle w:val="IsiTabel"/>
              <w:keepNext/>
              <w:suppressAutoHyphens/>
              <w:jc w:val="right"/>
            </w:pPr>
            <w:r>
              <w:t xml:space="preserve">6,10%</w:t>
            </w:r>
          </w:p>
        </w:tc>
        <w:tc>
          <w:tcPr>
            <w:tcW w:w="932" w:type="dxa"/>
          </w:tcPr>
          <w:p>
            <w:pPr>
              <w:pStyle w:val="IsiTabel"/>
              <w:keepNext/>
              <w:suppressAutoHyphens/>
              <w:jc w:val="right"/>
            </w:pPr>
            <w:r>
              <w:t xml:space="preserve">6,32%</w:t>
            </w:r>
          </w:p>
        </w:tc>
        <w:tc>
          <w:tcPr>
            <w:tcW w:w="1207" w:type="dxa"/>
          </w:tcPr>
          <w:p>
            <w:pPr>
              <w:pStyle w:val="IsiTabel"/>
              <w:keepNext/>
              <w:suppressAutoHyphens/>
              <w:jc w:val="left"/>
            </w:pPr>
            <w:r>
              <w:t xml:space="preserve">persen</w:t>
            </w:r>
          </w:p>
        </w:tc>
        <w:tc>
          <w:tcPr>
            <w:tcW w:w="2367" w:type="dxa"/>
          </w:tcPr>
          <w:p>
            <w:pPr>
              <w:pStyle w:val="IsiTabel"/>
              <w:keepNext/>
              <w:suppressAutoHyphens/>
              <w:jc w:val="left"/>
            </w:pPr>
            <w:r>
              <w:t xml:space="preserve">Deputi Bidang Pencegahan</w:t>
            </w:r>
          </w:p>
        </w:tc>
      </w:tr>
      <w:tr>
        <w:trPr>
          <w:cantSplit/>
        </w:trPr>
        <w:tc>
          <w:tcPr>
            <w:tcW w:w="2558" w:type="dxa"/>
          </w:tcPr>
          <w:p>
            <w:pPr>
              <w:pStyle w:val="IsiTabel"/>
              <w:suppressAutoHyphens/>
              <w:jc w:val="left"/>
            </w:pPr>
            <w:bookmarkStart w:id="612" w:name="_Ekor073z"/>
            <w:bookmarkEnd w:id="612"/>
            <w:r>
              <w:t xml:space="preserve">Renas PB, indikator 1.c</w:t>
            </w:r>
          </w:p>
        </w:tc>
        <w:tc>
          <w:tcPr>
            <w:tcW w:w="1537" w:type="dxa"/>
          </w:tcPr>
          <w:p>
            <w:pPr>
              <w:pStyle w:val="IsiTabel"/>
              <w:suppressAutoHyphens/>
              <w:jc w:val="left"/>
            </w:pPr>
            <w:r>
              <w:t xml:space="preserve">penduduk per 100.000 jiwa di daerah berisiko yang tercakup informasi peringatan dini (nilai awal: proyeksi 2025)</w:t>
            </w:r>
          </w:p>
        </w:tc>
        <w:tc>
          <w:tcPr>
            <w:tcW w:w="753" w:type="dxa"/>
          </w:tcPr>
          <w:p>
            <w:pPr>
              <w:pStyle w:val="IsiTabel"/>
              <w:suppressAutoHyphens/>
              <w:jc w:val="right"/>
            </w:pPr>
            <w:r>
              <w:t xml:space="preserve">11.060</w:t>
            </w:r>
          </w:p>
        </w:tc>
        <w:tc>
          <w:tcPr>
            <w:tcW w:w="932" w:type="dxa"/>
          </w:tcPr>
          <w:p>
            <w:pPr>
              <w:pStyle w:val="IsiTabel"/>
              <w:suppressAutoHyphens/>
              <w:jc w:val="right"/>
            </w:pPr>
            <w:r>
              <w:t xml:space="preserve">52.000</w:t>
            </w:r>
          </w:p>
        </w:tc>
        <w:tc>
          <w:tcPr>
            <w:tcW w:w="1207" w:type="dxa"/>
          </w:tcPr>
          <w:p>
            <w:pPr>
              <w:pStyle w:val="IsiTabel"/>
              <w:suppressAutoHyphens/>
              <w:jc w:val="left"/>
            </w:pPr>
            <w:r>
              <w:t xml:space="preserve">penduduk per 100.000 di daerah berisiko</w:t>
            </w:r>
          </w:p>
        </w:tc>
        <w:tc>
          <w:tcPr>
            <w:tcW w:w="2367" w:type="dxa"/>
          </w:tcPr>
          <w:p>
            <w:pPr>
              <w:pStyle w:val="IsiTabel"/>
              <w:suppressAutoHyphens/>
              <w:jc w:val="left"/>
            </w:pPr>
            <w:r>
              <w:t xml:space="preserve">sasaran nasional lintas K/L</w:t>
            </w:r>
          </w:p>
        </w:tc>
      </w:tr>
    </w:tbl>
    <w:p>
      <w:pPr>
        <w:pStyle w:val="Sumber"/>
        <w:spacing w:after="40"/>
      </w:pPr>
      <w:r>
        <w:rPr>
          <w:b/>
          <w:bCs/>
          <w:color w:val="6B7280"/>
          <w:sz w:val="17"/>
          <w:szCs w:val="17"/>
        </w:rPr>
        <w:t xml:space="preserve">Sumber: </w:t>
      </w:r>
      <w:r>
        <w:rPr>
          <w:color w:val="6B7280"/>
          <w:sz w:val="17"/>
          <w:szCs w:val="17"/>
        </w:rPr>
        <w:t xml:space="preserve">Renstra BNPB 2025–2029 hlm. 70, 130–133; Perpres 12/2025 (RPJMN 2025–2029) Lampiran III hlm. 913; Renas PB 2025–2029 Tabel 2.8 hlm. 32</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Penyebut keempat angka berbeda, sehingga tabel ini tidak dibaca sebagai satu deret. Tanda "–" pada baris pertama berarti angka itu disebut sebagai isu strategis tanpa target; pada baris kedua, pemilik indikator RPJMN tidak disebut di sumber yang dibaca.</w:t>
      </w:r>
    </w:p>
    <w:p>
      <w:pPr>
        <w:pStyle w:val="IsiTemuan"/>
      </w:pPr>
      <w:r>
        <w:rPr>
          <w:b/>
          <w:bCs/>
          <w:color w:val="051C2C"/>
        </w:rPr>
        <w:t xml:space="preserve">Dibaca dalam satuan yang sama, angka Renas 2025 setara </w:t>
      </w:r>
      <w:r>
        <w:rPr>
          <w:b/>
          <w:bCs/>
          <w:color w:val="051C2C"/>
        </w:rPr>
        <w:t xml:space="preserve">11,06%</w:t>
      </w:r>
      <w:r>
        <w:rPr>
          <w:b/>
          <w:bCs/>
          <w:color w:val="051C2C"/>
        </w:rPr>
        <w:t xml:space="preserve"> penduduk daerah berisiko, hampir dua kali IKP Renstra </w:t>
      </w:r>
      <w:r>
        <w:rPr>
          <w:b/>
          <w:bCs/>
          <w:color w:val="051C2C"/>
        </w:rPr>
        <w:t xml:space="preserve">6,10%</w:t>
      </w:r>
      <w:r>
        <w:rPr>
          <w:b/>
          <w:bCs/>
          <w:color w:val="051C2C"/>
        </w:rPr>
        <w:t xml:space="preserve"> untuk tahun yang sama.</w:t>
      </w:r>
      <w:r>
        <w:t xml:space="preserve"> Renstra di bagian isu strategis menulis keterpenuhan sistem peringatan dini </w:t>
      </w:r>
      <w:r>
        <w:t xml:space="preserve">6%</w:t>
      </w:r>
      <w:r>
        <w:t xml:space="preserve"> dari masyarakat terpapar </w:t>
      </w:r>
      <w:r>
        <w:t xml:space="preserve">(BNPB, 2025e, hlm. 70)</w:t>
      </w:r>
      <w:r>
        <w:t xml:space="preserve">. Angka itu bertentangan bila ketiganya dianggap mengukur hal yang sama. Penyebut dan definisi ketiganya berbeda, jadi ketiganya ditulis berdampingan tanpa menyatakan salah satunya keliru. Cara menghitung penduduk tercakup tidak tertulis di dokumen mana pun. Perban 2/2024 menetapkan platform peringatan dini multiancaman tanpa definisi cakupan, dan Renstra mencatat sebagai ancaman "Adanya perbedaan interpretasi sistem peringatan dini di lingkup nasional, daerah, dan masyarakat" </w:t>
      </w:r>
      <w:r>
        <w:t xml:space="preserve">(BNPB, 2024c, 2025e, hlm. 76)</w:t>
      </w:r>
      <w:r>
        <w:t xml:space="preserve">. Kajian menilai selisihnya terutama selisih definisi. Akibatnya, capaian 2029 dapat dilaporkan berhasil di satu dokumen dan gagal di dokumen lain untuk keadaan yang sama, dan pilihan penyelarasannya diajukan sebagai keputusan di Bab 13 (</w:t>
      </w:r>
      <w:r>
        <w:fldChar w:fldCharType="begin"/>
      </w:r>
      <w:r>
        <w:instrText xml:space="preserve"> REF _Ref0081 \h \* CHARFORMAT </w:instrText>
      </w:r>
      <w:r>
        <w:fldChar w:fldCharType="separate"/>
      </w:r>
      <w:r>
        <w:t xml:space="preserve">33</w:t>
      </w:r>
      <w:r>
        <w:fldChar w:fldCharType="end"/>
      </w:r>
      <w:r>
        <w:t xml:space="preserve">).</w:t>
      </w:r>
    </w:p>
    <w:p>
      <w:pPr>
        <w:pStyle w:val="IsiTemuan"/>
      </w:pPr>
      <w:r>
        <w:rPr>
          <w:b/>
          <w:bCs/>
          <w:color w:val="051C2C"/>
        </w:rPr>
        <w:t xml:space="preserve">Menurut IHPS II 2024, BNPB belum menyusun Rencana Induk Sistem Peringatan Dini Multi Ancaman Bencana, dan BPK merekomendasikan Kepala BNPB menginisiasi Perpres penguatan kelembagaan sistem peringatan dini terpadu.</w:t>
      </w:r>
      <w:r>
        <w:t xml:space="preserve"> BPK juga mencatat BMKG belum merancang strategi dan media diseminasi yang efektif, dan pemerintah daerah antara lain Sumatera Barat, Jambi, Indragiri Hulu, dan Rokan Hulu belum berkoordinasi dengan baik untuk memperoleh data gejala banjir dan banjir bandang </w:t>
      </w:r>
      <w:r>
        <w:t xml:space="preserve">(BPK, 2025, hlm. 186–187, 189–191)</w:t>
      </w:r>
      <w:r>
        <w:t xml:space="preserve">. Temuan itu berdampingan dengan Renstra, yang mencatat sebagai kekuatan "Sudah terbentuknya master plan Multi Hazard Early Warning System (MHEWS)" </w:t>
      </w:r>
      <w:r>
        <w:t xml:space="preserve">(BNPB, 2025e, hlm. 74)</w:t>
      </w:r>
      <w:r>
        <w:t xml:space="preserve">. Rencana induk dan master plan itu belum tentu dokumen yang sama, dan teks keduanya tidak dibuka. Renstra menargetkan Rancangan Perpres tentang Peringatan Dini Bencana pada 2025, yang tidak ditemukan terbit per 24 Oktober 2026 </w:t>
      </w:r>
      <w:r>
        <w:t xml:space="preserve">(BNPB, 2025e, hlm. 161)</w:t>
      </w:r>
      <w:r>
        <w:t xml:space="preserve">. Kajian menilai definisi operasional penduduk tercakup paling wajar ditempatkan di instrumen itu (</w:t>
      </w:r>
      <w:r>
        <w:fldChar w:fldCharType="begin"/>
      </w:r>
      <w:r>
        <w:instrText xml:space="preserve"> REF _Ref0097 \h \* CHARFORMAT </w:instrText>
      </w:r>
      <w:r>
        <w:fldChar w:fldCharType="separate"/>
      </w:r>
      <w:r>
        <w:t xml:space="preserve">24</w:t>
      </w:r>
      <w:r>
        <w:fldChar w:fldCharType="end"/>
      </w:r>
      <w:r>
        <w:t xml:space="preserve">).</w:t>
      </w:r>
    </w:p>
    <w:p>
      <w:pPr>
        <w:pStyle w:val="IsiTemuan"/>
      </w:pPr>
      <w:r>
        <w:rPr>
          <w:b/>
          <w:bCs/>
          <w:color w:val="051C2C"/>
        </w:rPr>
        <w:t xml:space="preserve">Lantai tercatat musim hujan 2025/2026 adalah </w:t>
      </w:r>
      <w:r>
        <w:rPr>
          <w:b/>
          <w:bCs/>
          <w:color w:val="051C2C"/>
        </w:rPr>
        <w:t xml:space="preserve">1.692 jiwa</w:t>
      </w:r>
      <w:r>
        <w:rPr>
          <w:b/>
          <w:bCs/>
          <w:color w:val="051C2C"/>
        </w:rPr>
        <w:t xml:space="preserve"> meninggal dan hilang; dengan asumsi kebijakan, lintasan Renas menurunkannya </w:t>
      </w:r>
      <w:r>
        <w:rPr>
          <w:b/>
          <w:bCs/>
          <w:color w:val="051C2C"/>
        </w:rPr>
        <w:t xml:space="preserve">39,7%</w:t>
      </w:r>
      <w:r>
        <w:rPr>
          <w:b/>
          <w:bCs/>
          <w:color w:val="051C2C"/>
        </w:rPr>
        <w:t xml:space="preserve"> dan lintasan Renstra </w:t>
      </w:r>
      <w:r>
        <w:rPr>
          <w:b/>
          <w:bCs/>
          <w:color w:val="051C2C"/>
        </w:rPr>
        <w:t xml:space="preserve">0,2%</w:t>
      </w:r>
      <w:r>
        <w:rPr>
          <w:b/>
          <w:bCs/>
          <w:color w:val="051C2C"/>
        </w:rPr>
        <w:t xml:space="preserve">.</w:t>
      </w:r>
      <w:r>
        <w:t xml:space="preserve"> Lantai itu terdiri atas </w:t>
      </w:r>
      <w:r>
        <w:t xml:space="preserve">1.506</w:t>
      </w:r>
      <w:r>
        <w:t xml:space="preserve"> meninggal dan </w:t>
      </w:r>
      <w:r>
        <w:t xml:space="preserve">186</w:t>
      </w:r>
      <w:r>
        <w:t xml:space="preserve"> hilang menurut DIBI </w:t>
      </w:r>
      <w:r>
        <w:t xml:space="preserve">(BNPB, t.t.-a)</w:t>
      </w:r>
      <w:r>
        <w:t xml:space="preserve">. Dengan koefisien asosiasi lintas negara dari Organisasi Meteorologi Dunia (WMO), lantai itu menjadi </w:t>
      </w:r>
      <w:r>
        <w:t xml:space="preserve">1.021 jiwa</w:t>
      </w:r>
      <w:r>
        <w:t xml:space="preserve"> pada lintasan Renas dan </w:t>
      </w:r>
      <w:r>
        <w:t xml:space="preserve">1.689 jiwa</w:t>
      </w:r>
      <w:r>
        <w:t xml:space="preserve"> pada lintasan Renstra </w:t>
      </w:r>
      <w:r>
        <w:t xml:space="preserve">(WMO, 2022)</w:t>
      </w:r>
      <w:r>
        <w:t xml:space="preserve">. Hitungan ini memperlakukan kedua indikator sebagai pecahan cakupan yang setara, padahal definisi sumbernya berbeda (</w:t>
      </w:r>
      <w:r>
        <w:fldChar w:fldCharType="begin"/>
      </w:r>
      <w:r>
        <w:instrText xml:space="preserve"> REF _Ref0239 \h \* CHARFORMAT </w:instrText>
      </w:r>
      <w:r>
        <w:fldChar w:fldCharType="separate"/>
      </w:r>
      <w:r>
        <w:t xml:space="preserve">Tabel 10.3</w:t>
      </w:r>
      <w:r>
        <w:fldChar w:fldCharType="end"/>
      </w:r>
      <w:r>
        <w:t xml:space="preserve">). Angka tersebut hanya menunjukkan arah dan tidak dipakai sebagai pembanding kinerja.</w:t>
      </w:r>
    </w:p>
    <w:p>
      <w:pPr>
        <w:pStyle w:val="IsiTemuan"/>
      </w:pPr>
      <w:r>
        <w:rPr>
          <w:b/>
          <w:bCs/>
          <w:color w:val="051C2C"/>
        </w:rPr>
        <w:t xml:space="preserve">Seri DIBI patah pada 2024: kejadian di luar kategori alam paling banyak </w:t>
      </w:r>
      <w:r>
        <w:rPr>
          <w:b/>
          <w:bCs/>
          <w:color w:val="051C2C"/>
        </w:rPr>
        <w:t xml:space="preserve">15</w:t>
      </w:r>
      <w:r>
        <w:rPr>
          <w:b/>
          <w:bCs/>
          <w:color w:val="051C2C"/>
        </w:rPr>
        <w:t xml:space="preserve"> kejadian per tahun pada 2018–2023, lalu </w:t>
      </w:r>
      <w:r>
        <w:rPr>
          <w:b/>
          <w:bCs/>
          <w:color w:val="051C2C"/>
        </w:rPr>
        <w:t xml:space="preserve">363</w:t>
      </w:r>
      <w:r>
        <w:rPr>
          <w:b/>
          <w:bCs/>
          <w:color w:val="051C2C"/>
        </w:rPr>
        <w:t xml:space="preserve"> kejadian dengan </w:t>
      </w:r>
      <w:r>
        <w:rPr>
          <w:b/>
          <w:bCs/>
          <w:color w:val="051C2C"/>
        </w:rPr>
        <w:t xml:space="preserve">295</w:t>
      </w:r>
      <w:r>
        <w:rPr>
          <w:b/>
          <w:bCs/>
          <w:color w:val="051C2C"/>
        </w:rPr>
        <w:t xml:space="preserve"> meninggal pada 2025.</w:t>
      </w:r>
      <w:r>
        <w:t xml:space="preserve"> COVID-19 dan kebakaran Terminal Bahan Bakar Minyak (BBM) Plumpang 2023 tidak tercatat. Kebakaran Balongan dan Morowali tidak punya baris, sedangkan kebakaran tempat pemrosesan akhir (TPA) tidak punya jenis tersendiri </w:t>
      </w:r>
      <w:r>
        <w:t xml:space="preserve">(BNPB, t.t.-a; Pantau Bencana, 2026c)</w:t>
      </w:r>
      <w:r>
        <w:t xml:space="preserve">. Kejadian epidemi Nias Selatan Januari 2025 tercatat dua kali, jenis gagal teknologi memuat runtuhnya bangunan, dan kerusuhan akhir Agustus 2025 tidak tercatat sebagai konflik sosial. Kajian menilai mutu baris korban DIBI kini berakibat hukum, karena putusan MK menjadikan jumlah korban indikator wajib status nasional.</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Kejadian bencana DIBI turun dari </w:t>
            </w:r>
            <w:r>
              <w:t xml:space="preserve">5.400</w:t>
            </w:r>
            <w:r>
              <w:t xml:space="preserve"> pada 2023 menjadi </w:t>
            </w:r>
            <w:r>
              <w:t xml:space="preserve">3.548</w:t>
            </w:r>
            <w:r>
              <w:t xml:space="preserve"> pada 2024, tetapi angka itu tidak menunjukkan penurunan kejadian. Penanda bukan bencana baru dipakai sejak data 2024, sehingga seri sebelum dan sesudah 2024 tidak sebanding </w:t>
            </w:r>
            <w:r>
              <w:t xml:space="preserve">(BNPB, t.t.-a)</w:t>
            </w:r>
            <w:r>
              <w:t xml:space="preserve">.</w:t>
            </w:r>
          </w:p>
        </w:tc>
      </w:tr>
    </w:tbl>
    <w:p>
      <w:pPr>
        <w:pStyle w:val="Jarak"/>
      </w:pPr>
    </w:p>
    <w:p>
      <w:pPr>
        <w:pStyle w:val="IsiTemuan"/>
      </w:pPr>
      <w:r>
        <w:rPr>
          <w:b/>
          <w:bCs/>
          <w:color w:val="051C2C"/>
        </w:rPr>
        <w:t xml:space="preserve">Perban BNPB 1/2023 Pasal 1 angka 6 mendefinisikan produsen Data Bencana hanya sebagai unit kerja di lingkungan BNPB.</w:t>
      </w:r>
      <w:r>
        <w:t xml:space="preserve"> Walidata Bencana mengumpulkan, memeriksa, mengelola, dan menyebarluaskan data dari produsen itu lewat portal (Pasal 28), dan peraturan itu masih mengingat Perban 4/2019 tentang organisasi lama </w:t>
      </w:r>
      <w:r>
        <w:t xml:space="preserve">(BNPB, 2023b, hlm. 1–2, 12)</w:t>
      </w:r>
      <w:r>
        <w:t xml:space="preserve">. Dibaca dari definisi itu, data kementerian, seperti Kementerian Kesehatan untuk epidemi atau Kementerian Lingkungan Hidup (KLH) untuk TPA, tidak masuk sebagai produsen Data Bencana, dan jalurnya lewat Forum Satu Data Indonesia. Renstra mencatat implementasi Satu Data Indonesia masih kurang memadai dan integrasi sistem aplikasi di BNPB masih sangat rendah </w:t>
      </w:r>
      <w:r>
        <w:t xml:space="preserve">(BNPB, 2025e, hlm. 73, 75)</w:t>
      </w:r>
      <w:r>
        <w:t xml:space="preserve">. Menurut IHPS II 2024, KRB dan peta risiko bencana belum memuat seluruh ancaman bencana </w:t>
      </w:r>
      <w:r>
        <w:t xml:space="preserve">(BPK, 2025, hlm. 189)</w:t>
      </w:r>
      <w:r>
        <w:t xml:space="preserve">. Nilai Indeks Risiko Bencana Indonesia (IRBI) 2025 per bahaya semuanya bilangan bulat, sedangkan 2021–2024 kontinu, dan cara menghitung indeks 2025 belum terdokumentasi </w:t>
      </w:r>
      <w:r>
        <w:t xml:space="preserve">(BNPB, t.t.-b)</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Cakupan peringatan dini tercatat </w:t>
            </w:r>
            <w:r>
              <w:rPr>
                <w:b/>
                <w:bCs/>
                <w:color w:val="1A1A1A"/>
              </w:rPr>
              <w:t xml:space="preserve">6,10%</w:t>
            </w:r>
            <w:r>
              <w:rPr>
                <w:b/>
                <w:bCs/>
                <w:color w:val="1A1A1A"/>
              </w:rPr>
              <w:t xml:space="preserve"> di Renstra dan setara </w:t>
            </w:r>
            <w:r>
              <w:rPr>
                <w:b/>
                <w:bCs/>
                <w:color w:val="1A1A1A"/>
              </w:rPr>
              <w:t xml:space="preserve">11,06%</w:t>
            </w:r>
            <w:r>
              <w:rPr>
                <w:b/>
                <w:bCs/>
                <w:color w:val="1A1A1A"/>
              </w:rPr>
              <w:t xml:space="preserve"> di Renas untuk 2025, tanpa definisi penduduk tercakup</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Empat angka cakupan (</w:t>
            </w:r>
            <w:r>
              <w:fldChar w:fldCharType="begin"/>
            </w:r>
            <w:r>
              <w:instrText xml:space="preserve"> REF _Ref0239 \h \* CHARFORMAT </w:instrText>
            </w:r>
            <w:r>
              <w:fldChar w:fldCharType="separate"/>
            </w:r>
            <w:r>
              <w:t xml:space="preserve">Tabel 10.3</w:t>
            </w:r>
            <w:r>
              <w:fldChar w:fldCharType="end"/>
            </w:r>
            <w:r>
              <w:t xml:space="preserve">); Rencana Induk Sistem Peringatan Dini Multi Ancaman belum disusun menurut BPK </w:t>
            </w:r>
            <w:r>
              <w:t xml:space="preserve">(BPK, 2025, hlm. 189)</w:t>
            </w:r>
            <w:r>
              <w:t xml:space="preserve">; patahan DIBI 2024 </w:t>
            </w:r>
            <w:r>
              <w:t xml:space="preserve">(BNPB, t.t.-a)</w:t>
            </w:r>
            <w:r>
              <w:t xml:space="preserve">; definisi produsen Data Bencana </w:t>
            </w:r>
            <w:r>
              <w:t xml:space="preserve">(BNPB, 2023b)</w:t>
            </w:r>
            <w:r>
              <w:t xml:space="preserve">.</w:t>
            </w:r>
          </w:p>
          <w:p>
            <w:pPr>
              <w:pStyle w:val="IsiKotak"/>
            </w:pPr>
            <w:r>
              <w:rPr>
                <w:b/>
                <w:bCs/>
                <w:color w:val="1A1A1A"/>
              </w:rPr>
              <w:t xml:space="preserve">Dampak: </w:t>
            </w:r>
            <w:r>
              <w:t xml:space="preserve">Capaian peringatan dini 2029 tidak dapat dinilai dengan satu ukuran, dan data korban nonalam dan sosial yang kini menentukan status belum tercatat utuh.</w:t>
            </w:r>
          </w:p>
          <w:p>
            <w:pPr>
              <w:pStyle w:val="IsiKotak"/>
            </w:pPr>
            <w:r>
              <w:rPr>
                <w:b/>
                <w:bCs/>
                <w:color w:val="1A1A1A"/>
              </w:rPr>
              <w:t xml:space="preserve">Pembuka: </w:t>
            </w:r>
            <w:r>
              <w:t xml:space="preserve">Direktorat Peringatan Dini untuk definisi dan garis dasar per daerah; Biro Perencanaan untuk penyelarasan Renstra dan Renas; Pusat Data, Informasi, dan Komunikasi Kebencanaan sebagai Walidata (</w:t>
            </w:r>
            <w:r>
              <w:fldChar w:fldCharType="begin"/>
            </w:r>
            <w:r>
              <w:instrText xml:space="preserve"> REF _Ref0093 \h \* CHARFORMAT </w:instrText>
            </w:r>
            <w:r>
              <w:fldChar w:fldCharType="separate"/>
            </w:r>
            <w:r>
              <w:t xml:space="preserve">20</w:t>
            </w:r>
            <w:r>
              <w:fldChar w:fldCharType="end"/>
            </w:r>
            <w:r>
              <w:t xml:space="preserve">); BMKG; Kementerian PU untuk sistem per wilayah sungai; Kemendagri.</w:t>
            </w:r>
          </w:p>
        </w:tc>
      </w:tr>
    </w:tbl>
    <w:p>
      <w:pPr>
        <w:pStyle w:val="Jarak"/>
      </w:pPr>
    </w:p>
    <w:p>
      <w:pPr>
        <w:pStyle w:val="Heading2"/>
      </w:pPr>
      <w:bookmarkStart w:id="614" w:name="_Toc00195"/>
      <w:bookmarkStart w:id="613" w:name="_Ref0170"/>
      <w:r>
        <w:t xml:space="preserve">10.4</w:t>
      </w:r>
      <w:bookmarkEnd w:id="613"/>
      <w:r>
        <w:tab/>
      </w:r>
      <w:r>
        <w:t xml:space="preserve">Kapasitas BPBD dan SPM</w:t>
      </w:r>
      <w:bookmarkEnd w:id="614"/>
    </w:p>
    <w:p>
      <w:pPr>
        <w:pStyle w:val="IsiTemuan"/>
      </w:pPr>
      <w:r>
        <w:rPr>
          <w:b/>
          <w:bCs/>
          <w:color w:val="051C2C"/>
        </w:rPr>
        <w:t xml:space="preserve">Kapasitas daerah diukur dua alat yang hasilnya berjauhan: RPJMN mencatat </w:t>
      </w:r>
      <w:r>
        <w:rPr>
          <w:b/>
          <w:bCs/>
          <w:color w:val="051C2C"/>
        </w:rPr>
        <w:t xml:space="preserve">62%</w:t>
      </w:r>
      <w:r>
        <w:rPr>
          <w:b/>
          <w:bCs/>
          <w:color w:val="051C2C"/>
        </w:rPr>
        <w:t xml:space="preserve"> daerah berkapasitas minimal sedang pada 2023, sedangkan KRB 2022–2026 hanya menempatkan </w:t>
      </w:r>
      <w:r>
        <w:rPr>
          <w:b/>
          <w:bCs/>
          <w:color w:val="051C2C"/>
        </w:rPr>
        <w:t xml:space="preserve">38%</w:t>
      </w:r>
      <w:r>
        <w:rPr>
          <w:b/>
          <w:bCs/>
          <w:color w:val="051C2C"/>
        </w:rPr>
        <w:t xml:space="preserve"> kab/kota di kelas itu.</w:t>
      </w:r>
      <w:r>
        <w:t xml:space="preserve"> Renstra berangkat dari </w:t>
      </w:r>
      <w:r>
        <w:t xml:space="preserve">67%</w:t>
      </w:r>
      <w:r>
        <w:t xml:space="preserve"> dan menargetkan </w:t>
      </w:r>
      <w:r>
        <w:t xml:space="preserve">90%</w:t>
      </w:r>
      <w:r>
        <w:t xml:space="preserve"> pada 2029 </w:t>
      </w:r>
      <w:r>
        <w:t xml:space="preserve">(Republik Indonesia, 2025b; BNPB, 2025e, hlm. 132)</w:t>
      </w:r>
      <w:r>
        <w:t xml:space="preserve">. Kelas kapasitas KRB menempatkan </w:t>
      </w:r>
      <w:r>
        <w:t xml:space="preserve">315</w:t>
      </w:r>
      <w:r>
        <w:t xml:space="preserve"> kab/kota di kelas rendah, </w:t>
      </w:r>
      <w:r>
        <w:t xml:space="preserve">190</w:t>
      </w:r>
      <w:r>
        <w:t xml:space="preserve"> sedang, dan </w:t>
      </w:r>
      <w:r>
        <w:t xml:space="preserve">3</w:t>
      </w:r>
      <w:r>
        <w:t xml:space="preserve"> tinggi </w:t>
      </w:r>
      <w:r>
        <w:t xml:space="preserve">(BNPB, 2026j)</w:t>
      </w:r>
      <w:r>
        <w:t xml:space="preserve">. Di tingkat provinsi, Renas mencatat kelas rendah di Bangka Belitung, Kalimantan Selatan, dan Papua Barat serta kelas tinggi hanya di Jawa Tengah </w:t>
      </w:r>
      <w:r>
        <w:t xml:space="preserve">(BNPB, 2025c, hlm. 25)</w:t>
      </w:r>
      <w:r>
        <w:t xml:space="preserve">. Kedua angka nasional tidak saling membantah secara langsung, karena alat ukurnya berbeda. Yang bermasalah adalah sasaran 2029 yang tidak menyebut alat ukurnya, dan pilihan alat ukur itu diajukan di Bab 13 (</w:t>
      </w:r>
      <w:r>
        <w:fldChar w:fldCharType="begin"/>
      </w:r>
      <w:r>
        <w:instrText xml:space="preserve"> REF _Ref0089 \h \* CHARFORMAT </w:instrText>
      </w:r>
      <w:r>
        <w:fldChar w:fldCharType="separate"/>
      </w:r>
      <w:r>
        <w:t xml:space="preserve">35</w:t>
      </w:r>
      <w:r>
        <w:fldChar w:fldCharType="end"/>
      </w:r>
      <w:r>
        <w:t xml:space="preserve">).</w:t>
      </w:r>
    </w:p>
    <w:p>
      <w:pPr>
        <w:pStyle w:val="IsiTemuan"/>
      </w:pPr>
      <w:r>
        <w:rPr>
          <w:b/>
          <w:bCs/>
          <w:color w:val="051C2C"/>
        </w:rPr>
        <w:t xml:space="preserve">Secara nasional, </w:t>
      </w:r>
      <w:r>
        <w:rPr>
          <w:b/>
          <w:bCs/>
          <w:color w:val="051C2C"/>
        </w:rPr>
        <w:t xml:space="preserve">63 daerah</w:t>
      </w:r>
      <w:r>
        <w:rPr>
          <w:b/>
          <w:bCs/>
          <w:color w:val="051C2C"/>
        </w:rPr>
        <w:t xml:space="preserve"> belum menuntaskan SPM sub-urusan bencana, </w:t>
      </w:r>
      <w:r>
        <w:rPr>
          <w:b/>
          <w:bCs/>
          <w:color w:val="051C2C"/>
        </w:rPr>
        <w:t xml:space="preserve">87 daerah</w:t>
      </w:r>
      <w:r>
        <w:rPr>
          <w:b/>
          <w:bCs/>
          <w:color w:val="051C2C"/>
        </w:rPr>
        <w:t xml:space="preserve"> belum mengaktifkan KRB, dan </w:t>
      </w:r>
      <w:r>
        <w:rPr>
          <w:b/>
          <w:bCs/>
          <w:color w:val="051C2C"/>
        </w:rPr>
        <w:t xml:space="preserve">79 daerah</w:t>
      </w:r>
      <w:r>
        <w:rPr>
          <w:b/>
          <w:bCs/>
          <w:color w:val="051C2C"/>
        </w:rPr>
        <w:t xml:space="preserve"> belum menyusun Indeks Ketahanan Daerah 2024.</w:t>
      </w:r>
      <w:r>
        <w:t xml:space="preserve"> Angka itu disampaikan Kemendagri dalam rapat 4 September 2025, tanpa rincian provinsi atau kab/kota </w:t>
      </w:r>
      <w:r>
        <w:t xml:space="preserve">(Kemenko PMK, 2025a)</w:t>
      </w:r>
      <w:r>
        <w:t xml:space="preserve">.</w:t>
      </w:r>
    </w:p>
    <w:p>
      <w:pPr>
        <w:pStyle w:val="IsiTemuan"/>
      </w:pPr>
      <w:r>
        <w:rPr>
          <w:b/>
          <w:bCs/>
          <w:color w:val="051C2C"/>
        </w:rPr>
        <w:t xml:space="preserve">Menurut IHPS II 2024, pemerintah daerah yang diperiksa belum memiliki rencana penanggulangan kedaruratan bencana (RPKB) dan belum sepenuhnya menyusun rencana kontinjensi per jenis bencana.</w:t>
      </w:r>
      <w:r>
        <w:t xml:space="preserve"> Pemerintah daerah itu juga belum melaksanakan gladi mekanisme tanggap darurat dan belum sepenuhnya menyiapkan logistik dan peralatan berdasarkan rencana kontinjensi </w:t>
      </w:r>
      <w:r>
        <w:t xml:space="preserve">(BPK, 2025, hlm. 11–12, 190–191)</w:t>
      </w:r>
      <w:r>
        <w:t xml:space="preserve">. KRB dan rencana penanggulangan bencana daerah belum dimutakhirkan, sebagian tidak ditetapkan kepala daerah, dan tata ruang belum berdasar analisis risiko. Pemda yang disebut antara lain Pemerintah Aceh, Pemprov Sumatera Barat, Pemprov Jambi, Pemkab Karo, Pemkab Mandailing Natal, dan Pemkot Sorong; daftar itu contoh, bukan daftar lengkap. Aceh dan Sumatera Barat tercatat setahun sebelum banjir dan longsor November 2025, dan kajian mencatatnya sebagai urutan waktu tanpa menyimpulkan sebab-akibat. BPK Perwakilan Sulawesi Utara menemukan </w:t>
      </w:r>
      <w:r>
        <w:t xml:space="preserve">4</w:t>
      </w:r>
      <w:r>
        <w:t xml:space="preserve"> permasalahan pada tahap prabencana, termasuk dokumen perencanaan yang belum disusun dan ditetapkan </w:t>
      </w:r>
      <w:r>
        <w:t xml:space="preserve">(BPK Perwakilan Provinsi Sulawesi Utara, 2024)</w:t>
      </w:r>
      <w:r>
        <w:t xml:space="preserve">.</w:t>
      </w:r>
    </w:p>
    <w:p>
      <w:pPr>
        <w:pStyle w:val="IsiTemuan"/>
      </w:pPr>
      <w:r>
        <w:rPr>
          <w:b/>
          <w:bCs/>
          <w:color w:val="051C2C"/>
        </w:rPr>
        <w:t xml:space="preserve">Menurut IHPS II 2024, target nasional potensi kehilangan produk domestik bruto (PDB) akibat bencana </w:t>
      </w:r>
      <w:r>
        <w:rPr>
          <w:b/>
          <w:bCs/>
          <w:color w:val="051C2C"/>
        </w:rPr>
        <w:t xml:space="preserve">1,10%</w:t>
      </w:r>
      <w:r>
        <w:rPr>
          <w:b/>
          <w:bCs/>
          <w:color w:val="051C2C"/>
        </w:rPr>
        <w:t xml:space="preserve"> pada 2023 yang didukung target daerah tidak tercapai.</w:t>
      </w:r>
      <w:r>
        <w:t xml:space="preserve"> BPK mencatat Kemendagri belum sepenuhnya mendorong pembentukan kelembagaan penanggulangan bencana di daerah dan merekomendasikan pembinaan pemda yang belum membentuk BPBD atau belum sesuai eselonering </w:t>
      </w:r>
      <w:r>
        <w:t xml:space="preserve">(BPK, 2025, hlm. 183–184)</w:t>
      </w:r>
      <w:r>
        <w:t xml:space="preserve">. Renstra mencatat sebagai ancaman kurangnya kepedulian pemda terhadap sumber daya manusia (SDM) kajian kebutuhan pascabencana (Jitupasna) dan penyusun Rencana Rehabilitasi dan Rekonstruksi Pascabencana (R3P), kurangnya komitmen anggaran pascabencana, dan komitmen pemeliharaan sarana peringatan dini </w:t>
      </w:r>
      <w:r>
        <w:t xml:space="preserve">(BNPB, 2025e, hlm. 74–76)</w:t>
      </w:r>
      <w:r>
        <w:t xml:space="preserve">. Renas menambahkan akuntabilitas belanja tidak terduga (BTT) yang berpotensi tidak jelas, program ketangguhan yang belum menjadi prioritas desa, dan rencana tata ruang berbasis mitigasi yang belum dimiliki semua daerah </w:t>
      </w:r>
      <w:r>
        <w:t xml:space="preserve">(BNPB, 2025c, hlm. 26–27)</w:t>
      </w:r>
      <w:r>
        <w:t xml:space="preserve">.</w:t>
      </w:r>
    </w:p>
    <w:p>
      <w:pPr>
        <w:pStyle w:val="IsiTemuan"/>
      </w:pPr>
      <w:r>
        <w:rPr>
          <w:b/>
          <w:bCs/>
          <w:color w:val="051C2C"/>
        </w:rPr>
        <w:t xml:space="preserve">Instrumen daerah sudah ditetapkan tetapi capaiannya belum terlihat: Juklak SPM sub-urusan bencana 4/2026 sampai 7/2026 ditetapkan 15 September 2026, dan Perban 9/2025 tentang RPKB pada 22 Desember 2025.</w:t>
      </w:r>
      <w:r>
        <w:t xml:space="preserve"> Rencana kontinjensi berlaku </w:t>
      </w:r>
      <w:r>
        <w:t xml:space="preserve">3 tahun</w:t>
      </w:r>
      <w:r>
        <w:t xml:space="preserve"> menurut Perban 2/2023 </w:t>
      </w:r>
      <w:r>
        <w:t xml:space="preserve">(BNPB, 2026f, 2025h, 2023c)</w:t>
      </w:r>
      <w:r>
        <w:t xml:space="preserve">. Usulan prabencana pemda ke Dana Bersama dinilai dari kesesuaiannya dengan rencana kerja pemerintah daerah (RKPD), rencana penanggulangan bencana daerah, dan SPM (Perban 1/2026 Pasal 14 ayat (4)) </w:t>
      </w:r>
      <w:r>
        <w:t xml:space="preserve">(BNPB, 2026d)</w:t>
      </w:r>
      <w:r>
        <w:t xml:space="preserve">. Kajian menilai dokumen dasar yang tidak ada atau kedaluwarsa sebagai hambatan daerah yang paling menahan, karena dokumen yang sama menjadi syarat Dana Bersama, dasar logistik menurut BPK, dan bahan SPM (</w:t>
      </w:r>
      <w:r>
        <w:fldChar w:fldCharType="begin"/>
      </w:r>
      <w:r>
        <w:instrText xml:space="preserve"> REF _Ref0098 \h \* CHARFORMAT </w:instrText>
      </w:r>
      <w:r>
        <w:fldChar w:fldCharType="separate"/>
      </w:r>
      <w:r>
        <w:t xml:space="preserve">25</w:t>
      </w:r>
      <w:r>
        <w:fldChar w:fldCharType="end"/>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315</w:t>
            </w:r>
            <w:r>
              <w:rPr>
                <w:b/>
                <w:bCs/>
                <w:color w:val="1A1A1A"/>
              </w:rPr>
              <w:t xml:space="preserve"> kab/kota berkelas kapasitas rendah, dan BPK menemukan pemda tanpa RPKB dan rencana kontinjensi per jenis</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Dua alat ukur kapasitas </w:t>
            </w:r>
            <w:r>
              <w:t xml:space="preserve">(Republik Indonesia, 2025b; BNPB, 2026j)</w:t>
            </w:r>
            <w:r>
              <w:t xml:space="preserve">; </w:t>
            </w:r>
            <w:r>
              <w:t xml:space="preserve">63 daerah</w:t>
            </w:r>
            <w:r>
              <w:t xml:space="preserve"> belum menuntaskan SPM </w:t>
            </w:r>
            <w:r>
              <w:t xml:space="preserve">(Kemenko PMK, 2025a)</w:t>
            </w:r>
            <w:r>
              <w:t xml:space="preserve">; temuan BPK atas </w:t>
            </w:r>
            <w:r>
              <w:t xml:space="preserve">25</w:t>
            </w:r>
            <w:r>
              <w:t xml:space="preserve"> objek pemda </w:t>
            </w:r>
            <w:r>
              <w:t xml:space="preserve">(BPK, 2025, hlm. 190–191)</w:t>
            </w:r>
            <w:r>
              <w:t xml:space="preserve">.</w:t>
            </w:r>
          </w:p>
          <w:p>
            <w:pPr>
              <w:pStyle w:val="IsiKotak"/>
            </w:pPr>
            <w:r>
              <w:rPr>
                <w:b/>
                <w:bCs/>
                <w:color w:val="1A1A1A"/>
              </w:rPr>
              <w:t xml:space="preserve">Dampak: </w:t>
            </w:r>
            <w:r>
              <w:t xml:space="preserve">Daerah tanpa KRB dan RPKB yang mutakhir tertahan sekaligus pada syarat Dana Bersama dan pada penyiapan logistik berbasis rencana kontinjensi.</w:t>
            </w:r>
          </w:p>
          <w:p>
            <w:pPr>
              <w:pStyle w:val="IsiKotak"/>
            </w:pPr>
            <w:r>
              <w:rPr>
                <w:b/>
                <w:bCs/>
                <w:color w:val="1A1A1A"/>
              </w:rPr>
              <w:t xml:space="preserve">Pembuka: </w:t>
            </w:r>
            <w:r>
              <w:t xml:space="preserve">Kemendagri untuk Permendagri 46/2008 dan SPM (</w:t>
            </w:r>
            <w:r>
              <w:fldChar w:fldCharType="begin"/>
            </w:r>
            <w:r>
              <w:instrText xml:space="preserve"> REF _Ref0099 \h \* CHARFORMAT </w:instrText>
            </w:r>
            <w:r>
              <w:fldChar w:fldCharType="separate"/>
            </w:r>
            <w:r>
              <w:t xml:space="preserve">37</w:t>
            </w:r>
            <w:r>
              <w:fldChar w:fldCharType="end"/>
            </w:r>
            <w:r>
              <w:t xml:space="preserve">); Direktorat Kesiapsiagaan untuk RPKB dan rencana kontinjensi; Direktorat Pemetaan dan Evaluasi Risiko Bencana untuk KRB; BPBD provinsi.</w:t>
            </w:r>
          </w:p>
        </w:tc>
      </w:tr>
    </w:tbl>
    <w:p>
      <w:pPr>
        <w:pStyle w:val="Jarak"/>
      </w:pPr>
    </w:p>
    <w:p>
      <w:pPr>
        <w:pStyle w:val="Heading2"/>
      </w:pPr>
      <w:bookmarkStart w:id="616" w:name="_Toc00196"/>
      <w:bookmarkStart w:id="615" w:name="_Ref0172"/>
      <w:r>
        <w:t xml:space="preserve">10.5</w:t>
      </w:r>
      <w:bookmarkEnd w:id="615"/>
      <w:r>
        <w:tab/>
      </w:r>
      <w:r>
        <w:t xml:space="preserve">Logistik</w:t>
      </w:r>
      <w:bookmarkEnd w:id="616"/>
    </w:p>
    <w:p>
      <w:pPr>
        <w:pStyle w:val="IsiTemuan"/>
      </w:pPr>
      <w:r>
        <w:rPr>
          <w:b/>
          <w:bCs/>
          <w:color w:val="051C2C"/>
        </w:rPr>
        <w:t xml:space="preserve">Renstra BNPB menargetkan daerah yang difasilitasi logistik dan peralatan serta SDM pengelolanya naik dari </w:t>
      </w:r>
      <w:r>
        <w:rPr>
          <w:b/>
          <w:bCs/>
          <w:color w:val="051C2C"/>
        </w:rPr>
        <w:t xml:space="preserve">35%</w:t>
      </w:r>
      <w:r>
        <w:rPr>
          <w:b/>
          <w:bCs/>
          <w:color w:val="051C2C"/>
        </w:rPr>
        <w:t xml:space="preserve"> pada 2025 menjadi </w:t>
      </w:r>
      <w:r>
        <w:rPr>
          <w:b/>
          <w:bCs/>
          <w:color w:val="051C2C"/>
        </w:rPr>
        <w:t xml:space="preserve">75%</w:t>
      </w:r>
      <w:r>
        <w:rPr>
          <w:b/>
          <w:bCs/>
          <w:color w:val="051C2C"/>
        </w:rPr>
        <w:t xml:space="preserve"> pada 2029.</w:t>
      </w:r>
      <w:r>
        <w:t xml:space="preserve"> Renas menyebut regulasi manajemen standar logistik dan peralatan untuk pemerintah daerah sudah tidak relevan, sistem informasi logistik yang dimutakhirkan untuk semua tahapan belum tersedia, dan standar minimum bantuan berbeda antara lembaga kebencanaan dan lembaga usaha </w:t>
      </w:r>
      <w:r>
        <w:t xml:space="preserve">(BNPB, 2025c, hlm. 26–27, 2025e, hlm. 130–137)</w:t>
      </w:r>
      <w:r>
        <w:t xml:space="preserve">. Renstra mencatat norma, standar, prosedur, dan kriteria logistik belum tersusun sistematis, dan pangkalan data logistik INALOGPAL sebagai kekuatan </w:t>
      </w:r>
      <w:r>
        <w:t xml:space="preserve">(BNPB, 2025e, hlm. 73)</w:t>
      </w:r>
      <w:r>
        <w:t xml:space="preserve">. Instrumennya adalah Perban 4/2018 tentang Sistem Manajemen Logistik dan Peralatan, Juklak 16/2025 tentang klaster logistik, dan perubahan Perban 4/2018 yang sudah masuk Progsun 2026 butir 6 </w:t>
      </w:r>
      <w:r>
        <w:t xml:space="preserve">(BNPB, 2018e, 2025j, 2025b, hlm. 4)</w:t>
      </w:r>
      <w:r>
        <w:t xml:space="preserve">. Menurut IHPS II 2024, BNPB telah merencanakan dan memenuhi logistik dan peralatan, sedangkan pemda yang diperiksa belum menyiapkannya berdasarkan rencana kontinjensi </w:t>
      </w:r>
      <w:r>
        <w:t xml:space="preserve">(BPK, 2025, hlm. 182, 190)</w:t>
      </w:r>
      <w:r>
        <w:t xml:space="preserve">. Jumlah gudang dan isinya terhadap kebutuhan skenario tidak terbuka.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Target fasilitasi logistik daerah naik dari </w:t>
            </w:r>
            <w:r>
              <w:rPr>
                <w:b/>
                <w:bCs/>
                <w:color w:val="1A1A1A"/>
              </w:rPr>
              <w:t xml:space="preserve">35%</w:t>
            </w:r>
            <w:r>
              <w:rPr>
                <w:b/>
                <w:bCs/>
                <w:color w:val="1A1A1A"/>
              </w:rPr>
              <w:t xml:space="preserve"> ke </w:t>
            </w:r>
            <w:r>
              <w:rPr>
                <w:b/>
                <w:bCs/>
                <w:color w:val="1A1A1A"/>
              </w:rPr>
              <w:t xml:space="preserve">75%</w:t>
            </w:r>
            <w:r>
              <w:rPr>
                <w:b/>
                <w:bCs/>
                <w:color w:val="1A1A1A"/>
              </w:rPr>
              <w:t xml:space="preserve">, sementara regulasi standar logistik pemda dinilai tidak relevan</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Renas PB 2025–2029 </w:t>
            </w:r>
            <w:r>
              <w:t xml:space="preserve">(BNPB, 2025c, hlm. 26–27)</w:t>
            </w:r>
            <w:r>
              <w:t xml:space="preserve">; Renstra kelemahan 8 </w:t>
            </w:r>
            <w:r>
              <w:t xml:space="preserve">(BNPB, 2025e, hlm. 73)</w:t>
            </w:r>
            <w:r>
              <w:t xml:space="preserve">; Progsun 2026 butir 6 </w:t>
            </w:r>
            <w:r>
              <w:t xml:space="preserve">(BNPB, 2025b, hlm. 4)</w:t>
            </w:r>
            <w:r>
              <w:t xml:space="preserve">.</w:t>
            </w:r>
          </w:p>
          <w:p>
            <w:pPr>
              <w:pStyle w:val="IsiKotak"/>
            </w:pPr>
            <w:r>
              <w:rPr>
                <w:b/>
                <w:bCs/>
                <w:color w:val="1A1A1A"/>
              </w:rPr>
              <w:t xml:space="preserve">Dampak: </w:t>
            </w:r>
            <w:r>
              <w:t xml:space="preserve">Pemda menyiapkan cadangan tanpa standar logistik yang relevan dan tanpa dasar rencana kontinjensi, sementara isi gudang terhadap kebutuhan skenario tidak dapat dinilai.</w:t>
            </w:r>
          </w:p>
          <w:p>
            <w:pPr>
              <w:pStyle w:val="IsiKotak"/>
            </w:pPr>
            <w:r>
              <w:rPr>
                <w:b/>
                <w:bCs/>
                <w:color w:val="1A1A1A"/>
              </w:rPr>
              <w:t xml:space="preserve">Pembuka: </w:t>
            </w:r>
            <w:r>
              <w:t xml:space="preserve">Deputi Bidang Logistik dan Peralatan untuk perubahan Perban 4/2018 dan inventarisasi cadangan; BPBD provinsi sebagai koordinator klaster logistik daerah.</w:t>
            </w:r>
          </w:p>
        </w:tc>
      </w:tr>
    </w:tbl>
    <w:p>
      <w:pPr>
        <w:pStyle w:val="Jarak"/>
      </w:pPr>
    </w:p>
    <w:p>
      <w:pPr>
        <w:pStyle w:val="Heading2"/>
      </w:pPr>
      <w:bookmarkStart w:id="618" w:name="_Toc00197"/>
      <w:bookmarkStart w:id="617" w:name="_Ref0173"/>
      <w:r>
        <w:t xml:space="preserve">10.6</w:t>
      </w:r>
      <w:bookmarkEnd w:id="617"/>
      <w:r>
        <w:tab/>
      </w:r>
      <w:r>
        <w:t xml:space="preserve">Pembiayaan</w:t>
      </w:r>
      <w:bookmarkEnd w:id="618"/>
    </w:p>
    <w:p>
      <w:pPr>
        <w:pStyle w:val="IsiTemuan"/>
      </w:pPr>
      <w:r>
        <w:rPr>
          <w:b/>
          <w:bCs/>
          <w:color w:val="051C2C"/>
        </w:rPr>
        <w:t xml:space="preserve">Perban BNPB 4/2020 Pasal 20 ayat (1) membatasi penggunaan dana siap pakai (DSP) pada tiga keadaan, dan Renas PB mencatat pengelolaan BTT dan DSP belum tersinkronisasi.</w:t>
      </w:r>
      <w:r>
        <w:t xml:space="preserve"> Ketiga keadaan itu adalah keadaan darurat dan keadaan tertentu, ditambah risiko berdampak luas yang ditetapkan Kepala BNPB </w:t>
      </w:r>
      <w:r>
        <w:t xml:space="preserve">(BNPB, 2020a, 2025c, hlm. 26)</w:t>
      </w:r>
      <w:r>
        <w:t xml:space="preserve">. Perban 1/2026 Pasal 14 ayat (4) dan Pasal 16 ayat (3) tidak mensyaratkan analisis manfaat-biaya untuk penyaluran prabencana Dana Bersama </w:t>
      </w:r>
      <w:r>
        <w:t xml:space="preserve">(BNPB, 2026d)</w:t>
      </w:r>
      <w:r>
        <w:t xml:space="preserve">. Renstra mencatat keterbatasan anggaran pemulihan pascabencana sebagai kelemahan dan pinjaman luar negeri yang menambah beban kerja di luar tugas pokok sebagai ancaman </w:t>
      </w:r>
      <w:r>
        <w:t xml:space="preserve">(BNPB, 2025e, hlm. 74, 76)</w:t>
      </w:r>
      <w:r>
        <w:t xml:space="preserve">. Bab ini tidak memuat nominal; arsitektur sumber dana dirinci di Bab 12.</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DSP terbatas pada tiga keadaan, dan Dana Bersama prabencana belum mensyaratkan analisis manfaat-biaya</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Perban 4/2020 Pasal 20 ayat (1) </w:t>
            </w:r>
            <w:r>
              <w:t xml:space="preserve">(BNPB, 2020a)</w:t>
            </w:r>
            <w:r>
              <w:t xml:space="preserve">; Perban 1/2026 Pasal 14 ayat (4) dan Pasal 16 ayat (3) </w:t>
            </w:r>
            <w:r>
              <w:t xml:space="preserve">(BNPB, 2026d)</w:t>
            </w:r>
            <w:r>
              <w:t xml:space="preserve">; BTT dan DSP belum tersinkronisasi </w:t>
            </w:r>
            <w:r>
              <w:t xml:space="preserve">(BNPB, 2025c, hlm. 26)</w:t>
            </w:r>
            <w:r>
              <w:t xml:space="preserve">.</w:t>
            </w:r>
          </w:p>
          <w:p>
            <w:pPr>
              <w:pStyle w:val="IsiKotak"/>
            </w:pPr>
            <w:r>
              <w:rPr>
                <w:b/>
                <w:bCs/>
                <w:color w:val="1A1A1A"/>
              </w:rPr>
              <w:t xml:space="preserve">Dampak: </w:t>
            </w:r>
            <w:r>
              <w:t xml:space="preserve">Dana prabencana dapat disalurkan tanpa pembanding manfaat, dan dana darurat daerah dan pusat belum terhubung dalam satu pemahaman.</w:t>
            </w:r>
          </w:p>
          <w:p>
            <w:pPr>
              <w:pStyle w:val="IsiKotak"/>
            </w:pPr>
            <w:r>
              <w:rPr>
                <w:b/>
                <w:bCs/>
                <w:color w:val="1A1A1A"/>
              </w:rPr>
              <w:t xml:space="preserve">Pembuka: </w:t>
            </w:r>
            <w:r>
              <w:t xml:space="preserve">Direktorat Pengembangan Strategi Penanggulangan Bencana untuk Dana Bersama; Kementerian Keuangan sebagai pengelola; Kemendagri untuk penganggaran BTT.</w:t>
            </w:r>
          </w:p>
        </w:tc>
      </w:tr>
    </w:tbl>
    <w:p>
      <w:pPr>
        <w:pStyle w:val="Jarak"/>
      </w:pPr>
    </w:p>
    <w:p>
      <w:pPr>
        <w:pStyle w:val="Heading2"/>
      </w:pPr>
      <w:bookmarkStart w:id="620" w:name="_Toc00198"/>
      <w:bookmarkStart w:id="619" w:name="_Ref0175"/>
      <w:r>
        <w:t xml:space="preserve">10.7</w:t>
      </w:r>
      <w:bookmarkEnd w:id="619"/>
      <w:r>
        <w:tab/>
      </w:r>
      <w:r>
        <w:t xml:space="preserve">Rehabilitasi dan Rekonstruksi</w:t>
      </w:r>
      <w:bookmarkEnd w:id="620"/>
    </w:p>
    <w:p>
      <w:pPr>
        <w:pStyle w:val="IsiTemuan"/>
      </w:pPr>
      <w:r>
        <w:rPr>
          <w:b/>
          <w:bCs/>
          <w:color w:val="051C2C"/>
        </w:rPr>
        <w:t xml:space="preserve">Renstra BNPB 2025–2029 mencatat ketidaksinkronan antara Permendagri yang dipakai rehabilitasi dan rekonstruksi BNPB dengan perangkat daerah sebagai ancaman, dan nomor Permendagri itu tidak disebut.</w:t>
      </w:r>
      <w:r>
        <w:t xml:space="preserve"> Renstra juga mencatat sebagai kelemahan bahwa pegawai yang sudah dilatih Jitupasna dan R3P dimutasi, sedangkan KRB belum dijadikan acuan rehabilitasi dan rekonstruksi; pemantauan R3P pun belum berjalan baik </w:t>
      </w:r>
      <w:r>
        <w:t xml:space="preserve">(BNPB, 2025e, hlm. 74–76)</w:t>
      </w:r>
      <w:r>
        <w:t xml:space="preserve">. Renas mencatat perbedaan instrumen penilaian tingkat kerusakan rumah, belum adanya standar tipe hunian tetap, dan belum adanya pelaporan terpusat bantuan dari lembaga usaha dan nonpemerintah </w:t>
      </w:r>
      <w:r>
        <w:t xml:space="preserve">(BNPB, 2025c, hlm. 28)</w:t>
      </w:r>
      <w:r>
        <w:t xml:space="preserve">. Indikator Program 4 Renstra berbunyi "Persentase Daerah pasca bencana masif yang ditangani" </w:t>
      </w:r>
      <w:r>
        <w:t xml:space="preserve">(BNPB, 2025e)</w:t>
      </w:r>
      <w:r>
        <w:t xml:space="preserve">. Indikator itu mengukur keluaran, sedangkan hasil pemulihan tidak diukurnya. Instrumen yang berlaku adalah Perban 5/2017 tentang R3P dan Juklak 15/2025 tentang Dana Tunggu Hunian untuk Aceh, Sumatera Utara, dan Sumatera Barat </w:t>
      </w:r>
      <w:r>
        <w:t xml:space="preserve">(BNPB, 2017a, 2025i)</w:t>
      </w:r>
      <w:r>
        <w:t xml:space="preserve">.</w:t>
      </w:r>
    </w:p>
    <w:p>
      <w:pPr>
        <w:pStyle w:val="IsiTemuan"/>
      </w:pPr>
      <w:r>
        <w:rPr>
          <w:b/>
          <w:bCs/>
          <w:color w:val="051C2C"/>
        </w:rPr>
        <w:t xml:space="preserve">Dokumen R3P gempa Lombok 2018 dan Sulawesi Tengah 2018 tidak ditemukan di sumber terbuka, dan satu-satunya R3P yang terbuka, Cianjur 2022, diunggah BNPB sebagai contoh dokumen.</w:t>
      </w:r>
      <w:r>
        <w:t xml:space="preserve"> Dokumen Cianjur memuat Keputusan Bupati Cianjur 360/KEP.118-BAPPERIDA/2023 sebagai penetapannya, sedangkan bab penutupnya menyebut R3P ditetapkan melalui Peraturan Bupati; kedua bentuk instrumen itu ditulis berdampingan </w:t>
      </w:r>
      <w:r>
        <w:t xml:space="preserve">(BNPB, 2017a)</w:t>
      </w:r>
      <w:r>
        <w:t xml:space="preserve">. Seri nilai kerusakan dan kerugian R3P 2015–2024 belum ditarik ke paket data kajian, dan kolom kerugian rumah DIBI tidak diterbitkan karena satuannya tidak terdokumentasi </w:t>
      </w:r>
      <w:r>
        <w:t xml:space="preserve">(BNPB, t.t.-a)</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Penilaian kerusakan rumah memakai instrumen yang berbeda, dan dokumen R3P gempa Lombok dan Sulawesi Tengah 2018 tidak ditemukan terbuka</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Renas PB 2025–2029 </w:t>
            </w:r>
            <w:r>
              <w:t xml:space="preserve">(BNPB, 2025c, hlm. 28)</w:t>
            </w:r>
            <w:r>
              <w:t xml:space="preserve">; Renstra ancaman 3, 6, dan 7 serta kelemahan 16–20 </w:t>
            </w:r>
            <w:r>
              <w:t xml:space="preserve">(BNPB, 2025e, hlm. 74–76)</w:t>
            </w:r>
            <w:r>
              <w:t xml:space="preserve">; keterbukaan R3P Cianjur, Lombok, dan Sulawesi Tengah.</w:t>
            </w:r>
          </w:p>
          <w:p>
            <w:pPr>
              <w:pStyle w:val="IsiKotak"/>
            </w:pPr>
            <w:r>
              <w:rPr>
                <w:b/>
                <w:bCs/>
                <w:color w:val="1A1A1A"/>
              </w:rPr>
              <w:t xml:space="preserve">Dampak: </w:t>
            </w:r>
            <w:r>
              <w:t xml:space="preserve">Kerusakan dan kebutuhan pemulihan antarkejadian tidak dapat dibandingkan, dan hasil pemulihan tidak terukur oleh indikator Renstra.</w:t>
            </w:r>
          </w:p>
          <w:p>
            <w:pPr>
              <w:pStyle w:val="IsiKotak"/>
            </w:pPr>
            <w:r>
              <w:rPr>
                <w:b/>
                <w:bCs/>
                <w:color w:val="1A1A1A"/>
              </w:rPr>
              <w:t xml:space="preserve">Pembuka: </w:t>
            </w:r>
            <w:r>
              <w:t xml:space="preserve">Deputi Bidang Rehabilitasi dan Rekonstruksi bersama Pusat Data, Informasi, dan Komunikasi Kebencanaan (</w:t>
            </w:r>
            <w:r>
              <w:fldChar w:fldCharType="begin"/>
            </w:r>
            <w:r>
              <w:instrText xml:space="preserve"> REF _Ref0102 \h \* CHARFORMAT </w:instrText>
            </w:r>
            <w:r>
              <w:fldChar w:fldCharType="separate"/>
            </w:r>
            <w:r>
              <w:t xml:space="preserve">27</w:t>
            </w:r>
            <w:r>
              <w:fldChar w:fldCharType="end"/>
            </w:r>
            <w:r>
              <w:t xml:space="preserve">); Kemendagri untuk sinkronisasi Permendagri; Kementerian Perumahan dan Kawasan Permukiman untuk standar hunian tetap.</w:t>
            </w:r>
          </w:p>
        </w:tc>
      </w:tr>
    </w:tbl>
    <w:p>
      <w:pPr>
        <w:pStyle w:val="Jarak"/>
      </w:pPr>
    </w:p>
    <w:p>
      <w:pPr>
        <w:pStyle w:val="Heading2"/>
      </w:pPr>
      <w:bookmarkStart w:id="622" w:name="_Toc00199"/>
      <w:bookmarkStart w:id="621" w:name="_Ref0167"/>
      <w:r>
        <w:t xml:space="preserve">10.8</w:t>
      </w:r>
      <w:bookmarkEnd w:id="621"/>
      <w:r>
        <w:tab/>
      </w:r>
      <w:r>
        <w:t xml:space="preserve">Kesenjangan Bukti</w:t>
      </w:r>
      <w:bookmarkEnd w:id="622"/>
    </w:p>
    <w:p>
      <w:pPr>
        <w:pStyle w:val="IsiTemuan"/>
      </w:pPr>
      <w:r>
        <w:rPr>
          <w:b/>
          <w:bCs/>
          <w:color w:val="051C2C"/>
        </w:rPr>
        <w:t xml:space="preserve">Dari </w:t>
      </w:r>
      <w:r>
        <w:rPr>
          <w:b/>
          <w:bCs/>
          <w:color w:val="051C2C"/>
        </w:rPr>
        <w:t xml:space="preserve">39 sel</w:t>
      </w:r>
      <w:r>
        <w:rPr>
          <w:b/>
          <w:bCs/>
          <w:color w:val="051C2C"/>
        </w:rPr>
        <w:t xml:space="preserve"> tiga fase × tiga belas jenis bencana, </w:t>
      </w:r>
      <w:r>
        <w:rPr>
          <w:b/>
          <w:bCs/>
          <w:color w:val="051C2C"/>
        </w:rPr>
        <w:t xml:space="preserve">34 sel</w:t>
      </w:r>
      <w:r>
        <w:rPr>
          <w:b/>
          <w:bCs/>
          <w:color w:val="051C2C"/>
        </w:rPr>
        <w:t xml:space="preserve"> tidak punya program berbukti kuat, dan </w:t>
      </w:r>
      <w:r>
        <w:rPr>
          <w:b/>
          <w:bCs/>
          <w:color w:val="051C2C"/>
        </w:rPr>
        <w:t xml:space="preserve">39 sel</w:t>
      </w:r>
      <w:r>
        <w:rPr>
          <w:b/>
          <w:bCs/>
          <w:color w:val="051C2C"/>
        </w:rPr>
        <w:t xml:space="preserve"> tidak punya program dalam negeri berbukti kuat.</w:t>
      </w:r>
      <w:r>
        <w:t xml:space="preserve"> Kompendium kajian memuat </w:t>
      </w:r>
      <w:r>
        <w:t xml:space="preserve">25 program</w:t>
      </w:r>
      <w:r>
        <w:t xml:space="preserve">; yang berbukti kuat hanya </w:t>
      </w:r>
      <w:r>
        <w:t xml:space="preserve">2</w:t>
      </w:r>
      <w:r>
        <w:t xml:space="preserve">, keduanya luar negeri, yaitu pengendalian air tanah Tokyo, Osaka, dan Bangkok serta paket kesiapsiagaan siklon Bangladesh </w:t>
      </w:r>
      <w:r>
        <w:t xml:space="preserve">(Pantau Bencana, 2026d)</w:t>
      </w:r>
      <w:r>
        <w:t xml:space="preserve">. Bila bukti sedang ikut dihitung, </w:t>
      </w:r>
      <w:r>
        <w:t xml:space="preserve">24 sel</w:t>
      </w:r>
      <w:r>
        <w:t xml:space="preserve"> tetap tanpa program berbukti kuat atau sedang: </w:t>
      </w:r>
      <w:r>
        <w:t xml:space="preserve">20</w:t>
      </w:r>
      <w:r>
        <w:t xml:space="preserve"> tanpa program sama sekali dan </w:t>
      </w:r>
      <w:r>
        <w:t xml:space="preserve">4</w:t>
      </w:r>
      <w:r>
        <w:t xml:space="preserve"> hanya berprogram lemah atau belum terbukti. Sel kuat atau sedang yang bersandar pada program dalam negeri hanya </w:t>
      </w:r>
      <w:r>
        <w:t xml:space="preserve">5 sel</w:t>
      </w:r>
      <w:r>
        <w:t xml:space="preserve">, semuanya berbukti sedang: </w:t>
      </w:r>
      <w:r>
        <w:rPr>
          <w:i/>
          <w:iCs/>
        </w:rPr>
        <w:t xml:space="preserve">Indonesia Tsunami Early Warning System</w:t>
      </w:r>
      <w:r>
        <w:t xml:space="preserve"> (InaTEWS) untuk gempa dan tsunami pada prabencana dan tanggap darurat, serta Penyediaan Air Minum dan Sanitasi Berbasis Masyarakat (PAMSIMAS) untuk kekeringan pada prabencana (</w:t>
      </w:r>
      <w:r>
        <w:fldChar w:fldCharType="begin"/>
      </w:r>
      <w:r>
        <w:instrText xml:space="preserve"> REF _Ref0057 \h \* CHARFORMAT </w:instrText>
      </w:r>
      <w:r>
        <w:fldChar w:fldCharType="separate"/>
      </w:r>
      <w:r>
        <w:t xml:space="preserve">Gambar 10.3</w:t>
      </w:r>
      <w:r>
        <w:fldChar w:fldCharType="end"/>
      </w:r>
      <w:r>
        <w:t xml:space="preserve">). Penempatan program ke sel adalah pilihan kajian berlabel asumsi kebijakan.</w:t>
      </w:r>
    </w:p>
    <w:p>
      <w:pPr>
        <w:pStyle w:val="IsiTemuan"/>
      </w:pPr>
      <w:r>
        <w:rPr>
          <w:b/>
          <w:bCs/>
          <w:color w:val="051C2C"/>
        </w:rPr>
        <w:t xml:space="preserve">Seluruh </w:t>
      </w:r>
      <w:r>
        <w:rPr>
          <w:b/>
          <w:bCs/>
          <w:color w:val="051C2C"/>
        </w:rPr>
        <w:t xml:space="preserve">12 sel</w:t>
      </w:r>
      <w:r>
        <w:rPr>
          <w:b/>
          <w:bCs/>
          <w:color w:val="051C2C"/>
        </w:rPr>
        <w:t xml:space="preserve"> nonalam dan sosial tidak punya program, begitu pula </w:t>
      </w:r>
      <w:r>
        <w:rPr>
          <w:b/>
          <w:bCs/>
          <w:color w:val="051C2C"/>
        </w:rPr>
        <w:t xml:space="preserve">8</w:t>
      </w:r>
      <w:r>
        <w:rPr>
          <w:b/>
          <w:bCs/>
          <w:color w:val="051C2C"/>
        </w:rPr>
        <w:t xml:space="preserve"> dari tiga belas sel tanggap darurat dan </w:t>
      </w:r>
      <w:r>
        <w:rPr>
          <w:b/>
          <w:bCs/>
          <w:color w:val="051C2C"/>
        </w:rPr>
        <w:t xml:space="preserve">8</w:t>
      </w:r>
      <w:r>
        <w:rPr>
          <w:b/>
          <w:bCs/>
          <w:color w:val="051C2C"/>
        </w:rPr>
        <w:t xml:space="preserve"> sel pascabencana.</w:t>
      </w:r>
      <w:r>
        <w:t xml:space="preserve"> Ada </w:t>
      </w:r>
      <w:r>
        <w:t xml:space="preserve">7 jenis</w:t>
      </w:r>
      <w:r>
        <w:t xml:space="preserve"> yang tidak punya sel berbukti kuat atau sedang di fase mana pun. Empat di antaranya jenis nonalam dan sosial; tiga sisanya jenis alam (</w:t>
      </w:r>
      <w:r>
        <w:fldChar w:fldCharType="begin"/>
      </w:r>
      <w:r>
        <w:instrText xml:space="preserve"> REF _Ref0057 \h \* CHARFORMAT </w:instrText>
      </w:r>
      <w:r>
        <w:fldChar w:fldCharType="separate"/>
      </w:r>
      <w:r>
        <w:t xml:space="preserve">Gambar 10.3</w:t>
      </w:r>
      <w:r>
        <w:fldChar w:fldCharType="end"/>
      </w:r>
      <w:r>
        <w:t xml:space="preserve">) </w:t>
      </w:r>
      <w:r>
        <w:t xml:space="preserve">(Pantau Bencana, 2026d)</w:t>
      </w:r>
      <w:r>
        <w:t xml:space="preserve">. Kosongnya sel tanggap darurat dan pascabencana berarti dampak operasi darurat dan pemulihan belum pernah diukur dengan cara yang dapat dikutip; belum ada bukti dampak yang ditemukan, dan itu tidak sama dengan operasi yang tidak efektif. Sel nonalam dan sosial kosong bukti program, tetapi tidak kosong norma. Mandat keselamatan ada pada Menteri ESDM untuk migas, Menteri Perindustrian untuk industri, dan Menteri Ketenagakerjaan untuk keselamatan kerja. KLB diatur UU 17/2023, sistem tanggap darurat sampah kab/kota ada di UU 18/2008 Pasal 9, dan konflik diatur UU 7/2012 </w:t>
      </w:r>
      <w:r>
        <w:t xml:space="preserve">(Republik Indonesia, 2023b, 2012; Pantau Bencana, 2026b)</w:t>
      </w:r>
      <w:r>
        <w:t xml:space="preserve">.</w:t>
      </w:r>
    </w:p>
    <w:p>
      <w:pPr>
        <w:pStyle w:val="IsiTemuan"/>
      </w:pPr>
      <w:r>
        <w:rPr>
          <w:b/>
          <w:bCs/>
          <w:color w:val="051C2C"/>
        </w:rPr>
        <w:t xml:space="preserve">InaTEWS berbukti sedang dari kronologi satu kejadian, tsunami Palu 2018, dan posisinya adalah program berjalan yang wajib dievaluasi dampaknya.</w:t>
      </w:r>
      <w:r>
        <w:t xml:space="preserve"> PAMSIMAS berbukti sedang dengan bantahan dari evaluasi independen 2023 yang menilai data sistem informasinya terlalu optimistis, dan periode proyeknya 2008–2023 sudah berakhir </w:t>
      </w:r>
      <w:r>
        <w:t xml:space="preserve">(Pantau Bencana, 2026d)</w:t>
      </w:r>
      <w:r>
        <w:t xml:space="preserve">. Desa Tangguh Bencana dan Satuan Pendidikan Aman Bencana belum terbukti walau berjalan lebih dari sepuluh tahun. Asuransi risiko regional di luar negeri berbukti sedang. Padanan Indonesianya adalah Dana Bersama dan Asuransi Barang Milik Negara. Keduanya masih dikembangkan dan belum dievaluasi. Bila InaTEWS dibatasi pada tsunami, sel tanpa program naik dari </w:t>
      </w:r>
      <w:r>
        <w:t xml:space="preserve">20</w:t>
      </w:r>
      <w:r>
        <w:t xml:space="preserve"> ke </w:t>
      </w:r>
      <w:r>
        <w:t xml:space="preserve">21 sel</w:t>
      </w:r>
      <w:r>
        <w:t xml:space="preserve">. Kompendium tidak memuat program evakuasi gunung api atau peringatan dini longsor, sehingga kedua jenis itu tanpa program di tanggap darurat dan pascabencana dan di prabencana hanya terisi program yang lemah atau belum terbukti (</w:t>
      </w:r>
      <w:r>
        <w:fldChar w:fldCharType="begin"/>
      </w:r>
      <w:r>
        <w:instrText xml:space="preserve"> REF _Ref0104 \h \* CHARFORMAT </w:instrText>
      </w:r>
      <w:r>
        <w:fldChar w:fldCharType="separate"/>
      </w:r>
      <w:r>
        <w:t xml:space="preserve">40</w:t>
      </w:r>
      <w:r>
        <w:fldChar w:fldCharType="end"/>
      </w:r>
      <w:r>
        <w:t xml:space="preserve">).</w:t>
      </w:r>
    </w:p>
    <w:p>
      <w:pPr>
        <w:pStyle w:val="Caption"/>
      </w:pPr>
      <w:bookmarkStart w:id="624" w:name="_Toc00200"/>
      <w:bookmarkStart w:id="623" w:name="_Ref005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623"/>
      <w:r>
        <w:rPr>
          <w:b/>
          <w:bCs/>
          <w:color w:val="051C2C"/>
        </w:rPr>
        <w:t xml:space="preserve"> </w:t>
      </w:r>
      <w:r>
        <w:t xml:space="preserve">Sel fase × jenis bencana menurut kategori bukti program terbaik, Indonesia 2026</w:t>
      </w:r>
      <w:bookmarkEnd w:id="624"/>
    </w:p>
    <w:p xmlns:a="http://schemas.openxmlformats.org/drawingml/2006/main" xmlns:pic="http://schemas.openxmlformats.org/drawingml/2006/picture">
      <w:pPr>
        <w:keepNext/>
        <w:spacing w:after="0" w:line="240" w:lineRule="auto"/>
        <w:jc w:val="center"/>
      </w:pPr>
      <w:bookmarkStart w:id="625" w:name="_Obj0060"/>
      <w:r>
        <w:drawing>
          <wp:inline distT="0" distB="0" distL="0" distR="0">
            <wp:extent cx="5940000" cy="4237200"/>
            <wp:effectExtent l="0" t="0" r="0" b="0"/>
            <wp:docPr id="179" name="Gambar 179"/>
            <wp:cNvGraphicFramePr>
              <a:graphicFrameLocks noChangeAspect="1"/>
            </wp:cNvGraphicFramePr>
            <a:graphic>
              <a:graphicData uri="http://schemas.openxmlformats.org/drawingml/2006/picture">
                <pic:pic>
                  <pic:nvPicPr>
                    <pic:cNvPr id="179" name="bab10-g16-sel-bukti-program.png"/>
                    <pic:cNvPicPr/>
                  </pic:nvPicPr>
                  <pic:blipFill>
                    <a:blip r:embed="rId87"/>
                    <a:stretch>
                      <a:fillRect/>
                    </a:stretch>
                  </pic:blipFill>
                  <pic:spPr>
                    <a:xfrm>
                      <a:off x="0" y="0"/>
                      <a:ext cx="5940000" cy="4237200"/>
                    </a:xfrm>
                    <a:prstGeom prst="rect">
                      <a:avLst/>
                    </a:prstGeom>
                  </pic:spPr>
                </pic:pic>
              </a:graphicData>
            </a:graphic>
          </wp:inline>
        </w:drawing>
      </w:r>
      <w:bookmarkEnd w:id="625"/>
    </w:p>
    <w:p>
      <w:pPr>
        <w:pStyle w:val="Sumber"/>
        <w:spacing w:after="40"/>
      </w:pPr>
      <w:r>
        <w:rPr>
          <w:b/>
          <w:bCs/>
          <w:color w:val="6B7280"/>
          <w:sz w:val="17"/>
          <w:szCs w:val="17"/>
        </w:rPr>
        <w:t xml:space="preserve">Sumber: </w:t>
      </w:r>
      <w:r>
        <w:rPr>
          <w:color w:val="6B7280"/>
          <w:sz w:val="17"/>
          <w:szCs w:val="17"/>
        </w:rPr>
        <w:t xml:space="preserve">Pengolahan Pantau Bencana dari paket program-terbukti (kompendium program, kolom fase, bencana, kekuatan, dan kelompok)</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Rob dipetakan ke banjir dan likuefaksi ke gempa. Bila InaTEWS dibatasi pada tsunami, sel tanpa program </w:t>
      </w:r>
      <w:r>
        <w:rPr>
          <w:color w:val="6B7280"/>
          <w:sz w:val="17"/>
          <w:szCs w:val="17"/>
        </w:rPr>
        <w:t xml:space="preserve">21</w:t>
      </w:r>
      <w:r>
        <w:rPr>
          <w:color w:val="6B7280"/>
          <w:sz w:val="17"/>
          <w:szCs w:val="17"/>
        </w:rPr>
        <w:t xml:space="preserve">.</w:t>
      </w:r>
    </w:p>
    <w:p>
      <w:pPr>
        <w:pStyle w:val="Sumber"/>
      </w:pPr>
      <w:r>
        <w:rPr>
          <w:b/>
          <w:bCs/>
          <w:color w:val="6B7280"/>
          <w:sz w:val="17"/>
          <w:szCs w:val="17"/>
        </w:rPr>
        <w:t xml:space="preserve">Catatan: </w:t>
      </w:r>
      <w:r>
        <w:rPr>
          <w:color w:val="6B7280"/>
          <w:sz w:val="17"/>
          <w:szCs w:val="17"/>
        </w:rPr>
        <w:t xml:space="preserve">Warna sel menunjukkan kategori bukti terkuat dalam lima kelas, dari kuat (luar negeri) sampai tanpa program; bukti sedang dibedakan antara program dalam negeri dan luar negeri. Sel luar negeri memuat program yang padanan Indonesianya belum dievaluasi, sehingga tidak diberi status Indonesia.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34</w:t>
            </w:r>
            <w:r>
              <w:rPr>
                <w:b/>
                <w:bCs/>
                <w:color w:val="1A1A1A"/>
              </w:rPr>
              <w:t xml:space="preserve"> dari </w:t>
            </w:r>
            <w:r>
              <w:rPr>
                <w:b/>
                <w:bCs/>
                <w:color w:val="1A1A1A"/>
              </w:rPr>
              <w:t xml:space="preserve">39</w:t>
            </w:r>
            <w:r>
              <w:rPr>
                <w:b/>
                <w:bCs/>
                <w:color w:val="1A1A1A"/>
              </w:rPr>
              <w:t xml:space="preserve"> sel tanpa program berbukti kuat, dan </w:t>
            </w:r>
            <w:r>
              <w:rPr>
                <w:b/>
                <w:bCs/>
                <w:color w:val="1A1A1A"/>
              </w:rPr>
              <w:t xml:space="preserve">12</w:t>
            </w:r>
            <w:r>
              <w:rPr>
                <w:b/>
                <w:bCs/>
                <w:color w:val="1A1A1A"/>
              </w:rPr>
              <w:t xml:space="preserve"> sel nonalam dan sosial tanpa program</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Kompendium </w:t>
            </w:r>
            <w:r>
              <w:t xml:space="preserve">25 program</w:t>
            </w:r>
            <w:r>
              <w:t xml:space="preserve"> dengan </w:t>
            </w:r>
            <w:r>
              <w:t xml:space="preserve">0</w:t>
            </w:r>
            <w:r>
              <w:t xml:space="preserve"> program dalam negeri berbukti kuat </w:t>
            </w:r>
            <w:r>
              <w:t xml:space="preserve">(Pantau Bencana, 2026d)</w:t>
            </w:r>
            <w:r>
              <w:t xml:space="preserve">; pemetaan sel (</w:t>
            </w:r>
            <w:r>
              <w:fldChar w:fldCharType="begin"/>
            </w:r>
            <w:r>
              <w:instrText xml:space="preserve"> REF _Ref0057 \h \* CHARFORMAT </w:instrText>
            </w:r>
            <w:r>
              <w:fldChar w:fldCharType="separate"/>
            </w:r>
            <w:r>
              <w:t xml:space="preserve">Gambar 10.3</w:t>
            </w:r>
            <w:r>
              <w:fldChar w:fldCharType="end"/>
            </w:r>
            <w:r>
              <w:t xml:space="preserve">).</w:t>
            </w:r>
          </w:p>
          <w:p>
            <w:pPr>
              <w:pStyle w:val="IsiKotak"/>
            </w:pPr>
            <w:r>
              <w:rPr>
                <w:b/>
                <w:bCs/>
                <w:color w:val="1A1A1A"/>
              </w:rPr>
              <w:t xml:space="preserve">Dampak: </w:t>
            </w:r>
            <w:r>
              <w:t xml:space="preserve">Grand Design tidak dapat mengusulkan perluasan program dalam negeri sebagai program terbukti untuk jenis mana pun, dan sel tanggap darurat dan pascabencana memerlukan evaluasi dampak sebelum diperluas.</w:t>
            </w:r>
          </w:p>
          <w:p>
            <w:pPr>
              <w:pStyle w:val="IsiKotak"/>
            </w:pPr>
            <w:r>
              <w:rPr>
                <w:b/>
                <w:bCs/>
                <w:color w:val="1A1A1A"/>
              </w:rPr>
              <w:t xml:space="preserve">Pembuka: </w:t>
            </w:r>
            <w:r>
              <w:t xml:space="preserve">Direktorat Mitigasi Bencana dan Direktorat Kesiapsiagaan untuk agenda bukti; BMKG untuk InaTEWS; Kementerian Kesehatan untuk epidemi; Kementerian Lingkungan Hidup/Badan Pengendalian Lingkungan Hidup (KLH/BPLH) dan pemerintah daerah untuk kebakaran TPA; Kementerian ESDM dan Kementerian Perindustrian untuk kebakaran industri; Kemenko PMK untuk konflik.</w:t>
            </w:r>
          </w:p>
        </w:tc>
      </w:tr>
    </w:tbl>
    <w:p>
      <w:pPr>
        <w:pStyle w:val="Jarak"/>
      </w:pPr>
    </w:p>
    <w:p>
      <w:pPr>
        <w:pStyle w:val="Heading2"/>
      </w:pPr>
      <w:bookmarkStart w:id="627" w:name="_Toc00201"/>
      <w:bookmarkStart w:id="626" w:name="_Ref0169"/>
      <w:r>
        <w:t xml:space="preserve">10.9</w:t>
      </w:r>
      <w:bookmarkEnd w:id="626"/>
      <w:r>
        <w:tab/>
      </w:r>
      <w:r>
        <w:t xml:space="preserve">Yang Sudah Berjalan dan Tidak Boleh Dikorbankan</w:t>
      </w:r>
      <w:bookmarkEnd w:id="627"/>
    </w:p>
    <w:p>
      <w:pPr>
        <w:pStyle w:val="IsiTemuan"/>
      </w:pPr>
      <w:r>
        <w:rPr>
          <w:b/>
          <w:bCs/>
          <w:color w:val="051C2C"/>
        </w:rPr>
        <w:t xml:space="preserve">Renas PB menargetkan pembinaan pusat pengendalian operasi (Pusdalops) daerah oleh BNPB dari </w:t>
      </w:r>
      <w:r>
        <w:rPr>
          <w:b/>
          <w:bCs/>
          <w:color w:val="051C2C"/>
        </w:rPr>
        <w:t xml:space="preserve">395</w:t>
      </w:r>
      <w:r>
        <w:rPr>
          <w:b/>
          <w:bCs/>
          <w:color w:val="051C2C"/>
        </w:rPr>
        <w:t xml:space="preserve"> ke </w:t>
      </w:r>
      <w:r>
        <w:rPr>
          <w:b/>
          <w:bCs/>
          <w:color w:val="051C2C"/>
        </w:rPr>
        <w:t xml:space="preserve">525 daerah</w:t>
      </w:r>
      <w:r>
        <w:rPr>
          <w:b/>
          <w:bCs/>
          <w:color w:val="051C2C"/>
        </w:rPr>
        <w:t xml:space="preserve"> pada 2024–2029, dan Renstra mencatat InaRISK, DIBI, INALOGPAL, serta contact center 117 sebagai kekuatan BNPB.</w:t>
      </w:r>
      <w:r>
        <w:t xml:space="preserve"> Kekuatan lain yang dicatat Renstra adalah standardisasi peralatan; pendampingan Jitupasna dan R3P lintas sektor; pengalaman Gugus Tugas COVID-19; master plan MHEWS. Dana Bersama ditulis sebagai peluang, begitu pula forum pengurangan risiko bencana tingkat nasional dan provinsi </w:t>
      </w:r>
      <w:r>
        <w:t xml:space="preserve">(BNPB, 2025e, hlm. 73–75, 2025c)</w:t>
      </w:r>
      <w:r>
        <w:t xml:space="preserve">. Instrumen itu dan dasar hukumnya ada di </w:t>
      </w:r>
      <w:r>
        <w:fldChar w:fldCharType="begin"/>
      </w:r>
      <w:r>
        <w:instrText xml:space="preserve"> REF _Ref0246 \h \* CHARFORMAT </w:instrText>
      </w:r>
      <w:r>
        <w:fldChar w:fldCharType="separate"/>
      </w:r>
      <w:r>
        <w:t xml:space="preserve">Tabel 10.4</w:t>
      </w:r>
      <w:r>
        <w:fldChar w:fldCharType="end"/>
      </w:r>
      <w:r>
        <w:t xml:space="preserve">, masing-masing dengan argumen tandingan. Dipertahankan tidak berarti terbukti menurunkan korban; ukuran hasilnya dibahas di agenda bukti Bab 11.</w:t>
      </w:r>
    </w:p>
    <w:p>
      <w:pPr>
        <w:pStyle w:val="Caption"/>
      </w:pPr>
      <w:bookmarkStart w:id="629" w:name="_Toc00202"/>
      <w:bookmarkStart w:id="628" w:name="_Ref024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628"/>
      <w:r>
        <w:rPr>
          <w:b/>
          <w:bCs/>
          <w:color w:val="051C2C"/>
        </w:rPr>
        <w:t xml:space="preserve"> </w:t>
      </w:r>
      <w:r>
        <w:t xml:space="preserve">Instrumen penanggulangan bencana yang sudah berjalan dan tidak boleh dikorbankan, dengan dasar dan argumen tandingan, 2026</w:t>
      </w:r>
      <w:bookmarkEnd w:id="62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04"/>
        <w:gridCol w:w="2438"/>
        <w:gridCol w:w="1718"/>
        <w:gridCol w:w="1694"/>
      </w:tblGrid>
      <w:tr>
        <w:trPr>
          <w:cantSplit/>
          <w:tblHeader/>
        </w:trPr>
        <w:tc>
          <w:tcPr>
            <w:tcW w:w="3504" w:type="dxa"/>
            <w:shd w:val="clear" w:color="auto" w:fill="051C2C"/>
            <w:vAlign w:val="center"/>
          </w:tcPr>
          <w:p>
            <w:pPr>
              <w:pStyle w:val="KepalaTabel"/>
              <w:suppressAutoHyphens/>
            </w:pPr>
            <w:r>
              <w:t xml:space="preserve">INSTRUMEN</w:t>
            </w:r>
          </w:p>
        </w:tc>
        <w:tc>
          <w:tcPr>
            <w:tcW w:w="2438" w:type="dxa"/>
            <w:shd w:val="clear" w:color="auto" w:fill="051C2C"/>
            <w:vAlign w:val="center"/>
          </w:tcPr>
          <w:p>
            <w:pPr>
              <w:pStyle w:val="KepalaTabel"/>
              <w:suppressAutoHyphens/>
            </w:pPr>
            <w:r>
              <w:t xml:space="preserve">DASAR</w:t>
            </w:r>
          </w:p>
        </w:tc>
        <w:tc>
          <w:tcPr>
            <w:tcW w:w="1718" w:type="dxa"/>
            <w:shd w:val="clear" w:color="auto" w:fill="051C2C"/>
            <w:vAlign w:val="center"/>
          </w:tcPr>
          <w:p>
            <w:pPr>
              <w:pStyle w:val="KepalaTabel"/>
              <w:suppressAutoHyphens/>
            </w:pPr>
            <w:r>
              <w:t xml:space="preserve">ARGUMEN TANDINGAN</w:t>
            </w:r>
          </w:p>
        </w:tc>
        <w:tc>
          <w:tcPr>
            <w:tcW w:w="1694" w:type="dxa"/>
            <w:shd w:val="clear" w:color="auto" w:fill="051C2C"/>
            <w:vAlign w:val="center"/>
          </w:tcPr>
          <w:p>
            <w:pPr>
              <w:pStyle w:val="KepalaTabel"/>
              <w:suppressAutoHyphens/>
            </w:pPr>
            <w:r>
              <w:t xml:space="preserve">KEYAKINAN</w:t>
            </w:r>
          </w:p>
        </w:tc>
      </w:tr>
      <w:tr>
        <w:trPr>
          <w:cantSplit/>
        </w:trPr>
        <w:tc>
          <w:tcPr>
            <w:tcW w:w="3504" w:type="dxa"/>
          </w:tcPr>
          <w:p>
            <w:pPr>
              <w:pStyle w:val="IsiTabel"/>
              <w:suppressAutoHyphens/>
              <w:jc w:val="left"/>
            </w:pPr>
            <w:r>
              <w:t xml:space="preserve">InaRISK, IRBI, dan DIBI</w:t>
            </w:r>
          </w:p>
        </w:tc>
        <w:tc>
          <w:tcPr>
            <w:tcW w:w="2438" w:type="dxa"/>
          </w:tcPr>
          <w:p>
            <w:pPr>
              <w:pStyle w:val="IsiTabel"/>
              <w:suppressAutoHyphens/>
              <w:jc w:val="left"/>
            </w:pPr>
            <w:r>
              <w:t xml:space="preserve">Renstra kekuatan 11; Perban BNPB 1/2023</w:t>
            </w:r>
          </w:p>
        </w:tc>
        <w:tc>
          <w:tcPr>
            <w:tcW w:w="1718" w:type="dxa"/>
          </w:tcPr>
          <w:p>
            <w:pPr>
              <w:pStyle w:val="IsiTabel"/>
              <w:suppressAutoHyphens/>
              <w:jc w:val="left"/>
            </w:pPr>
            <w:r>
              <w:t xml:space="preserve">IRBI 2025 tidak sebanding dengan seri 2015–2024; KRB belum memuat seluruh ancaman menurut BPK</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suppressAutoHyphens/>
              <w:jc w:val="left"/>
            </w:pPr>
            <w:r>
              <w:t xml:space="preserve">Dana Bersama Penanggulangan Bencana</w:t>
            </w:r>
          </w:p>
        </w:tc>
        <w:tc>
          <w:tcPr>
            <w:tcW w:w="2438" w:type="dxa"/>
          </w:tcPr>
          <w:p>
            <w:pPr>
              <w:pStyle w:val="IsiTabel"/>
              <w:suppressAutoHyphens/>
              <w:jc w:val="left"/>
            </w:pPr>
            <w:r>
              <w:t xml:space="preserve">Perpres 75/2021; Perban BNPB 1/2026</w:t>
            </w:r>
          </w:p>
        </w:tc>
        <w:tc>
          <w:tcPr>
            <w:tcW w:w="1718" w:type="dxa"/>
          </w:tcPr>
          <w:p>
            <w:pPr>
              <w:pStyle w:val="IsiTabel"/>
              <w:suppressAutoHyphens/>
              <w:jc w:val="left"/>
            </w:pPr>
            <w:r>
              <w:t xml:space="preserve">penyaluran prabencana tanpa syarat analisis manfaat-biaya; belum dievaluasi</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suppressAutoHyphens/>
              <w:jc w:val="left"/>
            </w:pPr>
            <w:r>
              <w:t xml:space="preserve">Rencana kontinjensi</w:t>
            </w:r>
          </w:p>
        </w:tc>
        <w:tc>
          <w:tcPr>
            <w:tcW w:w="2438" w:type="dxa"/>
          </w:tcPr>
          <w:p>
            <w:pPr>
              <w:pStyle w:val="IsiTabel"/>
              <w:suppressAutoHyphens/>
              <w:jc w:val="left"/>
            </w:pPr>
            <w:r>
              <w:t xml:space="preserve">Perban BNPB 2/2023</w:t>
            </w:r>
          </w:p>
        </w:tc>
        <w:tc>
          <w:tcPr>
            <w:tcW w:w="1718" w:type="dxa"/>
          </w:tcPr>
          <w:p>
            <w:pPr>
              <w:pStyle w:val="IsiTabel"/>
              <w:suppressAutoHyphens/>
              <w:jc w:val="left"/>
            </w:pPr>
            <w:r>
              <w:t xml:space="preserve">BPK menemukan pemda tanpa rencana kontinjensi per jenis; cakupan nasionalnya tidak diketahui</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suppressAutoHyphens/>
              <w:jc w:val="left"/>
            </w:pPr>
            <w:r>
              <w:t xml:space="preserve">Sistem komando dan klaster</w:t>
            </w:r>
          </w:p>
        </w:tc>
        <w:tc>
          <w:tcPr>
            <w:tcW w:w="2438" w:type="dxa"/>
          </w:tcPr>
          <w:p>
            <w:pPr>
              <w:pStyle w:val="IsiTabel"/>
              <w:suppressAutoHyphens/>
              <w:jc w:val="left"/>
            </w:pPr>
            <w:r>
              <w:t xml:space="preserve">Perka BNPB 3/2016; Kepka BNPB 308/2024</w:t>
            </w:r>
          </w:p>
        </w:tc>
        <w:tc>
          <w:tcPr>
            <w:tcW w:w="1718" w:type="dxa"/>
          </w:tcPr>
          <w:p>
            <w:pPr>
              <w:pStyle w:val="IsiTabel"/>
              <w:suppressAutoHyphens/>
              <w:jc w:val="left"/>
            </w:pPr>
            <w:r>
              <w:t xml:space="preserve">klaster kesehatan nasional belum dibentuk menurut BPK; petunjuk SKPDB tingkat provinsi dan nasional tidak ditemukan</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keepNext/>
              <w:suppressAutoHyphens/>
              <w:jc w:val="left"/>
            </w:pPr>
            <w:bookmarkStart w:id="630" w:name="_Ekor074a"/>
            <w:bookmarkEnd w:id="630"/>
            <w:r>
              <w:t xml:space="preserve">Pembinaan Pusdalops daerah</w:t>
            </w:r>
          </w:p>
        </w:tc>
        <w:tc>
          <w:tcPr>
            <w:tcW w:w="2438" w:type="dxa"/>
          </w:tcPr>
          <w:p>
            <w:pPr>
              <w:pStyle w:val="IsiTabel"/>
              <w:keepNext/>
              <w:suppressAutoHyphens/>
              <w:jc w:val="left"/>
            </w:pPr>
            <w:r>
              <w:t xml:space="preserve">Renas PB aksi 1.2.1.c</w:t>
            </w:r>
          </w:p>
        </w:tc>
        <w:tc>
          <w:tcPr>
            <w:tcW w:w="1718" w:type="dxa"/>
          </w:tcPr>
          <w:p>
            <w:pPr>
              <w:pStyle w:val="IsiTabel"/>
              <w:keepNext/>
              <w:suppressAutoHyphens/>
              <w:jc w:val="left"/>
            </w:pPr>
            <w:r>
              <w:t xml:space="preserve">dokumen Renstra masih menyebut unit pengendalian operasi yang sudah diganti</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04" w:type="dxa"/>
          </w:tcPr>
          <w:p>
            <w:pPr>
              <w:pStyle w:val="IsiTabel"/>
              <w:keepNext/>
              <w:suppressAutoHyphens/>
              <w:jc w:val="left"/>
            </w:pPr>
            <w:r>
              <w:t xml:space="preserve">InaTEWS</w:t>
            </w:r>
          </w:p>
        </w:tc>
        <w:tc>
          <w:tcPr>
            <w:tcW w:w="2438" w:type="dxa"/>
          </w:tcPr>
          <w:p>
            <w:pPr>
              <w:pStyle w:val="IsiTabel"/>
              <w:keepNext/>
              <w:suppressAutoHyphens/>
              <w:jc w:val="left"/>
            </w:pPr>
            <w:r>
              <w:t xml:space="preserve">kompendium program, bukti sedang</w:t>
            </w:r>
          </w:p>
        </w:tc>
        <w:tc>
          <w:tcPr>
            <w:tcW w:w="1718" w:type="dxa"/>
          </w:tcPr>
          <w:p>
            <w:pPr>
              <w:pStyle w:val="IsiTabel"/>
              <w:keepNext/>
              <w:suppressAutoHyphens/>
              <w:jc w:val="left"/>
            </w:pPr>
            <w:r>
              <w:t xml:space="preserve">bukti dari satu kejadian; dampak di hilir belum dievaluasi</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504" w:type="dxa"/>
          </w:tcPr>
          <w:p>
            <w:pPr>
              <w:pStyle w:val="IsiTabel"/>
              <w:keepNext/>
              <w:suppressAutoHyphens/>
              <w:jc w:val="left"/>
            </w:pPr>
            <w:r>
              <w:t xml:space="preserve">Desa Tangguh Bencana</w:t>
            </w:r>
          </w:p>
        </w:tc>
        <w:tc>
          <w:tcPr>
            <w:tcW w:w="2438" w:type="dxa"/>
          </w:tcPr>
          <w:p>
            <w:pPr>
              <w:pStyle w:val="IsiTabel"/>
              <w:keepNext/>
              <w:suppressAutoHyphens/>
              <w:jc w:val="left"/>
            </w:pPr>
            <w:r>
              <w:t xml:space="preserve">Perban BNPB 7/2025 tingkat ketangguhan sebagai garis dasar</w:t>
            </w:r>
          </w:p>
        </w:tc>
        <w:tc>
          <w:tcPr>
            <w:tcW w:w="1718" w:type="dxa"/>
          </w:tcPr>
          <w:p>
            <w:pPr>
              <w:pStyle w:val="IsiTabel"/>
              <w:keepNext/>
              <w:suppressAutoHyphens/>
              <w:jc w:val="left"/>
            </w:pPr>
            <w:r>
              <w:t xml:space="preserve">belum terbukti walau berjalan lebih dari sepuluh tahun</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504" w:type="dxa"/>
          </w:tcPr>
          <w:p>
            <w:pPr>
              <w:pStyle w:val="IsiTabel"/>
              <w:keepNext/>
              <w:suppressAutoHyphens/>
              <w:jc w:val="left"/>
            </w:pPr>
            <w:bookmarkStart w:id="631" w:name="_Ekor074z"/>
            <w:bookmarkEnd w:id="631"/>
            <w:r>
              <w:t xml:space="preserve">INALOGPAL dan contact center 117</w:t>
            </w:r>
          </w:p>
        </w:tc>
        <w:tc>
          <w:tcPr>
            <w:tcW w:w="2438" w:type="dxa"/>
          </w:tcPr>
          <w:p>
            <w:pPr>
              <w:pStyle w:val="IsiTabel"/>
              <w:keepNext/>
              <w:suppressAutoHyphens/>
              <w:jc w:val="left"/>
            </w:pPr>
            <w:r>
              <w:t xml:space="preserve">Renstra kekuatan 3 dan 14</w:t>
            </w:r>
          </w:p>
        </w:tc>
        <w:tc>
          <w:tcPr>
            <w:tcW w:w="1718" w:type="dxa"/>
          </w:tcPr>
          <w:p>
            <w:pPr>
              <w:pStyle w:val="IsiTabel"/>
              <w:keepNext/>
              <w:suppressAutoHyphens/>
              <w:jc w:val="left"/>
            </w:pPr>
            <w:r>
              <w:t xml:space="preserve">data INALOGPAL dan isi gudang terhadap kebutuhan skenario tidak terbuka</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Renstra BNPB 2025–2029 hlm. 73–75; Renas PB 2025–2029; Perban BNPB 1/2023, 2/2023, 7/2025, 1/2026; Perpres 75/2021; Perka BNPB 3/2016; IHPS II 2024; paket program-terbukti dan IRBI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Bdr>
          <w:top w:val="single" w:sz="16" w:space="0" w:color="D9600B"/>
        </w:pBdr>
        <w:spacing w:before="0" w:after="80" w:line="60" w:lineRule="exact"/>
        <w:ind w:right="8674"/>
      </w:pPr>
    </w:p>
    <w:p>
      <w:pPr>
        <w:pStyle w:val="Heading1"/>
        <w:numPr>
          <w:ilvl w:val="0"/>
          <w:numId w:val="911"/>
        </w:numPr>
      </w:pPr>
      <w:bookmarkStart w:id="633" w:name="_Toc00203"/>
      <w:r>
        <w:rPr>
          <w:sz w:val="18"/>
          <w:szCs w:val="18"/>
        </w:rPr>
        <w:br/>
      </w:r>
      <w:bookmarkStart w:id="632" w:name="_Ref0001"/>
      <w:r>
        <w:t xml:space="preserve">GRAND DESIGN MITIGASI 2026–2030</w:t>
      </w:r>
      <w:bookmarkEnd w:id="632"/>
      <w:bookmarkEnd w:id="633"/>
    </w:p>
    <w:p>
      <w:pPr>
        <w:pStyle w:val="Pertanyaan"/>
      </w:pPr>
      <w:r>
        <w:t xml:space="preserve">Sasaran apa yang terukur dengan data sekarang, dan langkah apa dari peringatan dini sampai rehabilitasi dan rekonstruksi dijalankan siapa pada pemicu apa? Apa yang dikerjakan BNPB per fase, per jenis bencana, dan per musim, termasuk musim hujan 2026/2027? Berapa kebutuhan respons skenario terburuk per Direktorat Penanganan Darurat Wilayah?</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80" name="Gambar 180"/>
                  <wp:cNvGraphicFramePr>
                    <a:graphicFrameLocks noChangeAspect="1"/>
                  </wp:cNvGraphicFramePr>
                  <a:graphic>
                    <a:graphicData uri="http://schemas.openxmlformats.org/drawingml/2006/picture">
                      <pic:pic>
                        <pic:nvPicPr>
                          <pic:cNvPr id="180"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28</w:t>
            </w:r>
            <w:r>
              <w:t xml:space="preserve"> dari </w:t>
            </w:r>
            <w:r>
              <w:t xml:space="preserve">39</w:t>
            </w:r>
            <w:r>
              <w:t xml:space="preserve"> sel matriks fase dan jenis bencana hanya dapat diisi aksi yang diwajibkan peraturan; program dalam negeri berbukti kuat mengisi </w:t>
            </w:r>
            <w:r>
              <w:t xml:space="preserve">0</w:t>
            </w:r>
            <w:r>
              <w:t xml:space="preserve"> sel, sehingga strategi 2026–2030 bertumpu pada aksi berpasal yang diberi ukuran hasil.</w:t>
            </w:r>
          </w:p>
          <w:p>
            <w:pPr>
              <w:pStyle w:val="DaftarKotak"/>
              <w:numPr>
                <w:ilvl w:val="0"/>
                <w:numId w:val="1"/>
              </w:numPr>
            </w:pPr>
            <w:r>
              <w:t xml:space="preserve">Sasaran yang terukur sekarang hanya indikator korban Renas PB 1.a dan 1.b: bencana alam 2025 mencatat </w:t>
            </w:r>
            <w:r>
              <w:t xml:space="preserve">1.956</w:t>
            </w:r>
            <w:r>
              <w:t xml:space="preserve"> meninggal dan hilang, setara </w:t>
            </w:r>
            <w:r>
              <w:t xml:space="preserve">0,68</w:t>
            </w:r>
            <w:r>
              <w:t xml:space="preserve"> per 100.000 penduduk atau </w:t>
            </w:r>
            <w:r>
              <w:t xml:space="preserve">3,1 kali</w:t>
            </w:r>
            <w:r>
              <w:t xml:space="preserve"> proyeksi 2025.</w:t>
            </w:r>
          </w:p>
          <w:p>
            <w:pPr>
              <w:pStyle w:val="DaftarKotak"/>
              <w:numPr>
                <w:ilvl w:val="0"/>
                <w:numId w:val="1"/>
              </w:numPr>
            </w:pPr>
            <w:r>
              <w:t xml:space="preserve">Lantai kebutuhan respons dari catatan DIBI 2008–2025 adalah </w:t>
            </w:r>
            <w:r>
              <w:t xml:space="preserve">954.305</w:t>
            </w:r>
            <w:r>
              <w:t xml:space="preserve"> jiwa di Direktorat Penanganan Darurat Wilayah I, </w:t>
            </w:r>
            <w:r>
              <w:t xml:space="preserve">468.967</w:t>
            </w:r>
            <w:r>
              <w:t xml:space="preserve"> di Wilayah II, dan </w:t>
            </w:r>
            <w:r>
              <w:t xml:space="preserve">464.120</w:t>
            </w:r>
            <w:r>
              <w:t xml:space="preserve"> di Wilayah III (dari rumah rusak tercatat); lantai Wilayah I setara </w:t>
            </w:r>
            <w:r>
              <w:t xml:space="preserve">381,7 ton per hari</w:t>
            </w:r>
            <w:r>
              <w:t xml:space="preserve"> beras.</w:t>
            </w:r>
          </w:p>
          <w:p>
            <w:pPr>
              <w:pStyle w:val="IsiKotak"/>
            </w:pPr>
            <w:r>
              <w:rPr>
                <w:b/>
                <w:bCs/>
                <w:color w:val="1A1A1A"/>
              </w:rPr>
              <w:t xml:space="preserve">Angka kunci: </w:t>
            </w:r>
          </w:p>
          <w:p>
            <w:pPr>
              <w:pStyle w:val="DaftarKotak"/>
              <w:numPr>
                <w:ilvl w:val="0"/>
                <w:numId w:val="1"/>
              </w:numPr>
            </w:pPr>
            <w:r>
              <w:t xml:space="preserve">1.692</w:t>
            </w:r>
            <w:r>
              <w:t xml:space="preserve"> meninggal dan hilang pada musim hujan 2025/2026, lantai skenario musim hujan 2026/2027 </w:t>
            </w:r>
            <w:r>
              <w:t xml:space="preserve">(BNPB, t.t.-a)</w:t>
            </w:r>
            <w:r>
              <w:t xml:space="preserve">.</w:t>
            </w:r>
          </w:p>
          <w:p>
            <w:pPr>
              <w:pStyle w:val="DaftarKotak"/>
              <w:numPr>
                <w:ilvl w:val="0"/>
                <w:numId w:val="1"/>
              </w:numPr>
            </w:pPr>
            <w:r>
              <w:t xml:space="preserve">529</w:t>
            </w:r>
            <w:r>
              <w:t xml:space="preserve"> Zona Musim (ZOM) dengan awal musim hujan 2026/2027 mundur </w:t>
            </w:r>
            <w:r>
              <w:t xml:space="preserve">(BMKG, 2026c)</w:t>
            </w:r>
            <w:r>
              <w:t xml:space="preserve">.</w:t>
            </w:r>
          </w:p>
          <w:p>
            <w:pPr>
              <w:pStyle w:val="DaftarKotak"/>
              <w:numPr>
                <w:ilvl w:val="0"/>
                <w:numId w:val="1"/>
              </w:numPr>
            </w:pPr>
            <w:r>
              <w:t xml:space="preserve">35 hari</w:t>
            </w:r>
            <w:r>
              <w:t xml:space="preserve"> dari kejadian sampai R3P Aceh selesai disusun, di dalam batas </w:t>
            </w:r>
            <w:r>
              <w:t xml:space="preserve">90 hari</w:t>
            </w:r>
            <w:r>
              <w:t xml:space="preserve"> </w:t>
            </w:r>
            <w:r>
              <w:t xml:space="preserve">(Kemenko PMK, 2026)</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_Ref0073 \h \* CHARFORMAT </w:instrText>
            </w:r>
            <w:r>
              <w:fldChar w:fldCharType="separate"/>
            </w:r>
            <w:r>
              <w:t xml:space="preserve">05</w:t>
            </w:r>
            <w:r>
              <w:fldChar w:fldCharType="end"/>
            </w:r>
            <w:r>
              <w:t xml:space="preserve"> penetapan hari ke-0 dan penugasan unit Rencana Aksi Musim Hujan 2026/2027 (Usulan baru; Kepala BNPB; tanpa K/L; 100 hari).</w:t>
            </w:r>
          </w:p>
          <w:p>
            <w:pPr>
              <w:pStyle w:val="DaftarKotak"/>
              <w:numPr>
                <w:ilvl w:val="0"/>
                <w:numId w:val="1"/>
              </w:numPr>
            </w:pPr>
            <w:r>
              <w:fldChar w:fldCharType="begin"/>
            </w:r>
            <w:r>
              <w:instrText xml:space="preserve"> REF _Ref0076 \h \* CHARFORMAT </w:instrText>
            </w:r>
            <w:r>
              <w:fldChar w:fldCharType="separate"/>
            </w:r>
            <w:r>
              <w:t xml:space="preserve">08</w:t>
            </w:r>
            <w:r>
              <w:fldChar w:fldCharType="end"/>
            </w:r>
            <w:r>
              <w:t xml:space="preserve"> inventarisasi logistik per Direktorat Penanganan Darurat Wilayah terhadap lantai kebutuhan respons (Sudah ada, perlu dikembangkan; Deputi Bidang Logistik dan Peralatan; tanpa K/L; 100 hari).</w:t>
            </w:r>
          </w:p>
          <w:p>
            <w:pPr>
              <w:pStyle w:val="DaftarKotak"/>
              <w:numPr>
                <w:ilvl w:val="0"/>
                <w:numId w:val="1"/>
              </w:numPr>
            </w:pPr>
            <w:r>
              <w:fldChar w:fldCharType="begin"/>
            </w:r>
            <w:r>
              <w:instrText xml:space="preserve"> REF _Ref0101 \h \* CHARFORMAT </w:instrText>
            </w:r>
            <w:r>
              <w:fldChar w:fldCharType="separate"/>
            </w:r>
            <w:r>
              <w:t xml:space="preserve">26</w:t>
            </w:r>
            <w:r>
              <w:fldChar w:fldCharType="end"/>
            </w:r>
            <w:r>
              <w:t xml:space="preserve"> latihan komando dengan skenario lantai per wilayah direktorat (Sudah ada, perlu dikembangkan; Pusat Pendidikan dan Pelatihan Penanggulangan Bencana; tanpa K/L; 2026–2027).</w:t>
            </w:r>
          </w:p>
          <w:p>
            <w:pPr>
              <w:pStyle w:val="DaftarKotak"/>
              <w:numPr>
                <w:ilvl w:val="0"/>
                <w:numId w:val="1"/>
              </w:numPr>
            </w:pPr>
            <w:r>
              <w:fldChar w:fldCharType="begin"/>
            </w:r>
            <w:r>
              <w:instrText xml:space="preserve"> REF _Ref0085 \h \* CHARFORMAT </w:instrText>
            </w:r>
            <w:r>
              <w:fldChar w:fldCharType="separate"/>
            </w:r>
            <w:r>
              <w:t xml:space="preserve">28</w:t>
            </w:r>
            <w:r>
              <w:fldChar w:fldCharType="end"/>
            </w:r>
            <w:r>
              <w:t xml:space="preserve"> kalender kesiapan musiman per pulau berpemicu prakiraan BMKG (Usulan baru; Direktorat Kesiapsiagaan; BMKG; 2028–2030).</w:t>
            </w:r>
          </w:p>
          <w:p>
            <w:pPr>
              <w:pStyle w:val="DaftarKotak"/>
              <w:numPr>
                <w:ilvl w:val="0"/>
                <w:numId w:val="1"/>
              </w:numPr>
            </w:pPr>
            <w:r>
              <w:fldChar w:fldCharType="begin"/>
            </w:r>
            <w:r>
              <w:instrText xml:space="preserve"> REF _Ref0104 \h \* CHARFORMAT </w:instrText>
            </w:r>
            <w:r>
              <w:fldChar w:fldCharType="separate"/>
            </w:r>
            <w:r>
              <w:t xml:space="preserve">40</w:t>
            </w:r>
            <w:r>
              <w:fldChar w:fldCharType="end"/>
            </w:r>
            <w:r>
              <w:t xml:space="preserve"> agenda evaluasi dampak program berjalan (Sudah ada, perlu dikembangkan; Direktorat Mitigasi Bencana; BMKG, Kementerian Pendidikan Dasar dan Menengah, Kementerian Desa dan Pembangunan Daerah Tertinggal; 2028–2030).</w:t>
            </w:r>
          </w:p>
        </w:tc>
      </w:tr>
    </w:tbl>
    <w:p>
      <w:pPr>
        <w:pStyle w:val="Jarak"/>
      </w:pPr>
    </w:p>
    <w:p>
      <w:pPr>
        <w:pStyle w:val="Caption"/>
      </w:pPr>
      <w:bookmarkStart w:id="635" w:name="_Toc00204"/>
      <w:bookmarkStart w:id="634" w:name="_Ref003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634"/>
      <w:r>
        <w:rPr>
          <w:b/>
          <w:bCs/>
          <w:color w:val="051C2C"/>
        </w:rPr>
        <w:t xml:space="preserve"> </w:t>
      </w:r>
      <w:r>
        <w:t xml:space="preserve">Pengerukan lumpur di Sungai Ciliwung, Jakarta, Maret 2025</w:t>
      </w:r>
      <w:bookmarkEnd w:id="635"/>
    </w:p>
    <w:p xmlns:a="http://schemas.openxmlformats.org/drawingml/2006/main" xmlns:pic="http://schemas.openxmlformats.org/drawingml/2006/picture">
      <w:pPr>
        <w:keepNext/>
        <w:spacing w:after="0" w:line="240" w:lineRule="auto"/>
        <w:jc w:val="center"/>
      </w:pPr>
      <w:bookmarkStart w:id="636" w:name="_Obj0061"/>
      <w:r>
        <w:drawing>
          <wp:inline distT="0" distB="0" distL="0" distR="0">
            <wp:extent cx="5940000" cy="2970000"/>
            <wp:effectExtent l="0" t="0" r="0" b="0"/>
            <wp:docPr id="181" name="Gambar 181"/>
            <wp:cNvGraphicFramePr>
              <a:graphicFrameLocks noChangeAspect="1"/>
            </wp:cNvGraphicFramePr>
            <a:graphic>
              <a:graphicData uri="http://schemas.openxmlformats.org/drawingml/2006/picture">
                <pic:pic>
                  <pic:nvPicPr>
                    <pic:cNvPr id="181" name="air-b07-ciliwung-keruk.jpg"/>
                    <pic:cNvPicPr/>
                  </pic:nvPicPr>
                  <pic:blipFill>
                    <a:blip r:embed="rId88"/>
                    <a:stretch>
                      <a:fillRect/>
                    </a:stretch>
                  </pic:blipFill>
                  <pic:spPr>
                    <a:xfrm>
                      <a:off x="0" y="0"/>
                      <a:ext cx="5940000" cy="2970000"/>
                    </a:xfrm>
                    <a:prstGeom prst="rect">
                      <a:avLst/>
                    </a:prstGeom>
                  </pic:spPr>
                </pic:pic>
              </a:graphicData>
            </a:graphic>
          </wp:inline>
        </w:drawing>
      </w:r>
      <w:bookmarkEnd w:id="636"/>
    </w:p>
    <w:p>
      <w:pPr>
        <w:pStyle w:val="Sumber"/>
      </w:pPr>
      <w:r>
        <w:rPr>
          <w:b/>
          <w:bCs/>
          <w:color w:val="6B7280"/>
          <w:sz w:val="17"/>
          <w:szCs w:val="17"/>
        </w:rPr>
        <w:t xml:space="preserve">Sumber: </w:t>
      </w:r>
      <w:r>
        <w:rPr>
          <w:color w:val="6B7280"/>
          <w:sz w:val="17"/>
          <w:szCs w:val="17"/>
        </w:rPr>
        <w:t xml:space="preserve">Wikimedia Commons, Hutomo, CC BY 4.0</w:t>
      </w:r>
    </w:p>
    <w:p>
      <w:pPr>
        <w:pStyle w:val="Heading2"/>
      </w:pPr>
      <w:bookmarkStart w:id="638" w:name="_Toc00205"/>
      <w:bookmarkStart w:id="637" w:name="_Ref0129"/>
      <w:r>
        <w:t xml:space="preserve">11.1</w:t>
      </w:r>
      <w:bookmarkEnd w:id="637"/>
      <w:r>
        <w:tab/>
      </w:r>
      <w:r>
        <w:t xml:space="preserve">Kerangka Program</w:t>
      </w:r>
      <w:bookmarkEnd w:id="638"/>
    </w:p>
    <w:p>
      <w:pPr>
        <w:pStyle w:val="IsiTemuan"/>
      </w:pPr>
      <w:r>
        <w:rPr>
          <w:b/>
          <w:bCs/>
          <w:color w:val="051C2C"/>
        </w:rPr>
        <w:t xml:space="preserve">Grand Design Mitigasi 2026–2030 disusun dalam tiga tahap menurut UU 24/2007, dan dari </w:t>
      </w:r>
      <w:r>
        <w:rPr>
          <w:b/>
          <w:bCs/>
          <w:color w:val="051C2C"/>
        </w:rPr>
        <w:t xml:space="preserve">25</w:t>
      </w:r>
      <w:r>
        <w:rPr>
          <w:b/>
          <w:bCs/>
          <w:color w:val="051C2C"/>
        </w:rPr>
        <w:t xml:space="preserve"> program di kompendium hanya </w:t>
      </w:r>
      <w:r>
        <w:rPr>
          <w:b/>
          <w:bCs/>
          <w:color w:val="051C2C"/>
        </w:rPr>
        <w:t xml:space="preserve">2</w:t>
      </w:r>
      <w:r>
        <w:rPr>
          <w:b/>
          <w:bCs/>
          <w:color w:val="051C2C"/>
        </w:rPr>
        <w:t xml:space="preserve"> yang berbukti kuat, keduanya di luar negeri </w:t>
      </w:r>
      <w:r>
        <w:rPr>
          <w:b/>
          <w:bCs/>
          <w:color w:val="051C2C"/>
        </w:rPr>
        <w:t xml:space="preserve">(Republik Indonesia, 2007; Pantau Bencana, 2026d)</w:t>
      </w:r>
      <w:r>
        <w:rPr>
          <w:b/>
          <w:bCs/>
          <w:color w:val="051C2C"/>
        </w:rPr>
        <w:t xml:space="preserve">.</w:t>
      </w:r>
      <w:r>
        <w:t xml:space="preserve"> Prabencana mengikuti Pasal 35 dan Pasal 44–47, tanggap darurat mengikuti Pasal 48, dan pascabencana mengikuti Pasal 57–59. Program dalam negeri yang terbaik, Sistem Peringatan Dini Tsunami Indonesia (</w:t>
      </w:r>
      <w:r>
        <w:rPr>
          <w:i/>
          <w:iCs/>
        </w:rPr>
        <w:t xml:space="preserve">Indonesia Tsunami Early Warning System</w:t>
      </w:r>
      <w:r>
        <w:t xml:space="preserve">, InaTEWS) dan Penyediaan Air Minum dan Sanitasi Berbasis Masyarakat (PAMSIMAS), berbukti sedang. Desa dan Kelurahan Tangguh Bencana (Destana) dan Satuan Pendidikan Aman Bencana (SPAB) belum terbukti karena evaluasi dampaknya tidak ditemukan pada penelusuran 23–24 Oktober 2026. Karena itu kerangka di </w:t>
      </w:r>
      <w:r>
        <w:fldChar w:fldCharType="begin"/>
      </w:r>
      <w:r>
        <w:instrText xml:space="preserve"> REF _Ref0258 \h \* CHARFORMAT </w:instrText>
      </w:r>
      <w:r>
        <w:fldChar w:fldCharType="separate"/>
      </w:r>
      <w:r>
        <w:t xml:space="preserve">Tabel 11.1</w:t>
      </w:r>
      <w:r>
        <w:fldChar w:fldCharType="end"/>
      </w:r>
      <w:r>
        <w:t xml:space="preserve"> tidak memberi label terbukti kepada program dalam negeri mana pun. Program luar negeri berbukti kuat, yaitu paket kesiapsiagaan siklon Bangladesh (P19) dan pengendalian air tanah Tokyo, Osaka, dan Bangkok (P16), hanya hadir sebagai padanan dengan program Indonesia yang setara.</w:t>
      </w:r>
    </w:p>
    <w:p>
      <w:pPr>
        <w:pStyle w:val="Isi"/>
      </w:pPr>
      <w:r>
        <w:t xml:space="preserve">Strategi untuk sel yang hanya berisi aksi wajib adalah menjalankan aksi berpasal itu dengan ukuran hasil. Perluasan program hanya diusulkan untuk program berbukti kuat atau sedang (Keputusan pemilik P6). Program berjalan yang wajib dievaluasi dampaknya diberi rekomendasi evaluasi, bukan klaim keberhasilan (</w:t>
      </w:r>
      <w:r>
        <w:t xml:space="preserve">Subbab </w:t>
      </w:r>
      <w:r>
        <w:fldChar w:fldCharType="begin"/>
      </w:r>
      <w:r>
        <w:instrText xml:space="preserve"> REF _Ref0126 \h \* CHARFORMAT </w:instrText>
      </w:r>
      <w:r>
        <w:fldChar w:fldCharType="separate"/>
      </w:r>
      <w:r>
        <w:t xml:space="preserve">11.10</w:t>
      </w:r>
      <w:r>
        <w:fldChar w:fldCharType="end"/>
      </w:r>
      <w:r>
        <w:t xml:space="preserve">).</w:t>
      </w:r>
    </w:p>
    <w:p>
      <w:pPr>
        <w:pStyle w:val="Caption"/>
      </w:pPr>
      <w:bookmarkStart w:id="640" w:name="_Toc00206"/>
      <w:bookmarkStart w:id="639" w:name="_Ref025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39"/>
      <w:r>
        <w:rPr>
          <w:b/>
          <w:bCs/>
          <w:color w:val="051C2C"/>
        </w:rPr>
        <w:t xml:space="preserve"> </w:t>
      </w:r>
      <w:r>
        <w:t xml:space="preserve">Kerangka program Grand Design Mitigasi Bencana Indonesia 2026–2030 menurut tahap, sasaran, dan posisi bukti</w:t>
      </w:r>
      <w:bookmarkEnd w:id="64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14"/>
        <w:gridCol w:w="4217"/>
        <w:gridCol w:w="1711"/>
        <w:gridCol w:w="1912"/>
      </w:tblGrid>
      <w:tr>
        <w:trPr>
          <w:cantSplit/>
          <w:tblHeader/>
        </w:trPr>
        <w:tc>
          <w:tcPr>
            <w:tcW w:w="1514" w:type="dxa"/>
            <w:shd w:val="clear" w:color="auto" w:fill="051C2C"/>
            <w:vAlign w:val="center"/>
          </w:tcPr>
          <w:p>
            <w:pPr>
              <w:pStyle w:val="KepalaTabel"/>
              <w:keepNext/>
              <w:suppressAutoHyphens/>
            </w:pPr>
            <w:r>
              <w:t xml:space="preserve">TAHAP</w:t>
            </w:r>
          </w:p>
        </w:tc>
        <w:tc>
          <w:tcPr>
            <w:tcW w:w="4217" w:type="dxa"/>
            <w:shd w:val="clear" w:color="auto" w:fill="051C2C"/>
            <w:vAlign w:val="center"/>
          </w:tcPr>
          <w:p>
            <w:pPr>
              <w:pStyle w:val="KepalaTabel"/>
              <w:keepNext/>
              <w:suppressAutoHyphens/>
            </w:pPr>
            <w:r>
              <w:t xml:space="preserve">SASARAN TERUKUR</w:t>
            </w:r>
          </w:p>
        </w:tc>
        <w:tc>
          <w:tcPr>
            <w:tcW w:w="1711" w:type="dxa"/>
            <w:shd w:val="clear" w:color="auto" w:fill="051C2C"/>
            <w:vAlign w:val="center"/>
          </w:tcPr>
          <w:p>
            <w:pPr>
              <w:pStyle w:val="KepalaTabel"/>
              <w:keepNext/>
              <w:suppressAutoHyphens/>
            </w:pPr>
            <w:r>
              <w:t xml:space="preserve">PROGRAM DAN AKSI</w:t>
            </w:r>
          </w:p>
        </w:tc>
        <w:tc>
          <w:tcPr>
            <w:tcW w:w="1912" w:type="dxa"/>
            <w:shd w:val="clear" w:color="auto" w:fill="051C2C"/>
            <w:vAlign w:val="center"/>
          </w:tcPr>
          <w:p>
            <w:pPr>
              <w:pStyle w:val="KepalaTabel"/>
              <w:keepNext/>
              <w:suppressAutoHyphens/>
            </w:pPr>
            <w:r>
              <w:t xml:space="preserve">POSISI BUKTI</w:t>
            </w:r>
          </w:p>
        </w:tc>
      </w:tr>
      <w:tr>
        <w:trPr>
          <w:cantSplit/>
        </w:trPr>
        <w:tc>
          <w:tcPr>
            <w:tcW w:w="1514" w:type="dxa"/>
          </w:tcPr>
          <w:p>
            <w:pPr>
              <w:pStyle w:val="IsiTabel"/>
              <w:keepNext/>
              <w:suppressAutoHyphens/>
              <w:jc w:val="left"/>
            </w:pPr>
            <w:bookmarkStart w:id="641" w:name="_Ekor075a"/>
            <w:bookmarkEnd w:id="641"/>
            <w:r>
              <w:t xml:space="preserve">Prabencana</w:t>
            </w:r>
          </w:p>
        </w:tc>
        <w:tc>
          <w:tcPr>
            <w:tcW w:w="4217" w:type="dxa"/>
          </w:tcPr>
          <w:p>
            <w:pPr>
              <w:pStyle w:val="IsiTabel"/>
              <w:keepNext/>
              <w:suppressAutoHyphens/>
              <w:jc w:val="left"/>
            </w:pPr>
            <w:r>
              <w:t xml:space="preserve">Renas PB 1.a dan 1.b dari DIBI; Renas PB 1.c dan cakupan layanan peringatan dini RPJMN (KD-2); kapasitas daerah (KD-3); IRB (KD-4)</w:t>
            </w:r>
          </w:p>
        </w:tc>
        <w:tc>
          <w:tcPr>
            <w:tcW w:w="1711" w:type="dxa"/>
          </w:tcPr>
          <w:p>
            <w:pPr>
              <w:pStyle w:val="IsiTabel"/>
              <w:keepNext/>
              <w:suppressAutoHyphens/>
              <w:jc w:val="left"/>
            </w:pPr>
            <w:r>
              <w:t xml:space="preserve">rencana kontinjensi per jenis; sistem peringatan dini Perban BNPB 2/2024; InaTEWS (P03); Destana (P01); SPAB (P02); PAMSIMAS (P13)</w:t>
            </w:r>
          </w:p>
        </w:tc>
        <w:tc>
          <w:tcPr>
            <w:tcW w:w="1912" w:type="dxa"/>
          </w:tcPr>
          <w:p>
            <w:pPr>
              <w:pStyle w:val="IsiTabel"/>
              <w:keepNext/>
              <w:suppressAutoHyphens/>
              <w:jc w:val="left"/>
            </w:pPr>
            <w:r>
              <w:t xml:space="preserve">InaTEWS, Destana, SPAB: program berjalan, wajib evaluasi dampak; PAMSIMAS: program dengan syarat</w:t>
            </w:r>
          </w:p>
        </w:tc>
      </w:tr>
      <w:tr>
        <w:trPr>
          <w:cantSplit/>
        </w:trPr>
        <w:tc>
          <w:tcPr>
            <w:tcW w:w="1514" w:type="dxa"/>
          </w:tcPr>
          <w:p>
            <w:pPr>
              <w:pStyle w:val="IsiTabel"/>
              <w:keepNext/>
              <w:suppressAutoHyphens/>
              <w:jc w:val="left"/>
            </w:pPr>
            <w:r>
              <w:t xml:space="preserve">Tanggap darurat</w:t>
            </w:r>
          </w:p>
        </w:tc>
        <w:tc>
          <w:tcPr>
            <w:tcW w:w="4217" w:type="dxa"/>
          </w:tcPr>
          <w:p>
            <w:pPr>
              <w:pStyle w:val="IsiTabel"/>
              <w:keepNext/>
              <w:suppressAutoHyphens/>
              <w:jc w:val="left"/>
            </w:pPr>
            <w:r>
              <w:t xml:space="preserve">status darurat dan intervensi sesuai standar (RPJMN KP 08.04.02); kebutuhan respons per Direktorat Penanganan Darurat Wilayah</w:t>
            </w:r>
          </w:p>
        </w:tc>
        <w:tc>
          <w:tcPr>
            <w:tcW w:w="1711" w:type="dxa"/>
          </w:tcPr>
          <w:p>
            <w:pPr>
              <w:pStyle w:val="IsiTabel"/>
              <w:keepNext/>
              <w:suppressAutoHyphens/>
              <w:jc w:val="left"/>
            </w:pPr>
            <w:r>
              <w:t xml:space="preserve">kaji cepat; status keadaan darurat; SKPDB; Dana Siap Pakai; kebutuhan dasar menurut Perka BNPB 7/2008; logistik per wilayah direktorat</w:t>
            </w:r>
          </w:p>
        </w:tc>
        <w:tc>
          <w:tcPr>
            <w:tcW w:w="1912" w:type="dxa"/>
          </w:tcPr>
          <w:p>
            <w:pPr>
              <w:pStyle w:val="IsiTabel"/>
              <w:keepNext/>
              <w:suppressAutoHyphens/>
              <w:jc w:val="left"/>
            </w:pPr>
            <w:r>
              <w:t xml:space="preserve">aksi wajib menurut peraturan; InaTEWS untuk gempa dan tsunami</w:t>
            </w:r>
          </w:p>
        </w:tc>
      </w:tr>
      <w:tr>
        <w:trPr>
          <w:cantSplit/>
        </w:trPr>
        <w:tc>
          <w:tcPr>
            <w:tcW w:w="1514" w:type="dxa"/>
          </w:tcPr>
          <w:p>
            <w:pPr>
              <w:pStyle w:val="IsiTabel"/>
              <w:keepNext/>
              <w:suppressAutoHyphens/>
              <w:jc w:val="left"/>
            </w:pPr>
            <w:r>
              <w:t xml:space="preserve">Pascabencana</w:t>
            </w:r>
          </w:p>
        </w:tc>
        <w:tc>
          <w:tcPr>
            <w:tcW w:w="4217" w:type="dxa"/>
          </w:tcPr>
          <w:p>
            <w:pPr>
              <w:pStyle w:val="IsiTabel"/>
              <w:keepNext/>
              <w:suppressAutoHyphens/>
              <w:jc w:val="left"/>
            </w:pPr>
            <w:r>
              <w:t xml:space="preserve">daerah "pascabencana masif" yang ditangani (RPJMN KP 08.04.03)</w:t>
            </w:r>
          </w:p>
        </w:tc>
        <w:tc>
          <w:tcPr>
            <w:tcW w:w="1711" w:type="dxa"/>
          </w:tcPr>
          <w:p>
            <w:pPr>
              <w:pStyle w:val="IsiTabel"/>
              <w:keepNext/>
              <w:suppressAutoHyphens/>
              <w:jc w:val="left"/>
            </w:pPr>
            <w:r>
              <w:t xml:space="preserve">Jitupasna; R3P; Dana Tunggu Hunian; hunian sementara; stimulan rumah; hibah rehabilitasi dan rekonstruksi</w:t>
            </w:r>
          </w:p>
        </w:tc>
        <w:tc>
          <w:tcPr>
            <w:tcW w:w="1912" w:type="dxa"/>
          </w:tcPr>
          <w:p>
            <w:pPr>
              <w:pStyle w:val="IsiTabel"/>
              <w:keepNext/>
              <w:suppressAutoHyphens/>
              <w:jc w:val="left"/>
            </w:pPr>
            <w:r>
              <w:t xml:space="preserve">aksi wajib menurut peraturan; Rekompak (P07) dan BRR Aceh-Nias (P08): rujukan tata kelola</w:t>
            </w:r>
          </w:p>
        </w:tc>
      </w:tr>
      <w:tr>
        <w:trPr>
          <w:cantSplit/>
        </w:trPr>
        <w:tc>
          <w:tcPr>
            <w:tcW w:w="1514" w:type="dxa"/>
          </w:tcPr>
          <w:p>
            <w:pPr>
              <w:pStyle w:val="IsiTabel"/>
              <w:suppressAutoHyphens/>
              <w:jc w:val="left"/>
            </w:pPr>
            <w:bookmarkStart w:id="642" w:name="_Ekor075z"/>
            <w:bookmarkEnd w:id="642"/>
            <w:r>
              <w:t xml:space="preserve">Lintas tahap</w:t>
            </w:r>
          </w:p>
        </w:tc>
        <w:tc>
          <w:tcPr>
            <w:tcW w:w="4217" w:type="dxa"/>
          </w:tcPr>
          <w:p>
            <w:pPr>
              <w:pStyle w:val="IsiTabel"/>
              <w:suppressAutoHyphens/>
              <w:jc w:val="left"/>
            </w:pPr>
            <w:r>
              <w:t xml:space="preserve">garis dasar evaluasi dampak bertenggat 2027</w:t>
            </w:r>
          </w:p>
        </w:tc>
        <w:tc>
          <w:tcPr>
            <w:tcW w:w="1711" w:type="dxa"/>
          </w:tcPr>
          <w:p>
            <w:pPr>
              <w:pStyle w:val="IsiTabel"/>
              <w:suppressAutoHyphens/>
              <w:jc w:val="left"/>
            </w:pPr>
            <w:r>
              <w:t xml:space="preserve">agenda bukti Destana, SPAB, InaTEWS, dan OMC; permintaan data ke pemegang data</w:t>
            </w:r>
          </w:p>
        </w:tc>
        <w:tc>
          <w:tcPr>
            <w:tcW w:w="1912" w:type="dxa"/>
          </w:tcPr>
          <w:p>
            <w:pPr>
              <w:pStyle w:val="IsiTabel"/>
              <w:suppressAutoHyphens/>
              <w:jc w:val="left"/>
            </w:pPr>
            <w:r>
              <w:t xml:space="preserve">usulan penyusun</w:t>
            </w:r>
          </w:p>
        </w:tc>
      </w:tr>
    </w:tbl>
    <w:p>
      <w:pPr>
        <w:pStyle w:val="Sumber"/>
        <w:spacing w:after="40"/>
      </w:pPr>
      <w:r>
        <w:rPr>
          <w:b/>
          <w:bCs/>
          <w:color w:val="6B7280"/>
          <w:sz w:val="17"/>
          <w:szCs w:val="17"/>
        </w:rPr>
        <w:t xml:space="preserve">Sumber: </w:t>
      </w:r>
      <w:r>
        <w:rPr>
          <w:color w:val="6B7280"/>
          <w:sz w:val="17"/>
          <w:szCs w:val="17"/>
        </w:rPr>
        <w:t xml:space="preserve">UU 24/2007; Renas PB 2025–2029; RPJMN 2025–2029; kompendium program Pantau Bencana;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Kode P mengikuti kompendium program; posisi bukti menurut rubrik kompendium dan hanya untuk program dalam negeri.</w:t>
      </w:r>
    </w:p>
    <w:p>
      <w:pPr>
        <w:pStyle w:val="Heading2"/>
      </w:pPr>
      <w:bookmarkStart w:id="644" w:name="_Toc00207"/>
      <w:bookmarkStart w:id="643" w:name="_Ref0135"/>
      <w:r>
        <w:t xml:space="preserve">11.2</w:t>
      </w:r>
      <w:bookmarkEnd w:id="643"/>
      <w:r>
        <w:tab/>
      </w:r>
      <w:r>
        <w:t xml:space="preserve">Sasaran 2029 dan Arah 2030</w:t>
      </w:r>
      <w:bookmarkEnd w:id="644"/>
    </w:p>
    <w:p>
      <w:pPr>
        <w:pStyle w:val="IsiTemuan"/>
      </w:pPr>
      <w:r>
        <w:rPr>
          <w:b/>
          <w:bCs/>
          <w:color w:val="051C2C"/>
        </w:rPr>
        <w:t xml:space="preserve">Indikator Renas PB 1.a untuk bencana alam mencapai </w:t>
      </w:r>
      <w:r>
        <w:rPr>
          <w:b/>
          <w:bCs/>
          <w:color w:val="051C2C"/>
        </w:rPr>
        <w:t xml:space="preserve">0,68</w:t>
      </w:r>
      <w:r>
        <w:rPr>
          <w:b/>
          <w:bCs/>
          <w:color w:val="051C2C"/>
        </w:rPr>
        <w:t xml:space="preserve"> per 100.000 penduduk pada 2025, sedangkan Rencana Nasional Penanggulangan Bencana (Renas PB) 2025–2029 memproyeksikan </w:t>
      </w:r>
      <w:r>
        <w:rPr>
          <w:b/>
          <w:bCs/>
          <w:color w:val="051C2C"/>
        </w:rPr>
        <w:t xml:space="preserve">0,22</w:t>
      </w:r>
      <w:r>
        <w:rPr>
          <w:b/>
          <w:bCs/>
          <w:color w:val="051C2C"/>
        </w:rPr>
        <w:t xml:space="preserve"> dengan target 2029 "Menurun" </w:t>
      </w:r>
      <w:r>
        <w:rPr>
          <w:b/>
          <w:bCs/>
          <w:color w:val="051C2C"/>
        </w:rPr>
        <w:t xml:space="preserve">(BNPB, 2025c, hlm. 32)</w:t>
      </w:r>
      <w:r>
        <w:rPr>
          <w:b/>
          <w:bCs/>
          <w:color w:val="051C2C"/>
        </w:rPr>
        <w:t xml:space="preserve">.</w:t>
      </w:r>
      <w:r>
        <w:t xml:space="preserve"> Angka 2025 dihitung dari </w:t>
      </w:r>
      <w:r>
        <w:t xml:space="preserve">1.956</w:t>
      </w:r>
      <w:r>
        <w:t xml:space="preserve"> meninggal dan hilang dalam Data dan Informasi Bencana Indonesia (DIBI) dengan penyebut penduduk pertengahan 2026 Badan Pusat Statistik (BPS) </w:t>
      </w:r>
      <w:r>
        <w:t xml:space="preserve">(BNPB, t.t.-a; BPS, 2026)</w:t>
      </w:r>
      <w:r>
        <w:t xml:space="preserve">. Versi semua klasifikasi, </w:t>
      </w:r>
      <w:r>
        <w:t xml:space="preserve">2.276</w:t>
      </w:r>
      <w:r>
        <w:t xml:space="preserve"> jiwa atau </w:t>
      </w:r>
      <w:r>
        <w:t xml:space="preserve">0,79</w:t>
      </w:r>
      <w:r>
        <w:t xml:space="preserve"> per 100.000, memuat nonalam yang baru tercatat sejak 2024, kebakaran permukiman di luar lingkup, dan kategori lainnya, sehingga hanya ditulis berdampingan. Dokumen Renas PB tidak menyebut tahun dasar dan penyebut proyeksi itu, juga tidak menyebut cakupan jenis bencananya.</w:t>
      </w:r>
    </w:p>
    <w:p>
      <w:pPr>
        <w:pStyle w:val="IsiTemuan"/>
      </w:pPr>
      <w:r>
        <w:rPr>
          <w:b/>
          <w:bCs/>
          <w:color w:val="051C2C"/>
        </w:rPr>
        <w:t xml:space="preserve">Median bencana alam 2015–2024, </w:t>
      </w:r>
      <w:r>
        <w:rPr>
          <w:b/>
          <w:bCs/>
          <w:color w:val="051C2C"/>
        </w:rPr>
        <w:t xml:space="preserve">583,5</w:t>
      </w:r>
      <w:r>
        <w:rPr>
          <w:b/>
          <w:bCs/>
          <w:color w:val="051C2C"/>
        </w:rPr>
        <w:t xml:space="preserve"> meninggal dan hilang, setara </w:t>
      </w:r>
      <w:r>
        <w:rPr>
          <w:b/>
          <w:bCs/>
          <w:color w:val="051C2C"/>
        </w:rPr>
        <w:t xml:space="preserve">0,216</w:t>
      </w:r>
      <w:r>
        <w:rPr>
          <w:b/>
          <w:bCs/>
          <w:color w:val="051C2C"/>
        </w:rPr>
        <w:t xml:space="preserve"> per 100.000 penduduk Sensus Penduduk 2020, hampir sama dengan proyeksi Renas PB.</w:t>
      </w:r>
      <w:r>
        <w:t xml:space="preserve"> Dengan penyebut BPS 2026 angkanya </w:t>
      </w:r>
      <w:r>
        <w:t xml:space="preserve">0,20</w:t>
      </w:r>
      <w:r>
        <w:t xml:space="preserve"> </w:t>
      </w:r>
      <w:r>
        <w:t xml:space="preserve">(BPS, 2021a)</w:t>
      </w:r>
      <w:r>
        <w:t xml:space="preserve">. Kesamaan itu kesamaan besaran, bukan bukti cara hitung BNPB. Target "Menurun" yang diukur dari tahun biasa akan gagal bila satu kejadian katastrofik terjadi, seperti 2018 dengan </w:t>
      </w:r>
      <w:r>
        <w:t xml:space="preserve">2,309</w:t>
      </w:r>
      <w:r>
        <w:t xml:space="preserve"> dan 2025 dengan </w:t>
      </w:r>
      <w:r>
        <w:t xml:space="preserve">0,724</w:t>
      </w:r>
      <w:r>
        <w:t xml:space="preserve"> per 100.000 (penyebut Sensus Penduduk 2020). Indikator 1.a karena itu dilaporkan dua lapis, tahun biasa terhadap median bergerak dan tahun berkejadian katastrofik secara terpisah. Data 2026 sampai 23 Oktober mencatat </w:t>
      </w:r>
      <w:r>
        <w:t xml:space="preserve">448</w:t>
      </w:r>
      <w:r>
        <w:t xml:space="preserve"> meninggal dan hilang akibat bencana alam (sementara). Seri DIBI berpatahan pada 2024 karena definisi kejadian bencana Juklak BNPB 7/2023.</w:t>
      </w:r>
    </w:p>
    <w:p>
      <w:pPr>
        <w:pStyle w:val="IsiTemuan"/>
      </w:pPr>
      <w:r>
        <w:rPr>
          <w:b/>
          <w:bCs/>
          <w:color w:val="051C2C"/>
        </w:rPr>
        <w:t xml:space="preserve">Indikator Renas PB 1.b punya definisi tertulis di Juklak BNPB 7/2023: penduduk terdampak adalah orang yang menderita dampak buruk bencana tetapi masih menempati tempat tinggalnya </w:t>
      </w:r>
      <w:r>
        <w:rPr>
          <w:b/>
          <w:bCs/>
          <w:color w:val="051C2C"/>
        </w:rPr>
        <w:t xml:space="preserve">(BNPB, 2023j)</w:t>
      </w:r>
      <w:r>
        <w:rPr>
          <w:b/>
          <w:bCs/>
          <w:color w:val="051C2C"/>
        </w:rPr>
        <w:t xml:space="preserve">.</w:t>
      </w:r>
      <w:r>
        <w:t xml:space="preserve"> Penduduk menderita DIBI 2025 untuk semua klasifikasi mencapai </w:t>
      </w:r>
      <w:r>
        <w:t xml:space="preserve">4.148</w:t>
      </w:r>
      <w:r>
        <w:t xml:space="preserve"> per 100.000 dengan penyebut Survei Penduduk Antar Sensus (SUPAS) 2025, di atas proyeksi Renas PB </w:t>
      </w:r>
      <w:r>
        <w:t xml:space="preserve">2.643</w:t>
      </w:r>
      <w:r>
        <w:t xml:space="preserve">. Definisi "terdampak" di Renas PB sendiri tidak tertulis, sehingga pemetaan ke kolom menderita DIBI dicatat di </w:t>
      </w:r>
      <w:r>
        <w:fldChar w:fldCharType="begin"/>
      </w:r>
      <w:r>
        <w:instrText xml:space="preserve"> REF _Ref0256 \h \* CHARFORMAT </w:instrText>
      </w:r>
      <w:r>
        <w:fldChar w:fldCharType="separate"/>
      </w:r>
      <w:r>
        <w:t xml:space="preserve">Tabel 11.2</w:t>
      </w:r>
      <w:r>
        <w:fldChar w:fldCharType="end"/>
      </w:r>
      <w:r>
        <w:t xml:space="preserve">.</w:t>
      </w:r>
    </w:p>
    <w:p>
      <w:pPr>
        <w:pStyle w:val="IsiTemuan"/>
      </w:pPr>
      <w:r>
        <w:rPr>
          <w:b/>
          <w:bCs/>
          <w:color w:val="051C2C"/>
        </w:rPr>
        <w:t xml:space="preserve">Tiga sasaran lain punya target resmi tetapi alat ukurnya menunggu keputusan Kepala BNPB.</w:t>
      </w:r>
      <w:r>
        <w:t xml:space="preserve"> Cakupan peringatan dini Renas PB 1.c naik </w:t>
      </w:r>
      <w:r>
        <w:t xml:space="preserve">4,7 kali</w:t>
      </w:r>
      <w:r>
        <w:t xml:space="preserve"> dari </w:t>
      </w:r>
      <w:r>
        <w:t xml:space="preserve">11.060</w:t>
      </w:r>
      <w:r>
        <w:t xml:space="preserve"> menjadi </w:t>
      </w:r>
      <w:r>
        <w:t xml:space="preserve">52.000 per 100.000 penduduk</w:t>
      </w:r>
      <w:r>
        <w:t xml:space="preserve">, sedangkan indikator kinerja program (IKP) Rencana Strategis (Renstra) BNPB naik dari </w:t>
      </w:r>
      <w:r>
        <w:t xml:space="preserve">6,10%</w:t>
      </w:r>
      <w:r>
        <w:t xml:space="preserve"> menjadi </w:t>
      </w:r>
      <w:r>
        <w:t xml:space="preserve">6,32%</w:t>
      </w:r>
      <w:r>
        <w:t xml:space="preserve"> dengan penyebut lain </w:t>
      </w:r>
      <w:r>
        <w:t xml:space="preserve">(BNPB, 2025e)</w:t>
      </w:r>
      <w:r>
        <w:t xml:space="preserve">. Keputusan KD-2 memilih lintasannya. Penurunan Indeks Risiko Bencana (IRB) </w:t>
      </w:r>
      <w:r>
        <w:t xml:space="preserve">1,2%</w:t>
      </w:r>
      <w:r>
        <w:t xml:space="preserve"> per tahun di Rencana Pembangunan Jangka Menengah Nasional (RPJMN) 2025–2029 tidak dapat diukur sampai catatan metode dan garis dasar Indeks Risiko Bencana Indonesia (IRBI) 2025 skala baru terbit (KD-4) </w:t>
      </w:r>
      <w:r>
        <w:t xml:space="preserve">(Republik Indonesia, 2025b)</w:t>
      </w:r>
      <w:r>
        <w:t xml:space="preserve">. IRB nasional bergerak dari </w:t>
      </w:r>
      <w:r>
        <w:t xml:space="preserve">144,02</w:t>
      </w:r>
      <w:r>
        <w:t xml:space="preserve"> pada 2019 ke </w:t>
      </w:r>
      <w:r>
        <w:t xml:space="preserve">128,52</w:t>
      </w:r>
      <w:r>
        <w:t xml:space="preserve"> pada 2024, </w:t>
      </w:r>
      <w:r>
        <w:t xml:space="preserve">turun 10,76%</w:t>
      </w:r>
      <w:r>
        <w:t xml:space="preserve">, tetapi korelasi peringkat kab/kota 2024 dan 2025 hanya </w:t>
      </w:r>
      <w:r>
        <w:t xml:space="preserve">0,589</w:t>
      </w:r>
      <w:r>
        <w:t xml:space="preserve">, dan rerata nasional 2025 belum diterbitkan </w:t>
      </w:r>
      <w:r>
        <w:t xml:space="preserve">(BNPB, t.t.-b)</w:t>
      </w:r>
      <w:r>
        <w:t xml:space="preserve">.</w:t>
      </w:r>
    </w:p>
    <w:p>
      <w:pPr>
        <w:pStyle w:val="IsiTemuan"/>
      </w:pPr>
      <w:r>
        <w:rPr>
          <w:b/>
          <w:bCs/>
          <w:color w:val="051C2C"/>
        </w:rPr>
        <w:t xml:space="preserve">Kapasitas daerah minimal sedang ditargetkan </w:t>
      </w:r>
      <w:r>
        <w:rPr>
          <w:b/>
          <w:bCs/>
          <w:color w:val="051C2C"/>
        </w:rPr>
        <w:t xml:space="preserve">90%</w:t>
      </w:r>
      <w:r>
        <w:rPr>
          <w:b/>
          <w:bCs/>
          <w:color w:val="051C2C"/>
        </w:rPr>
        <w:t xml:space="preserve"> pada 2029, tetapi tiga titik awalnya berbeda: </w:t>
      </w:r>
      <w:r>
        <w:rPr>
          <w:b/>
          <w:bCs/>
          <w:color w:val="051C2C"/>
        </w:rPr>
        <w:t xml:space="preserve">67%</w:t>
      </w:r>
      <w:r>
        <w:rPr>
          <w:b/>
          <w:bCs/>
          <w:color w:val="051C2C"/>
        </w:rPr>
        <w:t xml:space="preserve"> di Renstra, </w:t>
      </w:r>
      <w:r>
        <w:rPr>
          <w:b/>
          <w:bCs/>
          <w:color w:val="051C2C"/>
        </w:rPr>
        <w:t xml:space="preserve">62%</w:t>
      </w:r>
      <w:r>
        <w:rPr>
          <w:b/>
          <w:bCs/>
          <w:color w:val="051C2C"/>
        </w:rPr>
        <w:t xml:space="preserve"> di RPJMN, dan </w:t>
      </w:r>
      <w:r>
        <w:rPr>
          <w:b/>
          <w:bCs/>
          <w:color w:val="051C2C"/>
        </w:rPr>
        <w:t xml:space="preserve">38,0%</w:t>
      </w:r>
      <w:r>
        <w:rPr>
          <w:b/>
          <w:bCs/>
          <w:color w:val="051C2C"/>
        </w:rPr>
        <w:t xml:space="preserve"> di Kajian Risiko Bencana (KRB) 2022–2026.</w:t>
      </w:r>
      <w:r>
        <w:t xml:space="preserve"> Renstra memakai target 2025 sebagai titik awal dengan rerata Indeks Ketahanan Daerah (IKD) </w:t>
      </w:r>
      <w:r>
        <w:t xml:space="preserve">0,46</w:t>
      </w:r>
      <w:r>
        <w:t xml:space="preserve">, sedangkan angka KRB adalah porsi kab/kota berkapasitas sedang atau tinggi dari </w:t>
      </w:r>
      <w:r>
        <w:t xml:space="preserve">508 kab/kota</w:t>
      </w:r>
      <w:r>
        <w:t xml:space="preserve"> yang dinilai. Ketiganya resmi dan tidak saling membantah secara logis karena alat ukurnya berbeda, tetapi besar kesenjangan menuju target dan unit pengukurnya berbeda. Keputusan KD-3 memilih alat ukurnya.</w:t>
      </w:r>
    </w:p>
    <w:p>
      <w:pPr>
        <w:pStyle w:val="Isi"/>
      </w:pPr>
      <w:r>
        <w:t xml:space="preserve">Perubahan target dan alat ukur untuk KD-2, KD-3, dan KD-4 hanya dapat ditempuh lewat jalur perubahan berkala Renas PB, paling lambat </w:t>
      </w:r>
      <w:r>
        <w:t xml:space="preserve">2027</w:t>
      </w:r>
      <w:r>
        <w:t xml:space="preserve">. Jalur perubahan karena bencana, yang dipicu kejadian Sumatra November 2025, berlaku paling lambat </w:t>
      </w:r>
      <w:r>
        <w:t xml:space="preserve">2028</w:t>
      </w:r>
      <w:r>
        <w:t xml:space="preserve"> dan hanya untuk program dan kegiatan </w:t>
      </w:r>
      <w:r>
        <w:t xml:space="preserve">(BNPB, 2025c)</w:t>
      </w:r>
      <w:r>
        <w:t xml:space="preserve">. Arah 2030 di </w:t>
      </w:r>
      <w:r>
        <w:fldChar w:fldCharType="begin"/>
      </w:r>
      <w:r>
        <w:instrText xml:space="preserve"> REF _Ref0256 \h \* CHARFORMAT </w:instrText>
      </w:r>
      <w:r>
        <w:fldChar w:fldCharType="separate"/>
      </w:r>
      <w:r>
        <w:t xml:space="preserve">Tabel 11.2</w:t>
      </w:r>
      <w:r>
        <w:fldChar w:fldCharType="end"/>
      </w:r>
      <w:r>
        <w:t xml:space="preserve"> hanya ditulis bila rumusnya tertulis dan berlabel asumsi kebijakan. Musim hujan 2026/2027 tidak diberi sasaran korban dari model. Ukuran keberhasilannya adalah korban hidrometeorologi musim itu dibanding lantai </w:t>
      </w:r>
      <w:r>
        <w:t xml:space="preserve">1.692</w:t>
      </w:r>
      <w:r>
        <w:t xml:space="preserve"> dan median musim </w:t>
      </w:r>
      <w:r>
        <w:t xml:space="preserve">301,5</w:t>
      </w:r>
      <w:r>
        <w:t xml:space="preserve"> meninggal dan hilang.</w:t>
      </w:r>
    </w:p>
    <w:p>
      <w:pPr>
        <w:pStyle w:val="Caption"/>
      </w:pPr>
      <w:bookmarkStart w:id="646" w:name="_Toc00208"/>
      <w:bookmarkStart w:id="645" w:name="_Ref025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45"/>
      <w:r>
        <w:rPr>
          <w:b/>
          <w:bCs/>
          <w:color w:val="051C2C"/>
        </w:rPr>
        <w:t xml:space="preserve"> </w:t>
      </w:r>
      <w:r>
        <w:t xml:space="preserve">Indikator sasaran Grand Design Mitigasi, kondisi terakhir, target 2029, dan arah 2030</w:t>
      </w:r>
      <w:bookmarkEnd w:id="64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36"/>
        <w:gridCol w:w="1325"/>
        <w:gridCol w:w="2203"/>
        <w:gridCol w:w="1702"/>
        <w:gridCol w:w="1252"/>
        <w:gridCol w:w="1260"/>
        <w:gridCol w:w="1176"/>
      </w:tblGrid>
      <w:tr>
        <w:trPr>
          <w:cantSplit/>
          <w:tblHeader/>
        </w:trPr>
        <w:tc>
          <w:tcPr>
            <w:tcW w:w="436" w:type="dxa"/>
            <w:shd w:val="clear" w:color="auto" w:fill="051C2C"/>
            <w:vAlign w:val="center"/>
          </w:tcPr>
          <w:p>
            <w:pPr>
              <w:pStyle w:val="KepalaTabel"/>
              <w:suppressAutoHyphens/>
            </w:pPr>
            <w:r>
              <w:t xml:space="preserve">NO</w:t>
            </w:r>
          </w:p>
        </w:tc>
        <w:tc>
          <w:tcPr>
            <w:tcW w:w="1325" w:type="dxa"/>
            <w:shd w:val="clear" w:color="auto" w:fill="051C2C"/>
            <w:vAlign w:val="center"/>
          </w:tcPr>
          <w:p>
            <w:pPr>
              <w:pStyle w:val="KepalaTabel"/>
              <w:suppressAutoHyphens/>
            </w:pPr>
            <w:r>
              <w:t xml:space="preserve">INDIKATOR</w:t>
            </w:r>
          </w:p>
        </w:tc>
        <w:tc>
          <w:tcPr>
            <w:tcW w:w="2203" w:type="dxa"/>
            <w:shd w:val="clear" w:color="auto" w:fill="051C2C"/>
            <w:vAlign w:val="center"/>
          </w:tcPr>
          <w:p>
            <w:pPr>
              <w:pStyle w:val="KepalaTabel"/>
              <w:suppressAutoHyphens/>
            </w:pPr>
            <w:r>
              <w:t xml:space="preserve">KONDISI</w:t>
            </w:r>
          </w:p>
        </w:tc>
        <w:tc>
          <w:tcPr>
            <w:tcW w:w="1702" w:type="dxa"/>
            <w:shd w:val="clear" w:color="auto" w:fill="051C2C"/>
            <w:vAlign w:val="center"/>
          </w:tcPr>
          <w:p>
            <w:pPr>
              <w:pStyle w:val="KepalaTabel"/>
              <w:suppressAutoHyphens/>
            </w:pPr>
            <w:r>
              <w:t xml:space="preserve">TARGET 2029 (RESMI)</w:t>
            </w:r>
          </w:p>
        </w:tc>
        <w:tc>
          <w:tcPr>
            <w:tcW w:w="1252" w:type="dxa"/>
            <w:shd w:val="clear" w:color="auto" w:fill="051C2C"/>
            <w:vAlign w:val="center"/>
          </w:tcPr>
          <w:p>
            <w:pPr>
              <w:pStyle w:val="KepalaTabel"/>
              <w:suppressAutoHyphens/>
            </w:pPr>
            <w:r>
              <w:t xml:space="preserve">ARAH 2030</w:t>
            </w:r>
          </w:p>
        </w:tc>
        <w:tc>
          <w:tcPr>
            <w:tcW w:w="1260" w:type="dxa"/>
            <w:shd w:val="clear" w:color="auto" w:fill="051C2C"/>
            <w:vAlign w:val="center"/>
          </w:tcPr>
          <w:p>
            <w:pPr>
              <w:pStyle w:val="KepalaTabel"/>
              <w:suppressAutoHyphens/>
            </w:pPr>
            <w:r>
              <w:t xml:space="preserve">ALAT UKUR</w:t>
            </w:r>
          </w:p>
        </w:tc>
        <w:tc>
          <w:tcPr>
            <w:tcW w:w="1176" w:type="dxa"/>
            <w:shd w:val="clear" w:color="auto" w:fill="051C2C"/>
            <w:vAlign w:val="center"/>
          </w:tcPr>
          <w:p>
            <w:pPr>
              <w:pStyle w:val="KepalaTabel"/>
              <w:suppressAutoHyphens/>
            </w:pPr>
            <w:r>
              <w:t xml:space="preserve">KEYAKINAN</w:t>
            </w:r>
          </w:p>
        </w:tc>
      </w:tr>
      <w:tr>
        <w:trPr>
          <w:cantSplit/>
        </w:trPr>
        <w:tc>
          <w:tcPr>
            <w:tcW w:w="436" w:type="dxa"/>
          </w:tcPr>
          <w:p>
            <w:pPr>
              <w:pStyle w:val="IsiTabel"/>
              <w:suppressAutoHyphens/>
              <w:jc w:val="center"/>
            </w:pPr>
            <w:r>
              <w:t xml:space="preserve">1</w:t>
            </w:r>
          </w:p>
        </w:tc>
        <w:tc>
          <w:tcPr>
            <w:tcW w:w="1325" w:type="dxa"/>
          </w:tcPr>
          <w:p>
            <w:pPr>
              <w:pStyle w:val="IsiTabel"/>
              <w:suppressAutoHyphens/>
              <w:jc w:val="left"/>
            </w:pPr>
            <w:r>
              <w:t xml:space="preserve">Renas PB 1.a, bencana alam (baris utama)</w:t>
            </w:r>
          </w:p>
        </w:tc>
        <w:tc>
          <w:tcPr>
            <w:tcW w:w="2203" w:type="dxa"/>
          </w:tcPr>
          <w:p>
            <w:pPr>
              <w:pStyle w:val="IsiTabel"/>
              <w:suppressAutoHyphens/>
              <w:jc w:val="right"/>
            </w:pPr>
            <w:r>
              <w:t xml:space="preserve">0,68</w:t>
            </w:r>
            <w:r>
              <w:t xml:space="preserve"> (2025)</w:t>
            </w:r>
          </w:p>
        </w:tc>
        <w:tc>
          <w:tcPr>
            <w:tcW w:w="1702" w:type="dxa"/>
          </w:tcPr>
          <w:p>
            <w:pPr>
              <w:pStyle w:val="IsiTabel"/>
              <w:suppressAutoHyphens/>
              <w:jc w:val="right"/>
            </w:pPr>
            <w:r>
              <w:t xml:space="preserve">Menurun</w:t>
            </w:r>
          </w:p>
        </w:tc>
        <w:tc>
          <w:tcPr>
            <w:tcW w:w="1252" w:type="dxa"/>
          </w:tcPr>
          <w:p>
            <w:pPr>
              <w:pStyle w:val="IsiTabel"/>
              <w:suppressAutoHyphens/>
              <w:jc w:val="left"/>
            </w:pPr>
            <w:r>
              <w:t xml:space="preserve">tidak melebihi median sepuluh tahun terakhir, </w:t>
            </w:r>
            <w:r>
              <w:t xml:space="preserve">0,20</w:t>
            </w:r>
          </w:p>
        </w:tc>
        <w:tc>
          <w:tcPr>
            <w:tcW w:w="1260" w:type="dxa"/>
          </w:tcPr>
          <w:p>
            <w:pPr>
              <w:pStyle w:val="IsiTabel"/>
              <w:suppressAutoHyphens/>
              <w:jc w:val="left"/>
            </w:pPr>
            <w:r>
              <w:t xml:space="preserve">DIBI, penyebut BPS 2026</w:t>
            </w:r>
          </w:p>
        </w:tc>
        <w:tc>
          <w:tcPr>
            <w:tcW w:w="1176" w:type="dxa"/>
          </w:tcPr>
          <w:p>
            <w:pPr>
              <w:pStyle w:val="IsiTabel"/>
              <w:suppressAutoHyphens/>
              <w:jc w:val="left"/>
            </w:pPr>
            <w:r>
              <w:rPr>
                <w:b/>
                <w:bCs/>
                <w:color w:val="FFFFFF"/>
                <w:sz w:val="16"/>
                <w:szCs w:val="16"/>
                <w:shd w:val="clear" w:color="auto" w:fill="051C2C"/>
              </w:rPr>
              <w:t xml:space="preserve">  Resmi  </w:t>
            </w:r>
          </w:p>
        </w:tc>
      </w:tr>
      <w:tr>
        <w:trPr>
          <w:cantSplit/>
        </w:trPr>
        <w:tc>
          <w:tcPr>
            <w:tcW w:w="436" w:type="dxa"/>
          </w:tcPr>
          <w:p>
            <w:pPr>
              <w:pStyle w:val="IsiTabel"/>
              <w:suppressAutoHyphens/>
              <w:jc w:val="center"/>
            </w:pPr>
            <w:r>
              <w:t xml:space="preserve">2</w:t>
            </w:r>
          </w:p>
        </w:tc>
        <w:tc>
          <w:tcPr>
            <w:tcW w:w="1325" w:type="dxa"/>
          </w:tcPr>
          <w:p>
            <w:pPr>
              <w:pStyle w:val="IsiTabel"/>
              <w:suppressAutoHyphens/>
              <w:jc w:val="left"/>
            </w:pPr>
            <w:r>
              <w:t xml:space="preserve">Renas PB 1.a, semua klasifikasi</w:t>
            </w:r>
          </w:p>
        </w:tc>
        <w:tc>
          <w:tcPr>
            <w:tcW w:w="2203" w:type="dxa"/>
          </w:tcPr>
          <w:p>
            <w:pPr>
              <w:pStyle w:val="IsiTabel"/>
              <w:suppressAutoHyphens/>
              <w:jc w:val="right"/>
            </w:pPr>
            <w:r>
              <w:t xml:space="preserve">0,79</w:t>
            </w:r>
            <w:r>
              <w:t xml:space="preserve"> (2025)</w:t>
            </w:r>
          </w:p>
        </w:tc>
        <w:tc>
          <w:tcPr>
            <w:tcW w:w="1702" w:type="dxa"/>
          </w:tcPr>
          <w:p>
            <w:pPr>
              <w:pStyle w:val="IsiTabel"/>
              <w:suppressAutoHyphens/>
              <w:jc w:val="right"/>
            </w:pPr>
            <w:r>
              <w:t xml:space="preserve">Menurun</w:t>
            </w:r>
          </w:p>
        </w:tc>
        <w:tc>
          <w:tcPr>
            <w:tcW w:w="1252" w:type="dxa"/>
          </w:tcPr>
          <w:p>
            <w:pPr>
              <w:pStyle w:val="IsiTabel"/>
              <w:suppressAutoHyphens/>
              <w:jc w:val="left"/>
            </w:pPr>
            <w:r>
              <w:t xml:space="preserve">–</w:t>
            </w:r>
          </w:p>
        </w:tc>
        <w:tc>
          <w:tcPr>
            <w:tcW w:w="1260" w:type="dxa"/>
          </w:tcPr>
          <w:p>
            <w:pPr>
              <w:pStyle w:val="IsiTabel"/>
              <w:suppressAutoHyphens/>
              <w:jc w:val="left"/>
            </w:pPr>
            <w:r>
              <w:t xml:space="preserve">DIBI, berdampingan</w:t>
            </w:r>
          </w:p>
        </w:tc>
        <w:tc>
          <w:tcPr>
            <w:tcW w:w="1176" w:type="dxa"/>
          </w:tcPr>
          <w:p>
            <w:pPr>
              <w:pStyle w:val="IsiTabel"/>
              <w:suppressAutoHyphens/>
              <w:jc w:val="left"/>
            </w:pPr>
            <w:r>
              <w:rPr>
                <w:b/>
                <w:bCs/>
                <w:color w:val="FFFFFF"/>
                <w:sz w:val="16"/>
                <w:szCs w:val="16"/>
                <w:shd w:val="clear" w:color="auto" w:fill="051C2C"/>
              </w:rPr>
              <w:t xml:space="preserve">  Resmi  </w:t>
            </w:r>
          </w:p>
        </w:tc>
      </w:tr>
      <w:tr>
        <w:trPr>
          <w:cantSplit/>
        </w:trPr>
        <w:tc>
          <w:tcPr>
            <w:tcW w:w="436" w:type="dxa"/>
          </w:tcPr>
          <w:p>
            <w:pPr>
              <w:pStyle w:val="IsiTabel"/>
              <w:suppressAutoHyphens/>
              <w:jc w:val="center"/>
            </w:pPr>
            <w:r>
              <w:t xml:space="preserve">3</w:t>
            </w:r>
          </w:p>
        </w:tc>
        <w:tc>
          <w:tcPr>
            <w:tcW w:w="1325" w:type="dxa"/>
          </w:tcPr>
          <w:p>
            <w:pPr>
              <w:pStyle w:val="IsiTabel"/>
              <w:suppressAutoHyphens/>
              <w:jc w:val="left"/>
            </w:pPr>
            <w:r>
              <w:t xml:space="preserve">Renas PB 1.b, penduduk terdampak</w:t>
            </w:r>
          </w:p>
        </w:tc>
        <w:tc>
          <w:tcPr>
            <w:tcW w:w="2203" w:type="dxa"/>
          </w:tcPr>
          <w:p>
            <w:pPr>
              <w:pStyle w:val="IsiTabel"/>
              <w:suppressAutoHyphens/>
              <w:jc w:val="right"/>
            </w:pPr>
            <w:r>
              <w:t xml:space="preserve">4.148</w:t>
            </w:r>
            <w:r>
              <w:t xml:space="preserve"> (2025)</w:t>
            </w:r>
          </w:p>
        </w:tc>
        <w:tc>
          <w:tcPr>
            <w:tcW w:w="1702" w:type="dxa"/>
          </w:tcPr>
          <w:p>
            <w:pPr>
              <w:pStyle w:val="IsiTabel"/>
              <w:suppressAutoHyphens/>
              <w:jc w:val="right"/>
            </w:pPr>
            <w:r>
              <w:t xml:space="preserve">Menurun</w:t>
            </w:r>
          </w:p>
        </w:tc>
        <w:tc>
          <w:tcPr>
            <w:tcW w:w="1252" w:type="dxa"/>
          </w:tcPr>
          <w:p>
            <w:pPr>
              <w:pStyle w:val="IsiTabel"/>
              <w:suppressAutoHyphens/>
              <w:jc w:val="left"/>
            </w:pPr>
            <w:r>
              <w:t xml:space="preserve">–</w:t>
            </w:r>
          </w:p>
        </w:tc>
        <w:tc>
          <w:tcPr>
            <w:tcW w:w="1260" w:type="dxa"/>
          </w:tcPr>
          <w:p>
            <w:pPr>
              <w:pStyle w:val="IsiTabel"/>
              <w:suppressAutoHyphens/>
              <w:jc w:val="left"/>
            </w:pPr>
            <w:r>
              <w:t xml:space="preserve">DIBI kolom menderita (Juklak BNPB 7/2023)</w:t>
            </w:r>
          </w:p>
        </w:tc>
        <w:tc>
          <w:tcPr>
            <w:tcW w:w="1176" w:type="dxa"/>
          </w:tcPr>
          <w:p>
            <w:pPr>
              <w:pStyle w:val="IsiTabel"/>
              <w:suppressAutoHyphens/>
              <w:jc w:val="left"/>
            </w:pPr>
            <w:r>
              <w:rPr>
                <w:b/>
                <w:bCs/>
                <w:color w:val="FFFFFF"/>
                <w:sz w:val="16"/>
                <w:szCs w:val="16"/>
                <w:shd w:val="clear" w:color="auto" w:fill="051C2C"/>
              </w:rPr>
              <w:t xml:space="preserve">  Resmi  </w:t>
            </w:r>
          </w:p>
        </w:tc>
      </w:tr>
      <w:tr>
        <w:trPr>
          <w:cantSplit/>
        </w:trPr>
        <w:tc>
          <w:tcPr>
            <w:tcW w:w="436" w:type="dxa"/>
          </w:tcPr>
          <w:p>
            <w:pPr>
              <w:pStyle w:val="IsiTabel"/>
              <w:suppressAutoHyphens/>
              <w:jc w:val="center"/>
            </w:pPr>
            <w:r>
              <w:t xml:space="preserve">4</w:t>
            </w:r>
          </w:p>
        </w:tc>
        <w:tc>
          <w:tcPr>
            <w:tcW w:w="1325" w:type="dxa"/>
          </w:tcPr>
          <w:p>
            <w:pPr>
              <w:pStyle w:val="IsiTabel"/>
              <w:suppressAutoHyphens/>
              <w:jc w:val="left"/>
            </w:pPr>
            <w:r>
              <w:t xml:space="preserve">Renas PB 1.c, penduduk daerah berisiko tercakup peringatan dini</w:t>
            </w:r>
          </w:p>
        </w:tc>
        <w:tc>
          <w:tcPr>
            <w:tcW w:w="2203" w:type="dxa"/>
          </w:tcPr>
          <w:p>
            <w:pPr>
              <w:pStyle w:val="IsiTabel"/>
              <w:suppressAutoHyphens/>
              <w:jc w:val="right"/>
            </w:pPr>
            <w:r>
              <w:t xml:space="preserve">11.060</w:t>
            </w:r>
            <w:r>
              <w:t xml:space="preserve"> (2025)</w:t>
            </w:r>
          </w:p>
        </w:tc>
        <w:tc>
          <w:tcPr>
            <w:tcW w:w="1702" w:type="dxa"/>
          </w:tcPr>
          <w:p>
            <w:pPr>
              <w:pStyle w:val="IsiTabel"/>
              <w:suppressAutoHyphens/>
              <w:jc w:val="right"/>
            </w:pPr>
            <w:r>
              <w:t xml:space="preserve">52.000</w:t>
            </w:r>
          </w:p>
        </w:tc>
        <w:tc>
          <w:tcPr>
            <w:tcW w:w="1252" w:type="dxa"/>
          </w:tcPr>
          <w:p>
            <w:pPr>
              <w:pStyle w:val="IsiTabel"/>
              <w:suppressAutoHyphens/>
              <w:jc w:val="left"/>
            </w:pPr>
            <w:r>
              <w:t xml:space="preserve">62.235</w:t>
            </w:r>
          </w:p>
        </w:tc>
        <w:tc>
          <w:tcPr>
            <w:tcW w:w="1260" w:type="dxa"/>
          </w:tcPr>
          <w:p>
            <w:pPr>
              <w:pStyle w:val="IsiTabel"/>
              <w:suppressAutoHyphens/>
              <w:jc w:val="left"/>
            </w:pPr>
            <w:r>
              <w:t xml:space="preserve">menunggu KD-2</w:t>
            </w:r>
          </w:p>
        </w:tc>
        <w:tc>
          <w:tcPr>
            <w:tcW w:w="1176" w:type="dxa"/>
          </w:tcPr>
          <w:p>
            <w:pPr>
              <w:pStyle w:val="IsiTabel"/>
              <w:suppressAutoHyphens/>
              <w:jc w:val="left"/>
            </w:pPr>
            <w:r>
              <w:rPr>
                <w:b/>
                <w:bCs/>
                <w:color w:val="FFFFFF"/>
                <w:sz w:val="16"/>
                <w:szCs w:val="16"/>
                <w:shd w:val="clear" w:color="auto" w:fill="051C2C"/>
              </w:rPr>
              <w:t xml:space="preserve">  Resmi  </w:t>
            </w:r>
          </w:p>
        </w:tc>
      </w:tr>
      <w:tr>
        <w:trPr>
          <w:cantSplit/>
        </w:trPr>
        <w:tc>
          <w:tcPr>
            <w:tcW w:w="436" w:type="dxa"/>
          </w:tcPr>
          <w:p>
            <w:pPr>
              <w:pStyle w:val="IsiTabel"/>
              <w:suppressAutoHyphens/>
              <w:jc w:val="center"/>
            </w:pPr>
            <w:r>
              <w:t xml:space="preserve">5</w:t>
            </w:r>
          </w:p>
        </w:tc>
        <w:tc>
          <w:tcPr>
            <w:tcW w:w="1325" w:type="dxa"/>
          </w:tcPr>
          <w:p>
            <w:pPr>
              <w:pStyle w:val="IsiTabel"/>
              <w:suppressAutoHyphens/>
              <w:jc w:val="left"/>
            </w:pPr>
            <w:r>
              <w:t xml:space="preserve">RPJMN KP 08.04.02, cakupan layanan peringatan dini</w:t>
            </w:r>
          </w:p>
        </w:tc>
        <w:tc>
          <w:tcPr>
            <w:tcW w:w="2203" w:type="dxa"/>
          </w:tcPr>
          <w:p>
            <w:pPr>
              <w:pStyle w:val="IsiTabel"/>
              <w:suppressAutoHyphens/>
              <w:jc w:val="right"/>
            </w:pPr>
            <w:r>
              <w:t xml:space="preserve">6,00%</w:t>
            </w:r>
            <w:r>
              <w:t xml:space="preserve"> (garis dasar)</w:t>
            </w:r>
          </w:p>
        </w:tc>
        <w:tc>
          <w:tcPr>
            <w:tcW w:w="1702" w:type="dxa"/>
          </w:tcPr>
          <w:p>
            <w:pPr>
              <w:pStyle w:val="IsiTabel"/>
              <w:suppressAutoHyphens/>
              <w:jc w:val="right"/>
            </w:pPr>
            <w:r>
              <w:t xml:space="preserve">6,32%</w:t>
            </w:r>
          </w:p>
        </w:tc>
        <w:tc>
          <w:tcPr>
            <w:tcW w:w="1252" w:type="dxa"/>
          </w:tcPr>
          <w:p>
            <w:pPr>
              <w:pStyle w:val="IsiTabel"/>
              <w:suppressAutoHyphens/>
              <w:jc w:val="left"/>
            </w:pPr>
            <w:r>
              <w:t xml:space="preserve">–</w:t>
            </w:r>
          </w:p>
        </w:tc>
        <w:tc>
          <w:tcPr>
            <w:tcW w:w="1260" w:type="dxa"/>
          </w:tcPr>
          <w:p>
            <w:pPr>
              <w:pStyle w:val="IsiTabel"/>
              <w:suppressAutoHyphens/>
              <w:jc w:val="left"/>
            </w:pPr>
            <w:r>
              <w:t xml:space="preserve">menunggu KD-2</w:t>
            </w:r>
          </w:p>
        </w:tc>
        <w:tc>
          <w:tcPr>
            <w:tcW w:w="1176" w:type="dxa"/>
          </w:tcPr>
          <w:p>
            <w:pPr>
              <w:pStyle w:val="IsiTabel"/>
              <w:suppressAutoHyphens/>
              <w:jc w:val="left"/>
            </w:pPr>
            <w:r>
              <w:rPr>
                <w:b/>
                <w:bCs/>
                <w:color w:val="FFFFFF"/>
                <w:sz w:val="16"/>
                <w:szCs w:val="16"/>
                <w:shd w:val="clear" w:color="auto" w:fill="051C2C"/>
              </w:rPr>
              <w:t xml:space="preserve">  Resmi  </w:t>
            </w:r>
          </w:p>
        </w:tc>
      </w:tr>
      <w:tr>
        <w:trPr>
          <w:cantSplit/>
        </w:trPr>
        <w:tc>
          <w:tcPr>
            <w:tcW w:w="436" w:type="dxa"/>
          </w:tcPr>
          <w:p>
            <w:pPr>
              <w:pStyle w:val="IsiTabel"/>
              <w:suppressAutoHyphens/>
              <w:jc w:val="center"/>
            </w:pPr>
            <w:r>
              <w:t xml:space="preserve">6</w:t>
            </w:r>
          </w:p>
        </w:tc>
        <w:tc>
          <w:tcPr>
            <w:tcW w:w="1325" w:type="dxa"/>
          </w:tcPr>
          <w:p>
            <w:pPr>
              <w:pStyle w:val="IsiTabel"/>
              <w:suppressAutoHyphens/>
              <w:jc w:val="left"/>
            </w:pPr>
            <w:r>
              <w:t xml:space="preserve">RPJMN PP 08.04, penurunan IRB nasional</w:t>
            </w:r>
          </w:p>
        </w:tc>
        <w:tc>
          <w:tcPr>
            <w:tcW w:w="2203" w:type="dxa"/>
          </w:tcPr>
          <w:p>
            <w:pPr>
              <w:pStyle w:val="IsiTabel"/>
              <w:suppressAutoHyphens/>
              <w:jc w:val="right"/>
            </w:pPr>
            <w:r>
              <w:t xml:space="preserve">128,52</w:t>
            </w:r>
            <w:r>
              <w:t xml:space="preserve"> (2024, skala lama)</w:t>
            </w:r>
          </w:p>
        </w:tc>
        <w:tc>
          <w:tcPr>
            <w:tcW w:w="1702" w:type="dxa"/>
          </w:tcPr>
          <w:p>
            <w:pPr>
              <w:pStyle w:val="IsiTabel"/>
              <w:suppressAutoHyphens/>
              <w:jc w:val="right"/>
            </w:pPr>
            <w:r>
              <w:t xml:space="preserve">turun </w:t>
            </w:r>
            <w:r>
              <w:t xml:space="preserve">1,2%</w:t>
            </w:r>
            <w:r>
              <w:t xml:space="preserve"> per tahun</w:t>
            </w:r>
          </w:p>
        </w:tc>
        <w:tc>
          <w:tcPr>
            <w:tcW w:w="1252" w:type="dxa"/>
          </w:tcPr>
          <w:p>
            <w:pPr>
              <w:pStyle w:val="IsiTabel"/>
              <w:suppressAutoHyphens/>
              <w:jc w:val="left"/>
            </w:pPr>
            <w:r>
              <w:t xml:space="preserve">turun kumulatif </w:t>
            </w:r>
            <w:r>
              <w:t xml:space="preserve">5,86%</w:t>
            </w:r>
            <w:r>
              <w:t xml:space="preserve"> dari garis dasar 2025</w:t>
            </w:r>
          </w:p>
        </w:tc>
        <w:tc>
          <w:tcPr>
            <w:tcW w:w="1260" w:type="dxa"/>
          </w:tcPr>
          <w:p>
            <w:pPr>
              <w:pStyle w:val="IsiTabel"/>
              <w:suppressAutoHyphens/>
              <w:jc w:val="left"/>
            </w:pPr>
            <w:r>
              <w:t xml:space="preserve">menunggu KD-4</w:t>
            </w:r>
          </w:p>
        </w:tc>
        <w:tc>
          <w:tcPr>
            <w:tcW w:w="1176" w:type="dxa"/>
          </w:tcPr>
          <w:p>
            <w:pPr>
              <w:pStyle w:val="IsiTabel"/>
              <w:suppressAutoHyphens/>
              <w:jc w:val="left"/>
            </w:pPr>
            <w:r>
              <w:rPr>
                <w:b/>
                <w:bCs/>
                <w:color w:val="FFFFFF"/>
                <w:sz w:val="16"/>
                <w:szCs w:val="16"/>
                <w:shd w:val="clear" w:color="auto" w:fill="051C2C"/>
              </w:rPr>
              <w:t xml:space="preserve">  Resmi  </w:t>
            </w:r>
          </w:p>
        </w:tc>
      </w:tr>
      <w:tr>
        <w:trPr>
          <w:cantSplit/>
        </w:trPr>
        <w:tc>
          <w:tcPr>
            <w:tcW w:w="436" w:type="dxa"/>
          </w:tcPr>
          <w:p>
            <w:pPr>
              <w:pStyle w:val="IsiTabel"/>
              <w:suppressAutoHyphens/>
              <w:jc w:val="center"/>
            </w:pPr>
            <w:r>
              <w:t xml:space="preserve">7</w:t>
            </w:r>
          </w:p>
        </w:tc>
        <w:tc>
          <w:tcPr>
            <w:tcW w:w="1325" w:type="dxa"/>
          </w:tcPr>
          <w:p>
            <w:pPr>
              <w:pStyle w:val="IsiTabel"/>
              <w:suppressAutoHyphens/>
              <w:jc w:val="left"/>
            </w:pPr>
            <w:r>
              <w:t xml:space="preserve">IKS Renstra dan RPJMN KP 08.04.01, kapasitas minimal sedang</w:t>
            </w:r>
          </w:p>
        </w:tc>
        <w:tc>
          <w:tcPr>
            <w:tcW w:w="2203" w:type="dxa"/>
          </w:tcPr>
          <w:p>
            <w:pPr>
              <w:pStyle w:val="IsiTabel"/>
              <w:suppressAutoHyphens/>
              <w:jc w:val="right"/>
            </w:pPr>
            <w:r>
              <w:t xml:space="preserve">67%</w:t>
            </w:r>
            <w:r>
              <w:t xml:space="preserve"> (Renstra); </w:t>
            </w:r>
            <w:r>
              <w:t xml:space="preserve">38,0%</w:t>
            </w:r>
            <w:r>
              <w:t xml:space="preserve"> (KRB)</w:t>
            </w:r>
          </w:p>
        </w:tc>
        <w:tc>
          <w:tcPr>
            <w:tcW w:w="1702" w:type="dxa"/>
          </w:tcPr>
          <w:p>
            <w:pPr>
              <w:pStyle w:val="IsiTabel"/>
              <w:suppressAutoHyphens/>
              <w:jc w:val="right"/>
            </w:pPr>
            <w:r>
              <w:t xml:space="preserve">90%</w:t>
            </w:r>
          </w:p>
        </w:tc>
        <w:tc>
          <w:tcPr>
            <w:tcW w:w="1252" w:type="dxa"/>
          </w:tcPr>
          <w:p>
            <w:pPr>
              <w:pStyle w:val="IsiTabel"/>
              <w:suppressAutoHyphens/>
              <w:jc w:val="left"/>
            </w:pPr>
            <w:r>
              <w:t xml:space="preserve">dipertahankan dengan alat ukur hasil KD-3</w:t>
            </w:r>
          </w:p>
        </w:tc>
        <w:tc>
          <w:tcPr>
            <w:tcW w:w="1260" w:type="dxa"/>
          </w:tcPr>
          <w:p>
            <w:pPr>
              <w:pStyle w:val="IsiTabel"/>
              <w:suppressAutoHyphens/>
              <w:jc w:val="left"/>
            </w:pPr>
            <w:r>
              <w:t xml:space="preserve">menunggu KD-3</w:t>
            </w:r>
          </w:p>
        </w:tc>
        <w:tc>
          <w:tcPr>
            <w:tcW w:w="1176" w:type="dxa"/>
          </w:tcPr>
          <w:p>
            <w:pPr>
              <w:pStyle w:val="IsiTabel"/>
              <w:suppressAutoHyphens/>
              <w:jc w:val="left"/>
            </w:pPr>
            <w:r>
              <w:rPr>
                <w:b/>
                <w:bCs/>
                <w:color w:val="FFFFFF"/>
                <w:sz w:val="16"/>
                <w:szCs w:val="16"/>
                <w:shd w:val="clear" w:color="auto" w:fill="051C2C"/>
              </w:rPr>
              <w:t xml:space="preserve">  Resmi  </w:t>
            </w:r>
          </w:p>
        </w:tc>
      </w:tr>
      <w:tr>
        <w:trPr>
          <w:cantSplit/>
        </w:trPr>
        <w:tc>
          <w:tcPr>
            <w:tcW w:w="436" w:type="dxa"/>
          </w:tcPr>
          <w:p>
            <w:pPr>
              <w:pStyle w:val="IsiTabel"/>
              <w:keepNext/>
              <w:suppressAutoHyphens/>
              <w:jc w:val="center"/>
            </w:pPr>
            <w:bookmarkStart w:id="647" w:name="_Ekor076a"/>
            <w:bookmarkEnd w:id="647"/>
            <w:r>
              <w:t xml:space="preserve">8</w:t>
            </w:r>
          </w:p>
        </w:tc>
        <w:tc>
          <w:tcPr>
            <w:tcW w:w="1325" w:type="dxa"/>
          </w:tcPr>
          <w:p>
            <w:pPr>
              <w:pStyle w:val="IsiTabel"/>
              <w:keepNext/>
              <w:suppressAutoHyphens/>
              <w:jc w:val="left"/>
            </w:pPr>
            <w:r>
              <w:t xml:space="preserve">RPJMN KP 08.04.02, daerah berstatus darurat yang menerima intervensi sesuai standar</w:t>
            </w:r>
          </w:p>
        </w:tc>
        <w:tc>
          <w:tcPr>
            <w:tcW w:w="2203" w:type="dxa"/>
          </w:tcPr>
          <w:p>
            <w:pPr>
              <w:pStyle w:val="IsiTabel"/>
              <w:keepNext/>
              <w:suppressAutoHyphens/>
              <w:jc w:val="right"/>
            </w:pPr>
            <w:r>
              <w:t xml:space="preserve">75%</w:t>
            </w:r>
            <w:r>
              <w:t xml:space="preserve"> (garis dasar)</w:t>
            </w:r>
          </w:p>
        </w:tc>
        <w:tc>
          <w:tcPr>
            <w:tcW w:w="1702" w:type="dxa"/>
          </w:tcPr>
          <w:p>
            <w:pPr>
              <w:pStyle w:val="IsiTabel"/>
              <w:keepNext/>
              <w:suppressAutoHyphens/>
              <w:jc w:val="right"/>
            </w:pPr>
            <w:r>
              <w:t xml:space="preserve">100%</w:t>
            </w:r>
          </w:p>
        </w:tc>
        <w:tc>
          <w:tcPr>
            <w:tcW w:w="1252" w:type="dxa"/>
          </w:tcPr>
          <w:p>
            <w:pPr>
              <w:pStyle w:val="IsiTabel"/>
              <w:keepNext/>
              <w:suppressAutoHyphens/>
              <w:jc w:val="left"/>
            </w:pPr>
            <w:r>
              <w:t xml:space="preserve">–</w:t>
            </w:r>
          </w:p>
        </w:tc>
        <w:tc>
          <w:tcPr>
            <w:tcW w:w="1260" w:type="dxa"/>
          </w:tcPr>
          <w:p>
            <w:pPr>
              <w:pStyle w:val="IsiTabel"/>
              <w:keepNext/>
              <w:suppressAutoHyphens/>
              <w:jc w:val="left"/>
            </w:pPr>
            <w:r>
              <w:t xml:space="preserve">standar tidak dirujuk di halaman indikator</w:t>
            </w:r>
          </w:p>
        </w:tc>
        <w:tc>
          <w:tcPr>
            <w:tcW w:w="117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36" w:type="dxa"/>
          </w:tcPr>
          <w:p>
            <w:pPr>
              <w:pStyle w:val="IsiTabel"/>
              <w:keepNext/>
              <w:suppressAutoHyphens/>
              <w:jc w:val="center"/>
            </w:pPr>
            <w:r>
              <w:t xml:space="preserve">9</w:t>
            </w:r>
          </w:p>
        </w:tc>
        <w:tc>
          <w:tcPr>
            <w:tcW w:w="1325" w:type="dxa"/>
          </w:tcPr>
          <w:p>
            <w:pPr>
              <w:pStyle w:val="IsiTabel"/>
              <w:keepNext/>
              <w:suppressAutoHyphens/>
              <w:jc w:val="left"/>
            </w:pPr>
            <w:r>
              <w:t xml:space="preserve">RPJMN KP 08.04.03, daerah "pascabencana masif" yang ditangani</w:t>
            </w:r>
          </w:p>
        </w:tc>
        <w:tc>
          <w:tcPr>
            <w:tcW w:w="2203" w:type="dxa"/>
          </w:tcPr>
          <w:p>
            <w:pPr>
              <w:pStyle w:val="IsiTabel"/>
              <w:keepNext/>
              <w:suppressAutoHyphens/>
              <w:jc w:val="right"/>
            </w:pPr>
            <w:r>
              <w:t xml:space="preserve">100%</w:t>
            </w:r>
            <w:r>
              <w:t xml:space="preserve"> (garis dasar)</w:t>
            </w:r>
          </w:p>
        </w:tc>
        <w:tc>
          <w:tcPr>
            <w:tcW w:w="1702" w:type="dxa"/>
          </w:tcPr>
          <w:p>
            <w:pPr>
              <w:pStyle w:val="IsiTabel"/>
              <w:keepNext/>
              <w:suppressAutoHyphens/>
              <w:jc w:val="right"/>
            </w:pPr>
            <w:r>
              <w:t xml:space="preserve">100%</w:t>
            </w:r>
          </w:p>
        </w:tc>
        <w:tc>
          <w:tcPr>
            <w:tcW w:w="1252" w:type="dxa"/>
          </w:tcPr>
          <w:p>
            <w:pPr>
              <w:pStyle w:val="IsiTabel"/>
              <w:keepNext/>
              <w:suppressAutoHyphens/>
              <w:jc w:val="left"/>
            </w:pPr>
            <w:r>
              <w:t xml:space="preserve">–</w:t>
            </w:r>
          </w:p>
        </w:tc>
        <w:tc>
          <w:tcPr>
            <w:tcW w:w="1260" w:type="dxa"/>
          </w:tcPr>
          <w:p>
            <w:pPr>
              <w:pStyle w:val="IsiTabel"/>
              <w:keepNext/>
              <w:suppressAutoHyphens/>
              <w:jc w:val="left"/>
            </w:pPr>
            <w:r>
              <w:t xml:space="preserve">daftar daerah tidak terbuka</w:t>
            </w:r>
          </w:p>
        </w:tc>
        <w:tc>
          <w:tcPr>
            <w:tcW w:w="117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36" w:type="dxa"/>
          </w:tcPr>
          <w:p>
            <w:pPr>
              <w:pStyle w:val="IsiTabel"/>
              <w:keepNext/>
              <w:suppressAutoHyphens/>
              <w:jc w:val="center"/>
            </w:pPr>
            <w:r>
              <w:t xml:space="preserve">10</w:t>
            </w:r>
          </w:p>
        </w:tc>
        <w:tc>
          <w:tcPr>
            <w:tcW w:w="1325" w:type="dxa"/>
          </w:tcPr>
          <w:p>
            <w:pPr>
              <w:pStyle w:val="IsiTabel"/>
              <w:keepNext/>
              <w:suppressAutoHyphens/>
              <w:jc w:val="left"/>
            </w:pPr>
            <w:r>
              <w:t xml:space="preserve">RPJMN KP 08.04.04, desa berketahanan bencana</w:t>
            </w:r>
          </w:p>
        </w:tc>
        <w:tc>
          <w:tcPr>
            <w:tcW w:w="2203" w:type="dxa"/>
          </w:tcPr>
          <w:p>
            <w:pPr>
              <w:pStyle w:val="IsiTabel"/>
              <w:keepNext/>
              <w:suppressAutoHyphens/>
              <w:jc w:val="right"/>
            </w:pPr>
            <w:r>
              <w:t xml:space="preserve">10,31%</w:t>
            </w:r>
            <w:r>
              <w:t xml:space="preserve"> (garis dasar)</w:t>
            </w:r>
          </w:p>
        </w:tc>
        <w:tc>
          <w:tcPr>
            <w:tcW w:w="1702" w:type="dxa"/>
          </w:tcPr>
          <w:p>
            <w:pPr>
              <w:pStyle w:val="IsiTabel"/>
              <w:keepNext/>
              <w:suppressAutoHyphens/>
              <w:jc w:val="right"/>
            </w:pPr>
            <w:r>
              <w:t xml:space="preserve">11,74%</w:t>
            </w:r>
          </w:p>
        </w:tc>
        <w:tc>
          <w:tcPr>
            <w:tcW w:w="1252" w:type="dxa"/>
          </w:tcPr>
          <w:p>
            <w:pPr>
              <w:pStyle w:val="IsiTabel"/>
              <w:keepNext/>
              <w:suppressAutoHyphens/>
              <w:jc w:val="left"/>
            </w:pPr>
            <w:r>
              <w:t xml:space="preserve">–</w:t>
            </w:r>
          </w:p>
        </w:tc>
        <w:tc>
          <w:tcPr>
            <w:tcW w:w="1260" w:type="dxa"/>
          </w:tcPr>
          <w:p>
            <w:pPr>
              <w:pStyle w:val="IsiTabel"/>
              <w:keepNext/>
              <w:suppressAutoHyphens/>
              <w:jc w:val="left"/>
            </w:pPr>
            <w:r>
              <w:t xml:space="preserve">penilaian ketangguhan Perban BNPB 7/2025</w:t>
            </w:r>
          </w:p>
        </w:tc>
        <w:tc>
          <w:tcPr>
            <w:tcW w:w="117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36" w:type="dxa"/>
          </w:tcPr>
          <w:p>
            <w:pPr>
              <w:pStyle w:val="IsiTabel"/>
              <w:keepNext/>
              <w:suppressAutoHyphens/>
              <w:jc w:val="center"/>
            </w:pPr>
            <w:bookmarkStart w:id="648" w:name="_Ekor076z"/>
            <w:bookmarkEnd w:id="648"/>
            <w:r>
              <w:t xml:space="preserve">11</w:t>
            </w:r>
          </w:p>
        </w:tc>
        <w:tc>
          <w:tcPr>
            <w:tcW w:w="1325" w:type="dxa"/>
          </w:tcPr>
          <w:p>
            <w:pPr>
              <w:pStyle w:val="IsiTabel"/>
              <w:keepNext/>
              <w:suppressAutoHyphens/>
              <w:jc w:val="left"/>
            </w:pPr>
            <w:r>
              <w:t xml:space="preserve">Renas PB 4.5.1.a, desa dan kelurahan Destana</w:t>
            </w:r>
          </w:p>
        </w:tc>
        <w:tc>
          <w:tcPr>
            <w:tcW w:w="2203" w:type="dxa"/>
          </w:tcPr>
          <w:p>
            <w:pPr>
              <w:pStyle w:val="IsiTabel"/>
              <w:keepNext/>
              <w:suppressAutoHyphens/>
              <w:jc w:val="right"/>
            </w:pPr>
            <w:r>
              <w:t xml:space="preserve">2.234</w:t>
            </w:r>
            <w:r>
              <w:t xml:space="preserve"> (2024)</w:t>
            </w:r>
          </w:p>
        </w:tc>
        <w:tc>
          <w:tcPr>
            <w:tcW w:w="1702" w:type="dxa"/>
          </w:tcPr>
          <w:p>
            <w:pPr>
              <w:pStyle w:val="IsiTabel"/>
              <w:keepNext/>
              <w:suppressAutoHyphens/>
              <w:jc w:val="right"/>
            </w:pPr>
            <w:r>
              <w:t xml:space="preserve">7.234</w:t>
            </w:r>
          </w:p>
        </w:tc>
        <w:tc>
          <w:tcPr>
            <w:tcW w:w="1252" w:type="dxa"/>
          </w:tcPr>
          <w:p>
            <w:pPr>
              <w:pStyle w:val="IsiTabel"/>
              <w:keepNext/>
              <w:suppressAutoHyphens/>
              <w:jc w:val="left"/>
            </w:pPr>
            <w:r>
              <w:t xml:space="preserve">–</w:t>
            </w:r>
          </w:p>
        </w:tc>
        <w:tc>
          <w:tcPr>
            <w:tcW w:w="1260" w:type="dxa"/>
          </w:tcPr>
          <w:p>
            <w:pPr>
              <w:pStyle w:val="IsiTabel"/>
              <w:keepNext/>
              <w:suppressAutoHyphens/>
              <w:jc w:val="left"/>
            </w:pPr>
            <w:r>
              <w:t xml:space="preserve">laporan Destana</w:t>
            </w:r>
          </w:p>
        </w:tc>
        <w:tc>
          <w:tcPr>
            <w:tcW w:w="117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Tabel 2.8 dan rencana aksi; RPJMN 2025–2029 Lampiran III; Renstra BNPB 2025–2029; KRB 2022–2026; olah DIBI BNPB dengan penduduk BPS</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Renas PB 1.a sampai 1.c per 100.000 penduduk; arah 2030 asumsi kebijakan dengan rumus tertulis; – tidak ditetapkan atau menunggu keputusan; seri DIBI berpatahan 2024.</w:t>
      </w:r>
    </w:p>
    <w:p>
      <w:pPr>
        <w:pStyle w:val="Isi"/>
      </w:pPr>
      <w:r>
        <w:t xml:space="preserve">Rumus arah 2030 untuk Renas PB 1.c adalah target 2029 ditambah kenaikan tahunan rata-rata 2025–2029, sama dengan rumus kajian air. Arah IRB adalah </w:t>
      </w:r>
      <w:r>
        <w:t xml:space="preserve">1,2%</w:t>
      </w:r>
      <w:r>
        <w:t xml:space="preserve"> per tahun dari garis dasar 2025 skala baru dan hanya berlaku bila garis dasar itu terbit. Indikator RPJMN KP 08.04.02 kedua menyebut intervensi "sesuai standar" tanpa rujukan standar di halaman yang dibuka; standar minimal kebutuhan dasar yang tertulis di korpus BNPB adalah Perka BNPB 7/2008, dan tautan keduanya adalah tafsiran penyusun </w:t>
      </w:r>
      <w:r>
        <w:t xml:space="preserve">(BNPB, 2008b)</w:t>
      </w:r>
      <w:r>
        <w:t xml:space="preserve">.</w:t>
      </w:r>
    </w:p>
    <w:p>
      <w:pPr>
        <w:pStyle w:val="Caption"/>
      </w:pPr>
      <w:bookmarkStart w:id="650" w:name="_Toc00209"/>
      <w:bookmarkStart w:id="649" w:name="_Ref003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649"/>
      <w:r>
        <w:rPr>
          <w:b/>
          <w:bCs/>
          <w:color w:val="051C2C"/>
        </w:rPr>
        <w:t xml:space="preserve"> </w:t>
      </w:r>
      <w:r>
        <w:t xml:space="preserve">Sekat kanal dari gambut padat untuk menaikkan muka air, Sumatera Selatan, 2016</w:t>
      </w:r>
      <w:bookmarkEnd w:id="650"/>
    </w:p>
    <w:p xmlns:a="http://schemas.openxmlformats.org/drawingml/2006/main" xmlns:pic="http://schemas.openxmlformats.org/drawingml/2006/picture">
      <w:pPr>
        <w:keepNext/>
        <w:spacing w:after="0" w:line="240" w:lineRule="auto"/>
        <w:jc w:val="center"/>
      </w:pPr>
      <w:bookmarkStart w:id="651" w:name="_Obj0062"/>
      <w:r>
        <w:drawing>
          <wp:inline distT="0" distB="0" distL="0" distR="0">
            <wp:extent cx="2898000" cy="2173500"/>
            <wp:effectExtent l="0" t="0" r="0" b="0"/>
            <wp:docPr id="182" name="Gambar 182"/>
            <wp:cNvGraphicFramePr>
              <a:graphicFrameLocks noChangeAspect="1"/>
            </wp:cNvGraphicFramePr>
            <a:graphic>
              <a:graphicData uri="http://schemas.openxmlformats.org/drawingml/2006/picture">
                <pic:pic>
                  <pic:nvPicPr>
                    <pic:cNvPr id="182" name="mit-b11-sekat-kanal.jpg"/>
                    <pic:cNvPicPr/>
                  </pic:nvPicPr>
                  <pic:blipFill>
                    <a:blip r:embed="rId89"/>
                    <a:stretch>
                      <a:fillRect/>
                    </a:stretch>
                  </pic:blipFill>
                  <pic:spPr>
                    <a:xfrm>
                      <a:off x="0" y="0"/>
                      <a:ext cx="2898000" cy="2173500"/>
                    </a:xfrm>
                    <a:prstGeom prst="rect">
                      <a:avLst/>
                    </a:prstGeom>
                  </pic:spPr>
                </pic:pic>
              </a:graphicData>
            </a:graphic>
          </wp:inline>
        </w:drawing>
      </w:r>
      <w:bookmarkEnd w:id="651"/>
    </w:p>
    <w:p>
      <w:pPr>
        <w:pStyle w:val="Sumber"/>
      </w:pPr>
      <w:r>
        <w:rPr>
          <w:b/>
          <w:bCs/>
          <w:color w:val="6B7280"/>
          <w:sz w:val="17"/>
          <w:szCs w:val="17"/>
        </w:rPr>
        <w:t xml:space="preserve">Sumber: </w:t>
      </w:r>
      <w:r>
        <w:rPr>
          <w:color w:val="6B7280"/>
          <w:sz w:val="17"/>
          <w:szCs w:val="17"/>
        </w:rPr>
        <w:t xml:space="preserve">Wikimedia Commons, Forest Carbon, CC BY-SA 4.0</w:t>
      </w:r>
    </w:p>
    <w:p>
      <w:pPr>
        <w:pStyle w:val="Heading2"/>
      </w:pPr>
      <w:bookmarkStart w:id="653" w:name="_Toc00210"/>
      <w:bookmarkStart w:id="652" w:name="_Ref0127"/>
      <w:r>
        <w:t xml:space="preserve">11.3</w:t>
      </w:r>
      <w:bookmarkEnd w:id="652"/>
      <w:r>
        <w:tab/>
      </w:r>
      <w:r>
        <w:t xml:space="preserve">Alur Langkah Penanggulangan</w:t>
      </w:r>
      <w:bookmarkEnd w:id="653"/>
    </w:p>
    <w:p>
      <w:pPr>
        <w:pStyle w:val="IsiTemuan"/>
      </w:pPr>
      <w:r>
        <w:rPr>
          <w:b/>
          <w:bCs/>
          <w:color w:val="051C2C"/>
        </w:rPr>
        <w:t xml:space="preserve">Rantai dari peringatan dini sampai rehabilitasi dan rekonstruksi berpasal lengkap, tetapi tenggat berangka hanya tertulis di dua ujungnya: kaji cepat paling lambat </w:t>
      </w:r>
      <w:r>
        <w:rPr>
          <w:b/>
          <w:bCs/>
          <w:color w:val="051C2C"/>
        </w:rPr>
        <w:t xml:space="preserve">24 jam</w:t>
      </w:r>
      <w:r>
        <w:rPr>
          <w:b/>
          <w:bCs/>
          <w:color w:val="051C2C"/>
        </w:rPr>
        <w:t xml:space="preserve"> dan Rencana Rehabilitasi dan Rekonstruksi Pascabencana (R3P) paling lama </w:t>
      </w:r>
      <w:r>
        <w:rPr>
          <w:b/>
          <w:bCs/>
          <w:color w:val="051C2C"/>
        </w:rPr>
        <w:t xml:space="preserve">90 hari</w:t>
      </w:r>
      <w:r>
        <w:rPr>
          <w:b/>
          <w:bCs/>
          <w:color w:val="051C2C"/>
        </w:rPr>
        <w:t xml:space="preserve">.</w:t>
      </w:r>
      <w:r>
        <w:t xml:space="preserve"> Peringatan dini dikeluarkan kementerian atau lembaga teknis, lalu masuk platform sistem peringatan dini BNPB yang dikelola Deputi Bidang Pencegahan dan memberi rekomendasi aksi strategis dan teknis (Perban BNPB 2/2024 Pasal 3, Pasal 7, dan Pasal 14–15) </w:t>
      </w:r>
      <w:r>
        <w:t xml:space="preserve">(BNPB, 2024c)</w:t>
      </w:r>
      <w:r>
        <w:t xml:space="preserve">. Data bahayanya mencakup </w:t>
      </w:r>
      <w:r>
        <w:t xml:space="preserve">11 jenis bahaya</w:t>
      </w:r>
      <w:r>
        <w:t xml:space="preserve">, termasuk tsunami, banjir, erupsi, pergerakan tanah, kekeringan, cuaca ekstrem, karhutla, gempa bumi, dan epidemi. Rekomendasi aksi itu berfungsi menunjang keputusan pihak yang berwenang (Pasal 16 ayat (1)). Status keadaan darurat ditetapkan pemerintah atas rekomendasi badan penanggulangan bencana dan terdiri atas siaga darurat dan tanggap darurat, lalu transisi darurat ke pemulihan (Perban BNPB 4/2020) </w:t>
      </w:r>
      <w:r>
        <w:t xml:space="preserve">(BNPB, 2020a)</w:t>
      </w:r>
      <w:r>
        <w:t xml:space="preserve">. Penetapnya mengikuti tingkat pemerintahan menurut Perpres 17/2018 Pasal 2 ayat (2) dan PP 21/2008 Pasal 23 ayat (2) </w:t>
      </w:r>
      <w:r>
        <w:t xml:space="preserve">(Republik Indonesia, 2018c, 2008a)</w:t>
      </w:r>
      <w:r>
        <w:t xml:space="preserve">.</w:t>
      </w:r>
    </w:p>
    <w:p>
      <w:pPr>
        <w:pStyle w:val="IsiTemuan"/>
      </w:pPr>
      <w:r>
        <w:rPr>
          <w:b/>
          <w:bCs/>
          <w:color w:val="051C2C"/>
        </w:rPr>
        <w:t xml:space="preserve">Urutan tanggap darurat menurut teks juklak menempatkan penilaian awal sebelum kaji cepat, dan Sistem Komando Penanganan Darurat Bencana (SKPDB) baru aktif setelah status ditetapkan.</w:t>
      </w:r>
      <w:r>
        <w:t xml:space="preserve"> Penilaian awal dilakukan warga dan relawan bersama petugas lokal sebagai bahan kaji cepat (Juklak BNPB 4/2023) </w:t>
      </w:r>
      <w:r>
        <w:t xml:space="preserve">(BNPB, 2023h)</w:t>
      </w:r>
      <w:r>
        <w:t xml:space="preserve">. Tim Reaksi Cepat Penanggulangan Bencana (TRC PB) bergerak paling lambat </w:t>
      </w:r>
      <w:r>
        <w:t xml:space="preserve">24 jam</w:t>
      </w:r>
      <w:r>
        <w:t xml:space="preserve"> setelah perintah. Laporan awalnya terbit paling lambat </w:t>
      </w:r>
      <w:r>
        <w:t xml:space="preserve">24 jam</w:t>
      </w:r>
      <w:r>
        <w:t xml:space="preserve"> setelah tiba dan memuat rekomendasi penetapan status, dan laporan lanjutan untuk rencana operasi terbit paling lambat </w:t>
      </w:r>
      <w:r>
        <w:t xml:space="preserve">72 jam</w:t>
      </w:r>
      <w:r>
        <w:t xml:space="preserve"> setelah tiba (Juklak BNPB 3/2022) </w:t>
      </w:r>
      <w:r>
        <w:t xml:space="preserve">(BNPB, 2022)</w:t>
      </w:r>
      <w:r>
        <w:t xml:space="preserve">. Perka BNPB 3/2016 Pasal 3 ayat (1) menyatakan sistem komando diaktivasi berdasarkan penetapan status, dibedakan menurut skala kejadian dari kab/kota sampai nasional, dan mengutamakan peran kab/kota dengan pendampingan provinsi dan pusat </w:t>
      </w:r>
      <w:r>
        <w:t xml:space="preserve">(BNPB, 2016)</w:t>
      </w:r>
      <w:r>
        <w:t xml:space="preserve">. Dana Siap Pakai (DSP) dipakai selama masa keadaan darurat dan keadaan tertentu, dengan pertanggungjawaban paling lambat </w:t>
      </w:r>
      <w:r>
        <w:t xml:space="preserve">3 bulan</w:t>
      </w:r>
      <w:r>
        <w:t xml:space="preserve"> setelah status berakhir (Perban BNPB 4/2020 Pasal 20–21).</w:t>
      </w:r>
    </w:p>
    <w:p>
      <w:pPr>
        <w:pStyle w:val="IsiTemuan"/>
      </w:pPr>
      <w:r>
        <w:rPr>
          <w:b/>
          <w:bCs/>
          <w:color w:val="051C2C"/>
        </w:rPr>
        <w:t xml:space="preserve">Perpres 46/2026 membuka jalur ketika status tidak ditetapkan: Kepala BNPB dapat bertindak setelah rapat koordinasi menteri koordinator pada </w:t>
      </w:r>
      <w:r>
        <w:rPr>
          <w:b/>
          <w:bCs/>
          <w:color w:val="051C2C"/>
        </w:rPr>
        <w:t xml:space="preserve">3 kondisi</w:t>
      </w:r>
      <w:r>
        <w:rPr>
          <w:b/>
          <w:bCs/>
          <w:color w:val="051C2C"/>
        </w:rPr>
        <w:t xml:space="preserve"> </w:t>
      </w:r>
      <w:r>
        <w:rPr>
          <w:b/>
          <w:bCs/>
          <w:color w:val="051C2C"/>
        </w:rPr>
        <w:t xml:space="preserve">(Republik Indonesia, 2026a)</w:t>
      </w:r>
      <w:r>
        <w:rPr>
          <w:b/>
          <w:bCs/>
          <w:color w:val="051C2C"/>
        </w:rPr>
        <w:t xml:space="preserve">.</w:t>
      </w:r>
      <w:r>
        <w:t xml:space="preserve"> Kondisi pertama adalah potensi bencana dengan tingkat ancaman maksimum. Kondisi kedua adalah evakuasi atau gangguan layanan umum berdampak luas yang telah terjadi, dan kondisi ketiga adalah daerah rekonsiliasi pascakonflik berkapasitas fiskal rendah atau sangat rendah. Pedoman pelaksananya masih Perban BNPB 5/2018 yang belum diubah.</w:t>
      </w:r>
    </w:p>
    <w:p>
      <w:pPr>
        <w:pStyle w:val="Isi"/>
      </w:pPr>
      <w:r>
        <w:t xml:space="preserve">Di ujung lain rantai, R3P disusun bersama kementerian dan lembaga terkait serta perangkat daerah, dimulai saat tanggap darurat, dan berlaku paling lama </w:t>
      </w:r>
      <w:r>
        <w:t xml:space="preserve">3 tahun</w:t>
      </w:r>
      <w:r>
        <w:t xml:space="preserve"> (Perban BNPB 5/2017 Pasal 2 dan Pasal 10) </w:t>
      </w:r>
      <w:r>
        <w:t xml:space="preserve">(BNPB, 2017a)</w:t>
      </w:r>
      <w:r>
        <w:t xml:space="preserve">. Isinya memuat pengkajian kebutuhan pascabencana (Jitupasna) menurut Perka BNPB 15/2011 </w:t>
      </w:r>
      <w:r>
        <w:t xml:space="preserve">(BNPB, 2011a)</w:t>
      </w:r>
      <w:r>
        <w:t xml:space="preserve">. Pemerintah daerah calon penerima hibah rehabilitasi dan rekonstruksi wajib sudah menyusun R3P, dan hibah berjalan dalam </w:t>
      </w:r>
      <w:r>
        <w:t xml:space="preserve">9 tahap</w:t>
      </w:r>
      <w:r>
        <w:t xml:space="preserve"> dengan laporan tiap </w:t>
      </w:r>
      <w:r>
        <w:t xml:space="preserve">3 bulan</w:t>
      </w:r>
      <w:r>
        <w:t xml:space="preserve"> kepada Kepala BNPB, Menteri Keuangan, dan Menteri Dalam Negeri (Perban BNPB 4/2024 Pasal 6, Pasal 7, dan Pasal 28) </w:t>
      </w:r>
      <w:r>
        <w:t xml:space="preserve">(BNPB, 2024d)</w:t>
      </w:r>
      <w:r>
        <w:t xml:space="preserve">.</w:t>
      </w:r>
    </w:p>
    <w:p>
      <w:pPr>
        <w:pStyle w:val="Caption"/>
      </w:pPr>
      <w:bookmarkStart w:id="655" w:name="_Toc00211"/>
      <w:bookmarkStart w:id="654" w:name="_Ref003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654"/>
      <w:r>
        <w:rPr>
          <w:b/>
          <w:bCs/>
          <w:color w:val="051C2C"/>
        </w:rPr>
        <w:t xml:space="preserve"> </w:t>
      </w:r>
      <w:r>
        <w:t xml:space="preserve">Alur langkah penanggulangan bencana dari peringatan dini sampai hibah rehabilitasi dan rekonstruksi, dengan pemicu dan tenggat tiap tahap, 2026</w:t>
      </w:r>
      <w:bookmarkEnd w:id="655"/>
    </w:p>
    <w:p xmlns:a="http://schemas.openxmlformats.org/drawingml/2006/main" xmlns:pic="http://schemas.openxmlformats.org/drawingml/2006/picture">
      <w:pPr>
        <w:keepNext/>
        <w:spacing w:after="0" w:line="240" w:lineRule="auto"/>
        <w:jc w:val="center"/>
      </w:pPr>
      <w:bookmarkStart w:id="656" w:name="_Obj0063"/>
      <w:r>
        <w:drawing>
          <wp:inline distT="0" distB="0" distL="0" distR="0">
            <wp:extent cx="5940000" cy="2427785"/>
            <wp:effectExtent l="0" t="0" r="0" b="0"/>
            <wp:docPr id="183" name="Gambar 183"/>
            <wp:cNvGraphicFramePr>
              <a:graphicFrameLocks noChangeAspect="1"/>
            </wp:cNvGraphicFramePr>
            <a:graphic>
              <a:graphicData uri="http://schemas.openxmlformats.org/drawingml/2006/picture">
                <pic:pic>
                  <pic:nvPicPr>
                    <pic:cNvPr id="183" name="bab11-g21-alur-langkah.png"/>
                    <pic:cNvPicPr/>
                  </pic:nvPicPr>
                  <pic:blipFill>
                    <a:blip r:embed="rId90"/>
                    <a:stretch>
                      <a:fillRect/>
                    </a:stretch>
                  </pic:blipFill>
                  <pic:spPr>
                    <a:xfrm>
                      <a:off x="0" y="0"/>
                      <a:ext cx="5940000" cy="2427785"/>
                    </a:xfrm>
                    <a:prstGeom prst="rect">
                      <a:avLst/>
                    </a:prstGeom>
                  </pic:spPr>
                </pic:pic>
              </a:graphicData>
            </a:graphic>
          </wp:inline>
        </w:drawing>
      </w:r>
      <w:bookmarkEnd w:id="656"/>
    </w:p>
    <w:p>
      <w:pPr>
        <w:pStyle w:val="Sumber"/>
        <w:spacing w:after="40"/>
      </w:pPr>
      <w:r>
        <w:rPr>
          <w:b/>
          <w:bCs/>
          <w:color w:val="6B7280"/>
          <w:sz w:val="17"/>
          <w:szCs w:val="17"/>
        </w:rPr>
        <w:t xml:space="preserve">Sumber: </w:t>
      </w:r>
      <w:r>
        <w:rPr>
          <w:color w:val="6B7280"/>
          <w:sz w:val="17"/>
          <w:szCs w:val="17"/>
        </w:rPr>
        <w:t xml:space="preserve">UU 24/2007; PP 21/2008; Perpres 17/2018 jo. Perpres 46/2026; Perka BNPB 3/2016 dan 15/2011; Perban BNPB 4/2020, 5/2017, 4/2024, dan 2/2024; Juklak BNPB 3/2022, 4/2023, dan 1/2023;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Tenggat hanya yang tertulis di peraturan; jalur KLB dan status keadaan konflik berjalan paralel tanpa norma pengait.</w:t>
      </w:r>
    </w:p>
    <w:p>
      <w:pPr>
        <w:pStyle w:val="Caption"/>
      </w:pPr>
      <w:bookmarkStart w:id="658" w:name="_Toc00212"/>
      <w:bookmarkStart w:id="657" w:name="_Ref025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657"/>
      <w:r>
        <w:rPr>
          <w:b/>
          <w:bCs/>
          <w:color w:val="051C2C"/>
        </w:rPr>
        <w:t xml:space="preserve"> </w:t>
      </w:r>
      <w:r>
        <w:t xml:space="preserve">Tahap, pemicu, pemutus, instrumen, dan tenggat tertulis dalam rantai penanggulangan bencana, 2026</w:t>
      </w:r>
      <w:bookmarkEnd w:id="65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25"/>
        <w:gridCol w:w="1592"/>
        <w:gridCol w:w="1381"/>
        <w:gridCol w:w="2173"/>
        <w:gridCol w:w="2483"/>
      </w:tblGrid>
      <w:tr>
        <w:trPr>
          <w:cantSplit/>
          <w:tblHeader/>
        </w:trPr>
        <w:tc>
          <w:tcPr>
            <w:tcW w:w="1725" w:type="dxa"/>
            <w:shd w:val="clear" w:color="auto" w:fill="051C2C"/>
            <w:vAlign w:val="center"/>
          </w:tcPr>
          <w:p>
            <w:pPr>
              <w:pStyle w:val="KepalaTabel"/>
              <w:suppressAutoHyphens/>
            </w:pPr>
            <w:r>
              <w:t xml:space="preserve">TAHAP</w:t>
            </w:r>
          </w:p>
        </w:tc>
        <w:tc>
          <w:tcPr>
            <w:tcW w:w="1592" w:type="dxa"/>
            <w:shd w:val="clear" w:color="auto" w:fill="051C2C"/>
            <w:vAlign w:val="center"/>
          </w:tcPr>
          <w:p>
            <w:pPr>
              <w:pStyle w:val="KepalaTabel"/>
              <w:suppressAutoHyphens/>
            </w:pPr>
            <w:r>
              <w:t xml:space="preserve">PEMICU</w:t>
            </w:r>
          </w:p>
        </w:tc>
        <w:tc>
          <w:tcPr>
            <w:tcW w:w="1381" w:type="dxa"/>
            <w:shd w:val="clear" w:color="auto" w:fill="051C2C"/>
            <w:vAlign w:val="center"/>
          </w:tcPr>
          <w:p>
            <w:pPr>
              <w:pStyle w:val="KepalaTabel"/>
              <w:suppressAutoHyphens/>
            </w:pPr>
            <w:r>
              <w:t xml:space="preserve">YANG MEMUTUS</w:t>
            </w:r>
          </w:p>
        </w:tc>
        <w:tc>
          <w:tcPr>
            <w:tcW w:w="2173" w:type="dxa"/>
            <w:shd w:val="clear" w:color="auto" w:fill="051C2C"/>
            <w:vAlign w:val="center"/>
          </w:tcPr>
          <w:p>
            <w:pPr>
              <w:pStyle w:val="KepalaTabel"/>
              <w:suppressAutoHyphens/>
            </w:pPr>
            <w:r>
              <w:t xml:space="preserve">INSTRUMEN YANG TERBUKA</w:t>
            </w:r>
          </w:p>
        </w:tc>
        <w:tc>
          <w:tcPr>
            <w:tcW w:w="2483" w:type="dxa"/>
            <w:shd w:val="clear" w:color="auto" w:fill="051C2C"/>
            <w:vAlign w:val="center"/>
          </w:tcPr>
          <w:p>
            <w:pPr>
              <w:pStyle w:val="KepalaTabel"/>
              <w:suppressAutoHyphens/>
            </w:pPr>
            <w:r>
              <w:t xml:space="preserve">TENGGAT TERTULIS</w:t>
            </w:r>
          </w:p>
        </w:tc>
      </w:tr>
      <w:tr>
        <w:trPr>
          <w:cantSplit/>
        </w:trPr>
        <w:tc>
          <w:tcPr>
            <w:tcW w:w="1725" w:type="dxa"/>
          </w:tcPr>
          <w:p>
            <w:pPr>
              <w:pStyle w:val="IsiTabel"/>
              <w:suppressAutoHyphens/>
              <w:jc w:val="left"/>
            </w:pPr>
            <w:r>
              <w:t xml:space="preserve">Peringatan dini</w:t>
            </w:r>
          </w:p>
        </w:tc>
        <w:tc>
          <w:tcPr>
            <w:tcW w:w="1592" w:type="dxa"/>
          </w:tcPr>
          <w:p>
            <w:pPr>
              <w:pStyle w:val="IsiTabel"/>
              <w:suppressAutoHyphens/>
              <w:jc w:val="left"/>
            </w:pPr>
            <w:r>
              <w:t xml:space="preserve">data bahaya kementerian dan lembaga teknis masuk platform</w:t>
            </w:r>
          </w:p>
        </w:tc>
        <w:tc>
          <w:tcPr>
            <w:tcW w:w="1381" w:type="dxa"/>
          </w:tcPr>
          <w:p>
            <w:pPr>
              <w:pStyle w:val="IsiTabel"/>
              <w:suppressAutoHyphens/>
              <w:jc w:val="left"/>
            </w:pPr>
            <w:r>
              <w:t xml:space="preserve">K/L teknis menerbitkan; pihak berwenang memutus tindakan</w:t>
            </w:r>
          </w:p>
        </w:tc>
        <w:tc>
          <w:tcPr>
            <w:tcW w:w="2173" w:type="dxa"/>
          </w:tcPr>
          <w:p>
            <w:pPr>
              <w:pStyle w:val="IsiTabel"/>
              <w:suppressAutoHyphens/>
              <w:jc w:val="left"/>
            </w:pPr>
            <w:r>
              <w:t xml:space="preserve">rekomendasi aksi strategis (BNPB) dan teknis (BPBD)</w:t>
            </w:r>
          </w:p>
        </w:tc>
        <w:tc>
          <w:tcPr>
            <w:tcW w:w="2483" w:type="dxa"/>
          </w:tcPr>
          <w:p>
            <w:pPr>
              <w:pStyle w:val="IsiTabel"/>
              <w:suppressAutoHyphens/>
              <w:jc w:val="left"/>
            </w:pPr>
            <w:r>
              <w:t xml:space="preserve">layanan informasi sepanjang hari (Perban BNPB 2/2024 Pasal 8)</w:t>
            </w:r>
          </w:p>
        </w:tc>
      </w:tr>
      <w:tr>
        <w:trPr>
          <w:cantSplit/>
        </w:trPr>
        <w:tc>
          <w:tcPr>
            <w:tcW w:w="1725" w:type="dxa"/>
          </w:tcPr>
          <w:p>
            <w:pPr>
              <w:pStyle w:val="IsiTabel"/>
              <w:suppressAutoHyphens/>
              <w:jc w:val="left"/>
            </w:pPr>
            <w:r>
              <w:t xml:space="preserve">Penilaian awal</w:t>
            </w:r>
          </w:p>
        </w:tc>
        <w:tc>
          <w:tcPr>
            <w:tcW w:w="1592" w:type="dxa"/>
          </w:tcPr>
          <w:p>
            <w:pPr>
              <w:pStyle w:val="IsiTabel"/>
              <w:suppressAutoHyphens/>
              <w:jc w:val="left"/>
            </w:pPr>
            <w:r>
              <w:t xml:space="preserve">tanda bencana atau kejadian</w:t>
            </w:r>
          </w:p>
        </w:tc>
        <w:tc>
          <w:tcPr>
            <w:tcW w:w="1381" w:type="dxa"/>
          </w:tcPr>
          <w:p>
            <w:pPr>
              <w:pStyle w:val="IsiTabel"/>
              <w:suppressAutoHyphens/>
              <w:jc w:val="left"/>
            </w:pPr>
            <w:r>
              <w:t xml:space="preserve">warga, relawan, petugas lokal</w:t>
            </w:r>
          </w:p>
        </w:tc>
        <w:tc>
          <w:tcPr>
            <w:tcW w:w="2173" w:type="dxa"/>
          </w:tcPr>
          <w:p>
            <w:pPr>
              <w:pStyle w:val="IsiTabel"/>
              <w:suppressAutoHyphens/>
              <w:jc w:val="left"/>
            </w:pPr>
            <w:r>
              <w:t xml:space="preserve">informasi awal ke BPBD</w:t>
            </w:r>
          </w:p>
        </w:tc>
        <w:tc>
          <w:tcPr>
            <w:tcW w:w="2483" w:type="dxa"/>
          </w:tcPr>
          <w:p>
            <w:pPr>
              <w:pStyle w:val="IsiTabel"/>
              <w:suppressAutoHyphens/>
              <w:jc w:val="left"/>
            </w:pPr>
            <w:r>
              <w:t xml:space="preserve">–</w:t>
            </w:r>
          </w:p>
        </w:tc>
      </w:tr>
      <w:tr>
        <w:trPr>
          <w:cantSplit/>
        </w:trPr>
        <w:tc>
          <w:tcPr>
            <w:tcW w:w="1725" w:type="dxa"/>
          </w:tcPr>
          <w:p>
            <w:pPr>
              <w:pStyle w:val="IsiTabel"/>
              <w:suppressAutoHyphens/>
              <w:jc w:val="left"/>
            </w:pPr>
            <w:r>
              <w:t xml:space="preserve">Kaji cepat</w:t>
            </w:r>
          </w:p>
        </w:tc>
        <w:tc>
          <w:tcPr>
            <w:tcW w:w="1592" w:type="dxa"/>
          </w:tcPr>
          <w:p>
            <w:pPr>
              <w:pStyle w:val="IsiTabel"/>
              <w:suppressAutoHyphens/>
              <w:jc w:val="left"/>
            </w:pPr>
            <w:r>
              <w:t xml:space="preserve">informasi awal</w:t>
            </w:r>
          </w:p>
        </w:tc>
        <w:tc>
          <w:tcPr>
            <w:tcW w:w="1381" w:type="dxa"/>
          </w:tcPr>
          <w:p>
            <w:pPr>
              <w:pStyle w:val="IsiTabel"/>
              <w:suppressAutoHyphens/>
              <w:jc w:val="left"/>
            </w:pPr>
            <w:r>
              <w:t xml:space="preserve">kepala BPBD menugaskan TRC PB</w:t>
            </w:r>
          </w:p>
        </w:tc>
        <w:tc>
          <w:tcPr>
            <w:tcW w:w="2173" w:type="dxa"/>
          </w:tcPr>
          <w:p>
            <w:pPr>
              <w:pStyle w:val="IsiTabel"/>
              <w:suppressAutoHyphens/>
              <w:jc w:val="left"/>
            </w:pPr>
            <w:r>
              <w:t xml:space="preserve">laporan awal berisi rekomendasi status</w:t>
            </w:r>
          </w:p>
        </w:tc>
        <w:tc>
          <w:tcPr>
            <w:tcW w:w="2483" w:type="dxa"/>
          </w:tcPr>
          <w:p>
            <w:pPr>
              <w:pStyle w:val="IsiTabel"/>
              <w:suppressAutoHyphens/>
              <w:jc w:val="left"/>
            </w:pPr>
            <w:r>
              <w:t xml:space="preserve">bergerak </w:t>
            </w:r>
            <w:r>
              <w:t xml:space="preserve">24 jam</w:t>
            </w:r>
            <w:r>
              <w:t xml:space="preserve">; laporan awal </w:t>
            </w:r>
            <w:r>
              <w:t xml:space="preserve">24 jam</w:t>
            </w:r>
            <w:r>
              <w:t xml:space="preserve">; lanjutan </w:t>
            </w:r>
            <w:r>
              <w:t xml:space="preserve">72 jam</w:t>
            </w:r>
          </w:p>
        </w:tc>
      </w:tr>
      <w:tr>
        <w:trPr>
          <w:cantSplit/>
        </w:trPr>
        <w:tc>
          <w:tcPr>
            <w:tcW w:w="1725" w:type="dxa"/>
          </w:tcPr>
          <w:p>
            <w:pPr>
              <w:pStyle w:val="IsiTabel"/>
              <w:suppressAutoHyphens/>
              <w:jc w:val="left"/>
            </w:pPr>
            <w:r>
              <w:t xml:space="preserve">Status siaga atau tanggap darurat</w:t>
            </w:r>
          </w:p>
        </w:tc>
        <w:tc>
          <w:tcPr>
            <w:tcW w:w="1592" w:type="dxa"/>
          </w:tcPr>
          <w:p>
            <w:pPr>
              <w:pStyle w:val="IsiTabel"/>
              <w:suppressAutoHyphens/>
              <w:jc w:val="left"/>
            </w:pPr>
            <w:r>
              <w:t xml:space="preserve">rekomendasi badan penanggulangan bencana</w:t>
            </w:r>
          </w:p>
        </w:tc>
        <w:tc>
          <w:tcPr>
            <w:tcW w:w="1381" w:type="dxa"/>
          </w:tcPr>
          <w:p>
            <w:pPr>
              <w:pStyle w:val="IsiTabel"/>
              <w:suppressAutoHyphens/>
              <w:jc w:val="left"/>
            </w:pPr>
            <w:r>
              <w:t xml:space="preserve">bupati/wali kota, gubernur, atau Presiden menurut skala</w:t>
            </w:r>
          </w:p>
        </w:tc>
        <w:tc>
          <w:tcPr>
            <w:tcW w:w="2173" w:type="dxa"/>
          </w:tcPr>
          <w:p>
            <w:pPr>
              <w:pStyle w:val="IsiTabel"/>
              <w:suppressAutoHyphens/>
              <w:jc w:val="left"/>
            </w:pPr>
            <w:r>
              <w:t xml:space="preserve">SKPDB; kemudahan akses UU 24/2007 Pasal 50; DSP; kebutuhan dasar</w:t>
            </w:r>
          </w:p>
        </w:tc>
        <w:tc>
          <w:tcPr>
            <w:tcW w:w="2483" w:type="dxa"/>
          </w:tcPr>
          <w:p>
            <w:pPr>
              <w:pStyle w:val="IsiTabel"/>
              <w:suppressAutoHyphens/>
              <w:jc w:val="left"/>
            </w:pPr>
            <w:r>
              <w:t xml:space="preserve">–</w:t>
            </w:r>
          </w:p>
        </w:tc>
      </w:tr>
      <w:tr>
        <w:trPr>
          <w:cantSplit/>
        </w:trPr>
        <w:tc>
          <w:tcPr>
            <w:tcW w:w="1725" w:type="dxa"/>
          </w:tcPr>
          <w:p>
            <w:pPr>
              <w:pStyle w:val="IsiTabel"/>
              <w:suppressAutoHyphens/>
              <w:jc w:val="left"/>
            </w:pPr>
            <w:r>
              <w:t xml:space="preserve">Keadaan tertentu</w:t>
            </w:r>
          </w:p>
        </w:tc>
        <w:tc>
          <w:tcPr>
            <w:tcW w:w="1592" w:type="dxa"/>
          </w:tcPr>
          <w:p>
            <w:pPr>
              <w:pStyle w:val="IsiTabel"/>
              <w:suppressAutoHyphens/>
              <w:jc w:val="left"/>
            </w:pPr>
            <w:r>
              <w:t xml:space="preserve">tiga kondisi Perpres 46/2026 Pasal 3</w:t>
            </w:r>
          </w:p>
        </w:tc>
        <w:tc>
          <w:tcPr>
            <w:tcW w:w="1381" w:type="dxa"/>
          </w:tcPr>
          <w:p>
            <w:pPr>
              <w:pStyle w:val="IsiTabel"/>
              <w:suppressAutoHyphens/>
              <w:jc w:val="left"/>
            </w:pPr>
            <w:r>
              <w:t xml:space="preserve">Kepala BNPB setelah rapat koordinasi menteri koordinator</w:t>
            </w:r>
          </w:p>
        </w:tc>
        <w:tc>
          <w:tcPr>
            <w:tcW w:w="2173" w:type="dxa"/>
          </w:tcPr>
          <w:p>
            <w:pPr>
              <w:pStyle w:val="IsiTabel"/>
              <w:suppressAutoHyphens/>
              <w:jc w:val="left"/>
            </w:pPr>
            <w:r>
              <w:t xml:space="preserve">kemudahan akses; DSP</w:t>
            </w:r>
          </w:p>
        </w:tc>
        <w:tc>
          <w:tcPr>
            <w:tcW w:w="2483" w:type="dxa"/>
          </w:tcPr>
          <w:p>
            <w:pPr>
              <w:pStyle w:val="IsiTabel"/>
              <w:suppressAutoHyphens/>
              <w:jc w:val="left"/>
            </w:pPr>
            <w:r>
              <w:t xml:space="preserve">–</w:t>
            </w:r>
          </w:p>
        </w:tc>
      </w:tr>
      <w:tr>
        <w:trPr>
          <w:cantSplit/>
        </w:trPr>
        <w:tc>
          <w:tcPr>
            <w:tcW w:w="1725" w:type="dxa"/>
          </w:tcPr>
          <w:p>
            <w:pPr>
              <w:pStyle w:val="IsiTabel"/>
              <w:keepNext/>
              <w:suppressAutoHyphens/>
              <w:jc w:val="left"/>
            </w:pPr>
            <w:bookmarkStart w:id="659" w:name="_Ekor077a"/>
            <w:bookmarkEnd w:id="659"/>
            <w:r>
              <w:t xml:space="preserve">Rencana operasi</w:t>
            </w:r>
          </w:p>
        </w:tc>
        <w:tc>
          <w:tcPr>
            <w:tcW w:w="1592" w:type="dxa"/>
          </w:tcPr>
          <w:p>
            <w:pPr>
              <w:pStyle w:val="IsiTabel"/>
              <w:keepNext/>
              <w:suppressAutoHyphens/>
              <w:jc w:val="left"/>
            </w:pPr>
            <w:r>
              <w:t xml:space="preserve">laporan lanjutan dan rencana kontinjensi</w:t>
            </w:r>
          </w:p>
        </w:tc>
        <w:tc>
          <w:tcPr>
            <w:tcW w:w="1381" w:type="dxa"/>
          </w:tcPr>
          <w:p>
            <w:pPr>
              <w:pStyle w:val="IsiTabel"/>
              <w:keepNext/>
              <w:suppressAutoHyphens/>
              <w:jc w:val="left"/>
            </w:pPr>
            <w:r>
              <w:t xml:space="preserve">komandan pos komando</w:t>
            </w:r>
          </w:p>
        </w:tc>
        <w:tc>
          <w:tcPr>
            <w:tcW w:w="2173" w:type="dxa"/>
          </w:tcPr>
          <w:p>
            <w:pPr>
              <w:pStyle w:val="IsiTabel"/>
              <w:keepNext/>
              <w:suppressAutoHyphens/>
              <w:jc w:val="left"/>
            </w:pPr>
            <w:r>
              <w:t xml:space="preserve">rencana operasi; penilaian perkembangan (Juklak BNPB 6/2023)</w:t>
            </w:r>
          </w:p>
        </w:tc>
        <w:tc>
          <w:tcPr>
            <w:tcW w:w="2483" w:type="dxa"/>
          </w:tcPr>
          <w:p>
            <w:pPr>
              <w:pStyle w:val="IsiTabel"/>
              <w:keepNext/>
              <w:suppressAutoHyphens/>
              <w:jc w:val="left"/>
            </w:pPr>
            <w:r>
              <w:t xml:space="preserve">–</w:t>
            </w:r>
          </w:p>
        </w:tc>
      </w:tr>
      <w:tr>
        <w:trPr>
          <w:cantSplit/>
        </w:trPr>
        <w:tc>
          <w:tcPr>
            <w:tcW w:w="1725" w:type="dxa"/>
          </w:tcPr>
          <w:p>
            <w:pPr>
              <w:pStyle w:val="IsiTabel"/>
              <w:keepNext/>
              <w:suppressAutoHyphens/>
              <w:jc w:val="left"/>
            </w:pPr>
            <w:r>
              <w:t xml:space="preserve">Transisi darurat ke pemulihan</w:t>
            </w:r>
          </w:p>
        </w:tc>
        <w:tc>
          <w:tcPr>
            <w:tcW w:w="1592" w:type="dxa"/>
          </w:tcPr>
          <w:p>
            <w:pPr>
              <w:pStyle w:val="IsiTabel"/>
              <w:keepNext/>
              <w:suppressAutoHyphens/>
              <w:jc w:val="left"/>
            </w:pPr>
            <w:r>
              <w:t xml:space="preserve">ancaman menurun, gangguan berlanjut</w:t>
            </w:r>
          </w:p>
        </w:tc>
        <w:tc>
          <w:tcPr>
            <w:tcW w:w="1381" w:type="dxa"/>
          </w:tcPr>
          <w:p>
            <w:pPr>
              <w:pStyle w:val="IsiTabel"/>
              <w:keepNext/>
              <w:suppressAutoHyphens/>
              <w:jc w:val="left"/>
            </w:pPr>
            <w:r>
              <w:t xml:space="preserve">kepala daerah</w:t>
            </w:r>
          </w:p>
        </w:tc>
        <w:tc>
          <w:tcPr>
            <w:tcW w:w="2173" w:type="dxa"/>
          </w:tcPr>
          <w:p>
            <w:pPr>
              <w:pStyle w:val="IsiTabel"/>
              <w:keepNext/>
              <w:suppressAutoHyphens/>
              <w:jc w:val="left"/>
            </w:pPr>
            <w:r>
              <w:t xml:space="preserve">Dana Tunggu Hunian; hunian sementara</w:t>
            </w:r>
          </w:p>
        </w:tc>
        <w:tc>
          <w:tcPr>
            <w:tcW w:w="2483" w:type="dxa"/>
          </w:tcPr>
          <w:p>
            <w:pPr>
              <w:pStyle w:val="IsiTabel"/>
              <w:keepNext/>
              <w:suppressAutoHyphens/>
              <w:jc w:val="left"/>
            </w:pPr>
            <w:r>
              <w:t xml:space="preserve">Dana Tunggu Hunian </w:t>
            </w:r>
            <w:r>
              <w:t xml:space="preserve">3 bulan</w:t>
            </w:r>
            <w:r>
              <w:t xml:space="preserve"> dan/atau keputusan Kepala BNPB</w:t>
            </w:r>
          </w:p>
        </w:tc>
      </w:tr>
      <w:tr>
        <w:trPr>
          <w:cantSplit/>
        </w:trPr>
        <w:tc>
          <w:tcPr>
            <w:tcW w:w="1725" w:type="dxa"/>
          </w:tcPr>
          <w:p>
            <w:pPr>
              <w:pStyle w:val="IsiTabel"/>
              <w:keepNext/>
              <w:suppressAutoHyphens/>
              <w:jc w:val="left"/>
            </w:pPr>
            <w:r>
              <w:t xml:space="preserve">Jitupasna dan R3P</w:t>
            </w:r>
          </w:p>
        </w:tc>
        <w:tc>
          <w:tcPr>
            <w:tcW w:w="1592" w:type="dxa"/>
          </w:tcPr>
          <w:p>
            <w:pPr>
              <w:pStyle w:val="IsiTabel"/>
              <w:keepNext/>
              <w:suppressAutoHyphens/>
              <w:jc w:val="left"/>
            </w:pPr>
            <w:r>
              <w:t xml:space="preserve">dimulai saat tanggap darurat</w:t>
            </w:r>
          </w:p>
        </w:tc>
        <w:tc>
          <w:tcPr>
            <w:tcW w:w="1381" w:type="dxa"/>
          </w:tcPr>
          <w:p>
            <w:pPr>
              <w:pStyle w:val="IsiTabel"/>
              <w:keepNext/>
              <w:suppressAutoHyphens/>
              <w:jc w:val="left"/>
            </w:pPr>
            <w:r>
              <w:t xml:space="preserve">Kepala BNPB, gubernur, bupati/wali kota menurut skala</w:t>
            </w:r>
          </w:p>
        </w:tc>
        <w:tc>
          <w:tcPr>
            <w:tcW w:w="2173" w:type="dxa"/>
          </w:tcPr>
          <w:p>
            <w:pPr>
              <w:pStyle w:val="IsiTabel"/>
              <w:keepNext/>
              <w:suppressAutoHyphens/>
              <w:jc w:val="left"/>
            </w:pPr>
            <w:r>
              <w:t xml:space="preserve">dokumen R3P</w:t>
            </w:r>
          </w:p>
        </w:tc>
        <w:tc>
          <w:tcPr>
            <w:tcW w:w="2483" w:type="dxa"/>
          </w:tcPr>
          <w:p>
            <w:pPr>
              <w:pStyle w:val="IsiTabel"/>
              <w:keepNext/>
              <w:suppressAutoHyphens/>
              <w:jc w:val="left"/>
            </w:pPr>
            <w:r>
              <w:t xml:space="preserve">90 hari</w:t>
            </w:r>
            <w:r>
              <w:t xml:space="preserve">; R3P berlaku </w:t>
            </w:r>
            <w:r>
              <w:t xml:space="preserve">3 tahun</w:t>
            </w:r>
          </w:p>
        </w:tc>
      </w:tr>
      <w:tr>
        <w:trPr>
          <w:cantSplit/>
        </w:trPr>
        <w:tc>
          <w:tcPr>
            <w:tcW w:w="1725" w:type="dxa"/>
          </w:tcPr>
          <w:p>
            <w:pPr>
              <w:pStyle w:val="IsiTabel"/>
              <w:suppressAutoHyphens/>
              <w:jc w:val="left"/>
            </w:pPr>
            <w:bookmarkStart w:id="660" w:name="_Ekor077z"/>
            <w:bookmarkEnd w:id="660"/>
            <w:r>
              <w:t xml:space="preserve">Rehabilitasi, rekonstruksi, dan hibah</w:t>
            </w:r>
          </w:p>
        </w:tc>
        <w:tc>
          <w:tcPr>
            <w:tcW w:w="1592" w:type="dxa"/>
          </w:tcPr>
          <w:p>
            <w:pPr>
              <w:pStyle w:val="IsiTabel"/>
              <w:suppressAutoHyphens/>
              <w:jc w:val="left"/>
            </w:pPr>
            <w:r>
              <w:t xml:space="preserve">R3P ditetapkan; kebutuhan melebihi APBD</w:t>
            </w:r>
          </w:p>
        </w:tc>
        <w:tc>
          <w:tcPr>
            <w:tcW w:w="1381" w:type="dxa"/>
          </w:tcPr>
          <w:p>
            <w:pPr>
              <w:pStyle w:val="IsiTabel"/>
              <w:suppressAutoHyphens/>
              <w:jc w:val="left"/>
            </w:pPr>
            <w:r>
              <w:t xml:space="preserve">kepala daerah mengusulkan; Kepala BNPB</w:t>
            </w:r>
          </w:p>
        </w:tc>
        <w:tc>
          <w:tcPr>
            <w:tcW w:w="2173" w:type="dxa"/>
          </w:tcPr>
          <w:p>
            <w:pPr>
              <w:pStyle w:val="IsiTabel"/>
              <w:suppressAutoHyphens/>
              <w:jc w:val="left"/>
            </w:pPr>
            <w:r>
              <w:t xml:space="preserve">hibah rehabilitasi dan rekonstruksi; stimulan rumah DSP</w:t>
            </w:r>
          </w:p>
        </w:tc>
        <w:tc>
          <w:tcPr>
            <w:tcW w:w="2483" w:type="dxa"/>
          </w:tcPr>
          <w:p>
            <w:pPr>
              <w:pStyle w:val="IsiTabel"/>
              <w:suppressAutoHyphens/>
              <w:jc w:val="left"/>
            </w:pPr>
            <w:r>
              <w:t xml:space="preserve">laporan tiap </w:t>
            </w:r>
            <w:r>
              <w:t xml:space="preserve">3 bulan</w:t>
            </w:r>
          </w:p>
        </w:tc>
      </w:tr>
    </w:tbl>
    <w:p>
      <w:pPr>
        <w:pStyle w:val="Sumber"/>
        <w:spacing w:after="40"/>
      </w:pPr>
      <w:r>
        <w:rPr>
          <w:b/>
          <w:bCs/>
          <w:color w:val="6B7280"/>
          <w:sz w:val="17"/>
          <w:szCs w:val="17"/>
        </w:rPr>
        <w:t xml:space="preserve">Sumber: </w:t>
      </w:r>
      <w:r>
        <w:rPr>
          <w:color w:val="6B7280"/>
          <w:sz w:val="17"/>
          <w:szCs w:val="17"/>
        </w:rPr>
        <w:t xml:space="preserve">UU 24/2007; Perpres 17/2018 jo. Perpres 46/2026; Perka BNPB 3/2016 dan 15/2011; Perban BNPB 2/2024, 4/2020, 5/2017, dan 4/2024; Juklak BNPB 3/2022, 4/2023, dan 1/2023</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Urutan tahap adalah susunan penyusun dari teks peraturan; – tenggat tidak tertulis di teks yang dibuka.</w:t>
      </w:r>
    </w:p>
    <w:p>
      <w:pPr>
        <w:pStyle w:val="IsiTemuan"/>
      </w:pPr>
      <w:r>
        <w:rPr>
          <w:b/>
          <w:bCs/>
          <w:color w:val="051C2C"/>
        </w:rPr>
        <w:t xml:space="preserve">Pemicu khusus per jenis bencana bertumpu pada mandat kementerian dan lembaga teknis, dan norma pemicu evakuasi berbasis prakiraan hanya tertulis untuk gunung api.</w:t>
      </w:r>
      <w:r>
        <w:t xml:space="preserve"> Permen ESDM 15/2011 memuat </w:t>
      </w:r>
      <w:r>
        <w:t xml:space="preserve">4 tingkat</w:t>
      </w:r>
      <w:r>
        <w:t xml:space="preserve"> aktivitas gunung api, dan pada tingkat Awas masyarakat di kawasan rawan bencana segera mengungsi berdasarkan perintah pemerintah daerah sesuai rekomendasi teknis Kementerian Energi dan Sumber Daya Mineral (ESDM) </w:t>
      </w:r>
      <w:r>
        <w:t xml:space="preserve">(Kementerian ESDM, 2011)</w:t>
      </w:r>
      <w:r>
        <w:t xml:space="preserve">. Peringatan dini tsunami dan gelombang laut berbahaya diselenggarakan Badan Meteorologi, Klimatologi, dan Geofisika (BMKG) menurut UU 31/2009. Inpres 3/2020 menjadikan gubernur dan bupati/wali kota komandan satuan tugas karhutla, sedangkan BNPB menjalankan komando pengerahan sumber daya nasional </w:t>
      </w:r>
      <w:r>
        <w:t xml:space="preserve">(Republik Indonesia, 2020a)</w:t>
      </w:r>
      <w:r>
        <w:t xml:space="preserve">. Status "kejadian luar biasa" (KLB) ditetapkan dan dicabut kepala daerah atau Menteri Kesehatan, sedangkan daerah terjangkit wabah ditetapkan Menteri (UU 17/2023 Pasal 353 dan Pasal 368) </w:t>
      </w:r>
      <w:r>
        <w:t xml:space="preserve">(Republik Indonesia, 2023b)</w:t>
      </w:r>
      <w:r>
        <w:t xml:space="preserve">. Status keadaan konflik ditetapkan kepala daerah setelah konsultasi dengan pimpinan dewan perwakilan rakyat daerah atau oleh Presiden, dengan pendanaan penghentian konflik dari DSP dan/atau belanja tidak terduga (UU 7/2012 Pasal 14–18 dan Pasal 55) </w:t>
      </w:r>
      <w:r>
        <w:t xml:space="preserve">(Republik Indonesia, 2012)</w:t>
      </w:r>
      <w:r>
        <w:t xml:space="preserve">. Norma yang mengaitkan status KLB atau status konflik dengan status darurat bencana tidak ditemukan, sehingga keduanya digambar sebagai jalur paralel di </w:t>
      </w:r>
      <w:r>
        <w:fldChar w:fldCharType="begin"/>
      </w:r>
      <w:r>
        <w:instrText xml:space="preserve"> REF _Ref0035 \h \* CHARFORMAT </w:instrText>
      </w:r>
      <w:r>
        <w:fldChar w:fldCharType="separate"/>
      </w:r>
      <w:r>
        <w:t xml:space="preserve">Gambar 11.3</w:t>
      </w:r>
      <w:r>
        <w:fldChar w:fldCharType="end"/>
      </w:r>
      <w:r>
        <w:t xml:space="preserve">.</w:t>
      </w:r>
    </w:p>
    <w:p>
      <w:pPr>
        <w:pStyle w:val="IsiTemuan"/>
      </w:pPr>
      <w:r>
        <w:rPr>
          <w:b/>
          <w:bCs/>
          <w:color w:val="051C2C"/>
        </w:rPr>
        <w:t xml:space="preserve">Kejadian Sumatra November 2025 melintasi tiga direktorat: Aceh di Wilayah I, Sumatera Utara di Wilayah II, dan Sumatera Barat di Wilayah III, menurut pembagian Perban BNPB 11/2025 </w:t>
      </w:r>
      <w:r>
        <w:rPr>
          <w:b/>
          <w:bCs/>
          <w:color w:val="051C2C"/>
        </w:rPr>
        <w:t xml:space="preserve">(BNPB, 2025d)</w:t>
      </w:r>
      <w:r>
        <w:rPr>
          <w:b/>
          <w:bCs/>
          <w:color w:val="051C2C"/>
        </w:rPr>
        <w:t xml:space="preserve">.</w:t>
      </w:r>
      <w:r>
        <w:t xml:space="preserve"> Perka BNPB 3/2016 sudah mengatur kejadian lintas provinsi. Organisasi dan Tata Kerja (OTK) BNPB tidak menulis direktorat mana yang memimpin pendampingan bila satu kejadian melintasi dua atau tiga wilayah. Evaluasi SKPDB untuk kejadian itu tidak terbuka, sehingga yang dapat dinyatakan hanya celah aturan, bukan kegagalan komando. Renas PB sendiri mencatat belum ada peraturan pembentukan dan operasional TRC PB multisektor serta kurang optimalnya koordinasi multisektor dalam penerapan SKPDB </w:t>
      </w:r>
      <w:r>
        <w:t xml:space="preserve">(BNPB, 2025c, hlm. 26–27)</w:t>
      </w:r>
      <w:r>
        <w:t xml:space="preserve">. R3P Aceh menunjukkan tenggat di ujung rantai dapat dipenuhi: dokumen itu selesai disusun </w:t>
      </w:r>
      <w:r>
        <w:t xml:space="preserve">35 hari</w:t>
      </w:r>
      <w:r>
        <w:t xml:space="preserve"> dan disampaikan ke BNPB </w:t>
      </w:r>
      <w:r>
        <w:t xml:space="preserve">41 hari</w:t>
      </w:r>
      <w:r>
        <w:t xml:space="preserve"> setelah kejadian </w:t>
      </w:r>
      <w:r>
        <w:t xml:space="preserve">(Kemenko PMK, 2026)</w:t>
      </w:r>
      <w:r>
        <w:t xml:space="preserve">. Tenggat yang paling perlu ditambah berada di tengah rantai, yaitu dari laporan awal ke penetapan status dan rencana operasi.</w:t>
      </w:r>
    </w:p>
    <w:p>
      <w:pPr>
        <w:pStyle w:val="Heading2"/>
      </w:pPr>
      <w:bookmarkStart w:id="662" w:name="_Toc00213"/>
      <w:bookmarkStart w:id="661" w:name="_Ref0130"/>
      <w:r>
        <w:t xml:space="preserve">11.4</w:t>
      </w:r>
      <w:bookmarkEnd w:id="661"/>
      <w:r>
        <w:tab/>
      </w:r>
      <w:r>
        <w:t xml:space="preserve">Matriks Strategi Fase × Jenis Bencana</w:t>
      </w:r>
      <w:bookmarkEnd w:id="662"/>
    </w:p>
    <w:p>
      <w:pPr>
        <w:pStyle w:val="IsiTemuan"/>
      </w:pPr>
      <w:r>
        <w:rPr>
          <w:b/>
          <w:bCs/>
          <w:color w:val="051C2C"/>
        </w:rPr>
        <w:t xml:space="preserve">Dari </w:t>
      </w:r>
      <w:r>
        <w:rPr>
          <w:b/>
          <w:bCs/>
          <w:color w:val="051C2C"/>
        </w:rPr>
        <w:t xml:space="preserve">39</w:t>
      </w:r>
      <w:r>
        <w:rPr>
          <w:b/>
          <w:bCs/>
          <w:color w:val="051C2C"/>
        </w:rPr>
        <w:t xml:space="preserve"> sel matriks tiga fase dan tiga belas jenis bencana, </w:t>
      </w:r>
      <w:r>
        <w:rPr>
          <w:b/>
          <w:bCs/>
          <w:color w:val="051C2C"/>
        </w:rPr>
        <w:t xml:space="preserve">28</w:t>
      </w:r>
      <w:r>
        <w:rPr>
          <w:b/>
          <w:bCs/>
          <w:color w:val="051C2C"/>
        </w:rPr>
        <w:t xml:space="preserve"> hanya dapat diisi aksi yang diwajibkan peraturan, dan </w:t>
      </w:r>
      <w:r>
        <w:rPr>
          <w:b/>
          <w:bCs/>
          <w:color w:val="051C2C"/>
        </w:rPr>
        <w:t xml:space="preserve">8</w:t>
      </w:r>
      <w:r>
        <w:rPr>
          <w:b/>
          <w:bCs/>
          <w:color w:val="051C2C"/>
        </w:rPr>
        <w:t xml:space="preserve"> berisi program berjalan yang wajib dievaluasi dampaknya.</w:t>
      </w:r>
      <w:r>
        <w:t xml:space="preserve"> Dua sel lagi berupa rujukan tata kelola dan </w:t>
      </w:r>
      <w:r>
        <w:t xml:space="preserve">1</w:t>
      </w:r>
      <w:r>
        <w:t xml:space="preserve"> sel, kekeringan prabencana, bertumpu pada PAMSIMAS sebagai program dengan syarat </w:t>
      </w:r>
      <w:r>
        <w:t xml:space="preserve">(Pantau Bencana, 2026d)</w:t>
      </w:r>
      <w:r>
        <w:t xml:space="preserve">. Tidak ada sel dengan program dalam negeri berbukti kuat. Sel aksi wajib terbanyak berada di tanggap darurat (</w:t>
      </w:r>
      <w:r>
        <w:t xml:space="preserve">11</w:t>
      </w:r>
      <w:r>
        <w:t xml:space="preserve">) dan pascabencana (</w:t>
      </w:r>
      <w:r>
        <w:t xml:space="preserve">11</w:t>
      </w:r>
      <w:r>
        <w:t xml:space="preserve">), sedangkan prabencana </w:t>
      </w:r>
      <w:r>
        <w:t xml:space="preserve">6</w:t>
      </w:r>
      <w:r>
        <w:t xml:space="preserve">. Sel yang kosong bukti bukan berarti operasinya tidak berjalan; dampaknya belum pernah diukur dengan cara yang dapat dikutip.</w:t>
      </w:r>
    </w:p>
    <w:p>
      <w:pPr>
        <w:pStyle w:val="Isi"/>
      </w:pPr>
      <w:r>
        <w:t xml:space="preserve">Dari sel aksi wajib, </w:t>
      </w:r>
      <w:r>
        <w:t xml:space="preserve">8</w:t>
      </w:r>
      <w:r>
        <w:t xml:space="preserve"> punya padanan luar negeri berbukti kuat atau sedang, misalnya paket Bangladesh untuk cuaca ekstrem dan gelombang serta evakuasi siklon Odisha untuk banjir tanggap darurat. Program luar negeri itu ditulis sebagai padanan beserta program Indonesia yang setara dan statusnya. Pemetaan sel adalah pilihan penyusun dengan aturan yang sama dengan Bab 10: rob dipetakan ke banjir dan likuefaksi ke gempa, lalu tiap sel diberi posisi dalam negeri tertinggi. Bila rob dan likuefaksi dipisah menjadi lima belas jenis, sel aksi wajib menjadi </w:t>
      </w:r>
      <w:r>
        <w:t xml:space="preserve">33</w:t>
      </w:r>
      <w:r>
        <w:t xml:space="preserve">. Kolom pemicu di </w:t>
      </w:r>
      <w:r>
        <w:fldChar w:fldCharType="begin"/>
      </w:r>
      <w:r>
        <w:instrText xml:space="preserve"> REF _Ref0259 \h \* CHARFORMAT </w:instrText>
      </w:r>
      <w:r>
        <w:fldChar w:fldCharType="separate"/>
      </w:r>
      <w:r>
        <w:t xml:space="preserve">Tabel 11.4</w:t>
      </w:r>
      <w:r>
        <w:fldChar w:fldCharType="end"/>
      </w:r>
      <w:r>
        <w:t xml:space="preserve"> menyebut instrumen yang terbuka pada pemicu itu.</w:t>
      </w:r>
    </w:p>
    <w:p>
      <w:pPr>
        <w:pStyle w:val="Caption"/>
      </w:pPr>
      <w:bookmarkStart w:id="664" w:name="_Toc00214"/>
      <w:bookmarkStart w:id="663" w:name="_Ref025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663"/>
      <w:r>
        <w:rPr>
          <w:b/>
          <w:bCs/>
          <w:color w:val="051C2C"/>
        </w:rPr>
        <w:t xml:space="preserve"> </w:t>
      </w:r>
      <w:r>
        <w:t xml:space="preserve">Aksi per fase dan jenis bencana beserta pemicu status dan kategori bukti dalam negeri, Indonesia 2026–2030</w:t>
      </w:r>
      <w:bookmarkEnd w:id="66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706"/>
        <w:gridCol w:w="1387"/>
        <w:gridCol w:w="1804"/>
        <w:gridCol w:w="1278"/>
        <w:gridCol w:w="2179"/>
      </w:tblGrid>
      <w:tr>
        <w:trPr>
          <w:cantSplit/>
          <w:tblHeader/>
        </w:trPr>
        <w:tc>
          <w:tcPr>
            <w:tcW w:w="2706" w:type="dxa"/>
            <w:shd w:val="clear" w:color="auto" w:fill="051C2C"/>
            <w:vAlign w:val="center"/>
          </w:tcPr>
          <w:p>
            <w:pPr>
              <w:pStyle w:val="KepalaTabel"/>
              <w:suppressAutoHyphens/>
            </w:pPr>
            <w:r>
              <w:t xml:space="preserve">JENIS</w:t>
            </w:r>
          </w:p>
        </w:tc>
        <w:tc>
          <w:tcPr>
            <w:tcW w:w="1387" w:type="dxa"/>
            <w:shd w:val="clear" w:color="auto" w:fill="051C2C"/>
            <w:vAlign w:val="center"/>
          </w:tcPr>
          <w:p>
            <w:pPr>
              <w:pStyle w:val="KepalaTabel"/>
              <w:suppressAutoHyphens/>
            </w:pPr>
            <w:r>
              <w:t xml:space="preserve">PEMICU STATUS DAN INSTRUMEN</w:t>
            </w:r>
          </w:p>
        </w:tc>
        <w:tc>
          <w:tcPr>
            <w:tcW w:w="1804" w:type="dxa"/>
            <w:shd w:val="clear" w:color="auto" w:fill="051C2C"/>
            <w:vAlign w:val="center"/>
          </w:tcPr>
          <w:p>
            <w:pPr>
              <w:pStyle w:val="KepalaTabel"/>
              <w:suppressAutoHyphens/>
            </w:pPr>
            <w:r>
              <w:t xml:space="preserve">PRABENCANA</w:t>
            </w:r>
          </w:p>
        </w:tc>
        <w:tc>
          <w:tcPr>
            <w:tcW w:w="1278" w:type="dxa"/>
            <w:shd w:val="clear" w:color="auto" w:fill="051C2C"/>
            <w:vAlign w:val="center"/>
          </w:tcPr>
          <w:p>
            <w:pPr>
              <w:pStyle w:val="KepalaTabel"/>
              <w:suppressAutoHyphens/>
            </w:pPr>
            <w:r>
              <w:t xml:space="preserve">TANGGAP DARURAT</w:t>
            </w:r>
          </w:p>
        </w:tc>
        <w:tc>
          <w:tcPr>
            <w:tcW w:w="2179" w:type="dxa"/>
            <w:shd w:val="clear" w:color="auto" w:fill="051C2C"/>
            <w:vAlign w:val="center"/>
          </w:tcPr>
          <w:p>
            <w:pPr>
              <w:pStyle w:val="KepalaTabel"/>
              <w:suppressAutoHyphens/>
            </w:pPr>
            <w:r>
              <w:t xml:space="preserve">PASCABENCANA</w:t>
            </w:r>
          </w:p>
        </w:tc>
      </w:tr>
      <w:tr>
        <w:trPr>
          <w:cantSplit/>
        </w:trPr>
        <w:tc>
          <w:tcPr>
            <w:tcW w:w="2706" w:type="dxa"/>
          </w:tcPr>
          <w:p>
            <w:pPr>
              <w:pStyle w:val="IsiTabel"/>
              <w:suppressAutoHyphens/>
              <w:jc w:val="left"/>
            </w:pPr>
            <w:r>
              <w:t xml:space="preserve">Gempa bumi</w:t>
            </w:r>
          </w:p>
        </w:tc>
        <w:tc>
          <w:tcPr>
            <w:tcW w:w="1387" w:type="dxa"/>
          </w:tcPr>
          <w:p>
            <w:pPr>
              <w:pStyle w:val="IsiTabel"/>
              <w:suppressAutoHyphens/>
              <w:jc w:val="left"/>
            </w:pPr>
            <w:r>
              <w:t xml:space="preserve">tanpa peringatan; status setelah kaji cepat; informasi gempa BMKG</w:t>
            </w:r>
          </w:p>
        </w:tc>
        <w:tc>
          <w:tcPr>
            <w:tcW w:w="1804" w:type="dxa"/>
          </w:tcPr>
          <w:p>
            <w:pPr>
              <w:pStyle w:val="IsiTabel"/>
              <w:suppressAutoHyphens/>
              <w:jc w:val="left"/>
            </w:pPr>
            <w:r>
              <w:t xml:space="preserve">PE: tata ruang dan bangunan, rencana kontinjensi, InaTEWS, SPAB, Destana (LN: Kamaishi, kode bangunan Chile)</w:t>
            </w:r>
          </w:p>
        </w:tc>
        <w:tc>
          <w:tcPr>
            <w:tcW w:w="1278" w:type="dxa"/>
          </w:tcPr>
          <w:p>
            <w:pPr>
              <w:pStyle w:val="IsiTabel"/>
              <w:suppressAutoHyphens/>
              <w:jc w:val="left"/>
            </w:pPr>
            <w:r>
              <w:t xml:space="preserve">PE: kaji cepat, SKPDB, evakuasi, kebutuhan dasar; InaTEWS</w:t>
            </w:r>
          </w:p>
        </w:tc>
        <w:tc>
          <w:tcPr>
            <w:tcW w:w="2179" w:type="dxa"/>
          </w:tcPr>
          <w:p>
            <w:pPr>
              <w:pStyle w:val="IsiTabel"/>
              <w:suppressAutoHyphens/>
              <w:jc w:val="left"/>
            </w:pPr>
            <w:r>
              <w:t xml:space="preserve">RT: Dana Tunggu Hunian, hunian sementara, R3P, hibah; Rekompak, BRR Aceh-Nias</w:t>
            </w:r>
          </w:p>
        </w:tc>
      </w:tr>
      <w:tr>
        <w:trPr>
          <w:cantSplit/>
        </w:trPr>
        <w:tc>
          <w:tcPr>
            <w:tcW w:w="2706" w:type="dxa"/>
          </w:tcPr>
          <w:p>
            <w:pPr>
              <w:pStyle w:val="IsiTabel"/>
              <w:suppressAutoHyphens/>
              <w:jc w:val="left"/>
            </w:pPr>
            <w:r>
              <w:t xml:space="preserve">Tsunami</w:t>
            </w:r>
          </w:p>
        </w:tc>
        <w:tc>
          <w:tcPr>
            <w:tcW w:w="1387" w:type="dxa"/>
          </w:tcPr>
          <w:p>
            <w:pPr>
              <w:pStyle w:val="IsiTabel"/>
              <w:suppressAutoHyphens/>
              <w:jc w:val="left"/>
            </w:pPr>
            <w:r>
              <w:t xml:space="preserve">peringatan dini tsunami BMKG; evakuasi mandiri saat guncangan kuat</w:t>
            </w:r>
          </w:p>
        </w:tc>
        <w:tc>
          <w:tcPr>
            <w:tcW w:w="1804" w:type="dxa"/>
          </w:tcPr>
          <w:p>
            <w:pPr>
              <w:pStyle w:val="IsiTabel"/>
              <w:suppressAutoHyphens/>
              <w:jc w:val="left"/>
            </w:pPr>
            <w:r>
              <w:t xml:space="preserve">PE: InaTEWS, Destana, SPAB (LN: Kamaishi)</w:t>
            </w:r>
          </w:p>
        </w:tc>
        <w:tc>
          <w:tcPr>
            <w:tcW w:w="1278" w:type="dxa"/>
          </w:tcPr>
          <w:p>
            <w:pPr>
              <w:pStyle w:val="IsiTabel"/>
              <w:suppressAutoHyphens/>
              <w:jc w:val="left"/>
            </w:pPr>
            <w:r>
              <w:t xml:space="preserve">PE: InaTEWS</w:t>
            </w:r>
          </w:p>
        </w:tc>
        <w:tc>
          <w:tcPr>
            <w:tcW w:w="2179" w:type="dxa"/>
          </w:tcPr>
          <w:p>
            <w:pPr>
              <w:pStyle w:val="IsiTabel"/>
              <w:suppressAutoHyphens/>
              <w:jc w:val="left"/>
            </w:pPr>
            <w:r>
              <w:t xml:space="preserve">RT: BRR Aceh-Nias</w:t>
            </w:r>
          </w:p>
        </w:tc>
      </w:tr>
      <w:tr>
        <w:trPr>
          <w:cantSplit/>
        </w:trPr>
        <w:tc>
          <w:tcPr>
            <w:tcW w:w="2706" w:type="dxa"/>
          </w:tcPr>
          <w:p>
            <w:pPr>
              <w:pStyle w:val="IsiTabel"/>
              <w:suppressAutoHyphens/>
              <w:jc w:val="left"/>
            </w:pPr>
            <w:r>
              <w:t xml:space="preserve">Letusan gunung api</w:t>
            </w:r>
          </w:p>
        </w:tc>
        <w:tc>
          <w:tcPr>
            <w:tcW w:w="1387" w:type="dxa"/>
          </w:tcPr>
          <w:p>
            <w:pPr>
              <w:pStyle w:val="IsiTabel"/>
              <w:suppressAutoHyphens/>
              <w:jc w:val="left"/>
            </w:pPr>
            <w:r>
              <w:t xml:space="preserve">tingkat aktivitas ESDM; Awas: mengungsi atas perintah pemda</w:t>
            </w:r>
          </w:p>
        </w:tc>
        <w:tc>
          <w:tcPr>
            <w:tcW w:w="1804" w:type="dxa"/>
          </w:tcPr>
          <w:p>
            <w:pPr>
              <w:pStyle w:val="IsiTabel"/>
              <w:suppressAutoHyphens/>
              <w:jc w:val="left"/>
            </w:pPr>
            <w:r>
              <w:t xml:space="preserve">PE: Destana, SPAB</w:t>
            </w:r>
          </w:p>
        </w:tc>
        <w:tc>
          <w:tcPr>
            <w:tcW w:w="1278" w:type="dxa"/>
          </w:tcPr>
          <w:p>
            <w:pPr>
              <w:pStyle w:val="IsiTabel"/>
              <w:suppressAutoHyphens/>
              <w:jc w:val="left"/>
            </w:pPr>
            <w:r>
              <w:t xml:space="preserve">AW: evakuasi kawasan rawan menurut tingkat aktivitas</w:t>
            </w:r>
          </w:p>
        </w:tc>
        <w:tc>
          <w:tcPr>
            <w:tcW w:w="2179" w:type="dxa"/>
          </w:tcPr>
          <w:p>
            <w:pPr>
              <w:pStyle w:val="IsiTabel"/>
              <w:suppressAutoHyphens/>
              <w:jc w:val="left"/>
            </w:pPr>
            <w:r>
              <w:t xml:space="preserve">AW: rehabilitasi dan rekonstruksi</w:t>
            </w:r>
          </w:p>
        </w:tc>
      </w:tr>
      <w:tr>
        <w:trPr>
          <w:cantSplit/>
        </w:trPr>
        <w:tc>
          <w:tcPr>
            <w:tcW w:w="2706" w:type="dxa"/>
          </w:tcPr>
          <w:p>
            <w:pPr>
              <w:pStyle w:val="IsiTabel"/>
              <w:suppressAutoHyphens/>
              <w:jc w:val="left"/>
            </w:pPr>
            <w:r>
              <w:t xml:space="preserve">Banjir dan banjir bandang, termasuk rob</w:t>
            </w:r>
          </w:p>
        </w:tc>
        <w:tc>
          <w:tcPr>
            <w:tcW w:w="1387" w:type="dxa"/>
          </w:tcPr>
          <w:p>
            <w:pPr>
              <w:pStyle w:val="IsiTabel"/>
              <w:suppressAutoHyphens/>
              <w:jc w:val="left"/>
            </w:pPr>
            <w:r>
              <w:t xml:space="preserve">prakiraan dan peringatan BMKG; rencana tindak darurat bendungan; siaga darurat</w:t>
            </w:r>
          </w:p>
        </w:tc>
        <w:tc>
          <w:tcPr>
            <w:tcW w:w="1804" w:type="dxa"/>
          </w:tcPr>
          <w:p>
            <w:pPr>
              <w:pStyle w:val="IsiTabel"/>
              <w:suppressAutoHyphens/>
              <w:jc w:val="left"/>
            </w:pPr>
            <w:r>
              <w:t xml:space="preserve">PE: Sekolah Lapang Iklim, sumur resapan, Citarum Harum, sodetan Ciliwung, polder, Destana, SPAB (LN: pengendalian air tanah)</w:t>
            </w:r>
          </w:p>
        </w:tc>
        <w:tc>
          <w:tcPr>
            <w:tcW w:w="1278" w:type="dxa"/>
          </w:tcPr>
          <w:p>
            <w:pPr>
              <w:pStyle w:val="IsiTabel"/>
              <w:suppressAutoHyphens/>
              <w:jc w:val="left"/>
            </w:pPr>
            <w:r>
              <w:t xml:space="preserve">AW (LN: Odisha; padanan rencana kontinjensi dan RPKB)</w:t>
            </w:r>
          </w:p>
        </w:tc>
        <w:tc>
          <w:tcPr>
            <w:tcW w:w="2179" w:type="dxa"/>
          </w:tcPr>
          <w:p>
            <w:pPr>
              <w:pStyle w:val="IsiTabel"/>
              <w:suppressAutoHyphens/>
              <w:jc w:val="left"/>
            </w:pPr>
            <w:r>
              <w:t xml:space="preserve">AW (LN: asuransi risiko; padanan Dana Bersama dan Asuransi BMN)</w:t>
            </w:r>
          </w:p>
        </w:tc>
      </w:tr>
      <w:tr>
        <w:trPr>
          <w:cantSplit/>
        </w:trPr>
        <w:tc>
          <w:tcPr>
            <w:tcW w:w="2706" w:type="dxa"/>
          </w:tcPr>
          <w:p>
            <w:pPr>
              <w:pStyle w:val="IsiTabel"/>
              <w:suppressAutoHyphens/>
              <w:jc w:val="left"/>
            </w:pPr>
            <w:r>
              <w:t xml:space="preserve">Tanah longsor</w:t>
            </w:r>
          </w:p>
        </w:tc>
        <w:tc>
          <w:tcPr>
            <w:tcW w:w="1387" w:type="dxa"/>
          </w:tcPr>
          <w:p>
            <w:pPr>
              <w:pStyle w:val="IsiTabel"/>
              <w:suppressAutoHyphens/>
              <w:jc w:val="left"/>
            </w:pPr>
            <w:r>
              <w:t xml:space="preserve">peringatan dini pergerakan tanah (Perban BNPB 2/2024 Pasal 7)</w:t>
            </w:r>
          </w:p>
        </w:tc>
        <w:tc>
          <w:tcPr>
            <w:tcW w:w="1804" w:type="dxa"/>
          </w:tcPr>
          <w:p>
            <w:pPr>
              <w:pStyle w:val="IsiTabel"/>
              <w:suppressAutoHyphens/>
              <w:jc w:val="left"/>
            </w:pPr>
            <w:r>
              <w:t xml:space="preserve">PE: Destana</w:t>
            </w:r>
          </w:p>
        </w:tc>
        <w:tc>
          <w:tcPr>
            <w:tcW w:w="1278" w:type="dxa"/>
          </w:tcPr>
          <w:p>
            <w:pPr>
              <w:pStyle w:val="IsiTabel"/>
              <w:suppressAutoHyphens/>
              <w:jc w:val="left"/>
            </w:pPr>
            <w:r>
              <w:t xml:space="preserve">AW</w:t>
            </w:r>
          </w:p>
        </w:tc>
        <w:tc>
          <w:tcPr>
            <w:tcW w:w="2179" w:type="dxa"/>
          </w:tcPr>
          <w:p>
            <w:pPr>
              <w:pStyle w:val="IsiTabel"/>
              <w:suppressAutoHyphens/>
              <w:jc w:val="left"/>
            </w:pPr>
            <w:r>
              <w:t xml:space="preserve">AW</w:t>
            </w:r>
          </w:p>
        </w:tc>
      </w:tr>
      <w:tr>
        <w:trPr>
          <w:cantSplit/>
        </w:trPr>
        <w:tc>
          <w:tcPr>
            <w:tcW w:w="2706" w:type="dxa"/>
          </w:tcPr>
          <w:p>
            <w:pPr>
              <w:pStyle w:val="IsiTabel"/>
              <w:suppressAutoHyphens/>
              <w:jc w:val="left"/>
            </w:pPr>
            <w:r>
              <w:t xml:space="preserve">Cuaca ekstrem</w:t>
            </w:r>
          </w:p>
        </w:tc>
        <w:tc>
          <w:tcPr>
            <w:tcW w:w="1387" w:type="dxa"/>
          </w:tcPr>
          <w:p>
            <w:pPr>
              <w:pStyle w:val="IsiTabel"/>
              <w:suppressAutoHyphens/>
              <w:jc w:val="left"/>
            </w:pPr>
            <w:r>
              <w:t xml:space="preserve">peringatan dini cuaca BMKG</w:t>
            </w:r>
          </w:p>
        </w:tc>
        <w:tc>
          <w:tcPr>
            <w:tcW w:w="1804" w:type="dxa"/>
          </w:tcPr>
          <w:p>
            <w:pPr>
              <w:pStyle w:val="IsiTabel"/>
              <w:suppressAutoHyphens/>
              <w:jc w:val="left"/>
            </w:pPr>
            <w:r>
              <w:t xml:space="preserve">AW (LN: paket Bangladesh; padanan relawan, Destana, peringatan dini)</w:t>
            </w:r>
          </w:p>
        </w:tc>
        <w:tc>
          <w:tcPr>
            <w:tcW w:w="1278" w:type="dxa"/>
          </w:tcPr>
          <w:p>
            <w:pPr>
              <w:pStyle w:val="IsiTabel"/>
              <w:suppressAutoHyphens/>
              <w:jc w:val="left"/>
            </w:pPr>
            <w:r>
              <w:t xml:space="preserve">AW (LN: paket Bangladesh)</w:t>
            </w:r>
          </w:p>
        </w:tc>
        <w:tc>
          <w:tcPr>
            <w:tcW w:w="2179" w:type="dxa"/>
          </w:tcPr>
          <w:p>
            <w:pPr>
              <w:pStyle w:val="IsiTabel"/>
              <w:suppressAutoHyphens/>
              <w:jc w:val="left"/>
            </w:pPr>
            <w:r>
              <w:t xml:space="preserve">AW (LN: asuransi risiko)</w:t>
            </w:r>
          </w:p>
        </w:tc>
      </w:tr>
      <w:tr>
        <w:trPr>
          <w:cantSplit/>
        </w:trPr>
        <w:tc>
          <w:tcPr>
            <w:tcW w:w="2706" w:type="dxa"/>
          </w:tcPr>
          <w:p>
            <w:pPr>
              <w:pStyle w:val="IsiTabel"/>
              <w:suppressAutoHyphens/>
              <w:jc w:val="left"/>
            </w:pPr>
            <w:r>
              <w:t xml:space="preserve">Gelombang ekstrem dan abrasi</w:t>
            </w:r>
          </w:p>
        </w:tc>
        <w:tc>
          <w:tcPr>
            <w:tcW w:w="1387" w:type="dxa"/>
          </w:tcPr>
          <w:p>
            <w:pPr>
              <w:pStyle w:val="IsiTabel"/>
              <w:suppressAutoHyphens/>
              <w:jc w:val="left"/>
            </w:pPr>
            <w:r>
              <w:t xml:space="preserve">peringatan gelombang BMKG</w:t>
            </w:r>
          </w:p>
        </w:tc>
        <w:tc>
          <w:tcPr>
            <w:tcW w:w="1804" w:type="dxa"/>
          </w:tcPr>
          <w:p>
            <w:pPr>
              <w:pStyle w:val="IsiTabel"/>
              <w:suppressAutoHyphens/>
              <w:jc w:val="left"/>
            </w:pPr>
            <w:r>
              <w:t xml:space="preserve">AW (LN: paket Bangladesh)</w:t>
            </w:r>
          </w:p>
        </w:tc>
        <w:tc>
          <w:tcPr>
            <w:tcW w:w="1278" w:type="dxa"/>
          </w:tcPr>
          <w:p>
            <w:pPr>
              <w:pStyle w:val="IsiTabel"/>
              <w:suppressAutoHyphens/>
              <w:jc w:val="left"/>
            </w:pPr>
            <w:r>
              <w:t xml:space="preserve">AW (LN: paket Bangladesh)</w:t>
            </w:r>
          </w:p>
        </w:tc>
        <w:tc>
          <w:tcPr>
            <w:tcW w:w="2179" w:type="dxa"/>
          </w:tcPr>
          <w:p>
            <w:pPr>
              <w:pStyle w:val="IsiTabel"/>
              <w:suppressAutoHyphens/>
              <w:jc w:val="left"/>
            </w:pPr>
            <w:r>
              <w:t xml:space="preserve">AW</w:t>
            </w:r>
          </w:p>
        </w:tc>
      </w:tr>
      <w:tr>
        <w:trPr>
          <w:cantSplit/>
        </w:trPr>
        <w:tc>
          <w:tcPr>
            <w:tcW w:w="2706" w:type="dxa"/>
          </w:tcPr>
          <w:p>
            <w:pPr>
              <w:pStyle w:val="IsiTabel"/>
              <w:suppressAutoHyphens/>
              <w:jc w:val="left"/>
            </w:pPr>
            <w:r>
              <w:t xml:space="preserve">Kekeringan</w:t>
            </w:r>
          </w:p>
        </w:tc>
        <w:tc>
          <w:tcPr>
            <w:tcW w:w="1387" w:type="dxa"/>
          </w:tcPr>
          <w:p>
            <w:pPr>
              <w:pStyle w:val="IsiTabel"/>
              <w:suppressAutoHyphens/>
              <w:jc w:val="left"/>
            </w:pPr>
            <w:r>
              <w:t xml:space="preserve">prakiraan musim kemarau, PDKM BMKG, siaga darurat</w:t>
            </w:r>
          </w:p>
        </w:tc>
        <w:tc>
          <w:tcPr>
            <w:tcW w:w="1804" w:type="dxa"/>
          </w:tcPr>
          <w:p>
            <w:pPr>
              <w:pStyle w:val="IsiTabel"/>
              <w:suppressAutoHyphens/>
              <w:jc w:val="left"/>
            </w:pPr>
            <w:r>
              <w:t xml:space="preserve">PS: PAMSIMAS; PE: Sekolah Lapang Iklim, embung</w:t>
            </w:r>
          </w:p>
        </w:tc>
        <w:tc>
          <w:tcPr>
            <w:tcW w:w="1278" w:type="dxa"/>
          </w:tcPr>
          <w:p>
            <w:pPr>
              <w:pStyle w:val="IsiTabel"/>
              <w:suppressAutoHyphens/>
              <w:jc w:val="left"/>
            </w:pPr>
            <w:r>
              <w:t xml:space="preserve">AW: air bersih menurut Perka BNPB 7/2008</w:t>
            </w:r>
          </w:p>
        </w:tc>
        <w:tc>
          <w:tcPr>
            <w:tcW w:w="2179" w:type="dxa"/>
          </w:tcPr>
          <w:p>
            <w:pPr>
              <w:pStyle w:val="IsiTabel"/>
              <w:suppressAutoHyphens/>
              <w:jc w:val="left"/>
            </w:pPr>
            <w:r>
              <w:t xml:space="preserve">AW (LN: asuransi risiko)</w:t>
            </w:r>
          </w:p>
        </w:tc>
      </w:tr>
      <w:tr>
        <w:trPr>
          <w:cantSplit/>
        </w:trPr>
        <w:tc>
          <w:tcPr>
            <w:tcW w:w="2706" w:type="dxa"/>
          </w:tcPr>
          <w:p>
            <w:pPr>
              <w:pStyle w:val="IsiTabel"/>
              <w:suppressAutoHyphens/>
              <w:jc w:val="left"/>
            </w:pPr>
            <w:r>
              <w:t xml:space="preserve">Karhutla</w:t>
            </w:r>
          </w:p>
        </w:tc>
        <w:tc>
          <w:tcPr>
            <w:tcW w:w="1387" w:type="dxa"/>
          </w:tcPr>
          <w:p>
            <w:pPr>
              <w:pStyle w:val="IsiTabel"/>
              <w:suppressAutoHyphens/>
              <w:jc w:val="left"/>
            </w:pPr>
            <w:r>
              <w:t xml:space="preserve">siaga darurat; satuan tugas Inpres 3/2020</w:t>
            </w:r>
          </w:p>
        </w:tc>
        <w:tc>
          <w:tcPr>
            <w:tcW w:w="1804" w:type="dxa"/>
          </w:tcPr>
          <w:p>
            <w:pPr>
              <w:pStyle w:val="IsiTabel"/>
              <w:suppressAutoHyphens/>
              <w:jc w:val="left"/>
            </w:pPr>
            <w:r>
              <w:t xml:space="preserve">PE: sekat kanal, Destana; Masyarakat Peduli Api uji coba terukur</w:t>
            </w:r>
          </w:p>
        </w:tc>
        <w:tc>
          <w:tcPr>
            <w:tcW w:w="1278" w:type="dxa"/>
          </w:tcPr>
          <w:p>
            <w:pPr>
              <w:pStyle w:val="IsiTabel"/>
              <w:suppressAutoHyphens/>
              <w:jc w:val="left"/>
            </w:pPr>
            <w:r>
              <w:t xml:space="preserve">AW: pemadaman dan OMC (Renas PB 1.2.1.h)</w:t>
            </w:r>
          </w:p>
        </w:tc>
        <w:tc>
          <w:tcPr>
            <w:tcW w:w="2179" w:type="dxa"/>
          </w:tcPr>
          <w:p>
            <w:pPr>
              <w:pStyle w:val="IsiTabel"/>
              <w:suppressAutoHyphens/>
              <w:jc w:val="left"/>
            </w:pPr>
            <w:r>
              <w:t xml:space="preserve">AW</w:t>
            </w:r>
          </w:p>
        </w:tc>
      </w:tr>
      <w:tr>
        <w:trPr>
          <w:cantSplit/>
        </w:trPr>
        <w:tc>
          <w:tcPr>
            <w:tcW w:w="2706" w:type="dxa"/>
          </w:tcPr>
          <w:p>
            <w:pPr>
              <w:pStyle w:val="IsiTabel"/>
              <w:keepNext/>
              <w:suppressAutoHyphens/>
              <w:jc w:val="left"/>
            </w:pPr>
            <w:bookmarkStart w:id="665" w:name="_Ekor078a"/>
            <w:bookmarkEnd w:id="665"/>
            <w:r>
              <w:t xml:space="preserve">Epidemi dan pandemi</w:t>
            </w:r>
          </w:p>
        </w:tc>
        <w:tc>
          <w:tcPr>
            <w:tcW w:w="1387" w:type="dxa"/>
          </w:tcPr>
          <w:p>
            <w:pPr>
              <w:pStyle w:val="IsiTabel"/>
              <w:keepNext/>
              <w:suppressAutoHyphens/>
              <w:jc w:val="left"/>
            </w:pPr>
            <w:r>
              <w:t xml:space="preserve">KLB dan wabah (UU 17/2023); darurat bencana nonalam</w:t>
            </w:r>
          </w:p>
        </w:tc>
        <w:tc>
          <w:tcPr>
            <w:tcW w:w="1804" w:type="dxa"/>
          </w:tcPr>
          <w:p>
            <w:pPr>
              <w:pStyle w:val="IsiTabel"/>
              <w:keepNext/>
              <w:suppressAutoHyphens/>
              <w:jc w:val="left"/>
            </w:pPr>
            <w:r>
              <w:t xml:space="preserve">AW</w:t>
            </w:r>
          </w:p>
        </w:tc>
        <w:tc>
          <w:tcPr>
            <w:tcW w:w="1278" w:type="dxa"/>
          </w:tcPr>
          <w:p>
            <w:pPr>
              <w:pStyle w:val="IsiTabel"/>
              <w:keepNext/>
              <w:suppressAutoHyphens/>
              <w:jc w:val="left"/>
            </w:pPr>
            <w:r>
              <w:t xml:space="preserve">AW</w:t>
            </w:r>
          </w:p>
        </w:tc>
        <w:tc>
          <w:tcPr>
            <w:tcW w:w="2179" w:type="dxa"/>
          </w:tcPr>
          <w:p>
            <w:pPr>
              <w:pStyle w:val="IsiTabel"/>
              <w:keepNext/>
              <w:suppressAutoHyphens/>
              <w:jc w:val="left"/>
            </w:pPr>
            <w:r>
              <w:t xml:space="preserve">AW</w:t>
            </w:r>
          </w:p>
        </w:tc>
      </w:tr>
      <w:tr>
        <w:trPr>
          <w:cantSplit/>
        </w:trPr>
        <w:tc>
          <w:tcPr>
            <w:tcW w:w="2706" w:type="dxa"/>
          </w:tcPr>
          <w:p>
            <w:pPr>
              <w:pStyle w:val="IsiTabel"/>
              <w:keepNext/>
              <w:suppressAutoHyphens/>
              <w:jc w:val="left"/>
            </w:pPr>
            <w:r>
              <w:t xml:space="preserve">Kebakaran industri</w:t>
            </w:r>
          </w:p>
        </w:tc>
        <w:tc>
          <w:tcPr>
            <w:tcW w:w="1387" w:type="dxa"/>
          </w:tcPr>
          <w:p>
            <w:pPr>
              <w:pStyle w:val="IsiTabel"/>
              <w:keepNext/>
              <w:suppressAutoHyphens/>
              <w:jc w:val="left"/>
            </w:pPr>
            <w:r>
              <w:t xml:space="preserve">rezim keselamatan sektoral; status bila ditetapkan</w:t>
            </w:r>
          </w:p>
        </w:tc>
        <w:tc>
          <w:tcPr>
            <w:tcW w:w="1804" w:type="dxa"/>
          </w:tcPr>
          <w:p>
            <w:pPr>
              <w:pStyle w:val="IsiTabel"/>
              <w:keepNext/>
              <w:suppressAutoHyphens/>
              <w:jc w:val="left"/>
            </w:pPr>
            <w:r>
              <w:t xml:space="preserve">AW</w:t>
            </w:r>
          </w:p>
        </w:tc>
        <w:tc>
          <w:tcPr>
            <w:tcW w:w="1278" w:type="dxa"/>
          </w:tcPr>
          <w:p>
            <w:pPr>
              <w:pStyle w:val="IsiTabel"/>
              <w:keepNext/>
              <w:suppressAutoHyphens/>
              <w:jc w:val="left"/>
            </w:pPr>
            <w:r>
              <w:t xml:space="preserve">AW</w:t>
            </w:r>
          </w:p>
        </w:tc>
        <w:tc>
          <w:tcPr>
            <w:tcW w:w="2179" w:type="dxa"/>
          </w:tcPr>
          <w:p>
            <w:pPr>
              <w:pStyle w:val="IsiTabel"/>
              <w:keepNext/>
              <w:suppressAutoHyphens/>
              <w:jc w:val="left"/>
            </w:pPr>
            <w:r>
              <w:t xml:space="preserve">AW</w:t>
            </w:r>
          </w:p>
        </w:tc>
      </w:tr>
      <w:tr>
        <w:trPr>
          <w:cantSplit/>
        </w:trPr>
        <w:tc>
          <w:tcPr>
            <w:tcW w:w="2706" w:type="dxa"/>
          </w:tcPr>
          <w:p>
            <w:pPr>
              <w:pStyle w:val="IsiTabel"/>
              <w:keepNext/>
              <w:suppressAutoHyphens/>
              <w:jc w:val="left"/>
            </w:pPr>
            <w:r>
              <w:t xml:space="preserve">Kebakaran TPA</w:t>
            </w:r>
          </w:p>
        </w:tc>
        <w:tc>
          <w:tcPr>
            <w:tcW w:w="1387" w:type="dxa"/>
          </w:tcPr>
          <w:p>
            <w:pPr>
              <w:pStyle w:val="IsiTabel"/>
              <w:keepNext/>
              <w:suppressAutoHyphens/>
              <w:jc w:val="left"/>
            </w:pPr>
            <w:r>
              <w:t xml:space="preserve">sistem tanggap darurat sampah kab/kota (UU 18/2008 Pasal 9)</w:t>
            </w:r>
          </w:p>
        </w:tc>
        <w:tc>
          <w:tcPr>
            <w:tcW w:w="1804" w:type="dxa"/>
          </w:tcPr>
          <w:p>
            <w:pPr>
              <w:pStyle w:val="IsiTabel"/>
              <w:keepNext/>
              <w:suppressAutoHyphens/>
              <w:jc w:val="left"/>
            </w:pPr>
            <w:r>
              <w:t xml:space="preserve">AW</w:t>
            </w:r>
          </w:p>
        </w:tc>
        <w:tc>
          <w:tcPr>
            <w:tcW w:w="1278" w:type="dxa"/>
          </w:tcPr>
          <w:p>
            <w:pPr>
              <w:pStyle w:val="IsiTabel"/>
              <w:keepNext/>
              <w:suppressAutoHyphens/>
              <w:jc w:val="left"/>
            </w:pPr>
            <w:r>
              <w:t xml:space="preserve">AW</w:t>
            </w:r>
          </w:p>
        </w:tc>
        <w:tc>
          <w:tcPr>
            <w:tcW w:w="2179" w:type="dxa"/>
          </w:tcPr>
          <w:p>
            <w:pPr>
              <w:pStyle w:val="IsiTabel"/>
              <w:keepNext/>
              <w:suppressAutoHyphens/>
              <w:jc w:val="left"/>
            </w:pPr>
            <w:r>
              <w:t xml:space="preserve">AW</w:t>
            </w:r>
          </w:p>
        </w:tc>
      </w:tr>
      <w:tr>
        <w:trPr>
          <w:cantSplit/>
        </w:trPr>
        <w:tc>
          <w:tcPr>
            <w:tcW w:w="2706" w:type="dxa"/>
          </w:tcPr>
          <w:p>
            <w:pPr>
              <w:pStyle w:val="IsiTabel"/>
              <w:suppressAutoHyphens/>
              <w:jc w:val="left"/>
            </w:pPr>
            <w:bookmarkStart w:id="666" w:name="_Ekor078z"/>
            <w:bookmarkEnd w:id="666"/>
            <w:r>
              <w:t xml:space="preserve">Kerusuhan dan konflik sosial</w:t>
            </w:r>
          </w:p>
        </w:tc>
        <w:tc>
          <w:tcPr>
            <w:tcW w:w="1387" w:type="dxa"/>
          </w:tcPr>
          <w:p>
            <w:pPr>
              <w:pStyle w:val="IsiTabel"/>
              <w:suppressAutoHyphens/>
              <w:jc w:val="left"/>
            </w:pPr>
            <w:r>
              <w:t xml:space="preserve">status keadaan konflik (UU 7/2012); keadaan tertentu rekonsiliasi (Perpres 46/2026)</w:t>
            </w:r>
          </w:p>
        </w:tc>
        <w:tc>
          <w:tcPr>
            <w:tcW w:w="1804" w:type="dxa"/>
          </w:tcPr>
          <w:p>
            <w:pPr>
              <w:pStyle w:val="IsiTabel"/>
              <w:suppressAutoHyphens/>
              <w:jc w:val="left"/>
            </w:pPr>
            <w:r>
              <w:t xml:space="preserve">AW</w:t>
            </w:r>
          </w:p>
        </w:tc>
        <w:tc>
          <w:tcPr>
            <w:tcW w:w="1278" w:type="dxa"/>
          </w:tcPr>
          <w:p>
            <w:pPr>
              <w:pStyle w:val="IsiTabel"/>
              <w:suppressAutoHyphens/>
              <w:jc w:val="left"/>
            </w:pPr>
            <w:r>
              <w:t xml:space="preserve">AW: DSP atau belanja tidak terduga (UU 7/2012 Pasal 55)</w:t>
            </w:r>
          </w:p>
        </w:tc>
        <w:tc>
          <w:tcPr>
            <w:tcW w:w="2179" w:type="dxa"/>
          </w:tcPr>
          <w:p>
            <w:pPr>
              <w:pStyle w:val="IsiTabel"/>
              <w:suppressAutoHyphens/>
              <w:jc w:val="left"/>
            </w:pPr>
            <w:r>
              <w:t xml:space="preserve">AW</w:t>
            </w:r>
          </w:p>
        </w:tc>
      </w:tr>
    </w:tbl>
    <w:p>
      <w:pPr>
        <w:pStyle w:val="Sumber"/>
        <w:spacing w:after="40"/>
      </w:pPr>
      <w:r>
        <w:rPr>
          <w:b/>
          <w:bCs/>
          <w:color w:val="6B7280"/>
          <w:sz w:val="17"/>
          <w:szCs w:val="17"/>
        </w:rPr>
        <w:t xml:space="preserve">Sumber: </w:t>
      </w:r>
      <w:r>
        <w:rPr>
          <w:color w:val="6B7280"/>
          <w:sz w:val="17"/>
          <w:szCs w:val="17"/>
        </w:rPr>
        <w:t xml:space="preserve">UU 24/2007 Pasal 35, 44–48, dan 57–59; UU 7/2012; UU 17/2023; UU 18/2008; Permen ESDM 15/2011; Inpres 3/2020; Perpres 46/2026; Perka BNPB 7/2008; kompendium program Pantau Bencana;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AW aksi wajib menurut peraturan; PE program berjalan, wajib evaluasi dampak; RT rujukan tata kelola; PS program dengan syarat; LN padanan luar negeri.</w:t>
      </w:r>
    </w:p>
    <w:p>
      <w:pPr>
        <w:pStyle w:val="Isi"/>
      </w:pPr>
      <w:r>
        <w:t xml:space="preserve">Peran BNPB di baris kebakaran industri mengikuti rezim keselamatan sektoral Kementerian ESDM, Kementerian Perindustrian, dan Kementerian Ketenagakerjaan; BNPB bukan regulator keselamatan industri dan hadir lewat status darurat bila ditetapkan (Bab 8). Baris kebakaran TPA mengikuti kewajiban pemerintah kab/kota menyelenggarakan sistem tanggap darurat sampah menurut UU 18/2008 Pasal 9. Kompendium tidak memuat program evakuasi gunung api berbasis status maupun peringatan dini longsor, sehingga kedua baris itu tidak punya program dalam negeri yang dapat dinilai.</w:t>
      </w:r>
    </w:p>
    <w:p>
      <w:pPr>
        <w:pStyle w:val="Heading2"/>
      </w:pPr>
      <w:bookmarkStart w:id="668" w:name="_Toc00215"/>
      <w:bookmarkStart w:id="667" w:name="_Ref0131"/>
      <w:r>
        <w:t xml:space="preserve">11.5</w:t>
      </w:r>
      <w:bookmarkEnd w:id="667"/>
      <w:r>
        <w:tab/>
      </w:r>
      <w:r>
        <w:t xml:space="preserve">Operasi Musiman: Kemarau dan Musim Hujan</w:t>
      </w:r>
      <w:bookmarkEnd w:id="668"/>
    </w:p>
    <w:p>
      <w:pPr>
        <w:pStyle w:val="IsiTemuan"/>
      </w:pPr>
      <w:r>
        <w:rPr>
          <w:b/>
          <w:bCs/>
          <w:color w:val="051C2C"/>
        </w:rPr>
        <w:t xml:space="preserve">Kalender DIBI 2008–2025 menunjukkan musim hujan bukan satu kalender nasional: </w:t>
      </w:r>
      <w:r>
        <w:rPr>
          <w:b/>
          <w:bCs/>
          <w:color w:val="051C2C"/>
        </w:rPr>
        <w:t xml:space="preserve">84,9%</w:t>
      </w:r>
      <w:r>
        <w:rPr>
          <w:b/>
          <w:bCs/>
          <w:color w:val="051C2C"/>
        </w:rPr>
        <w:t xml:space="preserve"> kejadian bencana musim hujan di Bali dan Nusa Tenggara jatuh pada November–April, sedangkan di Maluku hanya </w:t>
      </w:r>
      <w:r>
        <w:rPr>
          <w:b/>
          <w:bCs/>
          <w:color w:val="051C2C"/>
        </w:rPr>
        <w:t xml:space="preserve">41,6%</w:t>
      </w:r>
      <w:r>
        <w:rPr>
          <w:b/>
          <w:bCs/>
          <w:color w:val="051C2C"/>
        </w:rPr>
        <w:t xml:space="preserve">.</w:t>
      </w:r>
      <w:r>
        <w:t xml:space="preserve"> Porsi November–April adalah </w:t>
      </w:r>
      <w:r>
        <w:t xml:space="preserve">75,8%</w:t>
      </w:r>
      <w:r>
        <w:t xml:space="preserve"> di Jawa, </w:t>
      </w:r>
      <w:r>
        <w:t xml:space="preserve">60,6%</w:t>
      </w:r>
      <w:r>
        <w:t xml:space="preserve"> di Sumatera, </w:t>
      </w:r>
      <w:r>
        <w:t xml:space="preserve">60,4%</w:t>
      </w:r>
      <w:r>
        <w:t xml:space="preserve"> di Kalimantan, </w:t>
      </w:r>
      <w:r>
        <w:t xml:space="preserve">58,3%</w:t>
      </w:r>
      <w:r>
        <w:t xml:space="preserve"> di Papua, dan </w:t>
      </w:r>
      <w:r>
        <w:t xml:space="preserve">56,8%</w:t>
      </w:r>
      <w:r>
        <w:t xml:space="preserve"> di Sulawesi </w:t>
      </w:r>
      <w:r>
        <w:t xml:space="preserve">(BNPB, t.t.-a)</w:t>
      </w:r>
      <w:r>
        <w:t xml:space="preserve">. Maluku mencatat </w:t>
      </w:r>
      <w:r>
        <w:t xml:space="preserve">46,1%</w:t>
      </w:r>
      <w:r>
        <w:t xml:space="preserve"> kejadian dan </w:t>
      </w:r>
      <w:r>
        <w:t xml:space="preserve">74,4%</w:t>
      </w:r>
      <w:r>
        <w:t xml:space="preserve"> meninggal dan hilang pada Juni–Oktober, berlawanan dengan Jawa. Rencana aksi musim hujan nasional yang berhenti pada April akan melewatkan musim bahaya tercatat di Maluku.</w:t>
      </w:r>
    </w:p>
    <w:p>
      <w:pPr>
        <w:pStyle w:val="IsiTemuan"/>
      </w:pPr>
      <w:r>
        <w:rPr>
          <w:b/>
          <w:bCs/>
          <w:color w:val="051C2C"/>
        </w:rPr>
        <w:t xml:space="preserve">Kejadian kekeringan dan karhutla menumpuk pada Juni–Oktober, dengan porsi </w:t>
      </w:r>
      <w:r>
        <w:rPr>
          <w:b/>
          <w:bCs/>
          <w:color w:val="051C2C"/>
        </w:rPr>
        <w:t xml:space="preserve">92,7%</w:t>
      </w:r>
      <w:r>
        <w:rPr>
          <w:b/>
          <w:bCs/>
          <w:color w:val="051C2C"/>
        </w:rPr>
        <w:t xml:space="preserve"> di Jawa dan </w:t>
      </w:r>
      <w:r>
        <w:rPr>
          <w:b/>
          <w:bCs/>
          <w:color w:val="051C2C"/>
        </w:rPr>
        <w:t xml:space="preserve">75,2%</w:t>
      </w:r>
      <w:r>
        <w:rPr>
          <w:b/>
          <w:bCs/>
          <w:color w:val="051C2C"/>
        </w:rPr>
        <w:t xml:space="preserve"> di Kalimantan.</w:t>
      </w:r>
      <w:r>
        <w:t xml:space="preserve"> Sumatera mencatat </w:t>
      </w:r>
      <w:r>
        <w:t xml:space="preserve">67,4%</w:t>
      </w:r>
      <w:r>
        <w:t xml:space="preserve"> pada Juni–Oktober dan puncak kedua </w:t>
      </w:r>
      <w:r>
        <w:t xml:space="preserve">19,1%</w:t>
      </w:r>
      <w:r>
        <w:t xml:space="preserve"> pada Februari–Maret, terutama karhutla Riau di awal tahun </w:t>
      </w:r>
      <w:r>
        <w:t xml:space="preserve">(BNPB, t.t.-a)</w:t>
      </w:r>
      <w:r>
        <w:t xml:space="preserve">. Secara nasional </w:t>
      </w:r>
      <w:r>
        <w:t xml:space="preserve">84%</w:t>
      </w:r>
      <w:r>
        <w:t xml:space="preserve"> kejadian kekeringan jatuh pada Juni–September dan </w:t>
      </w:r>
      <w:r>
        <w:t xml:space="preserve">69%</w:t>
      </w:r>
      <w:r>
        <w:t xml:space="preserve"> kejadian karhutla pada Juli–Oktober. Atas dasar itu, rencana kontinjensi karhutla Sumatera disiapkan sebelum Februari.</w:t>
      </w:r>
    </w:p>
    <w:p>
      <w:pPr>
        <w:pStyle w:val="IsiTemuan"/>
      </w:pPr>
      <w:r>
        <w:rPr>
          <w:b/>
          <w:bCs/>
          <w:color w:val="051C2C"/>
        </w:rPr>
        <w:t xml:space="preserve">Gelombang dan rob di Jawa tercatat lebih banyak pada Mei–Agustus, tetapi pola itu bertumpu pada satu episode untuk gelombang dan dua episode untuk rob, sehingga belum menjadi dasar perubahan kalender.</w:t>
      </w:r>
      <w:r>
        <w:t xml:space="preserve"> Porsi gelombang dan abrasi Jawa pada Mei–Agustus adalah </w:t>
      </w:r>
      <w:r>
        <w:t xml:space="preserve">53,7%</w:t>
      </w:r>
      <w:r>
        <w:t xml:space="preserve"> dari </w:t>
      </w:r>
      <w:r>
        <w:t xml:space="preserve">95 kejadian</w:t>
      </w:r>
      <w:r>
        <w:t xml:space="preserve">, tetapi </w:t>
      </w:r>
      <w:r>
        <w:t xml:space="preserve">18</w:t>
      </w:r>
      <w:r>
        <w:t xml:space="preserve"> kejadian jatuh pada Juli 2018 saja. Tanpa Juli 2018, porsi Mei–Agustus turun ke </w:t>
      </w:r>
      <w:r>
        <w:t xml:space="preserve">42,9%</w:t>
      </w:r>
      <w:r>
        <w:t xml:space="preserve">, di bawah November–April </w:t>
      </w:r>
      <w:r>
        <w:t xml:space="preserve">44,2%</w:t>
      </w:r>
      <w:r>
        <w:t xml:space="preserve"> </w:t>
      </w:r>
      <w:r>
        <w:t xml:space="preserve">(BNPB, t.t.-a)</w:t>
      </w:r>
      <w:r>
        <w:t xml:space="preserve">. Porsi rob Jawa Mei–Agustus, </w:t>
      </w:r>
      <w:r>
        <w:t xml:space="preserve">68,0%</w:t>
      </w:r>
      <w:r>
        <w:t xml:space="preserve">, hanya bersandar pada catatan 2020–2023 dan 2025. Secara nasional </w:t>
      </w:r>
      <w:r>
        <w:t xml:space="preserve">61,5%</w:t>
      </w:r>
      <w:r>
        <w:t xml:space="preserve"> kejadian gelombang dan abrasi jatuh pada November–April. Karena itu </w:t>
      </w:r>
      <w:r>
        <w:fldChar w:fldCharType="begin"/>
      </w:r>
      <w:r>
        <w:instrText xml:space="preserve"> REF _Ref0036 \h \* CHARFORMAT </w:instrText>
      </w:r>
      <w:r>
        <w:fldChar w:fldCharType="separate"/>
      </w:r>
      <w:r>
        <w:t xml:space="preserve">Gambar 11.4</w:t>
      </w:r>
      <w:r>
        <w:fldChar w:fldCharType="end"/>
      </w:r>
      <w:r>
        <w:t xml:space="preserve"> mempertahankan gelombang di panel musim hujan dan menampilkan rob sebagai baris terpisah berpil jumlah tahun data. Perubahan panel baru dipertimbangkan setelah uji kepekaan dengan seri yang lebih panjang, misalnya peringatan gelombang tinggi BMKG atau rob per stasiun pasang surut.</w:t>
      </w:r>
    </w:p>
    <w:p>
      <w:pPr>
        <w:pStyle w:val="Caption"/>
      </w:pPr>
      <w:bookmarkStart w:id="670" w:name="_Toc00216"/>
      <w:bookmarkStart w:id="669" w:name="_Ref003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669"/>
      <w:r>
        <w:rPr>
          <w:b/>
          <w:bCs/>
          <w:color w:val="051C2C"/>
        </w:rPr>
        <w:t xml:space="preserve"> </w:t>
      </w:r>
      <w:r>
        <w:t xml:space="preserve">Porsi kejadian bencana hidrometeorologi per bulan menurut pulau dan jenis, Indonesia 2008–2025 (persen kejadian)</w:t>
      </w:r>
      <w:bookmarkEnd w:id="670"/>
    </w:p>
    <w:p xmlns:a="http://schemas.openxmlformats.org/drawingml/2006/main" xmlns:pic="http://schemas.openxmlformats.org/drawingml/2006/picture">
      <w:pPr>
        <w:keepNext/>
        <w:spacing w:after="0" w:line="240" w:lineRule="auto"/>
        <w:jc w:val="center"/>
      </w:pPr>
      <w:bookmarkStart w:id="671" w:name="_Obj0064"/>
      <w:r>
        <w:drawing>
          <wp:inline distT="0" distB="0" distL="0" distR="0">
            <wp:extent cx="5940000" cy="5169323"/>
            <wp:effectExtent l="0" t="0" r="0" b="0"/>
            <wp:docPr id="184" name="Gambar 184"/>
            <wp:cNvGraphicFramePr>
              <a:graphicFrameLocks noChangeAspect="1"/>
            </wp:cNvGraphicFramePr>
            <a:graphic>
              <a:graphicData uri="http://schemas.openxmlformats.org/drawingml/2006/picture">
                <pic:pic>
                  <pic:nvPicPr>
                    <pic:cNvPr id="184" name="bab11-g16-kalender-pulau.png"/>
                    <pic:cNvPicPr/>
                  </pic:nvPicPr>
                  <pic:blipFill>
                    <a:blip r:embed="rId91"/>
                    <a:stretch>
                      <a:fillRect/>
                    </a:stretch>
                  </pic:blipFill>
                  <pic:spPr>
                    <a:xfrm>
                      <a:off x="0" y="0"/>
                      <a:ext cx="5940000" cy="5169323"/>
                    </a:xfrm>
                    <a:prstGeom prst="rect">
                      <a:avLst/>
                    </a:prstGeom>
                  </pic:spPr>
                </pic:pic>
              </a:graphicData>
            </a:graphic>
          </wp:inline>
        </w:drawing>
      </w:r>
      <w:bookmarkEnd w:id="671"/>
    </w:p>
    <w:p>
      <w:pPr>
        <w:pStyle w:val="Sumber"/>
        <w:spacing w:after="40"/>
      </w:pPr>
      <w:r>
        <w:rPr>
          <w:b/>
          <w:bCs/>
          <w:color w:val="6B7280"/>
          <w:sz w:val="17"/>
          <w:szCs w:val="17"/>
        </w:rPr>
        <w:t xml:space="preserve">Sumber: </w:t>
      </w:r>
      <w:r>
        <w:rPr>
          <w:color w:val="6B7280"/>
          <w:sz w:val="17"/>
          <w:szCs w:val="17"/>
        </w:rPr>
        <w:t xml:space="preserve">DIBI BNPB 2008–2025, per tanggal kejadian;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Pola tercatat dipengaruhi pelaporan; banjir bandang, banjir dan longsor, dan rob baru tercatat sejak 2018 dan 2024 tidak lengkap.</w:t>
      </w:r>
    </w:p>
    <w:p>
      <w:pPr>
        <w:pStyle w:val="Sumber"/>
      </w:pPr>
      <w:r>
        <w:rPr>
          <w:b/>
          <w:bCs/>
          <w:color w:val="6B7280"/>
          <w:sz w:val="17"/>
          <w:szCs w:val="17"/>
        </w:rPr>
        <w:t xml:space="preserve">Catatan: </w:t>
      </w:r>
      <w:r>
        <w:rPr>
          <w:color w:val="6B7280"/>
          <w:sz w:val="17"/>
          <w:szCs w:val="17"/>
        </w:rPr>
        <w:t xml:space="preserve">Tabel peta panas tujuh pulau kali dua belas bulan, panel musim hujan (banjir, banjir bandang, longsor, cuaca ekstrem, gelombang) dan panel kemarau (kekeringan, karhutla), ditambah baris rob terpisah; isi sel adalah porsi kejadian, bukan korban. Kebakaran TPA dan kebakaran permukiman tidak tercatat per jenis dan tidak digambar.</w:t>
      </w:r>
    </w:p>
    <w:p>
      <w:pPr>
        <w:pStyle w:val="IsiTemuan"/>
      </w:pPr>
      <w:r>
        <w:rPr>
          <w:b/>
          <w:bCs/>
          <w:color w:val="051C2C"/>
        </w:rPr>
        <w:t xml:space="preserve">Operasi musiman berpemicu prakiraan BMKG, dan instrumen prabencananya sudah tertulis: rencana kontinjensi berlaku </w:t>
      </w:r>
      <w:r>
        <w:rPr>
          <w:b/>
          <w:bCs/>
          <w:color w:val="051C2C"/>
        </w:rPr>
        <w:t xml:space="preserve">3 tahun</w:t>
      </w:r>
      <w:r>
        <w:rPr>
          <w:b/>
          <w:bCs/>
          <w:color w:val="051C2C"/>
        </w:rPr>
        <w:t xml:space="preserve">, dikaji ulang paling sedikit tiap </w:t>
      </w:r>
      <w:r>
        <w:rPr>
          <w:b/>
          <w:bCs/>
          <w:color w:val="051C2C"/>
        </w:rPr>
        <w:t xml:space="preserve">6 bulan</w:t>
      </w:r>
      <w:r>
        <w:rPr>
          <w:b/>
          <w:bCs/>
          <w:color w:val="051C2C"/>
        </w:rPr>
        <w:t xml:space="preserve">, dan diuji lewat latihan sampai geladi (Perban BNPB 2/2023 Pasal 19 dan Pasal 21) </w:t>
      </w:r>
      <w:r>
        <w:rPr>
          <w:b/>
          <w:bCs/>
          <w:color w:val="051C2C"/>
        </w:rPr>
        <w:t xml:space="preserve">(BNPB, 2023c)</w:t>
      </w:r>
      <w:r>
        <w:rPr>
          <w:b/>
          <w:bCs/>
          <w:color w:val="051C2C"/>
        </w:rPr>
        <w:t xml:space="preserve">.</w:t>
      </w:r>
      <w:r>
        <w:t xml:space="preserve"> Rencana Penanggulangan Kedaruratan Bencana (RPKB) daerah diuji lewat gladi ruang (Perban BNPB 9/2025 Pasal 27), dan standar pelayanan minimal suburusan bencana dijabarkan Juklak BNPB 4/2026 </w:t>
      </w:r>
      <w:r>
        <w:t xml:space="preserve">(BNPB, 2025h, 2026f)</w:t>
      </w:r>
      <w:r>
        <w:t xml:space="preserve">. Unit pelaksananya mengikuti Perban BNPB 6/2025 sebagaimana diubah Perban BNPB 11/2025 </w:t>
      </w:r>
      <w:r>
        <w:t xml:space="preserve">(BNPB, 2025f, 2025d)</w:t>
      </w:r>
      <w:r>
        <w:t xml:space="preserve">. Operasi Modifikasi Cuaca (OMC) masuk Renas PB 1.2.1.h dengan target </w:t>
      </w:r>
      <w:r>
        <w:t xml:space="preserve">950 hari</w:t>
      </w:r>
      <w:r>
        <w:t xml:space="preserve"> operasi kedaruratan karhutla, banjir, kekeringan, dan longsor sampai 2029, sedangkan fungsi modifikasi cuaca berada di BMKG (Perpres 12/2024) </w:t>
      </w:r>
      <w:r>
        <w:t xml:space="preserve">(BNPB, 2025c; Republik Indonesia, 2024d)</w:t>
      </w:r>
      <w:r>
        <w:t xml:space="preserve">. </w:t>
      </w:r>
      <w:r>
        <w:fldChar w:fldCharType="begin"/>
      </w:r>
      <w:r>
        <w:instrText xml:space="preserve"> REF _Ref0260 \h \* CHARFORMAT </w:instrText>
      </w:r>
      <w:r>
        <w:fldChar w:fldCharType="separate"/>
      </w:r>
      <w:r>
        <w:t xml:space="preserve">Tabel 11.5</w:t>
      </w:r>
      <w:r>
        <w:fldChar w:fldCharType="end"/>
      </w:r>
      <w:r>
        <w:t xml:space="preserve"> menyusun pemicu dan aksi tiap musim beserta unit pelaksananya.</w:t>
      </w:r>
    </w:p>
    <w:p>
      <w:pPr>
        <w:pStyle w:val="Caption"/>
      </w:pPr>
      <w:bookmarkStart w:id="673" w:name="_Toc00217"/>
      <w:bookmarkStart w:id="672" w:name="_Ref026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672"/>
      <w:r>
        <w:rPr>
          <w:b/>
          <w:bCs/>
          <w:color w:val="051C2C"/>
        </w:rPr>
        <w:t xml:space="preserve"> </w:t>
      </w:r>
      <w:r>
        <w:t xml:space="preserve">Operasi musiman kemarau dan musim hujan menurut pemicu, aksi prabencana, aksi saat status, dan unit pelaksana, 2026</w:t>
      </w:r>
      <w:bookmarkEnd w:id="67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53"/>
        <w:gridCol w:w="1443"/>
        <w:gridCol w:w="1535"/>
        <w:gridCol w:w="2058"/>
        <w:gridCol w:w="2165"/>
      </w:tblGrid>
      <w:tr>
        <w:trPr>
          <w:cantSplit/>
          <w:tblHeader/>
        </w:trPr>
        <w:tc>
          <w:tcPr>
            <w:tcW w:w="2153" w:type="dxa"/>
            <w:shd w:val="clear" w:color="auto" w:fill="051C2C"/>
            <w:vAlign w:val="center"/>
          </w:tcPr>
          <w:p>
            <w:pPr>
              <w:pStyle w:val="KepalaTabel"/>
              <w:keepNext/>
              <w:suppressAutoHyphens/>
            </w:pPr>
            <w:r>
              <w:t xml:space="preserve">MUSIM</w:t>
            </w:r>
          </w:p>
        </w:tc>
        <w:tc>
          <w:tcPr>
            <w:tcW w:w="1443" w:type="dxa"/>
            <w:shd w:val="clear" w:color="auto" w:fill="051C2C"/>
            <w:vAlign w:val="center"/>
          </w:tcPr>
          <w:p>
            <w:pPr>
              <w:pStyle w:val="KepalaTabel"/>
              <w:keepNext/>
              <w:suppressAutoHyphens/>
            </w:pPr>
            <w:r>
              <w:t xml:space="preserve">PEMICU</w:t>
            </w:r>
          </w:p>
        </w:tc>
        <w:tc>
          <w:tcPr>
            <w:tcW w:w="1535" w:type="dxa"/>
            <w:shd w:val="clear" w:color="auto" w:fill="051C2C"/>
            <w:vAlign w:val="center"/>
          </w:tcPr>
          <w:p>
            <w:pPr>
              <w:pStyle w:val="KepalaTabel"/>
              <w:keepNext/>
              <w:suppressAutoHyphens/>
            </w:pPr>
            <w:r>
              <w:t xml:space="preserve">AKSI PRABENCANA</w:t>
            </w:r>
          </w:p>
        </w:tc>
        <w:tc>
          <w:tcPr>
            <w:tcW w:w="2058" w:type="dxa"/>
            <w:shd w:val="clear" w:color="auto" w:fill="051C2C"/>
            <w:vAlign w:val="center"/>
          </w:tcPr>
          <w:p>
            <w:pPr>
              <w:pStyle w:val="KepalaTabel"/>
              <w:keepNext/>
              <w:suppressAutoHyphens/>
            </w:pPr>
            <w:r>
              <w:t xml:space="preserve">AKSI SAAT STATUS</w:t>
            </w:r>
          </w:p>
        </w:tc>
        <w:tc>
          <w:tcPr>
            <w:tcW w:w="2165" w:type="dxa"/>
            <w:shd w:val="clear" w:color="auto" w:fill="051C2C"/>
            <w:vAlign w:val="center"/>
          </w:tcPr>
          <w:p>
            <w:pPr>
              <w:pStyle w:val="KepalaTabel"/>
              <w:keepNext/>
              <w:suppressAutoHyphens/>
            </w:pPr>
            <w:r>
              <w:t xml:space="preserve">UNIT BNPB; K/L</w:t>
            </w:r>
          </w:p>
        </w:tc>
      </w:tr>
      <w:tr>
        <w:trPr>
          <w:cantSplit/>
        </w:trPr>
        <w:tc>
          <w:tcPr>
            <w:tcW w:w="2153" w:type="dxa"/>
          </w:tcPr>
          <w:p>
            <w:pPr>
              <w:pStyle w:val="IsiTabel"/>
              <w:keepNext/>
              <w:suppressAutoHyphens/>
              <w:jc w:val="left"/>
            </w:pPr>
            <w:bookmarkStart w:id="674" w:name="_Ekor079a"/>
            <w:bookmarkEnd w:id="674"/>
            <w:r>
              <w:t xml:space="preserve">Kemarau</w:t>
            </w:r>
          </w:p>
        </w:tc>
        <w:tc>
          <w:tcPr>
            <w:tcW w:w="1443" w:type="dxa"/>
          </w:tcPr>
          <w:p>
            <w:pPr>
              <w:pStyle w:val="IsiTabel"/>
              <w:keepNext/>
              <w:suppressAutoHyphens/>
              <w:jc w:val="left"/>
            </w:pPr>
            <w:r>
              <w:t xml:space="preserve">prakiraan musim kemarau BMKG; PDKM Waspada, Siaga, Awas; titik panas dan prakiraan potensi karhutla; status ENSO</w:t>
            </w:r>
          </w:p>
        </w:tc>
        <w:tc>
          <w:tcPr>
            <w:tcW w:w="1535" w:type="dxa"/>
          </w:tcPr>
          <w:p>
            <w:pPr>
              <w:pStyle w:val="IsiTabel"/>
              <w:keepNext/>
              <w:suppressAutoHyphens/>
              <w:jc w:val="left"/>
            </w:pPr>
            <w:r>
              <w:t xml:space="preserve">kaji ulang rencana kontinjensi kekeringan dan karhutla; patroli dan pembasahan; persiapan OMC</w:t>
            </w:r>
          </w:p>
        </w:tc>
        <w:tc>
          <w:tcPr>
            <w:tcW w:w="2058" w:type="dxa"/>
          </w:tcPr>
          <w:p>
            <w:pPr>
              <w:pStyle w:val="IsiTabel"/>
              <w:keepNext/>
              <w:suppressAutoHyphens/>
              <w:jc w:val="left"/>
            </w:pPr>
            <w:r>
              <w:t xml:space="preserve">siaga darurat; air bersih </w:t>
            </w:r>
            <w:r>
              <w:t xml:space="preserve">7</w:t>
            </w:r>
            <w:r>
              <w:t xml:space="preserve"> lalu </w:t>
            </w:r>
            <w:r>
              <w:t xml:space="preserve">15 liter per orang per hari</w:t>
            </w:r>
            <w:r>
              <w:t xml:space="preserve">; satuan tugas karhutla; DSP</w:t>
            </w:r>
          </w:p>
        </w:tc>
        <w:tc>
          <w:tcPr>
            <w:tcW w:w="2165" w:type="dxa"/>
          </w:tcPr>
          <w:p>
            <w:pPr>
              <w:pStyle w:val="IsiTabel"/>
              <w:keepNext/>
              <w:suppressAutoHyphens/>
              <w:jc w:val="left"/>
            </w:pPr>
            <w:r>
              <w:t xml:space="preserve">Direktorat Kesiapsiagaan; Direktorat Peringatan Dini; Direktorat Penanganan Darurat Wilayah; Deputi Bidang Logistik dan Peralatan; BMKG, Kementerian Kehutanan, KLH/BPLH, pemda</w:t>
            </w:r>
          </w:p>
        </w:tc>
      </w:tr>
      <w:tr>
        <w:trPr>
          <w:cantSplit/>
        </w:trPr>
        <w:tc>
          <w:tcPr>
            <w:tcW w:w="2153" w:type="dxa"/>
          </w:tcPr>
          <w:p>
            <w:pPr>
              <w:pStyle w:val="IsiTabel"/>
              <w:keepNext/>
              <w:suppressAutoHyphens/>
              <w:jc w:val="left"/>
            </w:pPr>
            <w:r>
              <w:t xml:space="preserve">Musim hujan</w:t>
            </w:r>
          </w:p>
        </w:tc>
        <w:tc>
          <w:tcPr>
            <w:tcW w:w="1443" w:type="dxa"/>
          </w:tcPr>
          <w:p>
            <w:pPr>
              <w:pStyle w:val="IsiTabel"/>
              <w:keepNext/>
              <w:suppressAutoHyphens/>
              <w:jc w:val="left"/>
            </w:pPr>
            <w:r>
              <w:t xml:space="preserve">prakiraan awal dan puncak per ZOM; peringatan dini cuaca ekstrem; status IOD dan ENSO; rencana tindak darurat bendungan</w:t>
            </w:r>
          </w:p>
        </w:tc>
        <w:tc>
          <w:tcPr>
            <w:tcW w:w="1535" w:type="dxa"/>
          </w:tcPr>
          <w:p>
            <w:pPr>
              <w:pStyle w:val="IsiTabel"/>
              <w:keepNext/>
              <w:suppressAutoHyphens/>
              <w:jc w:val="left"/>
            </w:pPr>
            <w:r>
              <w:t xml:space="preserve">kaji ulang rencana kontinjensi banjir dan longsor; uji rantai peringatan dini; gladi; inventarisasi logistik</w:t>
            </w:r>
          </w:p>
        </w:tc>
        <w:tc>
          <w:tcPr>
            <w:tcW w:w="2058" w:type="dxa"/>
          </w:tcPr>
          <w:p>
            <w:pPr>
              <w:pStyle w:val="IsiTabel"/>
              <w:keepNext/>
              <w:suppressAutoHyphens/>
              <w:jc w:val="left"/>
            </w:pPr>
            <w:r>
              <w:t xml:space="preserve">siaga dan tanggap darurat; SKPDB; kebutuhan dasar; DSP; R3P dimulai</w:t>
            </w:r>
          </w:p>
        </w:tc>
        <w:tc>
          <w:tcPr>
            <w:tcW w:w="2165" w:type="dxa"/>
          </w:tcPr>
          <w:p>
            <w:pPr>
              <w:pStyle w:val="IsiTabel"/>
              <w:keepNext/>
              <w:suppressAutoHyphens/>
              <w:jc w:val="left"/>
            </w:pPr>
            <w:r>
              <w:t xml:space="preserve">Direktorat Peringatan Dini; Direktorat Kesiapsiagaan; Direktorat Koordinasi Pengendalian Operasi Darurat; Direktorat Penanganan Darurat Wilayah; Deputi Bidang Logistik dan Peralatan; Deputi Bidang Rehabilitasi dan Rekonstruksi; BMKG, Kementerian PU, Badan Geologi, Basarnas, Kemensos</w:t>
            </w:r>
          </w:p>
        </w:tc>
      </w:tr>
      <w:tr>
        <w:trPr>
          <w:cantSplit/>
        </w:trPr>
        <w:tc>
          <w:tcPr>
            <w:tcW w:w="2153" w:type="dxa"/>
          </w:tcPr>
          <w:p>
            <w:pPr>
              <w:pStyle w:val="IsiTabel"/>
              <w:suppressAutoHyphens/>
              <w:jc w:val="left"/>
            </w:pPr>
            <w:bookmarkStart w:id="675" w:name="_Ekor079z"/>
            <w:bookmarkEnd w:id="675"/>
            <w:r>
              <w:t xml:space="preserve">Kesiapan Kemarau 2027</w:t>
            </w:r>
          </w:p>
        </w:tc>
        <w:tc>
          <w:tcPr>
            <w:tcW w:w="1443" w:type="dxa"/>
          </w:tcPr>
          <w:p>
            <w:pPr>
              <w:pStyle w:val="IsiTabel"/>
              <w:suppressAutoHyphens/>
              <w:jc w:val="left"/>
            </w:pPr>
            <w:r>
              <w:t xml:space="preserve">prakiraan musim kemarau 2027 BMKG (belum terbit); prakiraan El Niño bertahan sampai Januari–Maret 2027</w:t>
            </w:r>
          </w:p>
        </w:tc>
        <w:tc>
          <w:tcPr>
            <w:tcW w:w="1535" w:type="dxa"/>
          </w:tcPr>
          <w:p>
            <w:pPr>
              <w:pStyle w:val="IsiTabel"/>
              <w:suppressAutoHyphens/>
              <w:jc w:val="left"/>
            </w:pPr>
            <w:r>
              <w:t xml:space="preserve">lantai </w:t>
            </w:r>
            <w:r>
              <w:t xml:space="preserve">7.798.763 jiwa</w:t>
            </w:r>
            <w:r>
              <w:t xml:space="preserve"> terdampak kekeringan dan </w:t>
            </w:r>
            <w:r>
              <w:t xml:space="preserve">2.611.411 ha</w:t>
            </w:r>
            <w:r>
              <w:t xml:space="preserve"> karhutla; rencana kontinjensi karhutla Sumatera sebelum Februari</w:t>
            </w:r>
          </w:p>
        </w:tc>
        <w:tc>
          <w:tcPr>
            <w:tcW w:w="2058" w:type="dxa"/>
          </w:tcPr>
          <w:p>
            <w:pPr>
              <w:pStyle w:val="IsiTabel"/>
              <w:suppressAutoHyphens/>
              <w:jc w:val="left"/>
            </w:pPr>
            <w:r>
              <w:t xml:space="preserve">sama dengan kemarau</w:t>
            </w:r>
          </w:p>
        </w:tc>
        <w:tc>
          <w:tcPr>
            <w:tcW w:w="2165" w:type="dxa"/>
          </w:tcPr>
          <w:p>
            <w:pPr>
              <w:pStyle w:val="IsiTabel"/>
              <w:suppressAutoHyphens/>
              <w:jc w:val="left"/>
            </w:pPr>
            <w:r>
              <w:t xml:space="preserve">sama dengan kemarau</w:t>
            </w:r>
          </w:p>
        </w:tc>
      </w:tr>
    </w:tbl>
    <w:p>
      <w:pPr>
        <w:pStyle w:val="Sumber"/>
        <w:spacing w:after="40"/>
      </w:pPr>
      <w:r>
        <w:rPr>
          <w:b/>
          <w:bCs/>
          <w:color w:val="6B7280"/>
          <w:sz w:val="17"/>
          <w:szCs w:val="17"/>
        </w:rPr>
        <w:t xml:space="preserve">Sumber: </w:t>
      </w:r>
      <w:r>
        <w:rPr>
          <w:color w:val="6B7280"/>
          <w:sz w:val="17"/>
          <w:szCs w:val="17"/>
        </w:rPr>
        <w:t xml:space="preserve">Perban BNPB 2/2023, 2/2024, 4/2020, 9/2025, dan 6/2025 jo. 11/2025; Perka BNPB 7/2008; Inpres 3/2020; Renas PB 2025–2029; prakiraan BMKG; DIBI BNPB; SiPongi Kementerian Kehutanan;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Instrumen di kolom aksi resmi; susunan per musim usulan kajian.</w:t>
      </w:r>
    </w:p>
    <w:p>
      <w:pPr>
        <w:pStyle w:val="Heading2"/>
      </w:pPr>
      <w:bookmarkStart w:id="677" w:name="_Toc00218"/>
      <w:bookmarkStart w:id="676" w:name="_Ref0133"/>
      <w:r>
        <w:t xml:space="preserve">11.6</w:t>
      </w:r>
      <w:bookmarkEnd w:id="676"/>
      <w:r>
        <w:tab/>
      </w:r>
      <w:r>
        <w:t xml:space="preserve">Rencana Aksi Musim Hujan 2026/2027 Tingkat Nasional dan Kesiapan Kemarau 2027</w:t>
      </w:r>
      <w:bookmarkEnd w:id="677"/>
    </w:p>
    <w:p>
      <w:pPr>
        <w:pStyle w:val="IsiTemuan"/>
      </w:pPr>
      <w:r>
        <w:rPr>
          <w:b/>
          <w:bCs/>
          <w:color w:val="051C2C"/>
        </w:rPr>
        <w:t xml:space="preserve">BMKG memprakirakan awal musim hujan 2026/2027 mundur di </w:t>
      </w:r>
      <w:r>
        <w:rPr>
          <w:b/>
          <w:bCs/>
          <w:color w:val="051C2C"/>
        </w:rPr>
        <w:t xml:space="preserve">529 ZOM</w:t>
      </w:r>
      <w:r>
        <w:rPr>
          <w:b/>
          <w:bCs/>
          <w:color w:val="051C2C"/>
        </w:rPr>
        <w:t xml:space="preserve">, dengan puncak Desember di </w:t>
      </w:r>
      <w:r>
        <w:rPr>
          <w:b/>
          <w:bCs/>
          <w:color w:val="051C2C"/>
        </w:rPr>
        <w:t xml:space="preserve">155 ZOM</w:t>
      </w:r>
      <w:r>
        <w:rPr>
          <w:b/>
          <w:bCs/>
          <w:color w:val="051C2C"/>
        </w:rPr>
        <w:t xml:space="preserve"> dan puncak Februari di </w:t>
      </w:r>
      <w:r>
        <w:rPr>
          <w:b/>
          <w:bCs/>
          <w:color w:val="051C2C"/>
        </w:rPr>
        <w:t xml:space="preserve">190 ZOM</w:t>
      </w:r>
      <w:r>
        <w:rPr>
          <w:b/>
          <w:bCs/>
          <w:color w:val="051C2C"/>
        </w:rPr>
        <w:t xml:space="preserve"> </w:t>
      </w:r>
      <w:r>
        <w:rPr>
          <w:b/>
          <w:bCs/>
          <w:color w:val="051C2C"/>
        </w:rPr>
        <w:t xml:space="preserve">(BMKG, 2026c)</w:t>
      </w:r>
      <w:r>
        <w:rPr>
          <w:b/>
          <w:bCs/>
          <w:color w:val="051C2C"/>
        </w:rPr>
        <w:t xml:space="preserve">.</w:t>
      </w:r>
      <w:r>
        <w:t xml:space="preserve"> Awal musim jatuh pada November di </w:t>
      </w:r>
      <w:r>
        <w:t xml:space="preserve">185 ZOM</w:t>
      </w:r>
      <w:r>
        <w:t xml:space="preserve"> dan Desember di </w:t>
      </w:r>
      <w:r>
        <w:t xml:space="preserve">266 ZOM</w:t>
      </w:r>
      <w:r>
        <w:t xml:space="preserve">; subtotal tiap kategori dikutip apa adanya dan tidak dijumlahkan. Siaran itu menempatkan puncak Desember di wilayah yang disebut "sebagian besar" Sumatera, Kalimantan, dan Sulawesi Barat. Jawa, Bali, Nusa Tenggara, dan Papua memuncak pada Januari–Februari 2027. Tabel prakiraan per ZOM yang ditumpangkan ke kab/kota tidak terbuka, sehingga rencana aksi memakai tingkat wilayah dengan kata BMKG.</w:t>
      </w:r>
    </w:p>
    <w:p>
      <w:pPr>
        <w:pStyle w:val="IsiTemuan"/>
      </w:pPr>
      <w:r>
        <w:rPr>
          <w:b/>
          <w:bCs/>
          <w:color w:val="051C2C"/>
        </w:rPr>
        <w:t xml:space="preserve">Kemarau 2026 masih berjalan saat musim hujan datang: peringatan dini kekeringan meteorologis (PDKM) dasarian II Oktober berkategori Awas di sebagian kab/kota pada </w:t>
      </w:r>
      <w:r>
        <w:rPr>
          <w:b/>
          <w:bCs/>
          <w:color w:val="051C2C"/>
        </w:rPr>
        <w:t xml:space="preserve">22 provinsi</w:t>
      </w:r>
      <w:r>
        <w:rPr>
          <w:b/>
          <w:bCs/>
          <w:color w:val="051C2C"/>
        </w:rPr>
        <w:t xml:space="preserve"> </w:t>
      </w:r>
      <w:r>
        <w:rPr>
          <w:b/>
          <w:bCs/>
          <w:color w:val="051C2C"/>
        </w:rPr>
        <w:t xml:space="preserve">(BMKG, 2026a)</w:t>
      </w:r>
      <w:r>
        <w:rPr>
          <w:b/>
          <w:bCs/>
          <w:color w:val="051C2C"/>
        </w:rPr>
        <w:t xml:space="preserve">.</w:t>
      </w:r>
      <w:r>
        <w:t xml:space="preserve"> Indeks El Niño-Southern Oscillation (ENSO) Agustus–Oktober mencapai </w:t>
      </w:r>
      <w:r>
        <w:t xml:space="preserve">3,08</w:t>
      </w:r>
      <w:r>
        <w:t xml:space="preserve">, kategori sangat kuat, dan Pusat Prediksi Iklim Badan Kelautan dan Atmosfer Nasional Amerika Serikat (</w:t>
      </w:r>
      <w:r>
        <w:rPr>
          <w:i/>
          <w:iCs/>
        </w:rPr>
        <w:t xml:space="preserve">National Oceanic and Atmospheric Administration</w:t>
      </w:r>
      <w:r>
        <w:t xml:space="preserve">, NOAA) menilai El Niño kuat sampai sangat kuat kemungkinan bertahan sampai Januari–Maret 2027 </w:t>
      </w:r>
      <w:r>
        <w:t xml:space="preserve">(NOAA Climate Prediction Center, 2026a)</w:t>
      </w:r>
      <w:r>
        <w:t xml:space="preserve">. DIBI sementara sampai 23 Oktober 2026 mencatat </w:t>
      </w:r>
      <w:r>
        <w:t xml:space="preserve">1.949.544</w:t>
      </w:r>
      <w:r>
        <w:t xml:space="preserve"> jiwa terdampak kekeringan dan </w:t>
      </w:r>
      <w:r>
        <w:t xml:space="preserve">1.024</w:t>
      </w:r>
      <w:r>
        <w:t xml:space="preserve"> kejadian karhutla </w:t>
      </w:r>
      <w:r>
        <w:t xml:space="preserve">(BNPB, t.t.-a)</w:t>
      </w:r>
      <w:r>
        <w:t xml:space="preserve">. Di provinsi berstatus Awas, badan penanggulangan bencana daerah (BPBD) yang sama harus beralih dari distribusi air bersih ke siaga banjir sebelum Desember.</w:t>
      </w:r>
    </w:p>
    <w:p>
      <w:pPr>
        <w:pStyle w:val="IsiTemuan"/>
      </w:pPr>
      <w:r>
        <w:rPr>
          <w:b/>
          <w:bCs/>
          <w:color w:val="051C2C"/>
        </w:rPr>
        <w:t xml:space="preserve">Skenario terburuk Rencana Aksi Musim Hujan 2026/2027 adalah musim tercatat terburuk 2025/2026, yaitu </w:t>
      </w:r>
      <w:r>
        <w:rPr>
          <w:b/>
          <w:bCs/>
          <w:color w:val="051C2C"/>
        </w:rPr>
        <w:t xml:space="preserve">1.506</w:t>
      </w:r>
      <w:r>
        <w:rPr>
          <w:b/>
          <w:bCs/>
          <w:color w:val="051C2C"/>
        </w:rPr>
        <w:t xml:space="preserve"> meninggal, </w:t>
      </w:r>
      <w:r>
        <w:rPr>
          <w:b/>
          <w:bCs/>
          <w:color w:val="051C2C"/>
        </w:rPr>
        <w:t xml:space="preserve">186</w:t>
      </w:r>
      <w:r>
        <w:rPr>
          <w:b/>
          <w:bCs/>
          <w:color w:val="051C2C"/>
        </w:rPr>
        <w:t xml:space="preserve"> hilang, dan </w:t>
      </w:r>
      <w:r>
        <w:rPr>
          <w:b/>
          <w:bCs/>
          <w:color w:val="051C2C"/>
        </w:rPr>
        <w:t xml:space="preserve">1.043.740</w:t>
      </w:r>
      <w:r>
        <w:rPr>
          <w:b/>
          <w:bCs/>
          <w:color w:val="051C2C"/>
        </w:rPr>
        <w:t xml:space="preserve"> jiwa mengungsi.</w:t>
      </w:r>
      <w:r>
        <w:t xml:space="preserve"> Angka itu </w:t>
      </w:r>
      <w:r>
        <w:t xml:space="preserve">2,8 kali</w:t>
      </w:r>
      <w:r>
        <w:t xml:space="preserve"> musim terberat kedua dalam delapan belas musim, dan median musimnya </w:t>
      </w:r>
      <w:r>
        <w:t xml:space="preserve">301,5</w:t>
      </w:r>
      <w:r>
        <w:t xml:space="preserve"> meninggal dan hilang </w:t>
      </w:r>
      <w:r>
        <w:t xml:space="preserve">(BNPB, t.t.-a)</w:t>
      </w:r>
      <w:r>
        <w:t xml:space="preserve">. Kejadian Sumatra November 2025 menyumbang </w:t>
      </w:r>
      <w:r>
        <w:t xml:space="preserve">1.342</w:t>
      </w:r>
      <w:r>
        <w:t xml:space="preserve"> meninggal dan hilang. Tiga musim hujan sesudah El Niño kuat, 2009/2010, 2015/2016, dan 2023/2024, mencatat </w:t>
      </w:r>
      <w:r>
        <w:t xml:space="preserve">373</w:t>
      </w:r>
      <w:r>
        <w:t xml:space="preserve">, </w:t>
      </w:r>
      <w:r>
        <w:t xml:space="preserve">199</w:t>
      </w:r>
      <w:r>
        <w:t xml:space="preserve">, dan </w:t>
      </w:r>
      <w:r>
        <w:t xml:space="preserve">246</w:t>
      </w:r>
      <w:r>
        <w:t xml:space="preserve"> meninggal dan hilang. Ketiganya menjadi ekspektasi operasional, sedangkan skenario terburuk tetap lantai </w:t>
      </w:r>
      <w:r>
        <w:t xml:space="preserve">1.692</w:t>
      </w:r>
      <w:r>
        <w:t xml:space="preserve">. Pita model musim terberat, </w:t>
      </w:r>
      <w:r>
        <w:t xml:space="preserve">400–950 jiwa</w:t>
      </w:r>
      <w:r>
        <w:t xml:space="preserve"> (estimasi model, belum diuji balik), berada di bawah angka tercatat dengan rasio lantai terhadap batas tinggi model </w:t>
      </w:r>
      <w:r>
        <w:t xml:space="preserve">sekitar 1,8 kali</w:t>
      </w:r>
      <w:r>
        <w:t xml:space="preserve">, sehingga sasaran musim tidak ditulis dari pita itu.</w:t>
      </w:r>
    </w:p>
    <w:p>
      <w:pPr>
        <w:pStyle w:val="Isi"/>
      </w:pPr>
      <w:r>
        <w:t xml:space="preserve">Jumlah </w:t>
      </w:r>
      <w:r>
        <w:t xml:space="preserve">1.043.740</w:t>
      </w:r>
      <w:r>
        <w:t xml:space="preserve"> jiwa mengungsi adalah jumlah semusim dari semua laporan. Puncak serentak 30 hari nasional pada musim itu adalah </w:t>
      </w:r>
      <w:r>
        <w:t xml:space="preserve">981.483</w:t>
      </w:r>
      <w:r>
        <w:t xml:space="preserve"> jiwa (7 November sampai 6 Desember 2025). Perbedaan keduanya adalah perbedaan definisi, bukan pertentangan sumber.</w:t>
      </w:r>
    </w:p>
    <w:p>
      <w:pPr>
        <w:pStyle w:val="IsiTemuan"/>
      </w:pPr>
      <w:r>
        <w:rPr>
          <w:b/>
          <w:bCs/>
          <w:color w:val="051C2C"/>
        </w:rPr>
        <w:t xml:space="preserve">Hari ke-0 pada November memberi wilayah yang memuncak Desember hanya sekitar satu bulan prabencana, sehingga argumen waktu untuk KD-1 dibaca per wilayah direktorat.</w:t>
      </w:r>
      <w:r>
        <w:t xml:space="preserve"> Kalender di </w:t>
      </w:r>
      <w:r>
        <w:fldChar w:fldCharType="begin"/>
      </w:r>
      <w:r>
        <w:instrText xml:space="preserve"> REF _Ref0257 \h \* CHARFORMAT </w:instrText>
      </w:r>
      <w:r>
        <w:fldChar w:fldCharType="separate"/>
      </w:r>
      <w:r>
        <w:t xml:space="preserve">Tabel 11.6</w:t>
      </w:r>
      <w:r>
        <w:fldChar w:fldCharType="end"/>
      </w:r>
      <w:r>
        <w:t xml:space="preserve"> mengurutkan kerja menurut puncak BMKG dan hanya memakai instrumen yang berlaku. Direktorat Penanganan Darurat Wilayah I, II, dan III masing-masing memegang </w:t>
      </w:r>
      <w:r>
        <w:t xml:space="preserve">13 provinsi</w:t>
      </w:r>
      <w:r>
        <w:t xml:space="preserve">, </w:t>
      </w:r>
      <w:r>
        <w:t xml:space="preserve">13 provinsi</w:t>
      </w:r>
      <w:r>
        <w:t xml:space="preserve"> ditambah Daerah Ibu Kota Nusantara, dan </w:t>
      </w:r>
      <w:r>
        <w:t xml:space="preserve">12 provinsi</w:t>
      </w:r>
      <w:r>
        <w:t xml:space="preserve"> (Perban BNPB 11/2025 Pasal 74, Pasal 77, dan Pasal 79A) </w:t>
      </w:r>
      <w:r>
        <w:t xml:space="preserve">(BNPB, 2025d)</w:t>
      </w:r>
      <w:r>
        <w:t xml:space="preserve">. Keputusan empat belas hari pertama meliputi penetapan hari ke-0 dan unit, penyampaian prakiraan ke BPBD dengan permintaan kaji ulang rencana kontinjensi dan uji rantai peringatan dini, permintaan data operasional kemarau 2026, dan inventarisasi logistik per wilayah direktorat (</w:t>
      </w:r>
      <w:r>
        <w:fldChar w:fldCharType="begin"/>
      </w:r>
      <w:r>
        <w:instrText xml:space="preserve"> REF _Ref0073 \h \* CHARFORMAT </w:instrText>
      </w:r>
      <w:r>
        <w:fldChar w:fldCharType="separate"/>
      </w:r>
      <w:r>
        <w:t xml:space="preserve">05</w:t>
      </w:r>
      <w:r>
        <w:fldChar w:fldCharType="end"/>
      </w:r>
      <w:r>
        <w:t xml:space="preserve">, </w:t>
      </w:r>
      <w:r>
        <w:fldChar w:fldCharType="begin"/>
      </w:r>
      <w:r>
        <w:instrText xml:space="preserve"> REF _Ref0074 \h \* CHARFORMAT </w:instrText>
      </w:r>
      <w:r>
        <w:fldChar w:fldCharType="separate"/>
      </w:r>
      <w:r>
        <w:t xml:space="preserve">06</w:t>
      </w:r>
      <w:r>
        <w:fldChar w:fldCharType="end"/>
      </w:r>
      <w:r>
        <w:t xml:space="preserve">, </w:t>
      </w:r>
      <w:r>
        <w:fldChar w:fldCharType="begin"/>
      </w:r>
      <w:r>
        <w:instrText xml:space="preserve"> REF _Ref0075 \h \* CHARFORMAT </w:instrText>
      </w:r>
      <w:r>
        <w:fldChar w:fldCharType="separate"/>
      </w:r>
      <w:r>
        <w:t xml:space="preserve">07</w:t>
      </w:r>
      <w:r>
        <w:fldChar w:fldCharType="end"/>
      </w:r>
      <w:r>
        <w:t xml:space="preserve">, </w:t>
      </w:r>
      <w:r>
        <w:fldChar w:fldCharType="begin"/>
      </w:r>
      <w:r>
        <w:instrText xml:space="preserve"> REF _Ref0076 \h \* CHARFORMAT </w:instrText>
      </w:r>
      <w:r>
        <w:fldChar w:fldCharType="separate"/>
      </w:r>
      <w:r>
        <w:t xml:space="preserve">08</w:t>
      </w:r>
      <w:r>
        <w:fldChar w:fldCharType="end"/>
      </w:r>
      <w:r>
        <w:t xml:space="preserve">). Daftar itu ditutup surat ke Kementerian Koordinator Bidang Pembangunan Manusia dan Kebudayaan (Kemenko PMK) untuk rapat koordinasi peninjauan Renas PB, penugasan catatan metode IRBI 2025, dan penugasan pemuatan rekomendasi ke evaluasi tahunan Renas PB 2026.</w:t>
      </w:r>
    </w:p>
    <w:p>
      <w:pPr>
        <w:pStyle w:val="Caption"/>
      </w:pPr>
      <w:bookmarkStart w:id="679" w:name="_Toc00219"/>
      <w:bookmarkStart w:id="678" w:name="_Ref025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678"/>
      <w:r>
        <w:rPr>
          <w:b/>
          <w:bCs/>
          <w:color w:val="051C2C"/>
        </w:rPr>
        <w:t xml:space="preserve"> </w:t>
      </w:r>
      <w:r>
        <w:t xml:space="preserve">Kalender Rencana Aksi Musim Hujan 2026/2027 tingkat nasional per bulan, pusat, dan wilayah direktorat, November 2026–April 2027</w:t>
      </w:r>
      <w:bookmarkEnd w:id="67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89"/>
        <w:gridCol w:w="1721"/>
        <w:gridCol w:w="2180"/>
        <w:gridCol w:w="2464"/>
      </w:tblGrid>
      <w:tr>
        <w:trPr>
          <w:cantSplit/>
          <w:tblHeader/>
        </w:trPr>
        <w:tc>
          <w:tcPr>
            <w:tcW w:w="2989" w:type="dxa"/>
            <w:shd w:val="clear" w:color="auto" w:fill="051C2C"/>
            <w:vAlign w:val="center"/>
          </w:tcPr>
          <w:p>
            <w:pPr>
              <w:pStyle w:val="KepalaTabel"/>
              <w:keepNext/>
              <w:suppressAutoHyphens/>
            </w:pPr>
            <w:r>
              <w:t xml:space="preserve">BULAN</w:t>
            </w:r>
          </w:p>
        </w:tc>
        <w:tc>
          <w:tcPr>
            <w:tcW w:w="1721" w:type="dxa"/>
            <w:shd w:val="clear" w:color="auto" w:fill="051C2C"/>
            <w:vAlign w:val="center"/>
          </w:tcPr>
          <w:p>
            <w:pPr>
              <w:pStyle w:val="KepalaTabel"/>
              <w:keepNext/>
              <w:suppressAutoHyphens/>
            </w:pPr>
            <w:r>
              <w:t xml:space="preserve">WILAYAH YANG MEMASUKI PUNCAK (BMKG)</w:t>
            </w:r>
          </w:p>
        </w:tc>
        <w:tc>
          <w:tcPr>
            <w:tcW w:w="2180" w:type="dxa"/>
            <w:shd w:val="clear" w:color="auto" w:fill="051C2C"/>
            <w:vAlign w:val="center"/>
          </w:tcPr>
          <w:p>
            <w:pPr>
              <w:pStyle w:val="KepalaTabel"/>
              <w:keepNext/>
              <w:suppressAutoHyphens/>
            </w:pPr>
            <w:r>
              <w:t xml:space="preserve">PUSAT (BNPB)</w:t>
            </w:r>
          </w:p>
        </w:tc>
        <w:tc>
          <w:tcPr>
            <w:tcW w:w="2464" w:type="dxa"/>
            <w:shd w:val="clear" w:color="auto" w:fill="051C2C"/>
            <w:vAlign w:val="center"/>
          </w:tcPr>
          <w:p>
            <w:pPr>
              <w:pStyle w:val="KepalaTabel"/>
              <w:keepNext/>
              <w:suppressAutoHyphens/>
            </w:pPr>
            <w:r>
              <w:t xml:space="preserve">WILAYAH DIREKTORAT DAN DAERAH</w:t>
            </w:r>
          </w:p>
        </w:tc>
      </w:tr>
      <w:tr>
        <w:trPr>
          <w:cantSplit/>
        </w:trPr>
        <w:tc>
          <w:tcPr>
            <w:tcW w:w="2989" w:type="dxa"/>
          </w:tcPr>
          <w:p>
            <w:pPr>
              <w:pStyle w:val="IsiTabel"/>
              <w:keepNext/>
              <w:suppressAutoHyphens/>
              <w:jc w:val="left"/>
            </w:pPr>
            <w:bookmarkStart w:id="680" w:name="_Ekor080a"/>
            <w:bookmarkEnd w:id="680"/>
            <w:r>
              <w:t xml:space="preserve">November 2026, hari ke-0</w:t>
            </w:r>
          </w:p>
        </w:tc>
        <w:tc>
          <w:tcPr>
            <w:tcW w:w="1721" w:type="dxa"/>
          </w:tcPr>
          <w:p>
            <w:pPr>
              <w:pStyle w:val="IsiTabel"/>
              <w:keepNext/>
              <w:suppressAutoHyphens/>
              <w:jc w:val="left"/>
            </w:pPr>
            <w:r>
              <w:t xml:space="preserve">awal musim di sebagian semua pulau; kemarau berjalan di provinsi berstatus Awas kekeringan</w:t>
            </w:r>
          </w:p>
        </w:tc>
        <w:tc>
          <w:tcPr>
            <w:tcW w:w="2180" w:type="dxa"/>
          </w:tcPr>
          <w:p>
            <w:pPr>
              <w:pStyle w:val="IsiTabel"/>
              <w:keepNext/>
              <w:suppressAutoHyphens/>
              <w:jc w:val="left"/>
            </w:pPr>
            <w:r>
              <w:t xml:space="preserve">keputusan empat belas hari pertama; penyampaian prakiraan; permintaan kaji ulang rencana kontinjensi (Perban BNPB 2/2023 Pasal 21); inventarisasi logistik terhadap lantai kebutuhan respons</w:t>
            </w:r>
          </w:p>
        </w:tc>
        <w:tc>
          <w:tcPr>
            <w:tcW w:w="2464" w:type="dxa"/>
          </w:tcPr>
          <w:p>
            <w:pPr>
              <w:pStyle w:val="IsiTabel"/>
              <w:keepNext/>
              <w:suppressAutoHyphens/>
              <w:jc w:val="left"/>
            </w:pPr>
            <w:r>
              <w:t xml:space="preserve">Wilayah I (Aceh, Riau, Kalimantan Tengah, Kalimantan Utara), Wilayah II (Sumatera Utara, Jambi, Sumatera Selatan, Kalimantan Timur), dan Wilayah III (Sumatera Barat, Bengkulu, Kalimantan Barat, Kalimantan Selatan) siaga lebih dulu; penutupan operasi kekeringan</w:t>
            </w:r>
          </w:p>
        </w:tc>
      </w:tr>
      <w:tr>
        <w:trPr>
          <w:cantSplit/>
        </w:trPr>
        <w:tc>
          <w:tcPr>
            <w:tcW w:w="2989" w:type="dxa"/>
          </w:tcPr>
          <w:p>
            <w:pPr>
              <w:pStyle w:val="IsiTabel"/>
              <w:keepNext/>
              <w:suppressAutoHyphens/>
              <w:jc w:val="left"/>
            </w:pPr>
            <w:r>
              <w:t xml:space="preserve">Desember 2026</w:t>
            </w:r>
          </w:p>
        </w:tc>
        <w:tc>
          <w:tcPr>
            <w:tcW w:w="1721" w:type="dxa"/>
          </w:tcPr>
          <w:p>
            <w:pPr>
              <w:pStyle w:val="IsiTabel"/>
              <w:keepNext/>
              <w:suppressAutoHyphens/>
              <w:jc w:val="left"/>
            </w:pPr>
            <w:r>
              <w:t xml:space="preserve">puncak sebagian besar Sumatera, Kalimantan, dan Sulawesi Barat; awal sebagian besar Jawa, Bali, Nusa Tenggara, dan Sulawesi</w:t>
            </w:r>
          </w:p>
        </w:tc>
        <w:tc>
          <w:tcPr>
            <w:tcW w:w="2180" w:type="dxa"/>
          </w:tcPr>
          <w:p>
            <w:pPr>
              <w:pStyle w:val="IsiTabel"/>
              <w:keepNext/>
              <w:suppressAutoHyphens/>
              <w:jc w:val="left"/>
            </w:pPr>
            <w:r>
              <w:t xml:space="preserve">uji rantai peringatan dini (Perban BNPB 2/2024 Pasal 2 ayat (3)); kesiapan pengerahan Direktorat Koordinasi Pengendalian Operasi Darurat</w:t>
            </w:r>
          </w:p>
        </w:tc>
        <w:tc>
          <w:tcPr>
            <w:tcW w:w="2464" w:type="dxa"/>
          </w:tcPr>
          <w:p>
            <w:pPr>
              <w:pStyle w:val="IsiTabel"/>
              <w:keepNext/>
              <w:suppressAutoHyphens/>
              <w:jc w:val="left"/>
            </w:pPr>
            <w:r>
              <w:t xml:space="preserve">tanggap darurat bila status ditetapkan; gladi posko atau gladi ruang di provinsi Jawa, Bali, Nusa Tenggara, dan Sulawesi (Juklak BNPB 4/2026)</w:t>
            </w:r>
          </w:p>
        </w:tc>
      </w:tr>
      <w:tr>
        <w:trPr>
          <w:cantSplit/>
        </w:trPr>
        <w:tc>
          <w:tcPr>
            <w:tcW w:w="2989" w:type="dxa"/>
          </w:tcPr>
          <w:p>
            <w:pPr>
              <w:pStyle w:val="IsiTabel"/>
              <w:keepNext/>
              <w:suppressAutoHyphens/>
              <w:jc w:val="left"/>
            </w:pPr>
            <w:r>
              <w:t xml:space="preserve">Januari–Februari 2027, hari ke-100</w:t>
            </w:r>
          </w:p>
        </w:tc>
        <w:tc>
          <w:tcPr>
            <w:tcW w:w="1721" w:type="dxa"/>
          </w:tcPr>
          <w:p>
            <w:pPr>
              <w:pStyle w:val="IsiTabel"/>
              <w:keepNext/>
              <w:suppressAutoHyphens/>
              <w:jc w:val="left"/>
            </w:pPr>
            <w:r>
              <w:t xml:space="preserve">puncak Jawa, Bali, Nusa Tenggara, Papua, dan sebagian Sulawesi dan Maluku</w:t>
            </w:r>
          </w:p>
        </w:tc>
        <w:tc>
          <w:tcPr>
            <w:tcW w:w="2180" w:type="dxa"/>
          </w:tcPr>
          <w:p>
            <w:pPr>
              <w:pStyle w:val="IsiTabel"/>
              <w:keepNext/>
              <w:suppressAutoHyphens/>
              <w:jc w:val="left"/>
            </w:pPr>
            <w:r>
              <w:t xml:space="preserve">pendampingan SKPDB; DSP bila status ditetapkan</w:t>
            </w:r>
          </w:p>
        </w:tc>
        <w:tc>
          <w:tcPr>
            <w:tcW w:w="2464" w:type="dxa"/>
          </w:tcPr>
          <w:p>
            <w:pPr>
              <w:pStyle w:val="IsiTabel"/>
              <w:keepNext/>
              <w:suppressAutoHyphens/>
              <w:jc w:val="left"/>
            </w:pPr>
            <w:r>
              <w:t xml:space="preserve">Wilayah I (Jawa Tengah, DIY, Bali, Papua), Wilayah II (DKJ, Banten, Jawa Barat, NTB), dan Wilayah III (Jawa Timur, NTT, Sulawesi Selatan) di puncak; transisi darurat dan R3P di wilayah yang memuncak Desember</w:t>
            </w:r>
          </w:p>
        </w:tc>
      </w:tr>
      <w:tr>
        <w:trPr>
          <w:cantSplit/>
        </w:trPr>
        <w:tc>
          <w:tcPr>
            <w:tcW w:w="2989" w:type="dxa"/>
          </w:tcPr>
          <w:p>
            <w:pPr>
              <w:pStyle w:val="IsiTabel"/>
              <w:suppressAutoHyphens/>
              <w:jc w:val="left"/>
            </w:pPr>
            <w:bookmarkStart w:id="681" w:name="_Ekor080z"/>
            <w:bookmarkEnd w:id="681"/>
            <w:r>
              <w:t xml:space="preserve">Maret–April 2027</w:t>
            </w:r>
          </w:p>
        </w:tc>
        <w:tc>
          <w:tcPr>
            <w:tcW w:w="1721" w:type="dxa"/>
          </w:tcPr>
          <w:p>
            <w:pPr>
              <w:pStyle w:val="IsiTabel"/>
              <w:suppressAutoHyphens/>
              <w:jc w:val="left"/>
            </w:pPr>
            <w:r>
              <w:t xml:space="preserve">akhir musim di sebagian besar wilayah barat; Maluku menuju bahaya tercatat Mei–Juli</w:t>
            </w:r>
          </w:p>
        </w:tc>
        <w:tc>
          <w:tcPr>
            <w:tcW w:w="2180" w:type="dxa"/>
          </w:tcPr>
          <w:p>
            <w:pPr>
              <w:pStyle w:val="IsiTabel"/>
              <w:suppressAutoHyphens/>
              <w:jc w:val="left"/>
            </w:pPr>
            <w:r>
              <w:t xml:space="preserve">kajian cepat musim berjalan untuk Kesiapan Kemarau 2027</w:t>
            </w:r>
          </w:p>
        </w:tc>
        <w:tc>
          <w:tcPr>
            <w:tcW w:w="2464" w:type="dxa"/>
          </w:tcPr>
          <w:p>
            <w:pPr>
              <w:pStyle w:val="IsiTabel"/>
              <w:suppressAutoHyphens/>
              <w:jc w:val="left"/>
            </w:pPr>
            <w:r>
              <w:t xml:space="preserve">rehabilitasi; Maluku (Wilayah III) dan Maluku Utara (Wilayah I) menyiapkan rencana kontinjensi banjir dan longsor untuk Mei–Juli</w:t>
            </w:r>
          </w:p>
        </w:tc>
      </w:tr>
    </w:tbl>
    <w:p>
      <w:pPr>
        <w:pStyle w:val="Sumber"/>
        <w:spacing w:after="40"/>
      </w:pPr>
      <w:r>
        <w:rPr>
          <w:b/>
          <w:bCs/>
          <w:color w:val="6B7280"/>
          <w:sz w:val="17"/>
          <w:szCs w:val="17"/>
        </w:rPr>
        <w:t xml:space="preserve">Sumber: </w:t>
      </w:r>
      <w:r>
        <w:rPr>
          <w:color w:val="6B7280"/>
          <w:sz w:val="17"/>
          <w:szCs w:val="17"/>
        </w:rPr>
        <w:t xml:space="preserve">Prakiraan musim hujan BMKG 22 September 2026; Perban BNPB 2/2023, 2/2024, 4/2020, 9/2025, dan 11/2025; Juklak BNPB 4/2026; Perka BNPB 3/2016; kalender DIBI BNPB 2008–2025;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Dasar skenario: lantai musim 2025/2026 sebagai terburuk dan tiga musim sesudah El Niño kuat sebagai ekspektasi; hari ke-100 jatuh Januari–Februari bila hari ke-0 November.</w:t>
      </w:r>
    </w:p>
    <w:p>
      <w:pPr>
        <w:pStyle w:val="IsiTemuan"/>
      </w:pPr>
      <w:r>
        <w:rPr>
          <w:b/>
          <w:bCs/>
          <w:color w:val="051C2C"/>
        </w:rPr>
        <w:t xml:space="preserve">Kesiapan Kemarau 2027 tidak memakai skenario yang lebih ringan dari </w:t>
      </w:r>
      <w:r>
        <w:rPr>
          <w:b/>
          <w:bCs/>
          <w:color w:val="051C2C"/>
        </w:rPr>
        <w:t xml:space="preserve">7.798.763 jiwa</w:t>
      </w:r>
      <w:r>
        <w:rPr>
          <w:b/>
          <w:bCs/>
          <w:color w:val="051C2C"/>
        </w:rPr>
        <w:t xml:space="preserve"> terdampak kekeringan pada 2018 dan </w:t>
      </w:r>
      <w:r>
        <w:rPr>
          <w:b/>
          <w:bCs/>
          <w:color w:val="051C2C"/>
        </w:rPr>
        <w:t xml:space="preserve">2.611.411 ha</w:t>
      </w:r>
      <w:r>
        <w:rPr>
          <w:b/>
          <w:bCs/>
          <w:color w:val="051C2C"/>
        </w:rPr>
        <w:t xml:space="preserve"> terbakar pada 2015 </w:t>
      </w:r>
      <w:r>
        <w:rPr>
          <w:b/>
          <w:bCs/>
          <w:color w:val="051C2C"/>
        </w:rPr>
        <w:t xml:space="preserve">(BNPB, t.t.-a; Kemenhut, 2026)</w:t>
      </w:r>
      <w:r>
        <w:rPr>
          <w:b/>
          <w:bCs/>
          <w:color w:val="051C2C"/>
        </w:rPr>
        <w:t xml:space="preserve">.</w:t>
      </w:r>
      <w:r>
        <w:t xml:space="preserve"> Prakiraan musim kemarau 2027 BMKG belum terbit, sehingga pemicunya disiapkan dari lantai tercatat dan prakiraan ENSO (</w:t>
      </w:r>
      <w:r>
        <w:fldChar w:fldCharType="begin"/>
      </w:r>
      <w:r>
        <w:instrText xml:space="preserve"> REF _Ref0080 \h \* CHARFORMAT </w:instrText>
      </w:r>
      <w:r>
        <w:fldChar w:fldCharType="separate"/>
      </w:r>
      <w:r>
        <w:t xml:space="preserve">32</w:t>
      </w:r>
      <w:r>
        <w:fldChar w:fldCharType="end"/>
      </w:r>
      <w:r>
        <w:t xml:space="preserve">). Kalender berpemicu per pulau, termasuk kalender tersendiri untuk Maluku, menjadi aksi 2028–2030 (</w:t>
      </w:r>
      <w:r>
        <w:fldChar w:fldCharType="begin"/>
      </w:r>
      <w:r>
        <w:instrText xml:space="preserve"> REF _Ref0085 \h \* CHARFORMAT </w:instrText>
      </w:r>
      <w:r>
        <w:fldChar w:fldCharType="separate"/>
      </w:r>
      <w:r>
        <w:t xml:space="preserve">28</w:t>
      </w:r>
      <w:r>
        <w:fldChar w:fldCharType="end"/>
      </w:r>
      <w:r>
        <w:t xml:space="preserve">). Kesiapan kemarau tidak memuat rencana kontinjensi rob atas dasar pola Mei–Agustus Jawa karena pola itu belum teruji.</w:t>
      </w:r>
    </w:p>
    <w:p>
      <w:pPr>
        <w:pStyle w:val="Heading2"/>
      </w:pPr>
      <w:bookmarkStart w:id="683" w:name="_Toc00220"/>
      <w:bookmarkStart w:id="682" w:name="_Ref0134"/>
      <w:r>
        <w:t xml:space="preserve">11.7</w:t>
      </w:r>
      <w:bookmarkEnd w:id="682"/>
      <w:r>
        <w:tab/>
      </w:r>
      <w:r>
        <w:t xml:space="preserve">Kebutuhan Respons dan Logistik per Wilayah</w:t>
      </w:r>
      <w:bookmarkEnd w:id="683"/>
    </w:p>
    <w:p>
      <w:pPr>
        <w:pStyle w:val="IsiTemuan"/>
      </w:pPr>
      <w:r>
        <w:rPr>
          <w:b/>
          <w:bCs/>
          <w:color w:val="051C2C"/>
        </w:rPr>
        <w:t xml:space="preserve">Lantai kebutuhan respons tercatat per Direktorat Penanganan Darurat Wilayah 2008–2025 adalah </w:t>
      </w:r>
      <w:r>
        <w:rPr>
          <w:b/>
          <w:bCs/>
          <w:color w:val="051C2C"/>
        </w:rPr>
        <w:t xml:space="preserve">954.305</w:t>
      </w:r>
      <w:r>
        <w:rPr>
          <w:b/>
          <w:bCs/>
          <w:color w:val="051C2C"/>
        </w:rPr>
        <w:t xml:space="preserve"> jiwa di Wilayah I (banjir dan longsor Aceh, November 2025), </w:t>
      </w:r>
      <w:r>
        <w:rPr>
          <w:b/>
          <w:bCs/>
          <w:color w:val="051C2C"/>
        </w:rPr>
        <w:t xml:space="preserve">468.967</w:t>
      </w:r>
      <w:r>
        <w:rPr>
          <w:b/>
          <w:bCs/>
          <w:color w:val="051C2C"/>
        </w:rPr>
        <w:t xml:space="preserve"> di Wilayah II (banjir Jabodetabek, Januari 2020), dan </w:t>
      </w:r>
      <w:r>
        <w:rPr>
          <w:b/>
          <w:bCs/>
          <w:color w:val="051C2C"/>
        </w:rPr>
        <w:t xml:space="preserve">464.120</w:t>
      </w:r>
      <w:r>
        <w:rPr>
          <w:b/>
          <w:bCs/>
          <w:color w:val="051C2C"/>
        </w:rPr>
        <w:t xml:space="preserve"> di Wilayah III (gempa Sumatera Barat 2009).</w:t>
      </w:r>
      <w:r>
        <w:t xml:space="preserve"> Lantai adalah angka terbesar di antara pengungsi tercatat DIBI dalam satu jendela 30 hari yang menjumlah semua provinsi satu direktorat, dan untuk gempa, penghuni rumah rusak berat dan sedang tercatat dikali </w:t>
      </w:r>
      <w:r>
        <w:t xml:space="preserve">3,9 jiwa per rumah</w:t>
      </w:r>
      <w:r>
        <w:t xml:space="preserve"> </w:t>
      </w:r>
      <w:r>
        <w:t xml:space="preserve">(BNPB, t.t.-a; Pantau Bencana, 2026e)</w:t>
      </w:r>
      <w:r>
        <w:t xml:space="preserve">. Jendela 30 hari dan jumlah jiwa per rumah adalah asumsi kebijakan. Ketiga lantai berada di kisaran </w:t>
      </w:r>
      <w:r>
        <w:t xml:space="preserve">464.120</w:t>
      </w:r>
      <w:r>
        <w:t xml:space="preserve"> sampai </w:t>
      </w:r>
      <w:r>
        <w:t xml:space="preserve">954.305</w:t>
      </w:r>
      <w:r>
        <w:t xml:space="preserve"> jiwa, dan uji kepekaan tanpa rekaman Kota Bekasi menurunkan lantai Wilayah II paling rendah ke </w:t>
      </w:r>
      <w:r>
        <w:t xml:space="preserve">425.233</w:t>
      </w:r>
      <w:r>
        <w:t xml:space="preserve">, sehingga tidak ada direktorat yang dapat merencanakan di bawah sekitar empat ratus ribu pengungsi serentak.</w:t>
      </w:r>
    </w:p>
    <w:p>
      <w:pPr>
        <w:pStyle w:val="IsiTemuan"/>
      </w:pPr>
      <w:r>
        <w:rPr>
          <w:b/>
          <w:bCs/>
          <w:color w:val="051C2C"/>
        </w:rPr>
        <w:t xml:space="preserve">Lantai Wilayah I bertumpu pada Aceh, yang menyumbang </w:t>
      </w:r>
      <w:r>
        <w:rPr>
          <w:b/>
          <w:bCs/>
          <w:color w:val="051C2C"/>
        </w:rPr>
        <w:t xml:space="preserve">954.305</w:t>
      </w:r>
      <w:r>
        <w:rPr>
          <w:b/>
          <w:bCs/>
          <w:color w:val="051C2C"/>
        </w:rPr>
        <w:t xml:space="preserve"> jiwa dari jendela 6 November sampai 5 Desember 2025, padahal Buletin Info Bencana BNPB mencatat lebih dari </w:t>
      </w:r>
      <w:r>
        <w:rPr>
          <w:b/>
          <w:bCs/>
          <w:color w:val="051C2C"/>
        </w:rPr>
        <w:t xml:space="preserve">356.655</w:t>
      </w:r>
      <w:r>
        <w:rPr>
          <w:b/>
          <w:bCs/>
          <w:color w:val="051C2C"/>
        </w:rPr>
        <w:t xml:space="preserve"> pengungsi Aceh per 31 Desember 2025 </w:t>
      </w:r>
      <w:r>
        <w:rPr>
          <w:b/>
          <w:bCs/>
          <w:color w:val="051C2C"/>
        </w:rPr>
        <w:t xml:space="preserve">(BNPB, 2026a)</w:t>
      </w:r>
      <w:r>
        <w:rPr>
          <w:b/>
          <w:bCs/>
          <w:color w:val="051C2C"/>
        </w:rPr>
        <w:t xml:space="preserve">.</w:t>
      </w:r>
      <w:r>
        <w:t xml:space="preserve"> DIBI menjumlah pengungsi per laporan kejadian, sedangkan Buletin menulis stok pada satu tanggal; kedua angka resmi dan ditulis berdampingan dengan definisinya. Bila rekaman Aceh diskalakan ke stok Buletin, puncak hidrometeorologi Wilayah I menjadi </w:t>
      </w:r>
      <w:r>
        <w:t xml:space="preserve">364.071</w:t>
      </w:r>
      <w:r>
        <w:t xml:space="preserve"> jiwa, di bawah pengungsi tercatat erupsi Merapi 2010, </w:t>
      </w:r>
      <w:r>
        <w:t xml:space="preserve">447.982</w:t>
      </w:r>
      <w:r>
        <w:t xml:space="preserve"> jiwa. Baris itu mencampur stok dengan jumlah kumulatif dan hanya dipakai sebagai kepekaan. Untuk Sumatra 2025, DIBI mencatat </w:t>
      </w:r>
      <w:r>
        <w:t xml:space="preserve">591</w:t>
      </w:r>
      <w:r>
        <w:t xml:space="preserve"> meninggal dan hilang di Aceh, </w:t>
      </w:r>
      <w:r>
        <w:t xml:space="preserve">414</w:t>
      </w:r>
      <w:r>
        <w:t xml:space="preserve"> di Sumatera Utara dengan </w:t>
      </w:r>
      <w:r>
        <w:t xml:space="preserve">13.157</w:t>
      </w:r>
      <w:r>
        <w:t xml:space="preserve"> pengungsi, dan </w:t>
      </w:r>
      <w:r>
        <w:t xml:space="preserve">337</w:t>
      </w:r>
      <w:r>
        <w:t xml:space="preserve"> di Sumatera Barat dengan </w:t>
      </w:r>
      <w:r>
        <w:t xml:space="preserve">10.830</w:t>
      </w:r>
      <w:r>
        <w:t xml:space="preserve"> pengungsi.</w:t>
      </w:r>
    </w:p>
    <w:p>
      <w:pPr>
        <w:pStyle w:val="IsiTemuan"/>
      </w:pPr>
      <w:r>
        <w:rPr>
          <w:b/>
          <w:bCs/>
          <w:color w:val="051C2C"/>
        </w:rPr>
        <w:t xml:space="preserve">Wilayah II bergantung pada satu rekaman yang diragukan: Kota Bekasi menyumbang </w:t>
      </w:r>
      <w:r>
        <w:rPr>
          <w:b/>
          <w:bCs/>
          <w:color w:val="051C2C"/>
        </w:rPr>
        <w:t xml:space="preserve">78,1%</w:t>
      </w:r>
      <w:r>
        <w:rPr>
          <w:b/>
          <w:bCs/>
          <w:color w:val="051C2C"/>
        </w:rPr>
        <w:t xml:space="preserve"> jendela Januari 2020.</w:t>
      </w:r>
      <w:r>
        <w:t xml:space="preserve"> Tanpa rekaman itu, puncak hidrometeorologi Wilayah II turun ke </w:t>
      </w:r>
      <w:r>
        <w:t xml:space="preserve">338.360</w:t>
      </w:r>
      <w:r>
        <w:t xml:space="preserve"> jiwa, dan lantai direktorat beralih ke gempa Lombok 2018: </w:t>
      </w:r>
      <w:r>
        <w:t xml:space="preserve">425.233</w:t>
      </w:r>
      <w:r>
        <w:t xml:space="preserve"> jiwa menurut penghuni rumah rusak dan </w:t>
      </w:r>
      <w:r>
        <w:t xml:space="preserve">406.202</w:t>
      </w:r>
      <w:r>
        <w:t xml:space="preserve"> menurut pengungsi tercatat </w:t>
      </w:r>
      <w:r>
        <w:t xml:space="preserve">(BNPB, t.t.-a)</w:t>
      </w:r>
      <w:r>
        <w:t xml:space="preserve">. Bukti rekaman Kota Bekasi belum diperoleh, sehingga kedua baris tampil di </w:t>
      </w:r>
      <w:r>
        <w:fldChar w:fldCharType="begin"/>
      </w:r>
      <w:r>
        <w:instrText xml:space="preserve"> REF _Ref0263 \h \* CHARFORMAT </w:instrText>
      </w:r>
      <w:r>
        <w:fldChar w:fldCharType="separate"/>
      </w:r>
      <w:r>
        <w:t xml:space="preserve">Tabel 11.7</w:t>
      </w:r>
      <w:r>
        <w:fldChar w:fldCharType="end"/>
      </w:r>
      <w:r>
        <w:t xml:space="preserve"> sebagai uji kepekaan.</w:t>
      </w:r>
    </w:p>
    <w:p>
      <w:pPr>
        <w:pStyle w:val="IsiTemuan"/>
      </w:pPr>
      <w:r>
        <w:rPr>
          <w:b/>
          <w:bCs/>
          <w:color w:val="051C2C"/>
        </w:rPr>
        <w:t xml:space="preserve">Di Wilayah III, kejadian penentunya gempa Sumatera Barat 2009, yang mencatat </w:t>
      </w:r>
      <w:r>
        <w:rPr>
          <w:b/>
          <w:bCs/>
          <w:color w:val="051C2C"/>
        </w:rPr>
        <w:t xml:space="preserve">119.005</w:t>
      </w:r>
      <w:r>
        <w:rPr>
          <w:b/>
          <w:bCs/>
          <w:color w:val="051C2C"/>
        </w:rPr>
        <w:t xml:space="preserve"> rumah rusak berat, tetapi hanya </w:t>
      </w:r>
      <w:r>
        <w:rPr>
          <w:b/>
          <w:bCs/>
          <w:color w:val="051C2C"/>
        </w:rPr>
        <w:t xml:space="preserve">6.554</w:t>
      </w:r>
      <w:r>
        <w:rPr>
          <w:b/>
          <w:bCs/>
          <w:color w:val="051C2C"/>
        </w:rPr>
        <w:t xml:space="preserve"> pengungsi tercatat.</w:t>
      </w:r>
      <w:r>
        <w:t xml:space="preserve"> Pencatatan pengungsi gempa sebelum aturan Juklak BNPB 7/2023 tidak lengkap, sehingga pengungsi tercatat tidak dapat menjadi lantai sendirian dan definisi rumah dipakai berdampingan. Pengungsi tercatat terbesar Wilayah III adalah gempa Ambon 2019, </w:t>
      </w:r>
      <w:r>
        <w:t xml:space="preserve">230.965</w:t>
      </w:r>
      <w:r>
        <w:t xml:space="preserve"> jiwa, sedangkan puncak hidrometeorologinya </w:t>
      </w:r>
      <w:r>
        <w:t xml:space="preserve">180.213</w:t>
      </w:r>
      <w:r>
        <w:t xml:space="preserve"> jiwa (Januari 2021, Kalimantan Selatan). Aturan rumah diuji pada gempa yang pengungsinya tercatat lengkap, yaitu Cianjur 2022, Lombok 2018, dan Sulawesi Tengah 2018, dan hasilnya dekat dengan pengungsi tercatat, tetapi aturan itu gagal untuk gunung api, sehingga erupsi tetap memakai pengungsi tercatat.</w:t>
      </w:r>
    </w:p>
    <w:p>
      <w:pPr>
        <w:pStyle w:val="IsiTemuan"/>
      </w:pPr>
      <w:r>
        <w:rPr>
          <w:b/>
          <w:bCs/>
          <w:color w:val="051C2C"/>
        </w:rPr>
        <w:t xml:space="preserve">Kejadian sebelum DIBI dalam periode acuan geologi 30 tahun ditulis berdampingan dengan definisi lain, yaitu kehilangan rumah, bukan pengungsi tercatat.</w:t>
      </w:r>
      <w:r>
        <w:t xml:space="preserve"> Gempa Yogyakarta dan Jawa Tengah 2006 di Wilayah I membuat </w:t>
      </w:r>
      <w:r>
        <w:t xml:space="preserve">600.000–1.000.000 jiwa</w:t>
      </w:r>
      <w:r>
        <w:t xml:space="preserve"> kehilangan rumah menurut penilaian awal Badan Perencanaan Pembangunan Nasional (Bappenas) dan pemerintah daerah </w:t>
      </w:r>
      <w:r>
        <w:t xml:space="preserve">(Bappenas, 2006)</w:t>
      </w:r>
      <w:r>
        <w:t xml:space="preserve">. Batas atas angka itu hanya sedikit di atas lantai Wilayah I. Tsunami 2004 membuat </w:t>
      </w:r>
      <w:r>
        <w:t xml:space="preserve">635.384</w:t>
      </w:r>
      <w:r>
        <w:t xml:space="preserve"> orang di Aceh dan Nias kehilangan tempat tinggal </w:t>
      </w:r>
      <w:r>
        <w:t xml:space="preserve">(BRR NAD–Nias, 2009b)</w:t>
      </w:r>
      <w:r>
        <w:t xml:space="preserve">. Angka itu tidak terpilah antara Aceh (Wilayah I) dan Nias (Wilayah II), sehingga tidak dibebankan ke satu direktorat. Usulan agar lantai Wilayah I tidak diturunkan di bawah batas bawah kehilangan rumah Yogyakarta 2006 adalah pilihan kebijakan, bukan akibat data.</w:t>
      </w:r>
    </w:p>
    <w:p>
      <w:pPr>
        <w:pStyle w:val="Caption"/>
      </w:pPr>
      <w:bookmarkStart w:id="685" w:name="_Toc00221"/>
      <w:bookmarkStart w:id="684" w:name="_Ref026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684"/>
      <w:r>
        <w:rPr>
          <w:b/>
          <w:bCs/>
          <w:color w:val="051C2C"/>
        </w:rPr>
        <w:t xml:space="preserve"> </w:t>
      </w:r>
      <w:r>
        <w:t xml:space="preserve">Lantai kebutuhan respons dan kebutuhan harian per Direktorat Penanganan Darurat Wilayah menurut standar Perka BNPB 7/2008, 2008–2025</w:t>
      </w:r>
      <w:bookmarkEnd w:id="68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07"/>
        <w:gridCol w:w="925"/>
        <w:gridCol w:w="1181"/>
        <w:gridCol w:w="1640"/>
        <w:gridCol w:w="1001"/>
        <w:gridCol w:w="1012"/>
        <w:gridCol w:w="922"/>
        <w:gridCol w:w="1566"/>
      </w:tblGrid>
      <w:tr>
        <w:trPr>
          <w:cantSplit/>
          <w:tblHeader/>
        </w:trPr>
        <w:tc>
          <w:tcPr>
            <w:tcW w:w="1107" w:type="dxa"/>
            <w:shd w:val="clear" w:color="auto" w:fill="051C2C"/>
            <w:vAlign w:val="center"/>
          </w:tcPr>
          <w:p>
            <w:pPr>
              <w:pStyle w:val="KepalaTabel"/>
              <w:suppressAutoHyphens/>
            </w:pPr>
            <w:r>
              <w:t xml:space="preserve">BARIS</w:t>
            </w:r>
          </w:p>
        </w:tc>
        <w:tc>
          <w:tcPr>
            <w:tcW w:w="925" w:type="dxa"/>
            <w:shd w:val="clear" w:color="auto" w:fill="051C2C"/>
            <w:vAlign w:val="center"/>
          </w:tcPr>
          <w:p>
            <w:pPr>
              <w:pStyle w:val="KepalaTabel"/>
              <w:suppressAutoHyphens/>
            </w:pPr>
            <w:r>
              <w:t xml:space="preserve">DEFINISI</w:t>
            </w:r>
          </w:p>
        </w:tc>
        <w:tc>
          <w:tcPr>
            <w:tcW w:w="1181" w:type="dxa"/>
            <w:shd w:val="clear" w:color="auto" w:fill="051C2C"/>
            <w:vAlign w:val="center"/>
          </w:tcPr>
          <w:p>
            <w:pPr>
              <w:pStyle w:val="KepalaTabel"/>
              <w:suppressAutoHyphens/>
            </w:pPr>
            <w:r>
              <w:t xml:space="preserve">KEJADIAN PENENTU</w:t>
            </w:r>
          </w:p>
        </w:tc>
        <w:tc>
          <w:tcPr>
            <w:tcW w:w="1640" w:type="dxa"/>
            <w:shd w:val="clear" w:color="auto" w:fill="051C2C"/>
            <w:vAlign w:val="center"/>
          </w:tcPr>
          <w:p>
            <w:pPr>
              <w:pStyle w:val="KepalaTabel"/>
              <w:suppressAutoHyphens/>
            </w:pPr>
            <w:r>
              <w:t xml:space="preserve">JIWA</w:t>
            </w:r>
          </w:p>
        </w:tc>
        <w:tc>
          <w:tcPr>
            <w:tcW w:w="1001" w:type="dxa"/>
            <w:shd w:val="clear" w:color="auto" w:fill="051C2C"/>
            <w:vAlign w:val="center"/>
          </w:tcPr>
          <w:p>
            <w:pPr>
              <w:pStyle w:val="KepalaTabel"/>
              <w:suppressAutoHyphens/>
            </w:pPr>
            <w:r>
              <w:t xml:space="preserve">BERAS (ton/hari)</w:t>
            </w:r>
          </w:p>
        </w:tc>
        <w:tc>
          <w:tcPr>
            <w:tcW w:w="1012" w:type="dxa"/>
            <w:shd w:val="clear" w:color="auto" w:fill="051C2C"/>
            <w:vAlign w:val="center"/>
          </w:tcPr>
          <w:p>
            <w:pPr>
              <w:pStyle w:val="KepalaTabel"/>
              <w:suppressAutoHyphens/>
            </w:pPr>
            <w:r>
              <w:t xml:space="preserve">AIR MINUM (juta liter/hari)</w:t>
            </w:r>
          </w:p>
        </w:tc>
        <w:tc>
          <w:tcPr>
            <w:tcW w:w="922" w:type="dxa"/>
            <w:shd w:val="clear" w:color="auto" w:fill="051C2C"/>
            <w:vAlign w:val="center"/>
          </w:tcPr>
          <w:p>
            <w:pPr>
              <w:pStyle w:val="KepalaTabel"/>
              <w:suppressAutoHyphens/>
            </w:pPr>
            <w:r>
              <w:t xml:space="preserve">JAMBAN</w:t>
            </w:r>
          </w:p>
        </w:tc>
        <w:tc>
          <w:tcPr>
            <w:tcW w:w="1566" w:type="dxa"/>
            <w:shd w:val="clear" w:color="auto" w:fill="051C2C"/>
            <w:vAlign w:val="center"/>
          </w:tcPr>
          <w:p>
            <w:pPr>
              <w:pStyle w:val="KepalaTabel"/>
              <w:suppressAutoHyphens/>
            </w:pPr>
            <w:r>
              <w:t xml:space="preserve">KEYAKINAN</w:t>
            </w:r>
          </w:p>
        </w:tc>
      </w:tr>
      <w:tr>
        <w:trPr>
          <w:cantSplit/>
        </w:trPr>
        <w:tc>
          <w:tcPr>
            <w:tcW w:w="1107" w:type="dxa"/>
          </w:tcPr>
          <w:p>
            <w:pPr>
              <w:pStyle w:val="IsiTabel"/>
              <w:suppressAutoHyphens/>
              <w:jc w:val="left"/>
            </w:pPr>
            <w:r>
              <w:t xml:space="preserve">Wilayah I, lantai</w:t>
            </w:r>
          </w:p>
        </w:tc>
        <w:tc>
          <w:tcPr>
            <w:tcW w:w="925" w:type="dxa"/>
          </w:tcPr>
          <w:p>
            <w:pPr>
              <w:pStyle w:val="IsiTabel"/>
              <w:suppressAutoHyphens/>
              <w:jc w:val="center"/>
            </w:pPr>
            <w:r>
              <w:t xml:space="preserve">A</w:t>
            </w:r>
          </w:p>
        </w:tc>
        <w:tc>
          <w:tcPr>
            <w:tcW w:w="1181" w:type="dxa"/>
          </w:tcPr>
          <w:p>
            <w:pPr>
              <w:pStyle w:val="IsiTabel"/>
              <w:suppressAutoHyphens/>
              <w:jc w:val="left"/>
            </w:pPr>
            <w:r>
              <w:t xml:space="preserve">banjir dan longsor Aceh, Nov 2025</w:t>
            </w:r>
          </w:p>
        </w:tc>
        <w:tc>
          <w:tcPr>
            <w:tcW w:w="1640" w:type="dxa"/>
          </w:tcPr>
          <w:p>
            <w:pPr>
              <w:pStyle w:val="IsiTabel"/>
              <w:suppressAutoHyphens/>
              <w:jc w:val="right"/>
            </w:pPr>
            <w:r>
              <w:t xml:space="preserve">954.305</w:t>
            </w:r>
          </w:p>
        </w:tc>
        <w:tc>
          <w:tcPr>
            <w:tcW w:w="1001" w:type="dxa"/>
          </w:tcPr>
          <w:p>
            <w:pPr>
              <w:pStyle w:val="IsiTabel"/>
              <w:suppressAutoHyphens/>
              <w:jc w:val="right"/>
            </w:pPr>
            <w:r>
              <w:t xml:space="preserve">381,7</w:t>
            </w:r>
          </w:p>
        </w:tc>
        <w:tc>
          <w:tcPr>
            <w:tcW w:w="1012" w:type="dxa"/>
          </w:tcPr>
          <w:p>
            <w:pPr>
              <w:pStyle w:val="IsiTabel"/>
              <w:suppressAutoHyphens/>
              <w:jc w:val="right"/>
            </w:pPr>
            <w:r>
              <w:t xml:space="preserve">2,39</w:t>
            </w:r>
          </w:p>
        </w:tc>
        <w:tc>
          <w:tcPr>
            <w:tcW w:w="922" w:type="dxa"/>
          </w:tcPr>
          <w:p>
            <w:pPr>
              <w:pStyle w:val="IsiTabel"/>
              <w:suppressAutoHyphens/>
              <w:jc w:val="right"/>
            </w:pPr>
            <w:r>
              <w:t xml:space="preserve">47.715</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suppressAutoHyphens/>
              <w:jc w:val="left"/>
            </w:pPr>
            <w:r>
              <w:t xml:space="preserve">Wilayah I, pembanding pra-2008</w:t>
            </w:r>
          </w:p>
        </w:tc>
        <w:tc>
          <w:tcPr>
            <w:tcW w:w="925" w:type="dxa"/>
          </w:tcPr>
          <w:p>
            <w:pPr>
              <w:pStyle w:val="IsiTabel"/>
              <w:suppressAutoHyphens/>
              <w:jc w:val="center"/>
            </w:pPr>
            <w:r>
              <w:t xml:space="preserve">D</w:t>
            </w:r>
          </w:p>
        </w:tc>
        <w:tc>
          <w:tcPr>
            <w:tcW w:w="1181" w:type="dxa"/>
          </w:tcPr>
          <w:p>
            <w:pPr>
              <w:pStyle w:val="IsiTabel"/>
              <w:suppressAutoHyphens/>
              <w:jc w:val="left"/>
            </w:pPr>
            <w:r>
              <w:t xml:space="preserve">gempa Yogyakarta dan Jawa Tengah 2006</w:t>
            </w:r>
          </w:p>
        </w:tc>
        <w:tc>
          <w:tcPr>
            <w:tcW w:w="1640" w:type="dxa"/>
          </w:tcPr>
          <w:p>
            <w:pPr>
              <w:pStyle w:val="IsiTabel"/>
              <w:suppressAutoHyphens/>
              <w:jc w:val="right"/>
            </w:pPr>
            <w:r>
              <w:t xml:space="preserve">600.000–1.000.000</w:t>
            </w:r>
          </w:p>
        </w:tc>
        <w:tc>
          <w:tcPr>
            <w:tcW w:w="1001" w:type="dxa"/>
          </w:tcPr>
          <w:p>
            <w:pPr>
              <w:pStyle w:val="IsiTabel"/>
              <w:suppressAutoHyphens/>
              <w:jc w:val="right"/>
            </w:pPr>
            <w:r>
              <w:t xml:space="preserve">–</w:t>
            </w:r>
          </w:p>
        </w:tc>
        <w:tc>
          <w:tcPr>
            <w:tcW w:w="1012" w:type="dxa"/>
          </w:tcPr>
          <w:p>
            <w:pPr>
              <w:pStyle w:val="IsiTabel"/>
              <w:suppressAutoHyphens/>
              <w:jc w:val="right"/>
            </w:pPr>
            <w:r>
              <w:t xml:space="preserve">–</w:t>
            </w:r>
          </w:p>
        </w:tc>
        <w:tc>
          <w:tcPr>
            <w:tcW w:w="922" w:type="dxa"/>
          </w:tcPr>
          <w:p>
            <w:pPr>
              <w:pStyle w:val="IsiTabel"/>
              <w:suppressAutoHyphens/>
              <w:jc w:val="right"/>
            </w:pPr>
            <w:r>
              <w:t xml:space="preserve">–</w:t>
            </w:r>
          </w:p>
        </w:tc>
        <w:tc>
          <w:tcPr>
            <w:tcW w:w="1566" w:type="dxa"/>
          </w:tcPr>
          <w:p>
            <w:pPr>
              <w:pStyle w:val="IsiTabel"/>
              <w:suppressAutoHyphens/>
              <w:jc w:val="left"/>
            </w:pPr>
            <w:r>
              <w:rPr>
                <w:b/>
                <w:bCs/>
                <w:color w:val="FFFFFF"/>
                <w:sz w:val="16"/>
                <w:szCs w:val="16"/>
                <w:shd w:val="clear" w:color="auto" w:fill="051C2C"/>
              </w:rPr>
              <w:t xml:space="preserve">  Resmi  </w:t>
            </w:r>
          </w:p>
        </w:tc>
      </w:tr>
      <w:tr>
        <w:trPr>
          <w:cantSplit/>
        </w:trPr>
        <w:tc>
          <w:tcPr>
            <w:tcW w:w="1107" w:type="dxa"/>
          </w:tcPr>
          <w:p>
            <w:pPr>
              <w:pStyle w:val="IsiTabel"/>
              <w:suppressAutoHyphens/>
              <w:jc w:val="left"/>
            </w:pPr>
            <w:r>
              <w:t xml:space="preserve">Wilayah I, kepekaan</w:t>
            </w:r>
          </w:p>
        </w:tc>
        <w:tc>
          <w:tcPr>
            <w:tcW w:w="925" w:type="dxa"/>
          </w:tcPr>
          <w:p>
            <w:pPr>
              <w:pStyle w:val="IsiTabel"/>
              <w:suppressAutoHyphens/>
              <w:jc w:val="center"/>
            </w:pPr>
            <w:r>
              <w:t xml:space="preserve">A, Aceh C</w:t>
            </w:r>
          </w:p>
        </w:tc>
        <w:tc>
          <w:tcPr>
            <w:tcW w:w="1181" w:type="dxa"/>
          </w:tcPr>
          <w:p>
            <w:pPr>
              <w:pStyle w:val="IsiTabel"/>
              <w:suppressAutoHyphens/>
              <w:jc w:val="left"/>
            </w:pPr>
            <w:r>
              <w:t xml:space="preserve">erupsi Merapi 2010</w:t>
            </w:r>
          </w:p>
        </w:tc>
        <w:tc>
          <w:tcPr>
            <w:tcW w:w="1640" w:type="dxa"/>
          </w:tcPr>
          <w:p>
            <w:pPr>
              <w:pStyle w:val="IsiTabel"/>
              <w:suppressAutoHyphens/>
              <w:jc w:val="right"/>
            </w:pPr>
            <w:r>
              <w:t xml:space="preserve">447.982</w:t>
            </w:r>
          </w:p>
        </w:tc>
        <w:tc>
          <w:tcPr>
            <w:tcW w:w="1001" w:type="dxa"/>
          </w:tcPr>
          <w:p>
            <w:pPr>
              <w:pStyle w:val="IsiTabel"/>
              <w:suppressAutoHyphens/>
              <w:jc w:val="right"/>
            </w:pPr>
            <w:r>
              <w:t xml:space="preserve">179,2</w:t>
            </w:r>
          </w:p>
        </w:tc>
        <w:tc>
          <w:tcPr>
            <w:tcW w:w="1012" w:type="dxa"/>
          </w:tcPr>
          <w:p>
            <w:pPr>
              <w:pStyle w:val="IsiTabel"/>
              <w:suppressAutoHyphens/>
              <w:jc w:val="right"/>
            </w:pPr>
            <w:r>
              <w:t xml:space="preserve">1,12</w:t>
            </w:r>
          </w:p>
        </w:tc>
        <w:tc>
          <w:tcPr>
            <w:tcW w:w="922" w:type="dxa"/>
          </w:tcPr>
          <w:p>
            <w:pPr>
              <w:pStyle w:val="IsiTabel"/>
              <w:suppressAutoHyphens/>
              <w:jc w:val="right"/>
            </w:pPr>
            <w:r>
              <w:t xml:space="preserve">22.399</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suppressAutoHyphens/>
              <w:jc w:val="left"/>
            </w:pPr>
            <w:r>
              <w:t xml:space="preserve">Wilayah II, lantai</w:t>
            </w:r>
          </w:p>
        </w:tc>
        <w:tc>
          <w:tcPr>
            <w:tcW w:w="925" w:type="dxa"/>
          </w:tcPr>
          <w:p>
            <w:pPr>
              <w:pStyle w:val="IsiTabel"/>
              <w:suppressAutoHyphens/>
              <w:jc w:val="center"/>
            </w:pPr>
            <w:r>
              <w:t xml:space="preserve">A</w:t>
            </w:r>
          </w:p>
        </w:tc>
        <w:tc>
          <w:tcPr>
            <w:tcW w:w="1181" w:type="dxa"/>
          </w:tcPr>
          <w:p>
            <w:pPr>
              <w:pStyle w:val="IsiTabel"/>
              <w:suppressAutoHyphens/>
              <w:jc w:val="left"/>
            </w:pPr>
            <w:r>
              <w:t xml:space="preserve">banjir Jabodetabek, Jan 2020</w:t>
            </w:r>
          </w:p>
        </w:tc>
        <w:tc>
          <w:tcPr>
            <w:tcW w:w="1640" w:type="dxa"/>
          </w:tcPr>
          <w:p>
            <w:pPr>
              <w:pStyle w:val="IsiTabel"/>
              <w:suppressAutoHyphens/>
              <w:jc w:val="right"/>
            </w:pPr>
            <w:r>
              <w:t xml:space="preserve">468.967</w:t>
            </w:r>
          </w:p>
        </w:tc>
        <w:tc>
          <w:tcPr>
            <w:tcW w:w="1001" w:type="dxa"/>
          </w:tcPr>
          <w:p>
            <w:pPr>
              <w:pStyle w:val="IsiTabel"/>
              <w:suppressAutoHyphens/>
              <w:jc w:val="right"/>
            </w:pPr>
            <w:r>
              <w:t xml:space="preserve">187,6</w:t>
            </w:r>
          </w:p>
        </w:tc>
        <w:tc>
          <w:tcPr>
            <w:tcW w:w="1012" w:type="dxa"/>
          </w:tcPr>
          <w:p>
            <w:pPr>
              <w:pStyle w:val="IsiTabel"/>
              <w:suppressAutoHyphens/>
              <w:jc w:val="right"/>
            </w:pPr>
            <w:r>
              <w:t xml:space="preserve">1,17</w:t>
            </w:r>
          </w:p>
        </w:tc>
        <w:tc>
          <w:tcPr>
            <w:tcW w:w="922" w:type="dxa"/>
          </w:tcPr>
          <w:p>
            <w:pPr>
              <w:pStyle w:val="IsiTabel"/>
              <w:suppressAutoHyphens/>
              <w:jc w:val="right"/>
            </w:pPr>
            <w:r>
              <w:t xml:space="preserve">23.448</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suppressAutoHyphens/>
              <w:jc w:val="left"/>
            </w:pPr>
            <w:r>
              <w:t xml:space="preserve">Wilayah II, tanpa Kota Bekasi 2020</w:t>
            </w:r>
          </w:p>
        </w:tc>
        <w:tc>
          <w:tcPr>
            <w:tcW w:w="925" w:type="dxa"/>
          </w:tcPr>
          <w:p>
            <w:pPr>
              <w:pStyle w:val="IsiTabel"/>
              <w:suppressAutoHyphens/>
              <w:jc w:val="center"/>
            </w:pPr>
            <w:r>
              <w:t xml:space="preserve">B</w:t>
            </w:r>
          </w:p>
        </w:tc>
        <w:tc>
          <w:tcPr>
            <w:tcW w:w="1181" w:type="dxa"/>
          </w:tcPr>
          <w:p>
            <w:pPr>
              <w:pStyle w:val="IsiTabel"/>
              <w:suppressAutoHyphens/>
              <w:jc w:val="left"/>
            </w:pPr>
            <w:r>
              <w:t xml:space="preserve">gempa Lombok 2018</w:t>
            </w:r>
          </w:p>
        </w:tc>
        <w:tc>
          <w:tcPr>
            <w:tcW w:w="1640" w:type="dxa"/>
          </w:tcPr>
          <w:p>
            <w:pPr>
              <w:pStyle w:val="IsiTabel"/>
              <w:suppressAutoHyphens/>
              <w:jc w:val="right"/>
            </w:pPr>
            <w:r>
              <w:t xml:space="preserve">425.233</w:t>
            </w:r>
          </w:p>
        </w:tc>
        <w:tc>
          <w:tcPr>
            <w:tcW w:w="1001" w:type="dxa"/>
          </w:tcPr>
          <w:p>
            <w:pPr>
              <w:pStyle w:val="IsiTabel"/>
              <w:suppressAutoHyphens/>
              <w:jc w:val="right"/>
            </w:pPr>
            <w:r>
              <w:t xml:space="preserve">170,1</w:t>
            </w:r>
          </w:p>
        </w:tc>
        <w:tc>
          <w:tcPr>
            <w:tcW w:w="1012" w:type="dxa"/>
          </w:tcPr>
          <w:p>
            <w:pPr>
              <w:pStyle w:val="IsiTabel"/>
              <w:suppressAutoHyphens/>
              <w:jc w:val="right"/>
            </w:pPr>
            <w:r>
              <w:t xml:space="preserve">1,06</w:t>
            </w:r>
          </w:p>
        </w:tc>
        <w:tc>
          <w:tcPr>
            <w:tcW w:w="922" w:type="dxa"/>
          </w:tcPr>
          <w:p>
            <w:pPr>
              <w:pStyle w:val="IsiTabel"/>
              <w:suppressAutoHyphens/>
              <w:jc w:val="right"/>
            </w:pPr>
            <w:r>
              <w:t xml:space="preserve">21.262</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bookmarkStart w:id="686" w:name="_Ekor081a"/>
            <w:bookmarkEnd w:id="686"/>
            <w:r>
              <w:t xml:space="preserve">Wilayah II, tanpa Kota Bekasi 2020</w:t>
            </w:r>
          </w:p>
        </w:tc>
        <w:tc>
          <w:tcPr>
            <w:tcW w:w="925" w:type="dxa"/>
          </w:tcPr>
          <w:p>
            <w:pPr>
              <w:pStyle w:val="IsiTabel"/>
              <w:keepNext/>
              <w:suppressAutoHyphens/>
              <w:jc w:val="center"/>
            </w:pPr>
            <w:r>
              <w:t xml:space="preserve">A</w:t>
            </w:r>
          </w:p>
        </w:tc>
        <w:tc>
          <w:tcPr>
            <w:tcW w:w="1181" w:type="dxa"/>
          </w:tcPr>
          <w:p>
            <w:pPr>
              <w:pStyle w:val="IsiTabel"/>
              <w:keepNext/>
              <w:suppressAutoHyphens/>
              <w:jc w:val="left"/>
            </w:pPr>
            <w:r>
              <w:t xml:space="preserve">gempa Lombok 2018</w:t>
            </w:r>
          </w:p>
        </w:tc>
        <w:tc>
          <w:tcPr>
            <w:tcW w:w="1640" w:type="dxa"/>
          </w:tcPr>
          <w:p>
            <w:pPr>
              <w:pStyle w:val="IsiTabel"/>
              <w:keepNext/>
              <w:suppressAutoHyphens/>
              <w:jc w:val="right"/>
            </w:pPr>
            <w:r>
              <w:t xml:space="preserve">406.202</w:t>
            </w:r>
          </w:p>
        </w:tc>
        <w:tc>
          <w:tcPr>
            <w:tcW w:w="1001" w:type="dxa"/>
          </w:tcPr>
          <w:p>
            <w:pPr>
              <w:pStyle w:val="IsiTabel"/>
              <w:keepNext/>
              <w:suppressAutoHyphens/>
              <w:jc w:val="right"/>
            </w:pPr>
            <w:r>
              <w:t xml:space="preserve">162,5</w:t>
            </w:r>
          </w:p>
        </w:tc>
        <w:tc>
          <w:tcPr>
            <w:tcW w:w="1012" w:type="dxa"/>
          </w:tcPr>
          <w:p>
            <w:pPr>
              <w:pStyle w:val="IsiTabel"/>
              <w:keepNext/>
              <w:suppressAutoHyphens/>
              <w:jc w:val="right"/>
            </w:pPr>
            <w:r>
              <w:t xml:space="preserve">1,02</w:t>
            </w:r>
          </w:p>
        </w:tc>
        <w:tc>
          <w:tcPr>
            <w:tcW w:w="922" w:type="dxa"/>
          </w:tcPr>
          <w:p>
            <w:pPr>
              <w:pStyle w:val="IsiTabel"/>
              <w:keepNext/>
              <w:suppressAutoHyphens/>
              <w:jc w:val="right"/>
            </w:pPr>
            <w:r>
              <w:t xml:space="preserve">20.310</w:t>
            </w:r>
          </w:p>
        </w:tc>
        <w:tc>
          <w:tcPr>
            <w:tcW w:w="1566"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r>
              <w:t xml:space="preserve">Wilayah III, lantai</w:t>
            </w:r>
          </w:p>
        </w:tc>
        <w:tc>
          <w:tcPr>
            <w:tcW w:w="925" w:type="dxa"/>
          </w:tcPr>
          <w:p>
            <w:pPr>
              <w:pStyle w:val="IsiTabel"/>
              <w:keepNext/>
              <w:suppressAutoHyphens/>
              <w:jc w:val="center"/>
            </w:pPr>
            <w:r>
              <w:t xml:space="preserve">B</w:t>
            </w:r>
          </w:p>
        </w:tc>
        <w:tc>
          <w:tcPr>
            <w:tcW w:w="1181" w:type="dxa"/>
          </w:tcPr>
          <w:p>
            <w:pPr>
              <w:pStyle w:val="IsiTabel"/>
              <w:keepNext/>
              <w:suppressAutoHyphens/>
              <w:jc w:val="left"/>
            </w:pPr>
            <w:r>
              <w:t xml:space="preserve">gempa Sumatera Barat, Sep 2009</w:t>
            </w:r>
          </w:p>
        </w:tc>
        <w:tc>
          <w:tcPr>
            <w:tcW w:w="1640" w:type="dxa"/>
          </w:tcPr>
          <w:p>
            <w:pPr>
              <w:pStyle w:val="IsiTabel"/>
              <w:keepNext/>
              <w:suppressAutoHyphens/>
              <w:jc w:val="right"/>
            </w:pPr>
            <w:r>
              <w:t xml:space="preserve">464.120</w:t>
            </w:r>
          </w:p>
        </w:tc>
        <w:tc>
          <w:tcPr>
            <w:tcW w:w="1001" w:type="dxa"/>
          </w:tcPr>
          <w:p>
            <w:pPr>
              <w:pStyle w:val="IsiTabel"/>
              <w:keepNext/>
              <w:suppressAutoHyphens/>
              <w:jc w:val="right"/>
            </w:pPr>
            <w:r>
              <w:t xml:space="preserve">185,6</w:t>
            </w:r>
          </w:p>
        </w:tc>
        <w:tc>
          <w:tcPr>
            <w:tcW w:w="1012" w:type="dxa"/>
          </w:tcPr>
          <w:p>
            <w:pPr>
              <w:pStyle w:val="IsiTabel"/>
              <w:keepNext/>
              <w:suppressAutoHyphens/>
              <w:jc w:val="right"/>
            </w:pPr>
            <w:r>
              <w:t xml:space="preserve">1,16</w:t>
            </w:r>
          </w:p>
        </w:tc>
        <w:tc>
          <w:tcPr>
            <w:tcW w:w="922" w:type="dxa"/>
          </w:tcPr>
          <w:p>
            <w:pPr>
              <w:pStyle w:val="IsiTabel"/>
              <w:keepNext/>
              <w:suppressAutoHyphens/>
              <w:jc w:val="right"/>
            </w:pPr>
            <w:r>
              <w:t xml:space="preserve">23.206</w:t>
            </w:r>
          </w:p>
        </w:tc>
        <w:tc>
          <w:tcPr>
            <w:tcW w:w="1566"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r>
              <w:t xml:space="preserve">Wilayah III, pengungsi tercatat</w:t>
            </w:r>
          </w:p>
        </w:tc>
        <w:tc>
          <w:tcPr>
            <w:tcW w:w="925" w:type="dxa"/>
          </w:tcPr>
          <w:p>
            <w:pPr>
              <w:pStyle w:val="IsiTabel"/>
              <w:keepNext/>
              <w:suppressAutoHyphens/>
              <w:jc w:val="center"/>
            </w:pPr>
            <w:r>
              <w:t xml:space="preserve">A</w:t>
            </w:r>
          </w:p>
        </w:tc>
        <w:tc>
          <w:tcPr>
            <w:tcW w:w="1181" w:type="dxa"/>
          </w:tcPr>
          <w:p>
            <w:pPr>
              <w:pStyle w:val="IsiTabel"/>
              <w:keepNext/>
              <w:suppressAutoHyphens/>
              <w:jc w:val="left"/>
            </w:pPr>
            <w:r>
              <w:t xml:space="preserve">gempa Ambon 2019</w:t>
            </w:r>
          </w:p>
        </w:tc>
        <w:tc>
          <w:tcPr>
            <w:tcW w:w="1640" w:type="dxa"/>
          </w:tcPr>
          <w:p>
            <w:pPr>
              <w:pStyle w:val="IsiTabel"/>
              <w:keepNext/>
              <w:suppressAutoHyphens/>
              <w:jc w:val="right"/>
            </w:pPr>
            <w:r>
              <w:t xml:space="preserve">230.965</w:t>
            </w:r>
          </w:p>
        </w:tc>
        <w:tc>
          <w:tcPr>
            <w:tcW w:w="1001" w:type="dxa"/>
          </w:tcPr>
          <w:p>
            <w:pPr>
              <w:pStyle w:val="IsiTabel"/>
              <w:keepNext/>
              <w:suppressAutoHyphens/>
              <w:jc w:val="right"/>
            </w:pPr>
            <w:r>
              <w:t xml:space="preserve">92,4</w:t>
            </w:r>
          </w:p>
        </w:tc>
        <w:tc>
          <w:tcPr>
            <w:tcW w:w="1012" w:type="dxa"/>
          </w:tcPr>
          <w:p>
            <w:pPr>
              <w:pStyle w:val="IsiTabel"/>
              <w:keepNext/>
              <w:suppressAutoHyphens/>
              <w:jc w:val="right"/>
            </w:pPr>
            <w:r>
              <w:t xml:space="preserve">0,58</w:t>
            </w:r>
          </w:p>
        </w:tc>
        <w:tc>
          <w:tcPr>
            <w:tcW w:w="922" w:type="dxa"/>
          </w:tcPr>
          <w:p>
            <w:pPr>
              <w:pStyle w:val="IsiTabel"/>
              <w:keepNext/>
              <w:suppressAutoHyphens/>
              <w:jc w:val="right"/>
            </w:pPr>
            <w:r>
              <w:t xml:space="preserve">11.548</w:t>
            </w:r>
          </w:p>
        </w:tc>
        <w:tc>
          <w:tcPr>
            <w:tcW w:w="1566"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bookmarkStart w:id="687" w:name="_Ekor081z"/>
            <w:bookmarkEnd w:id="687"/>
            <w:r>
              <w:t xml:space="preserve">Wilayah III, pembanding model</w:t>
            </w:r>
          </w:p>
        </w:tc>
        <w:tc>
          <w:tcPr>
            <w:tcW w:w="925" w:type="dxa"/>
          </w:tcPr>
          <w:p>
            <w:pPr>
              <w:pStyle w:val="IsiTabel"/>
              <w:keepNext/>
              <w:suppressAutoHyphens/>
              <w:jc w:val="center"/>
            </w:pPr>
            <w:r>
              <w:t xml:space="preserve">M</w:t>
            </w:r>
          </w:p>
        </w:tc>
        <w:tc>
          <w:tcPr>
            <w:tcW w:w="1181" w:type="dxa"/>
          </w:tcPr>
          <w:p>
            <w:pPr>
              <w:pStyle w:val="IsiTabel"/>
              <w:keepNext/>
              <w:suppressAutoHyphens/>
              <w:jc w:val="left"/>
            </w:pPr>
            <w:r>
              <w:t xml:space="preserve">skenario gempa Mentawai M8,8</w:t>
            </w:r>
          </w:p>
        </w:tc>
        <w:tc>
          <w:tcPr>
            <w:tcW w:w="1640" w:type="dxa"/>
          </w:tcPr>
          <w:p>
            <w:pPr>
              <w:pStyle w:val="IsiTabel"/>
              <w:keepNext/>
              <w:suppressAutoHyphens/>
              <w:jc w:val="right"/>
            </w:pPr>
            <w:r>
              <w:t xml:space="preserve">sekitar 490.000</w:t>
            </w:r>
          </w:p>
        </w:tc>
        <w:tc>
          <w:tcPr>
            <w:tcW w:w="1001" w:type="dxa"/>
          </w:tcPr>
          <w:p>
            <w:pPr>
              <w:pStyle w:val="IsiTabel"/>
              <w:keepNext/>
              <w:suppressAutoHyphens/>
              <w:jc w:val="right"/>
            </w:pPr>
            <w:r>
              <w:t xml:space="preserve">–</w:t>
            </w:r>
          </w:p>
        </w:tc>
        <w:tc>
          <w:tcPr>
            <w:tcW w:w="1012" w:type="dxa"/>
          </w:tcPr>
          <w:p>
            <w:pPr>
              <w:pStyle w:val="IsiTabel"/>
              <w:keepNext/>
              <w:suppressAutoHyphens/>
              <w:jc w:val="right"/>
            </w:pPr>
            <w:r>
              <w:t xml:space="preserve">–</w:t>
            </w:r>
          </w:p>
        </w:tc>
        <w:tc>
          <w:tcPr>
            <w:tcW w:w="922" w:type="dxa"/>
          </w:tcPr>
          <w:p>
            <w:pPr>
              <w:pStyle w:val="IsiTabel"/>
              <w:keepNext/>
              <w:suppressAutoHyphens/>
              <w:jc w:val="right"/>
            </w:pPr>
            <w:r>
              <w:t xml:space="preserve">–</w:t>
            </w:r>
          </w:p>
        </w:tc>
        <w:tc>
          <w:tcPr>
            <w:tcW w:w="1566"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8"/>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2008–2025 per tanggal kejadian; Buletin Info Bencana BNPB Desember 2025; penilaian awal Bappenas 2006; skenario gempa Pantau Bencana; Perban BNPB 11/2025; Perka BNPB 7/2008;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A pengungsi tercatat DIBI dalam jendela 30 hari, batas atas pengungsi serentak; B penghuni rumah rusak berat dan sedang × 3,9 jiwa per rumah, asumsi kebijakan; C kepekaan stok Buletin; D kehilangan rumah pra-2008, pembanding, bukan lantai; M estimasi model, pembanding, bukan lantai; – tidak dihitung; bukan stok gudang atau anggaran.</w:t>
      </w:r>
    </w:p>
    <w:p>
      <w:pPr>
        <w:pStyle w:val="IsiTemuan"/>
      </w:pPr>
      <w:r>
        <w:rPr>
          <w:b/>
          <w:bCs/>
          <w:color w:val="051C2C"/>
        </w:rPr>
        <w:t xml:space="preserve">Standar Perka BNPB 7/2008 menetapkan beras </w:t>
      </w:r>
      <w:r>
        <w:rPr>
          <w:b/>
          <w:bCs/>
          <w:color w:val="051C2C"/>
        </w:rPr>
        <w:t xml:space="preserve">400 gram per orang per hari</w:t>
      </w:r>
      <w:r>
        <w:rPr>
          <w:b/>
          <w:bCs/>
          <w:color w:val="051C2C"/>
        </w:rPr>
        <w:t xml:space="preserve"> setara </w:t>
      </w:r>
      <w:r>
        <w:rPr>
          <w:b/>
          <w:bCs/>
          <w:color w:val="051C2C"/>
        </w:rPr>
        <w:t xml:space="preserve">2.100 kkal per orang per hari</w:t>
      </w:r>
      <w:r>
        <w:rPr>
          <w:b/>
          <w:bCs/>
          <w:color w:val="051C2C"/>
        </w:rPr>
        <w:t xml:space="preserve">, air minum </w:t>
      </w:r>
      <w:r>
        <w:rPr>
          <w:b/>
          <w:bCs/>
          <w:color w:val="051C2C"/>
        </w:rPr>
        <w:t xml:space="preserve">2,5 liter per orang per hari</w:t>
      </w:r>
      <w:r>
        <w:rPr>
          <w:b/>
          <w:bCs/>
          <w:color w:val="051C2C"/>
        </w:rPr>
        <w:t xml:space="preserve">, satu jamban untuk paling banyak </w:t>
      </w:r>
      <w:r>
        <w:rPr>
          <w:b/>
          <w:bCs/>
          <w:color w:val="051C2C"/>
        </w:rPr>
        <w:t xml:space="preserve">20</w:t>
      </w:r>
      <w:r>
        <w:rPr>
          <w:b/>
          <w:bCs/>
          <w:color w:val="051C2C"/>
        </w:rPr>
        <w:t xml:space="preserve"> orang, dan tempat penampungan </w:t>
      </w:r>
      <w:r>
        <w:rPr>
          <w:b/>
          <w:bCs/>
          <w:color w:val="051C2C"/>
        </w:rPr>
        <w:t xml:space="preserve">3 m² per orang</w:t>
      </w:r>
      <w:r>
        <w:rPr>
          <w:b/>
          <w:bCs/>
          <w:color w:val="051C2C"/>
        </w:rPr>
        <w:t xml:space="preserve"> </w:t>
      </w:r>
      <w:r>
        <w:rPr>
          <w:b/>
          <w:bCs/>
          <w:color w:val="051C2C"/>
        </w:rPr>
        <w:t xml:space="preserve">(BNPB, 2008b)</w:t>
      </w:r>
      <w:r>
        <w:rPr>
          <w:b/>
          <w:bCs/>
          <w:color w:val="051C2C"/>
        </w:rPr>
        <w:t xml:space="preserve">.</w:t>
      </w:r>
      <w:r>
        <w:t xml:space="preserve"> Air bersih </w:t>
      </w:r>
      <w:r>
        <w:t xml:space="preserve">7</w:t>
      </w:r>
      <w:r>
        <w:t xml:space="preserve"> liter per orang per hari pada tiga hari pertama naik menjadi </w:t>
      </w:r>
      <w:r>
        <w:t xml:space="preserve">15 liter per orang per hari</w:t>
      </w:r>
      <w:r>
        <w:t xml:space="preserve"> sesudahnya. Hunian sementara memakai ukuran lain, minimal </w:t>
      </w:r>
      <w:r>
        <w:t xml:space="preserve">3,5 m² per orang</w:t>
      </w:r>
      <w:r>
        <w:t xml:space="preserve"> (Juklak BNPB 3/2023) </w:t>
      </w:r>
      <w:r>
        <w:t xml:space="preserve">(BNPB, 2023g)</w:t>
      </w:r>
      <w:r>
        <w:t xml:space="preserve">; keduanya berlaku untuk instrumen yang berbeda. Kebutuhan harian di </w:t>
      </w:r>
      <w:r>
        <w:fldChar w:fldCharType="begin"/>
      </w:r>
      <w:r>
        <w:instrText xml:space="preserve"> REF _Ref0263 \h \* CHARFORMAT </w:instrText>
      </w:r>
      <w:r>
        <w:fldChar w:fldCharType="separate"/>
      </w:r>
      <w:r>
        <w:t xml:space="preserve">Tabel 11.7</w:t>
      </w:r>
      <w:r>
        <w:fldChar w:fldCharType="end"/>
      </w:r>
      <w:r>
        <w:t xml:space="preserve"> adalah batas atas, karena jendela DIBI menjumlah pengungsi per laporan.</w:t>
      </w:r>
    </w:p>
    <w:p>
      <w:pPr>
        <w:pStyle w:val="IsiTemuan"/>
      </w:pPr>
      <w:r>
        <w:rPr>
          <w:b/>
          <w:bCs/>
          <w:color w:val="051C2C"/>
        </w:rPr>
        <w:t xml:space="preserve">Stok penyangga (</w:t>
      </w:r>
      <w:r>
        <w:rPr>
          <w:b/>
          <w:bCs/>
          <w:i/>
          <w:iCs/>
          <w:color w:val="051C2C"/>
        </w:rPr>
        <w:t xml:space="preserve">buffer stock</w:t>
      </w:r>
      <w:r>
        <w:rPr>
          <w:b/>
          <w:bCs/>
          <w:color w:val="051C2C"/>
        </w:rPr>
        <w:t xml:space="preserve">) logistik ditetapkan minimal </w:t>
      </w:r>
      <w:r>
        <w:rPr>
          <w:b/>
          <w:bCs/>
          <w:color w:val="051C2C"/>
        </w:rPr>
        <w:t xml:space="preserve">10%</w:t>
      </w:r>
      <w:r>
        <w:rPr>
          <w:b/>
          <w:bCs/>
          <w:color w:val="051C2C"/>
        </w:rPr>
        <w:t xml:space="preserve"> dari jumlah pengadaan, bukan terhadap kebutuhan skenario per wilayah (Juklak BNPB 3/2024) </w:t>
      </w:r>
      <w:r>
        <w:rPr>
          <w:b/>
          <w:bCs/>
          <w:color w:val="051C2C"/>
        </w:rPr>
        <w:t xml:space="preserve">(BNPB, 2024f)</w:t>
      </w:r>
      <w:r>
        <w:rPr>
          <w:b/>
          <w:bCs/>
          <w:color w:val="051C2C"/>
        </w:rPr>
        <w:t xml:space="preserve">.</w:t>
      </w:r>
      <w:r>
        <w:t xml:space="preserve"> Koordinator Klaster Logistik Nasional dijabat Deputi Bidang Logistik dan Peralatan, dan anggota klaster menyiapkan sumber daya logistik, angkutan, pergudangan, dan tenaga bongkar muat (Juklak BNPB 16/2025) </w:t>
      </w:r>
      <w:r>
        <w:t xml:space="preserve">(BNPB, 2025j)</w:t>
      </w:r>
      <w:r>
        <w:t xml:space="preserve">. Renas PB mencatat standar logistik dan peralatan untuk pemerintah daerah sudah tidak relevan </w:t>
      </w:r>
      <w:r>
        <w:t xml:space="preserve">(BNPB, 2025c, hlm. 27)</w:t>
      </w:r>
      <w:r>
        <w:t xml:space="preserve">, dan IKP Renstra daerah terfasilitasi logistik naik dari </w:t>
      </w:r>
      <w:r>
        <w:t xml:space="preserve">35%</w:t>
      </w:r>
      <w:r>
        <w:t xml:space="preserve"> menjadi </w:t>
      </w:r>
      <w:r>
        <w:t xml:space="preserve">75%</w:t>
      </w:r>
      <w:r>
        <w:t xml:space="preserve">. Stok penyangga per wilayah direktorat karena itu diukur terhadap lantai </w:t>
      </w:r>
      <w:r>
        <w:fldChar w:fldCharType="begin"/>
      </w:r>
      <w:r>
        <w:instrText xml:space="preserve"> REF _Ref0263 \h \* CHARFORMAT </w:instrText>
      </w:r>
      <w:r>
        <w:fldChar w:fldCharType="separate"/>
      </w:r>
      <w:r>
        <w:t xml:space="preserve">Tabel 11.7</w:t>
      </w:r>
      <w:r>
        <w:fldChar w:fldCharType="end"/>
      </w:r>
      <w:r>
        <w:t xml:space="preserve"> untuk hari-hari pertama sebelum distribusi daerah berjalan, dengan pembagian peran antartingkat pemerintahan menurut prinsip SKPDB (</w:t>
      </w:r>
      <w:r>
        <w:fldChar w:fldCharType="begin"/>
      </w:r>
      <w:r>
        <w:instrText xml:space="preserve"> REF _Ref0076 \h \* CHARFORMAT </w:instrText>
      </w:r>
      <w:r>
        <w:fldChar w:fldCharType="separate"/>
      </w:r>
      <w:r>
        <w:t xml:space="preserve">08</w:t>
      </w:r>
      <w:r>
        <w:fldChar w:fldCharType="end"/>
      </w:r>
      <w:r>
        <w:t xml:space="preserve">). Pusat Pendidikan dan Pelatihan Penanggulangan Bencana dan Direktorat Kesiapsiagaan memakai ketiga lantai sebagai skenario gladi tingkat direktorat (</w:t>
      </w:r>
      <w:r>
        <w:fldChar w:fldCharType="begin"/>
      </w:r>
      <w:r>
        <w:instrText xml:space="preserve"> REF _Ref0101 \h \* CHARFORMAT </w:instrText>
      </w:r>
      <w:r>
        <w:fldChar w:fldCharType="separate"/>
      </w:r>
      <w:r>
        <w:t xml:space="preserve">26</w:t>
      </w:r>
      <w:r>
        <w:fldChar w:fldCharType="end"/>
      </w:r>
      <w:r>
        <w:t xml:space="preserve">).</w:t>
      </w:r>
    </w:p>
    <w:p>
      <w:pPr>
        <w:pStyle w:val="IsiTemuan"/>
      </w:pPr>
      <w:r>
        <w:rPr>
          <w:b/>
          <w:bCs/>
          <w:color w:val="051C2C"/>
        </w:rPr>
        <w:t xml:space="preserve">Model gempa platform hanya melampaui lantai tercatat di Wilayah III: skenario Mentawai M8,8 memberi </w:t>
      </w:r>
      <w:r>
        <w:rPr>
          <w:b/>
          <w:bCs/>
          <w:color w:val="051C2C"/>
        </w:rPr>
        <w:t xml:space="preserve">sekitar 490.000</w:t>
      </w:r>
      <w:r>
        <w:rPr>
          <w:b/>
          <w:bCs/>
          <w:color w:val="051C2C"/>
        </w:rPr>
        <w:t xml:space="preserve"> pengungsi, hanya sedikit di atas lantai rumah </w:t>
      </w:r>
      <w:r>
        <w:rPr>
          <w:b/>
          <w:bCs/>
          <w:color w:val="051C2C"/>
        </w:rPr>
        <w:t xml:space="preserve">464.120</w:t>
      </w:r>
      <w:r>
        <w:rPr>
          <w:b/>
          <w:bCs/>
          <w:color w:val="051C2C"/>
        </w:rPr>
        <w:t xml:space="preserve"> </w:t>
      </w:r>
      <w:r>
        <w:rPr>
          <w:b/>
          <w:bCs/>
          <w:color w:val="051C2C"/>
        </w:rPr>
        <w:t xml:space="preserve">(Pantau Bencana, 2026e)</w:t>
      </w:r>
      <w:r>
        <w:rPr>
          <w:b/>
          <w:bCs/>
          <w:color w:val="051C2C"/>
        </w:rPr>
        <w:t xml:space="preserve">.</w:t>
      </w:r>
      <w:r>
        <w:t xml:space="preserve"> Angka itu estimasi model yang belum diuji, dengan rumah dihitung dari jiwa dibagi jumlah jiwa per rumah, bukan data bangunan. Varian magnitudo maksimum selatan Jawa Mw 9,1 memberi </w:t>
      </w:r>
      <w:r>
        <w:t xml:space="preserve">sekitar 3.700.000</w:t>
      </w:r>
      <w:r>
        <w:t xml:space="preserve"> pengungsi di Wilayah I dan </w:t>
      </w:r>
      <w:r>
        <w:t xml:space="preserve">sekitar 3.900.000</w:t>
      </w:r>
      <w:r>
        <w:t xml:space="preserve"> di Wilayah III (estimasi model). Skala itu melampaui kapasitas satu direktorat dan menjadi skenario status nasional menurut Perpres 17/2018 Pasal 2, bukan dasar stok direktorat. Rinciannya ada di Lampiran C.</w:t>
      </w:r>
    </w:p>
    <w:p>
      <w:pPr>
        <w:pStyle w:val="Heading2"/>
      </w:pPr>
      <w:bookmarkStart w:id="689" w:name="_Toc00222"/>
      <w:bookmarkStart w:id="688" w:name="_Ref0128"/>
      <w:r>
        <w:t xml:space="preserve">11.8</w:t>
      </w:r>
      <w:bookmarkEnd w:id="688"/>
      <w:r>
        <w:tab/>
      </w:r>
      <w:r>
        <w:t xml:space="preserve">Desa, Sekolah, dan Relawan</w:t>
      </w:r>
      <w:bookmarkEnd w:id="689"/>
    </w:p>
    <w:p>
      <w:pPr>
        <w:pStyle w:val="IsiTemuan"/>
      </w:pPr>
      <w:r>
        <w:rPr>
          <w:b/>
          <w:bCs/>
          <w:color w:val="051C2C"/>
        </w:rPr>
        <w:t xml:space="preserve">Destana menjangkau </w:t>
      </w:r>
      <w:r>
        <w:rPr>
          <w:b/>
          <w:bCs/>
          <w:color w:val="051C2C"/>
        </w:rPr>
        <w:t xml:space="preserve">2.234</w:t>
      </w:r>
      <w:r>
        <w:rPr>
          <w:b/>
          <w:bCs/>
          <w:color w:val="051C2C"/>
        </w:rPr>
        <w:t xml:space="preserve"> desa dan kelurahan pada 2024 dengan target </w:t>
      </w:r>
      <w:r>
        <w:rPr>
          <w:b/>
          <w:bCs/>
          <w:color w:val="051C2C"/>
        </w:rPr>
        <w:t xml:space="preserve">7.234 desa/kelurahan</w:t>
      </w:r>
      <w:r>
        <w:rPr>
          <w:b/>
          <w:bCs/>
          <w:color w:val="051C2C"/>
        </w:rPr>
        <w:t xml:space="preserve"> pada 2029, dibanding </w:t>
      </w:r>
      <w:r>
        <w:rPr>
          <w:b/>
          <w:bCs/>
          <w:color w:val="051C2C"/>
        </w:rPr>
        <w:t xml:space="preserve">53.000 desa</w:t>
      </w:r>
      <w:r>
        <w:rPr>
          <w:b/>
          <w:bCs/>
          <w:color w:val="051C2C"/>
        </w:rPr>
        <w:t xml:space="preserve"> di daerah rawan, dan belum punya evaluasi dampak </w:t>
      </w:r>
      <w:r>
        <w:rPr>
          <w:b/>
          <w:bCs/>
          <w:color w:val="051C2C"/>
        </w:rPr>
        <w:t xml:space="preserve">(BNPB, 2025c, hlm. 107, 2025e)</w:t>
      </w:r>
      <w:r>
        <w:rPr>
          <w:b/>
          <w:bCs/>
          <w:color w:val="051C2C"/>
        </w:rPr>
        <w:t xml:space="preserve">.</w:t>
      </w:r>
      <w:r>
        <w:t xml:space="preserve"> Penanggung jawab Renas PB 4.5.1.a adalah Kementerian Desa dan Pembangunan Daerah Tertinggal, BNPB, dan Kementerian Sosial. Indikator kinerja kegiatan Renstra untuk daerah yang memiliki Destana naik dari </w:t>
      </w:r>
      <w:r>
        <w:t xml:space="preserve">2,58%</w:t>
      </w:r>
      <w:r>
        <w:t xml:space="preserve"> menjadi </w:t>
      </w:r>
      <w:r>
        <w:t xml:space="preserve">3,26%</w:t>
      </w:r>
      <w:r>
        <w:t xml:space="preserve">. Perban BNPB 7/2025 memuat penilaian ketangguhan paling sedikit tiap </w:t>
      </w:r>
      <w:r>
        <w:t xml:space="preserve">3 tahun</w:t>
      </w:r>
      <w:r>
        <w:t xml:space="preserve"> dengan tiga tingkat ketangguhan, evaluasi minimal sekali setahun, dan evaluasi dampak jangka panjang sebagai kegiatan pendampingan </w:t>
      </w:r>
      <w:r>
        <w:t xml:space="preserve">(BNPB, 2025g)</w:t>
      </w:r>
      <w:r>
        <w:t xml:space="preserve">. Instrumen itu dapat menjadi bahan garis dasar evaluasi bila penilaian yang sama diterapkan pada desa pembanding (</w:t>
      </w:r>
      <w:r>
        <w:fldChar w:fldCharType="begin"/>
      </w:r>
      <w:r>
        <w:instrText xml:space="preserve"> REF _Ref0083 \h \* CHARFORMAT </w:instrText>
      </w:r>
      <w:r>
        <w:fldChar w:fldCharType="separate"/>
      </w:r>
      <w:r>
        <w:t xml:space="preserve">34</w:t>
      </w:r>
      <w:r>
        <w:fldChar w:fldCharType="end"/>
      </w:r>
      <w:r>
        <w:t xml:space="preserve">). Status Destana di kajian ini "Sudah ada, perlu dikembangkan"; yang dikembangkan adalah cara evaluasinya, sedangkan target </w:t>
      </w:r>
      <w:r>
        <w:t xml:space="preserve">7.234</w:t>
      </w:r>
      <w:r>
        <w:t xml:space="preserve"> tetap target resmi Renas PB.</w:t>
      </w:r>
    </w:p>
    <w:p>
      <w:pPr>
        <w:pStyle w:val="IsiTemuan"/>
      </w:pPr>
      <w:r>
        <w:rPr>
          <w:b/>
          <w:bCs/>
          <w:color w:val="051C2C"/>
        </w:rPr>
        <w:t xml:space="preserve">SPAB dialihkan ke kementerian pendidikan sejak 2023, dan Renas PB 2.1.2.a menargetkan peserta didik naik dari </w:t>
      </w:r>
      <w:r>
        <w:rPr>
          <w:b/>
          <w:bCs/>
          <w:color w:val="051C2C"/>
        </w:rPr>
        <w:t xml:space="preserve">4.433.262</w:t>
      </w:r>
      <w:r>
        <w:rPr>
          <w:b/>
          <w:bCs/>
          <w:color w:val="051C2C"/>
        </w:rPr>
        <w:t xml:space="preserve"> menjadi </w:t>
      </w:r>
      <w:r>
        <w:rPr>
          <w:b/>
          <w:bCs/>
          <w:color w:val="051C2C"/>
        </w:rPr>
        <w:t xml:space="preserve">38.946.645 peserta didik</w:t>
      </w:r>
      <w:r>
        <w:rPr>
          <w:b/>
          <w:bCs/>
          <w:color w:val="051C2C"/>
        </w:rPr>
        <w:t xml:space="preserve"> dengan BNPB sebagai kontributor </w:t>
      </w:r>
      <w:r>
        <w:rPr>
          <w:b/>
          <w:bCs/>
          <w:color w:val="051C2C"/>
        </w:rPr>
        <w:t xml:space="preserve">(BNPB, 2025e, hlm. 20, 2025c)</w:t>
      </w:r>
      <w:r>
        <w:rPr>
          <w:b/>
          <w:bCs/>
          <w:color w:val="051C2C"/>
        </w:rPr>
        <w:t xml:space="preserve">.</w:t>
      </w:r>
      <w:r>
        <w:t xml:space="preserve"> Penanggung jawabnya Kementerian Pendidikan Dasar dan Menengah dan Kementerian Agama. Padanan luar negerinya, pendidikan kebencanaan Kamaishi, berbukti sedang, sedangkan SPAB sendiri belum terbukti </w:t>
      </w:r>
      <w:r>
        <w:t xml:space="preserve">(Pantau Bencana, 2026d)</w:t>
      </w:r>
      <w:r>
        <w:t xml:space="preserve">. Kepatuhan daerah atas instrumen dasar juga belum lengkap: per September 2025, </w:t>
      </w:r>
      <w:r>
        <w:t xml:space="preserve">63 daerah</w:t>
      </w:r>
      <w:r>
        <w:t xml:space="preserve"> belum menuntaskan standar pelayanan minimal suburusan bencana, </w:t>
      </w:r>
      <w:r>
        <w:t xml:space="preserve">87 daerah</w:t>
      </w:r>
      <w:r>
        <w:t xml:space="preserve"> belum mengaktifkan KRB, dan </w:t>
      </w:r>
      <w:r>
        <w:t xml:space="preserve">79 daerah</w:t>
      </w:r>
      <w:r>
        <w:t xml:space="preserve"> belum menyusun IKD 2024 menurut Kementerian Dalam Negeri </w:t>
      </w:r>
      <w:r>
        <w:t xml:space="preserve">(Kemenko PMK, 2025a)</w:t>
      </w:r>
      <w:r>
        <w:t xml:space="preserve">.</w:t>
      </w:r>
    </w:p>
    <w:p>
      <w:pPr>
        <w:pStyle w:val="Isi"/>
      </w:pPr>
      <w:r>
        <w:t xml:space="preserve">Relawan penanggulangan bencana adalah orang atau kelompok yang bekerja sukarela, dengan standar minimum kemampuan sebagai syarat terdaftar dan lembaga pembina dari instansi pemerintah dan dunia usaha serta perguruan tinggi dan organisasi masyarakat (Perka BNPB 17/2011) </w:t>
      </w:r>
      <w:r>
        <w:t xml:space="preserve">(BNPB, 2011b)</w:t>
      </w:r>
      <w:r>
        <w:t xml:space="preserve">. Perban BNPB 7/2025 Pasal 1 menambahkan Tim Relawan Penanggulangan Bencana tingkat desa dan kelurahan. Relawan tidak diberi klaim efektivitas karena jumlah relawan terdaftar per provinsi dan evaluasinya tidak tersedia. Kearifan lokal tidak ditulis karena dokumen primernya tidak ditemukan.</w:t>
      </w:r>
    </w:p>
    <w:p>
      <w:pPr>
        <w:pStyle w:val="Heading2"/>
      </w:pPr>
      <w:bookmarkStart w:id="691" w:name="_Toc00223"/>
      <w:bookmarkStart w:id="690" w:name="_Ref0132"/>
      <w:r>
        <w:t xml:space="preserve">11.9</w:t>
      </w:r>
      <w:bookmarkEnd w:id="690"/>
      <w:r>
        <w:tab/>
      </w:r>
      <w:r>
        <w:t xml:space="preserve">Pemulihan per Instrumen</w:t>
      </w:r>
      <w:bookmarkEnd w:id="691"/>
    </w:p>
    <w:p>
      <w:pPr>
        <w:pStyle w:val="IsiTemuan"/>
      </w:pPr>
      <w:r>
        <w:rPr>
          <w:b/>
          <w:bCs/>
          <w:color w:val="051C2C"/>
        </w:rPr>
        <w:t xml:space="preserve">Instrumen pemulihan per penerima sudah tertulis dan bertenggat: Dana Tunggu Hunian (DTH) paling banyak </w:t>
      </w:r>
      <w:r>
        <w:rPr>
          <w:b/>
          <w:bCs/>
          <w:color w:val="051C2C"/>
        </w:rPr>
        <w:t xml:space="preserve">Rp600.000</w:t>
      </w:r>
      <w:r>
        <w:rPr>
          <w:b/>
          <w:bCs/>
          <w:color w:val="051C2C"/>
        </w:rPr>
        <w:t xml:space="preserve"> per bulan selama status atau </w:t>
      </w:r>
      <w:r>
        <w:rPr>
          <w:b/>
          <w:bCs/>
          <w:color w:val="051C2C"/>
        </w:rPr>
        <w:t xml:space="preserve">3 bulan</w:t>
      </w:r>
      <w:r>
        <w:rPr>
          <w:b/>
          <w:bCs/>
          <w:color w:val="051C2C"/>
        </w:rPr>
        <w:t xml:space="preserve">, hunian sementara minimal </w:t>
      </w:r>
      <w:r>
        <w:rPr>
          <w:b/>
          <w:bCs/>
          <w:color w:val="051C2C"/>
        </w:rPr>
        <w:t xml:space="preserve">3,5 m² per orang</w:t>
      </w:r>
      <w:r>
        <w:rPr>
          <w:b/>
          <w:bCs/>
          <w:color w:val="051C2C"/>
        </w:rPr>
        <w:t xml:space="preserve">, dan R3P paling lama </w:t>
      </w:r>
      <w:r>
        <w:rPr>
          <w:b/>
          <w:bCs/>
          <w:color w:val="051C2C"/>
        </w:rPr>
        <w:t xml:space="preserve">90 hari</w:t>
      </w:r>
      <w:r>
        <w:rPr>
          <w:b/>
          <w:bCs/>
          <w:color w:val="051C2C"/>
        </w:rPr>
        <w:t xml:space="preserve"> </w:t>
      </w:r>
      <w:r>
        <w:rPr>
          <w:b/>
          <w:bCs/>
          <w:color w:val="051C2C"/>
        </w:rPr>
        <w:t xml:space="preserve">(BNPB, 2023e, 2023g, 2017a)</w:t>
      </w:r>
      <w:r>
        <w:rPr>
          <w:b/>
          <w:bCs/>
          <w:color w:val="051C2C"/>
        </w:rPr>
        <w:t xml:space="preserve">.</w:t>
      </w:r>
      <w:r>
        <w:t xml:space="preserve"> Menurut Juklak BNPB 1/2023, DTH diberikan selama status keadaan darurat atau keadaan tertentu, dapat diberikan selama tiga bulan dan/atau berdasarkan keputusan Kepala BNPB, dan disalurkan lewat BPBD. Juklak BNPB 15/2025 khusus Aceh, Sumatera Utara, dan Sumatera Barat menetapkan nilai yang sama tetapi menyalurkannya langsung dari BNPB ke rekening penerima sesuai keputusan kepala daerah </w:t>
      </w:r>
      <w:r>
        <w:t xml:space="preserve">(BNPB, 2025i)</w:t>
      </w:r>
      <w:r>
        <w:t xml:space="preserve">. Pergeseran itu merupakan pilihan desain antara kecepatan penyaluran dan peran daerah. Stimulan rumah DSP diatur Juklak BNPB 5/2024 yang tercatat berlaku di indeks Jaringan Dokumentasi dan Informasi Hukum (JDIH) BNPB, tetapi berkasnya tidak tersedia, sehingga besaran stimulannya tidak dikutip </w:t>
      </w:r>
      <w:r>
        <w:t xml:space="preserve">(BNPB, 2024g)</w:t>
      </w:r>
      <w:r>
        <w:t xml:space="preserve">.</w:t>
      </w:r>
    </w:p>
    <w:p>
      <w:pPr>
        <w:pStyle w:val="IsiTemuan"/>
      </w:pPr>
      <w:r>
        <w:rPr>
          <w:b/>
          <w:bCs/>
          <w:color w:val="051C2C"/>
        </w:rPr>
        <w:t xml:space="preserve">Sumatra 2025 menjadi kasus berjalan: R3P Aceh selesai disusun </w:t>
      </w:r>
      <w:r>
        <w:rPr>
          <w:b/>
          <w:bCs/>
          <w:color w:val="051C2C"/>
        </w:rPr>
        <w:t xml:space="preserve">35 hari</w:t>
      </w:r>
      <w:r>
        <w:rPr>
          <w:b/>
          <w:bCs/>
          <w:color w:val="051C2C"/>
        </w:rPr>
        <w:t xml:space="preserve"> setelah kejadian dan menjadi rujukan utama pemutakhiran rencana induk percepatan pemulihan Sumatera dalam pendampingan Bappenas pada Maret 2026 </w:t>
      </w:r>
      <w:r>
        <w:rPr>
          <w:b/>
          <w:bCs/>
          <w:color w:val="051C2C"/>
        </w:rPr>
        <w:t xml:space="preserve">(Kemenko PMK, 2026)</w:t>
      </w:r>
      <w:r>
        <w:rPr>
          <w:b/>
          <w:bCs/>
          <w:color w:val="051C2C"/>
        </w:rPr>
        <w:t xml:space="preserve">.</w:t>
      </w:r>
      <w:r>
        <w:t xml:space="preserve"> Kemenko PMK menyatakan akan mengoordinasikan mekanisme diskresi perbaikan infrastruktur pusat di daerah. Inpres 18/2025 tentang "Percepatan Penanganan Darurat, Rehabilitasi, dan Rekonstruksi Pascabencana Alam" di ketiga provinsi ditetapkan 29 Desember 2025, dengan Menteri Koordinator Bidang Infrastruktur dan Pembangunan Kewilayahan mengoordinasikan pembangunan infrastruktur dan pemerintah daerah diminta berkoordinasi dengan BNPB </w:t>
      </w:r>
      <w:r>
        <w:t xml:space="preserve">(Kementerian Koordinator Bidang Infrastruktur dan Pembangunan Kewilayahan, 2025)</w:t>
      </w:r>
      <w:r>
        <w:t xml:space="preserve">. Isi instruksi kepada Kepala BNPB tidak dikutip karena teks lengkap Inpres itu belum dibuka. Dokumen R3P Sumatera Utara dan Sumatera Barat juga belum diperoleh (</w:t>
      </w:r>
      <w:r>
        <w:fldChar w:fldCharType="begin"/>
      </w:r>
      <w:r>
        <w:instrText xml:space="preserve"> REF _Ref0102 \h \* CHARFORMAT </w:instrText>
      </w:r>
      <w:r>
        <w:fldChar w:fldCharType="separate"/>
      </w:r>
      <w:r>
        <w:t xml:space="preserve">27</w:t>
      </w:r>
      <w:r>
        <w:fldChar w:fldCharType="end"/>
      </w:r>
      <w:r>
        <w:t xml:space="preserve">).</w:t>
      </w:r>
    </w:p>
    <w:p>
      <w:pPr>
        <w:pStyle w:val="IsiTemuan"/>
      </w:pPr>
      <w:r>
        <w:rPr>
          <w:b/>
          <w:bCs/>
          <w:color w:val="051C2C"/>
        </w:rPr>
        <w:t xml:space="preserve">Kementerian Dalam Negeri masuk rantai rehabilitasi dan rekonstruksi lewat satu norma: laporan hibah tiap </w:t>
      </w:r>
      <w:r>
        <w:rPr>
          <w:b/>
          <w:bCs/>
          <w:color w:val="051C2C"/>
        </w:rPr>
        <w:t xml:space="preserve">3 bulan</w:t>
      </w:r>
      <w:r>
        <w:rPr>
          <w:b/>
          <w:bCs/>
          <w:color w:val="051C2C"/>
        </w:rPr>
        <w:t xml:space="preserve"> kepada Kepala BNPB, Menteri Keuangan, dan Menteri Dalam Negeri (Perban BNPB 4/2024 Pasal 28) </w:t>
      </w:r>
      <w:r>
        <w:rPr>
          <w:b/>
          <w:bCs/>
          <w:color w:val="051C2C"/>
        </w:rPr>
        <w:t xml:space="preserve">(BNPB, 2024d)</w:t>
      </w:r>
      <w:r>
        <w:rPr>
          <w:b/>
          <w:bCs/>
          <w:color w:val="051C2C"/>
        </w:rPr>
        <w:t xml:space="preserve">.</w:t>
      </w:r>
      <w:r>
        <w:t xml:space="preserve"> Dalam rapat koordinasi Kemenko PMK tentang rehabilitasi dan rekonstruksi pascabencana, wakil Kementerian Dalam Negeri menyatakan penyelenggaraannya harus mengacu kewenangan pemerintah daerah menurut UU 23/2014 dan UU 24/2007 </w:t>
      </w:r>
      <w:r>
        <w:t xml:space="preserve">(Kemenko PMK, 2025b)</w:t>
      </w:r>
      <w:r>
        <w:t xml:space="preserve">. Dokumen sinkronisasi nomenklatur kegiatan rehabilitasi dan rekonstruksi BNPB dengan Kementerian Dalam Negeri tidak ditemukan pada penelusuran 24 Oktober 2026, sehingga penyelarasan nomenklatur ditulis sebagai kebutuhan berlabel usulan penyusun. Indeks JDIH masih menandai Perka BNPB 17/2010 berlaku, padahal Perban BNPB 5/2017 Pasal 12 mencabutnya </w:t>
      </w:r>
      <w:r>
        <w:t xml:space="preserve">(BNPB, 2010)</w:t>
      </w:r>
      <w:r>
        <w:t xml:space="preserve">; ketidaksesuaian itu dicatat di lampiran penyelarasan dokumen BNPB.</w:t>
      </w:r>
    </w:p>
    <w:p>
      <w:pPr>
        <w:pStyle w:val="Heading2"/>
      </w:pPr>
      <w:bookmarkStart w:id="693" w:name="_Toc00224"/>
      <w:bookmarkStart w:id="692" w:name="_Ref0126"/>
      <w:r>
        <w:t xml:space="preserve">11.10</w:t>
      </w:r>
      <w:bookmarkEnd w:id="692"/>
      <w:r>
        <w:tab/>
      </w:r>
      <w:r>
        <w:t xml:space="preserve">Agenda Bukti 2026–2030</w:t>
      </w:r>
      <w:bookmarkEnd w:id="693"/>
    </w:p>
    <w:p>
      <w:pPr>
        <w:pStyle w:val="IsiTemuan"/>
      </w:pPr>
      <w:r>
        <w:rPr>
          <w:b/>
          <w:bCs/>
          <w:color w:val="051C2C"/>
        </w:rPr>
        <w:t xml:space="preserve">Empat program berjalan yang dibiayai negara di lingkup kajian ini belum punya evaluasi dampak berpembanding, dan platform Pantau Bencana belum mencatat satu sortie OMC pun per 23 Oktober 2026 </w:t>
      </w:r>
      <w:r>
        <w:rPr>
          <w:b/>
          <w:bCs/>
          <w:color w:val="051C2C"/>
        </w:rPr>
        <w:t xml:space="preserve">(Pantau Bencana, 2026d)</w:t>
      </w:r>
      <w:r>
        <w:rPr>
          <w:b/>
          <w:bCs/>
          <w:color w:val="051C2C"/>
        </w:rPr>
        <w:t xml:space="preserve">.</w:t>
      </w:r>
      <w:r>
        <w:t xml:space="preserve"> Destana dan SPAB belum terbukti. InaTEWS berbukti sedang dari satu kejadian, dengan hulu cepat pada Palu 2018 tetapi hilir yang lemah: keterpenuhan sistem peringatan dini baru </w:t>
      </w:r>
      <w:r>
        <w:t xml:space="preserve">6%</w:t>
      </w:r>
      <w:r>
        <w:t xml:space="preserve"> dari masyarakat terpapar di kawasan risiko tinggi, dan sirene terpasang ditargetkan naik dari </w:t>
      </w:r>
      <w:r>
        <w:t xml:space="preserve">23</w:t>
      </w:r>
      <w:r>
        <w:t xml:space="preserve"> menjadi </w:t>
      </w:r>
      <w:r>
        <w:t xml:space="preserve">170 paket</w:t>
      </w:r>
      <w:r>
        <w:t xml:space="preserve"> </w:t>
      </w:r>
      <w:r>
        <w:t xml:space="preserve">(BNPB, 2025e)</w:t>
      </w:r>
      <w:r>
        <w:t xml:space="preserve">. OMC tidak punya baris kompendium. Pemantauan dan evaluasi operasi modifikasi cuaca beserta pelaporannya berada di Deputi Bidang Modifikasi Cuaca BMKG (Perpres 12/2024 Pasal 24 huruf f) </w:t>
      </w:r>
      <w:r>
        <w:t xml:space="preserve">(Republik Indonesia, 2024d)</w:t>
      </w:r>
      <w:r>
        <w:t xml:space="preserve">, dan BMKG memakai penyemaian es kering untuk asap karhutla pada Oktober 2026 dengan koordinasi BNPB </w:t>
      </w:r>
      <w:r>
        <w:t xml:space="preserve">(BMKG, 2026d)</w:t>
      </w:r>
      <w:r>
        <w:t xml:space="preserve">. Kesesuaian lokasi atau waktu operasi dengan sasaran belum membuktikan sebab-akibat.</w:t>
      </w:r>
    </w:p>
    <w:p>
      <w:pPr>
        <w:pStyle w:val="Isi"/>
      </w:pPr>
      <w:r>
        <w:t xml:space="preserve">Agenda di </w:t>
      </w:r>
      <w:r>
        <w:fldChar w:fldCharType="begin"/>
      </w:r>
      <w:r>
        <w:instrText xml:space="preserve"> REF _Ref0254 \h \* CHARFORMAT </w:instrText>
      </w:r>
      <w:r>
        <w:fldChar w:fldCharType="separate"/>
      </w:r>
      <w:r>
        <w:t xml:space="preserve">Tabel 11.8</w:t>
      </w:r>
      <w:r>
        <w:fldChar w:fldCharType="end"/>
      </w:r>
      <w:r>
        <w:t xml:space="preserve"> menetapkan garis dasar dan pembanding tiap program beserta ukuran hasil dan tahun hasilnya, dengan pemimpin per baris dan instrumen yang sudah ada. Semua kolom metodenya usulan penyusun (</w:t>
      </w:r>
      <w:r>
        <w:fldChar w:fldCharType="begin"/>
      </w:r>
      <w:r>
        <w:instrText xml:space="preserve"> REF _Ref0104 \h \* CHARFORMAT </w:instrText>
      </w:r>
      <w:r>
        <w:fldChar w:fldCharType="separate"/>
      </w:r>
      <w:r>
        <w:t xml:space="preserve">40</w:t>
      </w:r>
      <w:r>
        <w:fldChar w:fldCharType="end"/>
      </w:r>
      <w:r>
        <w:t xml:space="preserve">). "Belum terbukti" berarti bukti dampak tidak ditemukan pada penelusuran 23–24 Oktober 2026, bukan program tidak bermanfaat. Embung dan polder masuk agenda bukti kajian air dan tidak ditulis ulang di sini.</w:t>
      </w:r>
    </w:p>
    <w:p>
      <w:pPr>
        <w:pStyle w:val="Caption"/>
      </w:pPr>
      <w:bookmarkStart w:id="695" w:name="_Toc00225"/>
      <w:bookmarkStart w:id="694" w:name="_Ref025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694"/>
      <w:r>
        <w:rPr>
          <w:b/>
          <w:bCs/>
          <w:color w:val="051C2C"/>
        </w:rPr>
        <w:t xml:space="preserve"> </w:t>
      </w:r>
      <w:r>
        <w:t xml:space="preserve">Agenda evaluasi dampak program berjalan menurut garis dasar, pembanding, ukuran hasil, pemimpin, dan tahun hasil, 2026–2030</w:t>
      </w:r>
      <w:bookmarkEnd w:id="69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42"/>
        <w:gridCol w:w="1588"/>
        <w:gridCol w:w="1701"/>
        <w:gridCol w:w="1621"/>
        <w:gridCol w:w="1775"/>
        <w:gridCol w:w="927"/>
      </w:tblGrid>
      <w:tr>
        <w:trPr>
          <w:cantSplit/>
          <w:tblHeader/>
        </w:trPr>
        <w:tc>
          <w:tcPr>
            <w:tcW w:w="1742" w:type="dxa"/>
            <w:shd w:val="clear" w:color="auto" w:fill="051C2C"/>
            <w:vAlign w:val="center"/>
          </w:tcPr>
          <w:p>
            <w:pPr>
              <w:pStyle w:val="KepalaTabel"/>
              <w:keepNext/>
              <w:suppressAutoHyphens/>
            </w:pPr>
            <w:r>
              <w:t xml:space="preserve">PROGRAM</w:t>
            </w:r>
          </w:p>
        </w:tc>
        <w:tc>
          <w:tcPr>
            <w:tcW w:w="1588" w:type="dxa"/>
            <w:shd w:val="clear" w:color="auto" w:fill="051C2C"/>
            <w:vAlign w:val="center"/>
          </w:tcPr>
          <w:p>
            <w:pPr>
              <w:pStyle w:val="KepalaTabel"/>
              <w:keepNext/>
              <w:suppressAutoHyphens/>
            </w:pPr>
            <w:r>
              <w:t xml:space="preserve">GARIS DASAR</w:t>
            </w:r>
          </w:p>
        </w:tc>
        <w:tc>
          <w:tcPr>
            <w:tcW w:w="1701" w:type="dxa"/>
            <w:shd w:val="clear" w:color="auto" w:fill="051C2C"/>
            <w:vAlign w:val="center"/>
          </w:tcPr>
          <w:p>
            <w:pPr>
              <w:pStyle w:val="KepalaTabel"/>
              <w:keepNext/>
              <w:suppressAutoHyphens/>
            </w:pPr>
            <w:r>
              <w:t xml:space="preserve">PEMBANDING</w:t>
            </w:r>
          </w:p>
        </w:tc>
        <w:tc>
          <w:tcPr>
            <w:tcW w:w="1621" w:type="dxa"/>
            <w:shd w:val="clear" w:color="auto" w:fill="051C2C"/>
            <w:vAlign w:val="center"/>
          </w:tcPr>
          <w:p>
            <w:pPr>
              <w:pStyle w:val="KepalaTabel"/>
              <w:keepNext/>
              <w:suppressAutoHyphens/>
            </w:pPr>
            <w:r>
              <w:t xml:space="preserve">UKURAN HASIL</w:t>
            </w:r>
          </w:p>
        </w:tc>
        <w:tc>
          <w:tcPr>
            <w:tcW w:w="1775" w:type="dxa"/>
            <w:shd w:val="clear" w:color="auto" w:fill="051C2C"/>
            <w:vAlign w:val="center"/>
          </w:tcPr>
          <w:p>
            <w:pPr>
              <w:pStyle w:val="KepalaTabel"/>
              <w:keepNext/>
              <w:suppressAutoHyphens/>
            </w:pPr>
            <w:r>
              <w:t xml:space="preserve">PEMIMPIN; UNIT BNPB</w:t>
            </w:r>
          </w:p>
        </w:tc>
        <w:tc>
          <w:tcPr>
            <w:tcW w:w="927" w:type="dxa"/>
            <w:shd w:val="clear" w:color="auto" w:fill="051C2C"/>
            <w:vAlign w:val="center"/>
          </w:tcPr>
          <w:p>
            <w:pPr>
              <w:pStyle w:val="KepalaTabel"/>
              <w:keepNext/>
              <w:suppressAutoHyphens/>
            </w:pPr>
            <w:r>
              <w:t xml:space="preserve">TAHUN HASIL</w:t>
            </w:r>
          </w:p>
        </w:tc>
      </w:tr>
      <w:tr>
        <w:trPr>
          <w:cantSplit/>
        </w:trPr>
        <w:tc>
          <w:tcPr>
            <w:tcW w:w="1742" w:type="dxa"/>
          </w:tcPr>
          <w:p>
            <w:pPr>
              <w:pStyle w:val="IsiTabel"/>
              <w:keepNext/>
              <w:suppressAutoHyphens/>
              <w:jc w:val="left"/>
            </w:pPr>
            <w:bookmarkStart w:id="696" w:name="_Ekor082a"/>
            <w:bookmarkEnd w:id="696"/>
            <w:r>
              <w:t xml:space="preserve">Destana (P01)</w:t>
            </w:r>
          </w:p>
        </w:tc>
        <w:tc>
          <w:tcPr>
            <w:tcW w:w="1588" w:type="dxa"/>
          </w:tcPr>
          <w:p>
            <w:pPr>
              <w:pStyle w:val="IsiTabel"/>
              <w:keepNext/>
              <w:suppressAutoHyphens/>
              <w:jc w:val="left"/>
            </w:pPr>
            <w:r>
              <w:t xml:space="preserve">penilaian ketangguhan Perban BNPB 7/2025 di desa Destana dan desa rawan belum Destana, 2027</w:t>
            </w:r>
          </w:p>
        </w:tc>
        <w:tc>
          <w:tcPr>
            <w:tcW w:w="1701" w:type="dxa"/>
          </w:tcPr>
          <w:p>
            <w:pPr>
              <w:pStyle w:val="IsiTabel"/>
              <w:keepNext/>
              <w:suppressAutoHyphens/>
              <w:jc w:val="left"/>
            </w:pPr>
            <w:r>
              <w:t xml:space="preserve">desa rawan sejenis yang belum dibina</w:t>
            </w:r>
          </w:p>
        </w:tc>
        <w:tc>
          <w:tcPr>
            <w:tcW w:w="1621" w:type="dxa"/>
          </w:tcPr>
          <w:p>
            <w:pPr>
              <w:pStyle w:val="IsiTabel"/>
              <w:keepNext/>
              <w:suppressAutoHyphens/>
              <w:jc w:val="left"/>
            </w:pPr>
            <w:r>
              <w:t xml:space="preserve">perubahan tingkat ketangguhan; meninggal, hilang, dan menderita per desa bila data desa tersedia</w:t>
            </w:r>
          </w:p>
        </w:tc>
        <w:tc>
          <w:tcPr>
            <w:tcW w:w="1775" w:type="dxa"/>
          </w:tcPr>
          <w:p>
            <w:pPr>
              <w:pStyle w:val="IsiTabel"/>
              <w:keepNext/>
              <w:suppressAutoHyphens/>
              <w:jc w:val="left"/>
            </w:pPr>
            <w:r>
              <w:t xml:space="preserve">Kementerian Desa dan Pembangunan Daerah Tertinggal, BNPB, Kementerian Sosial; Direktorat Kesiapsiagaan</w:t>
            </w:r>
          </w:p>
        </w:tc>
        <w:tc>
          <w:tcPr>
            <w:tcW w:w="927" w:type="dxa"/>
          </w:tcPr>
          <w:p>
            <w:pPr>
              <w:pStyle w:val="IsiTabel"/>
              <w:keepNext/>
              <w:suppressAutoHyphens/>
              <w:jc w:val="left"/>
            </w:pPr>
            <w:r>
              <w:t xml:space="preserve">2030</w:t>
            </w:r>
          </w:p>
        </w:tc>
      </w:tr>
      <w:tr>
        <w:trPr>
          <w:cantSplit/>
        </w:trPr>
        <w:tc>
          <w:tcPr>
            <w:tcW w:w="1742" w:type="dxa"/>
          </w:tcPr>
          <w:p>
            <w:pPr>
              <w:pStyle w:val="IsiTabel"/>
              <w:keepNext/>
              <w:suppressAutoHyphens/>
              <w:jc w:val="left"/>
            </w:pPr>
            <w:r>
              <w:t xml:space="preserve">SPAB (P02)</w:t>
            </w:r>
          </w:p>
        </w:tc>
        <w:tc>
          <w:tcPr>
            <w:tcW w:w="1588" w:type="dxa"/>
          </w:tcPr>
          <w:p>
            <w:pPr>
              <w:pStyle w:val="IsiTabel"/>
              <w:keepNext/>
              <w:suppressAutoHyphens/>
              <w:jc w:val="left"/>
            </w:pPr>
            <w:r>
              <w:t xml:space="preserve">waktu evakuasi dan porsi siswa ikut gladi di sekolah sampel, 2027</w:t>
            </w:r>
          </w:p>
        </w:tc>
        <w:tc>
          <w:tcPr>
            <w:tcW w:w="1701" w:type="dxa"/>
          </w:tcPr>
          <w:p>
            <w:pPr>
              <w:pStyle w:val="IsiTabel"/>
              <w:keepNext/>
              <w:suppressAutoHyphens/>
              <w:jc w:val="left"/>
            </w:pPr>
            <w:r>
              <w:t xml:space="preserve">sekolah yang belum menerapkan SPAB</w:t>
            </w:r>
          </w:p>
        </w:tc>
        <w:tc>
          <w:tcPr>
            <w:tcW w:w="1621" w:type="dxa"/>
          </w:tcPr>
          <w:p>
            <w:pPr>
              <w:pStyle w:val="IsiTabel"/>
              <w:keepNext/>
              <w:suppressAutoHyphens/>
              <w:jc w:val="left"/>
            </w:pPr>
            <w:r>
              <w:t xml:space="preserve">waktu evakuasi; kerusakan gedung pada kejadian</w:t>
            </w:r>
          </w:p>
        </w:tc>
        <w:tc>
          <w:tcPr>
            <w:tcW w:w="1775" w:type="dxa"/>
          </w:tcPr>
          <w:p>
            <w:pPr>
              <w:pStyle w:val="IsiTabel"/>
              <w:keepNext/>
              <w:suppressAutoHyphens/>
              <w:jc w:val="left"/>
            </w:pPr>
            <w:r>
              <w:t xml:space="preserve">Kementerian Pendidikan Dasar dan Menengah, Kementerian Agama; Direktorat Kesiapsiagaan sebagai kontributor</w:t>
            </w:r>
          </w:p>
        </w:tc>
        <w:tc>
          <w:tcPr>
            <w:tcW w:w="927" w:type="dxa"/>
          </w:tcPr>
          <w:p>
            <w:pPr>
              <w:pStyle w:val="IsiTabel"/>
              <w:keepNext/>
              <w:suppressAutoHyphens/>
              <w:jc w:val="left"/>
            </w:pPr>
            <w:r>
              <w:t xml:space="preserve">2029</w:t>
            </w:r>
          </w:p>
        </w:tc>
      </w:tr>
      <w:tr>
        <w:trPr>
          <w:cantSplit/>
        </w:trPr>
        <w:tc>
          <w:tcPr>
            <w:tcW w:w="1742" w:type="dxa"/>
          </w:tcPr>
          <w:p>
            <w:pPr>
              <w:pStyle w:val="IsiTabel"/>
              <w:keepNext/>
              <w:suppressAutoHyphens/>
              <w:jc w:val="left"/>
            </w:pPr>
            <w:r>
              <w:t xml:space="preserve">InaTEWS hilir (P03)</w:t>
            </w:r>
          </w:p>
        </w:tc>
        <w:tc>
          <w:tcPr>
            <w:tcW w:w="1588" w:type="dxa"/>
          </w:tcPr>
          <w:p>
            <w:pPr>
              <w:pStyle w:val="IsiTabel"/>
              <w:keepNext/>
              <w:suppressAutoHyphens/>
              <w:jc w:val="left"/>
            </w:pPr>
            <w:r>
              <w:t xml:space="preserve">waktu dari peringatan BMKG sampai pesan di desa pesisir per kab</w:t>
            </w:r>
          </w:p>
        </w:tc>
        <w:tc>
          <w:tcPr>
            <w:tcW w:w="1701" w:type="dxa"/>
          </w:tcPr>
          <w:p>
            <w:pPr>
              <w:pStyle w:val="IsiTabel"/>
              <w:keepNext/>
              <w:suppressAutoHyphens/>
              <w:jc w:val="left"/>
            </w:pPr>
            <w:r>
              <w:t xml:space="preserve">kab tanpa sirene atau tanpa pusat pengendalian operasi siaga terus-menerus</w:t>
            </w:r>
          </w:p>
        </w:tc>
        <w:tc>
          <w:tcPr>
            <w:tcW w:w="1621" w:type="dxa"/>
          </w:tcPr>
          <w:p>
            <w:pPr>
              <w:pStyle w:val="IsiTabel"/>
              <w:keepNext/>
              <w:suppressAutoHyphens/>
              <w:jc w:val="left"/>
            </w:pPr>
            <w:r>
              <w:t xml:space="preserve">porsi warga menerima pesan; waktu evakuasi pada gladi dan kejadian</w:t>
            </w:r>
          </w:p>
        </w:tc>
        <w:tc>
          <w:tcPr>
            <w:tcW w:w="1775" w:type="dxa"/>
          </w:tcPr>
          <w:p>
            <w:pPr>
              <w:pStyle w:val="IsiTabel"/>
              <w:keepNext/>
              <w:suppressAutoHyphens/>
              <w:jc w:val="left"/>
            </w:pPr>
            <w:r>
              <w:t xml:space="preserve">BMKG; Direktorat Peringatan Dini</w:t>
            </w:r>
          </w:p>
        </w:tc>
        <w:tc>
          <w:tcPr>
            <w:tcW w:w="927" w:type="dxa"/>
          </w:tcPr>
          <w:p>
            <w:pPr>
              <w:pStyle w:val="IsiTabel"/>
              <w:keepNext/>
              <w:suppressAutoHyphens/>
              <w:jc w:val="left"/>
            </w:pPr>
            <w:r>
              <w:t xml:space="preserve">2028</w:t>
            </w:r>
          </w:p>
        </w:tc>
      </w:tr>
      <w:tr>
        <w:trPr>
          <w:cantSplit/>
        </w:trPr>
        <w:tc>
          <w:tcPr>
            <w:tcW w:w="1742" w:type="dxa"/>
          </w:tcPr>
          <w:p>
            <w:pPr>
              <w:pStyle w:val="IsiTabel"/>
              <w:suppressAutoHyphens/>
              <w:jc w:val="left"/>
            </w:pPr>
            <w:bookmarkStart w:id="697" w:name="_Ekor082z"/>
            <w:bookmarkEnd w:id="697"/>
            <w:r>
              <w:t xml:space="preserve">OMC</w:t>
            </w:r>
          </w:p>
        </w:tc>
        <w:tc>
          <w:tcPr>
            <w:tcW w:w="1588" w:type="dxa"/>
          </w:tcPr>
          <w:p>
            <w:pPr>
              <w:pStyle w:val="IsiTabel"/>
              <w:suppressAutoHyphens/>
              <w:jc w:val="left"/>
            </w:pPr>
            <w:r>
              <w:t xml:space="preserve">catatan sortie terbuka (lokasi, waktu, bahan, sasaran) mulai musim berikut</w:t>
            </w:r>
          </w:p>
        </w:tc>
        <w:tc>
          <w:tcPr>
            <w:tcW w:w="1701" w:type="dxa"/>
          </w:tcPr>
          <w:p>
            <w:pPr>
              <w:pStyle w:val="IsiTabel"/>
              <w:suppressAutoHyphens/>
              <w:jc w:val="left"/>
            </w:pPr>
            <w:r>
              <w:t xml:space="preserve">hari dan wilayah tanpa sortie; stasiun kontrol</w:t>
            </w:r>
          </w:p>
        </w:tc>
        <w:tc>
          <w:tcPr>
            <w:tcW w:w="1621" w:type="dxa"/>
          </w:tcPr>
          <w:p>
            <w:pPr>
              <w:pStyle w:val="IsiTabel"/>
              <w:suppressAutoHyphens/>
              <w:jc w:val="left"/>
            </w:pPr>
            <w:r>
              <w:t xml:space="preserve">curah hujan sasaran, aliran masuk waduk, PM2,5 dan jarak pandang asap</w:t>
            </w:r>
          </w:p>
        </w:tc>
        <w:tc>
          <w:tcPr>
            <w:tcW w:w="1775" w:type="dxa"/>
          </w:tcPr>
          <w:p>
            <w:pPr>
              <w:pStyle w:val="IsiTabel"/>
              <w:suppressAutoHyphens/>
              <w:jc w:val="left"/>
            </w:pPr>
            <w:r>
              <w:t xml:space="preserve">BMKG (Deputi Bidang Modifikasi Cuaca); BNPB sebagai penanggung jawab Renas PB 1.2.1.h</w:t>
            </w:r>
          </w:p>
        </w:tc>
        <w:tc>
          <w:tcPr>
            <w:tcW w:w="927" w:type="dxa"/>
          </w:tcPr>
          <w:p>
            <w:pPr>
              <w:pStyle w:val="IsiTabel"/>
              <w:suppressAutoHyphens/>
              <w:jc w:val="left"/>
            </w:pPr>
            <w:r>
              <w:t xml:space="preserve">mulai 2027, evaluasi 2029</w:t>
            </w:r>
          </w:p>
        </w:tc>
      </w:tr>
    </w:tbl>
    <w:p>
      <w:pPr>
        <w:pStyle w:val="Sumber"/>
        <w:spacing w:after="40"/>
      </w:pPr>
      <w:r>
        <w:rPr>
          <w:b/>
          <w:bCs/>
          <w:color w:val="6B7280"/>
          <w:sz w:val="17"/>
          <w:szCs w:val="17"/>
        </w:rPr>
        <w:t xml:space="preserve">Sumber: </w:t>
      </w:r>
      <w:r>
        <w:rPr>
          <w:color w:val="6B7280"/>
          <w:sz w:val="17"/>
          <w:szCs w:val="17"/>
        </w:rPr>
        <w:t xml:space="preserve">Kompendium program Pantau Bencana; Perban BNPB 7/2025; Perpres 12/2024; Renas PB 2025–2029;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Kolom metode usulan penyusun; embung dan polder masuk agenda bukti kajian air.</w:t>
      </w:r>
    </w:p>
    <w:p>
      <w:r>
        <w:br w:type="page"/>
      </w:r>
    </w:p>
    <w:p>
      <w:pPr>
        <w:pStyle w:val="Heading4"/>
      </w:pPr>
      <w:r>
        <w:t xml:space="preserve">Studi Kasus Kesiapsiagaan Siklon Bangladesh</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suppressAutoHyphens/>
              <w:spacing w:after="0"/>
            </w:pPr>
            <w:r>
              <w:rPr>
                <w:position w:val="-10"/>
              </w:rPr>
              <w:drawing>
                <wp:inline distT="0" distB="0" distL="0" distR="0">
                  <wp:extent cx="216000" cy="216000"/>
                  <wp:effectExtent l="0" t="0" r="0" b="0"/>
                  <wp:docPr id="185" name="Gambar 185"/>
                  <wp:cNvGraphicFramePr>
                    <a:graphicFrameLocks noChangeAspect="1"/>
                  </wp:cNvGraphicFramePr>
                  <a:graphic>
                    <a:graphicData uri="http://schemas.openxmlformats.org/drawingml/2006/picture">
                      <pic:pic>
                        <pic:nvPicPr>
                          <pic:cNvPr id="185" name="lembaga-lucide-landmark-FFFFFF-051C2C.png"/>
                          <pic:cNvPicPr/>
                        </pic:nvPicPr>
                        <pic:blipFill>
                          <a:blip r:embed="rId31"/>
                          <a:stretch>
                            <a:fillRect/>
                          </a:stretch>
                        </pic:blipFill>
                        <pic:spPr>
                          <a:xfrm>
                            <a:off x="0" y="0"/>
                            <a:ext cx="216000" cy="216000"/>
                          </a:xfrm>
                          <a:prstGeom prst="rect">
                            <a:avLst/>
                          </a:prstGeom>
                        </pic:spPr>
                      </pic:pic>
                    </a:graphicData>
                  </a:graphic>
                </wp:inline>
              </w:drawing>
            </w:r>
            <w:r>
              <w:t xml:space="preserve"> </w:t>
            </w:r>
            <w:r>
              <w:rPr>
                <w:b/>
                <w:bCs/>
                <w:color w:val="1A1A1A"/>
              </w:rPr>
              <w:t xml:space="preserve">Kematian akibat siklon di Bangladesh turun dari </w:t>
            </w:r>
            <w:r>
              <w:rPr>
                <w:b/>
                <w:bCs/>
                <w:color w:val="1A1A1A"/>
              </w:rPr>
              <w:t xml:space="preserve">500.300 jiwa</w:t>
            </w:r>
            <w:r>
              <w:rPr>
                <w:b/>
                <w:bCs/>
                <w:color w:val="1A1A1A"/>
              </w:rPr>
              <w:t xml:space="preserve"> pada 1970 menjadi </w:t>
            </w:r>
            <w:r>
              <w:rPr>
                <w:b/>
                <w:bCs/>
                <w:color w:val="1A1A1A"/>
              </w:rPr>
              <w:t xml:space="preserve">197 jiwa</w:t>
            </w:r>
            <w:r>
              <w:rPr>
                <w:b/>
                <w:bCs/>
                <w:color w:val="1A1A1A"/>
              </w:rPr>
              <w:t xml:space="preserve"> pada 2009</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Pesisir Bangladesh</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Pemerintah Bangladesh; Bulan Sabit Merah Bangladesh (Cyclone Preparedness Programme)</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1970–2009</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Kematian siklon </w:t>
            </w:r>
            <w:r>
              <w:t xml:space="preserve">500.300</w:t>
            </w:r>
            <w:r>
              <w:t xml:space="preserve"> (1970), </w:t>
            </w:r>
            <w:r>
              <w:t xml:space="preserve">138.958</w:t>
            </w:r>
            <w:r>
              <w:t xml:space="preserve"> (1991), </w:t>
            </w:r>
            <w:r>
              <w:t xml:space="preserve">410</w:t>
            </w:r>
            <w:r>
              <w:t xml:space="preserve"> (1997), </w:t>
            </w:r>
            <w:r>
              <w:t xml:space="preserve">4.234</w:t>
            </w:r>
            <w:r>
              <w:t xml:space="preserve"> (Sidr 2007), dan </w:t>
            </w:r>
            <w:r>
              <w:t xml:space="preserve">197</w:t>
            </w:r>
            <w:r>
              <w:t xml:space="preserve"> (2009)</w:t>
            </w:r>
          </w:p>
        </w:tc>
      </w:tr>
      <w:tr>
        <w:tc>
          <w:tcPr>
            <w:tcW w:w="9354" w:type="dxa"/>
            <w:gridSpan w:val="2"/>
          </w:tcPr>
          <w:p>
            <w:pPr>
              <w:pStyle w:val="IsiKotak"/>
              <w:suppressAutoHyphens/>
            </w:pPr>
            <w:r>
              <w:rPr>
                <w:b/>
                <w:bCs/>
                <w:color w:val="1A1A1A"/>
              </w:rPr>
              <w:t xml:space="preserve">Masalah: </w:t>
            </w:r>
            <w:r>
              <w:t xml:space="preserve">Siklon 1970 menewaskan </w:t>
            </w:r>
            <w:r>
              <w:t xml:space="preserve">500.300 jiwa</w:t>
            </w:r>
            <w:r>
              <w:t xml:space="preserve"> menurut Tabel 1 </w:t>
            </w:r>
            <w:r>
              <w:t xml:space="preserve">Haque dkk. (2012)</w:t>
            </w:r>
            <w:r>
              <w:t xml:space="preserve">; sumber lain memuat angka berbeda untuk tahun yang sama, dan angka Haque dipakai karena dibuka dari sumber primer.</w:t>
            </w:r>
          </w:p>
          <w:p>
            <w:pPr>
              <w:pStyle w:val="IsiKotak"/>
              <w:suppressAutoHyphens/>
            </w:pPr>
            <w:r>
              <w:rPr>
                <w:b/>
                <w:bCs/>
                <w:color w:val="1A1A1A"/>
              </w:rPr>
              <w:t xml:space="preserve">Pelaksana: </w:t>
            </w:r>
            <w:r>
              <w:t xml:space="preserve">Pemerintah Bangladesh bersama Bulan Sabit Merah Bangladesh menjalankan Cyclone Preparedness Programme dengan lebih dari </w:t>
            </w:r>
            <w:r>
              <w:t xml:space="preserve">20.000</w:t>
            </w:r>
            <w:r>
              <w:t xml:space="preserve"> relawan saat siaga siklon, ditambah tempat perlindungan siklon dan tanggul pesisir.</w:t>
            </w:r>
          </w:p>
          <w:p>
            <w:pPr>
              <w:pStyle w:val="IsiKotak"/>
              <w:suppressAutoHyphens/>
            </w:pPr>
            <w:r>
              <w:rPr>
                <w:b/>
                <w:bCs/>
                <w:color w:val="1A1A1A"/>
              </w:rPr>
              <w:t xml:space="preserve">Cara: </w:t>
            </w:r>
            <w:r>
              <w:t xml:space="preserve">Peringatan dini berjenjang sampai desa, relawan desa yang mengantar warga ke tempat perlindungan, dan tanggul pesisir dijalankan bersama sebagai satu paket.</w:t>
            </w:r>
          </w:p>
          <w:p>
            <w:pPr>
              <w:pStyle w:val="IsiKotak"/>
              <w:suppressAutoHyphens/>
            </w:pPr>
            <w:r>
              <w:rPr>
                <w:b/>
                <w:bCs/>
                <w:color w:val="1A1A1A"/>
              </w:rPr>
              <w:t xml:space="preserve">Hasil: </w:t>
            </w:r>
            <w:r>
              <w:t xml:space="preserve">Kematian turun lebih dari </w:t>
            </w:r>
            <w:r>
              <w:t xml:space="preserve">100 kali</w:t>
            </w:r>
            <w:r>
              <w:t xml:space="preserve"> dalam empat dekade dan kekuatan buktinya kuat untuk paket itu. Efek terpisah tiap unsur paket belum dibuktikan, sehingga tidak satu unsur pun dapat ditiru sendirian dengan klaim terbukti. Padanannya di Indonesia adalah relawan penanggulangan bencana dan Destana, ditambah peringatan dini tsunami, berstatus "Sudah ada, perlu dikembangkan".</w:t>
            </w:r>
          </w:p>
          <w:p>
            <w:pPr>
              <w:pStyle w:val="Sumber"/>
              <w:suppressAutoHyphens/>
            </w:pPr>
            <w:r>
              <w:rPr>
                <w:b/>
                <w:bCs/>
                <w:color w:val="6B7280"/>
                <w:sz w:val="17"/>
                <w:szCs w:val="17"/>
              </w:rPr>
              <w:t xml:space="preserve">Sumber: </w:t>
            </w:r>
            <w:r>
              <w:rPr>
                <w:color w:val="6B7280"/>
                <w:sz w:val="17"/>
                <w:szCs w:val="17"/>
              </w:rPr>
              <w:t xml:space="preserve">(Haque dkk., 2012)</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p>
      <w:pPr>
        <w:pStyle w:val="Heading4"/>
      </w:pPr>
      <w:r>
        <w:t xml:space="preserve">Studi Kasus Evakuasi Siklon Odisha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tabs>
                <w:tab w:val="right" w:pos="9014"/>
              </w:tabs>
              <w:suppressAutoHyphens/>
              <w:spacing w:after="0"/>
            </w:pPr>
            <w:r>
              <w:rPr>
                <w:position w:val="-10"/>
              </w:rPr>
              <w:drawing>
                <wp:inline distT="0" distB="0" distL="0" distR="0">
                  <wp:extent cx="216000" cy="216000"/>
                  <wp:effectExtent l="0" t="0" r="0" b="0"/>
                  <wp:docPr id="186" name="Gambar 186"/>
                  <wp:cNvGraphicFramePr>
                    <a:graphicFrameLocks noChangeAspect="1"/>
                  </wp:cNvGraphicFramePr>
                  <a:graphic>
                    <a:graphicData uri="http://schemas.openxmlformats.org/drawingml/2006/picture">
                      <pic:pic>
                        <pic:nvPicPr>
                          <pic:cNvPr id="186" name="lembaga-lucide-landmark-FFFFFF-051C2C.png"/>
                          <pic:cNvPicPr/>
                        </pic:nvPicPr>
                        <pic:blipFill>
                          <a:blip r:embed="rId31"/>
                          <a:stretch>
                            <a:fillRect/>
                          </a:stretch>
                        </pic:blipFill>
                        <pic:spPr>
                          <a:xfrm>
                            <a:off x="0" y="0"/>
                            <a:ext cx="216000" cy="216000"/>
                          </a:xfrm>
                          <a:prstGeom prst="rect">
                            <a:avLst/>
                          </a:prstGeom>
                        </pic:spPr>
                      </pic:pic>
                    </a:graphicData>
                  </a:graphic>
                </wp:inline>
              </w:drawing>
            </w:r>
            <w:r>
              <w:t xml:space="preserve"> </w:t>
            </w:r>
            <w:r>
              <w:rPr>
                <w:b/>
                <w:bCs/>
                <w:color w:val="1A1A1A"/>
              </w:rPr>
              <w:t xml:space="preserve">Siklon Phailin 2013 di Odisha menewaskan </w:t>
            </w:r>
            <w:r>
              <w:rPr>
                <w:b/>
                <w:bCs/>
                <w:color w:val="1A1A1A"/>
              </w:rPr>
              <w:t xml:space="preserve">44 jiwa</w:t>
            </w:r>
            <w:r>
              <w:rPr>
                <w:b/>
                <w:bCs/>
                <w:color w:val="1A1A1A"/>
              </w:rPr>
              <w:t xml:space="preserve"> setelah lebih dari </w:t>
            </w:r>
            <w:r>
              <w:rPr>
                <w:b/>
                <w:bCs/>
                <w:color w:val="1A1A1A"/>
              </w:rPr>
              <w:t xml:space="preserve">1</w:t>
            </w:r>
            <w:r>
              <w:rPr>
                <w:b/>
                <w:bCs/>
                <w:color w:val="1A1A1A"/>
              </w:rPr>
              <w:t xml:space="preserve"> juta warga dievakuasi dalam </w:t>
            </w:r>
            <w:r>
              <w:rPr>
                <w:b/>
                <w:bCs/>
                <w:color w:val="1A1A1A"/>
              </w:rPr>
              <w:t xml:space="preserve">36 jam</w:t>
            </w:r>
            <w:r>
              <w:tab/>
            </w:r>
            <w:r>
              <w:t xml:space="preserve"> </w:t>
            </w:r>
            <w:r>
              <w:rPr>
                <w:b/>
                <w:bCs/>
                <w:color w:val="1A1A1A"/>
                <w:sz w:val="16"/>
                <w:szCs w:val="16"/>
                <w:bdr w:val="single" w:sz="6" w:space="0" w:color="6B7280"/>
              </w:rPr>
              <w:t xml:space="preserve">  Uji coba  </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Odisha, India</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Pemerintah Odisha (Odisha State Disaster Management Authority)</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1999–2013</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Siklon Super 1999 menewaskan sekitar </w:t>
            </w:r>
            <w:r>
              <w:t xml:space="preserve">10.000</w:t>
            </w:r>
            <w:r>
              <w:t xml:space="preserve"> jiwa; Phailin 2013 menewaskan </w:t>
            </w:r>
            <w:r>
              <w:t xml:space="preserve">44 jiwa</w:t>
            </w:r>
            <w:r>
              <w:t xml:space="preserve"> menurut penilaian pemerintah</w:t>
            </w:r>
          </w:p>
        </w:tc>
      </w:tr>
      <w:tr>
        <w:tc>
          <w:tcPr>
            <w:tcW w:w="9354" w:type="dxa"/>
            <w:gridSpan w:val="2"/>
          </w:tcPr>
          <w:p>
            <w:pPr>
              <w:pStyle w:val="IsiKotak"/>
              <w:suppressAutoHyphens/>
            </w:pPr>
            <w:r>
              <w:rPr>
                <w:b/>
                <w:bCs/>
                <w:color w:val="1A1A1A"/>
              </w:rPr>
              <w:t xml:space="preserve">Masalah: </w:t>
            </w:r>
            <w:r>
              <w:t xml:space="preserve">Siklon Super 1999 menewaskan sekitar </w:t>
            </w:r>
            <w:r>
              <w:t xml:space="preserve">10.000</w:t>
            </w:r>
            <w:r>
              <w:t xml:space="preserve"> jiwa di Odisha </w:t>
            </w:r>
            <w:r>
              <w:t xml:space="preserve">(Government of Odisha, 2013)</w:t>
            </w:r>
            <w:r>
              <w:t xml:space="preserve">.</w:t>
            </w:r>
          </w:p>
          <w:p>
            <w:pPr>
              <w:pStyle w:val="IsiKotak"/>
              <w:suppressAutoHyphens/>
            </w:pPr>
            <w:r>
              <w:rPr>
                <w:b/>
                <w:bCs/>
                <w:color w:val="1A1A1A"/>
              </w:rPr>
              <w:t xml:space="preserve">Pelaksana: </w:t>
            </w:r>
            <w:r>
              <w:t xml:space="preserve">Pemerintah Odisha lewat badan penanggulangan bencana negara bagian, dengan tempat perlindungan siklon dan aparat desa.</w:t>
            </w:r>
          </w:p>
          <w:p>
            <w:pPr>
              <w:pStyle w:val="IsiKotak"/>
              <w:suppressAutoHyphens/>
            </w:pPr>
            <w:r>
              <w:rPr>
                <w:b/>
                <w:bCs/>
                <w:color w:val="1A1A1A"/>
              </w:rPr>
              <w:t xml:space="preserve">Cara: </w:t>
            </w:r>
            <w:r>
              <w:t xml:space="preserve">Evakuasi preemptif berbasis prakiraan, yang memindahkan lebih dari </w:t>
            </w:r>
            <w:r>
              <w:t xml:space="preserve">1</w:t>
            </w:r>
            <w:r>
              <w:t xml:space="preserve"> juta warga dalam </w:t>
            </w:r>
            <w:r>
              <w:t xml:space="preserve">36 jam</w:t>
            </w:r>
            <w:r>
              <w:t xml:space="preserve"> sebelum Phailin mendarat.</w:t>
            </w:r>
          </w:p>
          <w:p>
            <w:pPr>
              <w:pStyle w:val="IsiKotak"/>
              <w:suppressAutoHyphens/>
            </w:pPr>
            <w:r>
              <w:rPr>
                <w:b/>
                <w:bCs/>
                <w:color w:val="1A1A1A"/>
              </w:rPr>
              <w:t xml:space="preserve">Hasil: </w:t>
            </w:r>
            <w:r>
              <w:t xml:space="preserve">Penilaian kebutuhan Pemerintah Odisha mencatat </w:t>
            </w:r>
            <w:r>
              <w:t xml:space="preserve">44 jiwa</w:t>
            </w:r>
            <w:r>
              <w:t xml:space="preserve">, sedangkan tulisan Bank Dunia mencatat </w:t>
            </w:r>
            <w:r>
              <w:t xml:space="preserve">38</w:t>
            </w:r>
            <w:r>
              <w:t xml:space="preserve"> dalam 72 jam pertama </w:t>
            </w:r>
            <w:r>
              <w:t xml:space="preserve">(World Bank, 2013)</w:t>
            </w:r>
            <w:r>
              <w:t xml:space="preserve">. Pembanding yang hanya dua badai berbeda membuat kekuatan buktinya sedang, dengan posisi program dengan syarat. Padanannya di Indonesia adalah rencana kontinjensi (Perban BNPB 2/2023) dan RPKB (Perban BNPB 9/2025); norma pemicu evakuasi berbasis prakiraan untuk cuaca ekstrem dan banjir belum ada.</w:t>
            </w:r>
          </w:p>
          <w:p>
            <w:pPr>
              <w:pStyle w:val="Sumber"/>
              <w:suppressAutoHyphens/>
            </w:pPr>
            <w:r>
              <w:rPr>
                <w:b/>
                <w:bCs/>
                <w:color w:val="6B7280"/>
                <w:sz w:val="17"/>
                <w:szCs w:val="17"/>
              </w:rPr>
              <w:t xml:space="preserve">Sumber: </w:t>
            </w:r>
            <w:r>
              <w:rPr>
                <w:color w:val="6B7280"/>
                <w:sz w:val="17"/>
                <w:szCs w:val="17"/>
              </w:rPr>
              <w:t xml:space="preserve">(Government of Odisha, 2013; World Bank, 2013)</w:t>
            </w:r>
            <w:r>
              <w:rPr>
                <w:color w:val="6B7280"/>
                <w:sz w:val="17"/>
                <w:szCs w:val="17"/>
              </w:rPr>
              <w:t xml:space="preserve"> </w:t>
            </w:r>
            <w:r>
              <w:rPr>
                <w:b/>
                <w:bCs/>
                <w:color w:val="FFFFFF"/>
                <w:sz w:val="16"/>
                <w:szCs w:val="16"/>
                <w:shd w:val="clear" w:color="auto" w:fill="051C2C"/>
              </w:rPr>
              <w:t xml:space="preserve">  Resmi  </w:t>
            </w:r>
          </w:p>
        </w:tc>
      </w:tr>
    </w:tbl>
    <w:p>
      <w:pPr>
        <w:pStyle w:val="Jarak"/>
      </w:pPr>
    </w:p>
    <w:p>
      <w:pPr>
        <w:pStyle w:val="Caption"/>
      </w:pPr>
      <w:bookmarkStart w:id="702" w:name="_Toc00226"/>
      <w:bookmarkStart w:id="701" w:name="_Ref026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701"/>
      <w:r>
        <w:rPr>
          <w:b/>
          <w:bCs/>
          <w:color w:val="051C2C"/>
        </w:rPr>
        <w:t xml:space="preserve"> </w:t>
      </w:r>
      <w:r>
        <w:t xml:space="preserve">Rekomendasi internal BNPB dari Grand Design Mitigasi 2026–2030</w:t>
      </w:r>
      <w:bookmarkEnd w:id="702"/>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98" w:name="_Ref0073"/>
            <w:r>
              <w:rPr>
                <w:b/>
                <w:bCs/>
                <w:color w:val="FFFFFF"/>
                <w:sz w:val="16"/>
                <w:szCs w:val="16"/>
                <w:shd w:val="clear" w:color="auto" w:fill="051C2C"/>
              </w:rPr>
              <w:t xml:space="preserve">01</w:t>
            </w:r>
            <w:bookmarkEnd w:id="69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87" name="Gambar 187"/>
                  <wp:cNvGraphicFramePr>
                    <a:graphicFrameLocks noChangeAspect="1"/>
                  </wp:cNvGraphicFramePr>
                  <a:graphic>
                    <a:graphicData uri="http://schemas.openxmlformats.org/drawingml/2006/picture">
                      <pic:pic>
                        <pic:nvPicPr>
                          <pic:cNvPr id="187"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hari ke-0 dan tugaskan unit</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88" name="Gambar 188"/>
                  <wp:cNvGraphicFramePr>
                    <a:graphicFrameLocks noChangeAspect="1"/>
                  </wp:cNvGraphicFramePr>
                  <a:graphic>
                    <a:graphicData uri="http://schemas.openxmlformats.org/drawingml/2006/picture">
                      <pic:pic>
                        <pic:nvPicPr>
                          <pic:cNvPr id="18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Kepala BNPB</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89" name="Gambar 189"/>
                  <wp:cNvGraphicFramePr>
                    <a:graphicFrameLocks noChangeAspect="1"/>
                  </wp:cNvGraphicFramePr>
                  <a:graphic>
                    <a:graphicData uri="http://schemas.openxmlformats.org/drawingml/2006/picture">
                      <pic:pic>
                        <pic:nvPicPr>
                          <pic:cNvPr id="18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Pencegahan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0" name="Gambar 190"/>
                  <wp:cNvGraphicFramePr>
                    <a:graphicFrameLocks noChangeAspect="1"/>
                  </wp:cNvGraphicFramePr>
                  <a:graphic>
                    <a:graphicData uri="http://schemas.openxmlformats.org/drawingml/2006/picture">
                      <pic:pic>
                        <pic:nvPicPr>
                          <pic:cNvPr id="19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1" name="Gambar 191"/>
                  <wp:cNvGraphicFramePr>
                    <a:graphicFrameLocks noChangeAspect="1"/>
                  </wp:cNvGraphicFramePr>
                  <a:graphic>
                    <a:graphicData uri="http://schemas.openxmlformats.org/drawingml/2006/picture">
                      <pic:pic>
                        <pic:nvPicPr>
                          <pic:cNvPr id="19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2" name="Gambar 192"/>
                  <wp:cNvGraphicFramePr>
                    <a:graphicFrameLocks noChangeAspect="1"/>
                  </wp:cNvGraphicFramePr>
                  <a:graphic>
                    <a:graphicData uri="http://schemas.openxmlformats.org/drawingml/2006/picture">
                      <pic:pic>
                        <pic:nvPicPr>
                          <pic:cNvPr id="19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Wilayah yang memuncak Desember hanya punya sekitar satu bulan prabencana bila hari ke-0 jatuh November, sehingga penundaan menggeser seluruh kalender </w:t>
            </w:r>
            <w:r>
              <w:fldChar w:fldCharType="begin"/>
            </w:r>
            <w:r>
              <w:instrText xml:space="preserve"> REF _Ref0257 \h \* CHARFORMAT </w:instrText>
            </w:r>
            <w:r>
              <w:fldChar w:fldCharType="separate"/>
            </w:r>
            <w:r>
              <w:t xml:space="preserve">Tabel 11.6</w:t>
            </w:r>
            <w:r>
              <w:fldChar w:fldCharType="end"/>
            </w:r>
            <w:r>
              <w:t xml:space="preserve">.</w:t>
            </w:r>
          </w:p>
          <w:p>
            <w:pPr>
              <w:pStyle w:val="IsiTabel"/>
              <w:suppressAutoHyphens/>
              <w:spacing w:after="40"/>
            </w:pPr>
            <w:r>
              <w:rPr>
                <w:b/>
                <w:bCs/>
              </w:rPr>
              <w:t xml:space="preserve">Indikator selesai: </w:t>
            </w:r>
            <w:r>
              <w:t xml:space="preserve">keputusan Kepala BNPB bertanggal yang memuat unit Rencana Aksi Musim Hujan 2026/2027 nasional, termasuk Direktorat Penanganan Darurat Wilayah I, II, dan III, terbit dalam empat belas hari pertama</w:t>
            </w:r>
            <w:r>
              <w:t xml:space="preserve">. </w:t>
            </w:r>
            <w:r>
              <w:rPr>
                <w:b/>
                <w:bCs/>
              </w:rPr>
              <w:t xml:space="preserve">Dasar: </w:t>
            </w:r>
            <w:r>
              <w:t xml:space="preserve">Temuan A.2; KD-1; Perban BNPB 1/2025 Pasal 7 </w:t>
            </w:r>
            <w:r>
              <w:t xml:space="preserve">(BNPB, 2025c)</w:t>
            </w:r>
            <w:r>
              <w:t xml:space="preserve">; Perban BNPB 11/2025 </w:t>
            </w:r>
            <w:r>
              <w:t xml:space="preserve">(BNPB, 2025d)</w:t>
            </w:r>
            <w:r>
              <w:rPr>
                <w:b/>
                <w:bCs/>
              </w:rPr>
              <w:t xml:space="preserve">. Membuka </w:t>
            </w:r>
            <w:r>
              <w:t xml:space="preserve">06, 07, 08, 12, 13</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99" w:name="_Ref0101"/>
            <w:r>
              <w:rPr>
                <w:b/>
                <w:bCs/>
                <w:color w:val="FFFFFF"/>
                <w:sz w:val="16"/>
                <w:szCs w:val="16"/>
                <w:shd w:val="clear" w:color="auto" w:fill="051C2C"/>
              </w:rPr>
              <w:t xml:space="preserve">02</w:t>
            </w:r>
            <w:bookmarkEnd w:id="69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93" name="Gambar 193"/>
                  <wp:cNvGraphicFramePr>
                    <a:graphicFrameLocks noChangeAspect="1"/>
                  </wp:cNvGraphicFramePr>
                  <a:graphic>
                    <a:graphicData uri="http://schemas.openxmlformats.org/drawingml/2006/picture">
                      <pic:pic>
                        <pic:nvPicPr>
                          <pic:cNvPr id="193"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Latih komando dengan skenario lantai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94" name="Gambar 194"/>
                  <wp:cNvGraphicFramePr>
                    <a:graphicFrameLocks noChangeAspect="1"/>
                  </wp:cNvGraphicFramePr>
                  <a:graphic>
                    <a:graphicData uri="http://schemas.openxmlformats.org/drawingml/2006/picture">
                      <pic:pic>
                        <pic:nvPicPr>
                          <pic:cNvPr id="19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Pusat Pendidikan dan Pelatihan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95" name="Gambar 195"/>
                  <wp:cNvGraphicFramePr>
                    <a:graphicFrameLocks noChangeAspect="1"/>
                  </wp:cNvGraphicFramePr>
                  <a:graphic>
                    <a:graphicData uri="http://schemas.openxmlformats.org/drawingml/2006/picture">
                      <pic:pic>
                        <pic:nvPicPr>
                          <pic:cNvPr id="19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6" name="Gambar 196"/>
                  <wp:cNvGraphicFramePr>
                    <a:graphicFrameLocks noChangeAspect="1"/>
                  </wp:cNvGraphicFramePr>
                  <a:graphic>
                    <a:graphicData uri="http://schemas.openxmlformats.org/drawingml/2006/picture">
                      <pic:pic>
                        <pic:nvPicPr>
                          <pic:cNvPr id="19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Ketiga lantai berada di kisaran </w:t>
            </w:r>
            <w:r>
              <w:t xml:space="preserve">464.120</w:t>
            </w:r>
            <w:r>
              <w:t xml:space="preserve"> sampai </w:t>
            </w:r>
            <w:r>
              <w:t xml:space="preserve">954.305</w:t>
            </w:r>
            <w:r>
              <w:t xml:space="preserve"> jiwa, dan kejadian Sumatra 2025 melintasi tiga wilayah direktorat tanpa aturan pemimpin pendampingan lintas wilayah.</w:t>
            </w:r>
          </w:p>
          <w:p>
            <w:pPr>
              <w:pStyle w:val="IsiTabel"/>
              <w:suppressAutoHyphens/>
              <w:spacing w:after="40"/>
            </w:pPr>
            <w:r>
              <w:rPr>
                <w:b/>
                <w:bCs/>
              </w:rPr>
              <w:t xml:space="preserve">Indikator selesai: </w:t>
            </w:r>
            <w:r>
              <w:t xml:space="preserve">gladi berbasis lantai </w:t>
            </w:r>
            <w:r>
              <w:fldChar w:fldCharType="begin"/>
            </w:r>
            <w:r>
              <w:instrText xml:space="preserve"> REF _Ref0263 \h \* CHARFORMAT </w:instrText>
            </w:r>
            <w:r>
              <w:fldChar w:fldCharType="separate"/>
            </w:r>
            <w:r>
              <w:t xml:space="preserve">Tabel 11.7</w:t>
            </w:r>
            <w:r>
              <w:fldChar w:fldCharType="end"/>
            </w:r>
            <w:r>
              <w:t xml:space="preserve"> tercatat tiap tahun di tiap wilayah Direktorat Penanganan Darurat</w:t>
            </w:r>
            <w:r>
              <w:t xml:space="preserve">. </w:t>
            </w:r>
            <w:r>
              <w:rPr>
                <w:b/>
                <w:bCs/>
              </w:rPr>
              <w:t xml:space="preserve">Dasar: </w:t>
            </w:r>
            <w:r>
              <w:t xml:space="preserve">Temuan A.2; Temuan A.3; Perban BNPB 2/2023 Pasal 19 </w:t>
            </w:r>
            <w:r>
              <w:t xml:space="preserve">(BNPB, 2023c)</w:t>
            </w:r>
            <w:r>
              <w:t xml:space="preserve">; Perban BNPB 9/2025 Pasal 27 </w:t>
            </w:r>
            <w:r>
              <w:t xml:space="preserve">(BNPB, 2025h)</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0" w:name="_Ref0085"/>
            <w:r>
              <w:rPr>
                <w:b/>
                <w:bCs/>
                <w:color w:val="FFFFFF"/>
                <w:sz w:val="16"/>
                <w:szCs w:val="16"/>
                <w:shd w:val="clear" w:color="auto" w:fill="051C2C"/>
              </w:rPr>
              <w:t xml:space="preserve">03</w:t>
            </w:r>
            <w:bookmarkEnd w:id="70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97" name="Gambar 197"/>
                  <wp:cNvGraphicFramePr>
                    <a:graphicFrameLocks noChangeAspect="1"/>
                  </wp:cNvGraphicFramePr>
                  <a:graphic>
                    <a:graphicData uri="http://schemas.openxmlformats.org/drawingml/2006/picture">
                      <pic:pic>
                        <pic:nvPicPr>
                          <pic:cNvPr id="197"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Terbitkan kalender kesiapan musiman per pulau</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98" name="Gambar 198"/>
                  <wp:cNvGraphicFramePr>
                    <a:graphicFrameLocks noChangeAspect="1"/>
                  </wp:cNvGraphicFramePr>
                  <a:graphic>
                    <a:graphicData uri="http://schemas.openxmlformats.org/drawingml/2006/picture">
                      <pic:pic>
                        <pic:nvPicPr>
                          <pic:cNvPr id="19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99" name="Gambar 199"/>
                  <wp:cNvGraphicFramePr>
                    <a:graphicFrameLocks noChangeAspect="1"/>
                  </wp:cNvGraphicFramePr>
                  <a:graphic>
                    <a:graphicData uri="http://schemas.openxmlformats.org/drawingml/2006/picture">
                      <pic:pic>
                        <pic:nvPicPr>
                          <pic:cNvPr id="19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00" name="Gambar 200"/>
                  <wp:cNvGraphicFramePr>
                    <a:graphicFrameLocks noChangeAspect="1"/>
                  </wp:cNvGraphicFramePr>
                  <a:graphic>
                    <a:graphicData uri="http://schemas.openxmlformats.org/drawingml/2006/picture">
                      <pic:pic>
                        <pic:nvPicPr>
                          <pic:cNvPr id="20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keepNext/>
              <w:suppressAutoHyphens/>
              <w:spacing w:after="40"/>
            </w:pPr>
            <w:r>
              <w:rPr>
                <w:b/>
                <w:bCs/>
                <w:color w:val="FFFFFF"/>
                <w:sz w:val="16"/>
                <w:szCs w:val="16"/>
                <w:shd w:val="clear" w:color="auto" w:fill="051C2C"/>
              </w:rPr>
              <w:t xml:space="preserve">  Usulan baru  </w:t>
            </w:r>
          </w:p>
          <w:p>
            <w:pPr>
              <w:pStyle w:val="IsiTabel"/>
              <w:keepNext/>
              <w:suppressAutoHyphens/>
              <w:spacing w:after="40"/>
              <w:jc w:val="both"/>
            </w:pPr>
            <w:r>
              <w:t xml:space="preserve">Maluku mencatat </w:t>
            </w:r>
            <w:r>
              <w:t xml:space="preserve">74,4%</w:t>
            </w:r>
            <w:r>
              <w:t xml:space="preserve"> meninggal dan hilang musim hujan pada Juni–Oktober, berlawanan dengan Jawa, sehingga satu kalender nasional melewatkan musim bahayanya.</w:t>
            </w:r>
          </w:p>
          <w:p>
            <w:pPr>
              <w:pStyle w:val="IsiTabel"/>
              <w:keepNext/>
              <w:suppressAutoHyphens/>
              <w:spacing w:after="40"/>
            </w:pPr>
            <w:r>
              <w:rPr>
                <w:b/>
                <w:bCs/>
              </w:rPr>
              <w:t xml:space="preserve">Indikator selesai: </w:t>
            </w:r>
            <w:r>
              <w:t xml:space="preserve">kalender kesiapan terbit tiap tahun sebelum awal musim dengan pemicu prakiraan BMKG, termasuk kalender tersendiri untuk Maluku</w:t>
            </w:r>
            <w:r>
              <w:t xml:space="preserve">. </w:t>
            </w:r>
            <w:r>
              <w:rPr>
                <w:b/>
                <w:bCs/>
              </w:rPr>
              <w:t xml:space="preserve">Dasar: </w:t>
            </w:r>
            <w:r>
              <w:t xml:space="preserve">Temuan A.2; kalender DIBI 2008–2025 </w:t>
            </w:r>
            <w:r>
              <w:t xml:space="preserve">(BNPB, t.t.-a)</w:t>
            </w:r>
            <w:r>
              <w:t xml:space="preserve">; prakiraan musim BMKG </w:t>
            </w:r>
            <w:r>
              <w:t xml:space="preserve">(BMKG, 2026c)</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201" name="Gambar 201"/>
                  <wp:cNvGraphicFramePr>
                    <a:graphicFrameLocks noChangeAspect="1"/>
                  </wp:cNvGraphicFramePr>
                  <a:graphic>
                    <a:graphicData uri="http://schemas.openxmlformats.org/drawingml/2006/picture">
                      <pic:pic>
                        <pic:nvPicPr>
                          <pic:cNvPr id="201"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202" name="Gambar 202"/>
                  <wp:cNvGraphicFramePr>
                    <a:graphicFrameLocks noChangeAspect="1"/>
                  </wp:cNvGraphicFramePr>
                  <a:graphic>
                    <a:graphicData uri="http://schemas.openxmlformats.org/drawingml/2006/picture">
                      <pic:pic>
                        <pic:nvPicPr>
                          <pic:cNvPr id="202"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p>
        </w:tc>
      </w:tr>
    </w:tbl>
    <w:p>
      <w:pPr>
        <w:pStyle w:val="Sumber"/>
      </w:pPr>
      <w:r>
        <w:rPr>
          <w:b/>
          <w:bCs/>
          <w:color w:val="6B7280"/>
          <w:sz w:val="17"/>
          <w:szCs w:val="17"/>
        </w:rPr>
        <w:t xml:space="preserve">Sumber: </w:t>
      </w:r>
      <w:r>
        <w:rPr>
          <w:color w:val="6B7280"/>
          <w:sz w:val="17"/>
          <w:szCs w:val="17"/>
        </w:rPr>
        <w:t xml:space="preserve">Analisis kajian ini; register rekomendasi bersama;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Caption"/>
      </w:pPr>
      <w:bookmarkStart w:id="705" w:name="_Toc00227"/>
      <w:bookmarkStart w:id="704" w:name="_Ref026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704"/>
      <w:r>
        <w:rPr>
          <w:b/>
          <w:bCs/>
          <w:color w:val="051C2C"/>
        </w:rPr>
        <w:t xml:space="preserve"> </w:t>
      </w:r>
      <w:r>
        <w:t xml:space="preserve">Rekomendasi lintas K/L dari Grand Design Mitigasi 2026–2030</w:t>
      </w:r>
      <w:bookmarkEnd w:id="705"/>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3" w:name="_Ref0083"/>
            <w:r>
              <w:rPr>
                <w:b/>
                <w:bCs/>
                <w:color w:val="FFFFFF"/>
                <w:sz w:val="16"/>
                <w:szCs w:val="16"/>
                <w:shd w:val="clear" w:color="auto" w:fill="051C2C"/>
              </w:rPr>
              <w:t xml:space="preserve">04</w:t>
            </w:r>
            <w:bookmarkEnd w:id="70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03" name="Gambar 203"/>
                  <wp:cNvGraphicFramePr>
                    <a:graphicFrameLocks noChangeAspect="1"/>
                  </wp:cNvGraphicFramePr>
                  <a:graphic>
                    <a:graphicData uri="http://schemas.openxmlformats.org/drawingml/2006/picture">
                      <pic:pic>
                        <pic:nvPicPr>
                          <pic:cNvPr id="203"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Bentuk garis dasar evaluasi dampak Destana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04" name="Gambar 204"/>
                  <wp:cNvGraphicFramePr>
                    <a:graphicFrameLocks noChangeAspect="1"/>
                  </wp:cNvGraphicFramePr>
                  <a:graphic>
                    <a:graphicData uri="http://schemas.openxmlformats.org/drawingml/2006/picture">
                      <pic:pic>
                        <pic:nvPicPr>
                          <pic:cNvPr id="20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05" name="Gambar 205"/>
                  <wp:cNvGraphicFramePr>
                    <a:graphicFrameLocks noChangeAspect="1"/>
                  </wp:cNvGraphicFramePr>
                  <a:graphic>
                    <a:graphicData uri="http://schemas.openxmlformats.org/drawingml/2006/picture">
                      <pic:pic>
                        <pic:nvPicPr>
                          <pic:cNvPr id="20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06" name="Gambar 206"/>
                  <wp:cNvGraphicFramePr>
                    <a:graphicFrameLocks noChangeAspect="1"/>
                  </wp:cNvGraphicFramePr>
                  <a:graphic>
                    <a:graphicData uri="http://schemas.openxmlformats.org/drawingml/2006/picture">
                      <pic:pic>
                        <pic:nvPicPr>
                          <pic:cNvPr id="20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Desa dan Pembangunan Daerah Tertinggal</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07" name="Gambar 207"/>
                  <wp:cNvGraphicFramePr>
                    <a:graphicFrameLocks noChangeAspect="1"/>
                  </wp:cNvGraphicFramePr>
                  <a:graphic>
                    <a:graphicData uri="http://schemas.openxmlformats.org/drawingml/2006/picture">
                      <pic:pic>
                        <pic:nvPicPr>
                          <pic:cNvPr id="20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keepNext/>
              <w:suppressAutoHyphens/>
              <w:spacing w:after="40"/>
            </w:pPr>
            <w:r>
              <w:rPr>
                <w:b/>
                <w:bCs/>
                <w:color w:val="1A1A1A"/>
                <w:sz w:val="16"/>
                <w:szCs w:val="16"/>
                <w:bdr w:val="single" w:sz="6" w:space="0" w:color="051C2C"/>
              </w:rPr>
              <w:t xml:space="preserve">  Sudah ada, perlu dikembangkan  </w:t>
            </w:r>
          </w:p>
          <w:p>
            <w:pPr>
              <w:pStyle w:val="IsiTabel"/>
              <w:keepNext/>
              <w:suppressAutoHyphens/>
              <w:spacing w:after="40"/>
              <w:jc w:val="both"/>
            </w:pPr>
            <w:r>
              <w:t xml:space="preserve">Destana menjangkau </w:t>
            </w:r>
            <w:r>
              <w:t xml:space="preserve">2.234</w:t>
            </w:r>
            <w:r>
              <w:t xml:space="preserve"> desa dan kelurahan pada 2024 tanpa evaluasi dampak berpembanding, sehingga perluasan ke </w:t>
            </w:r>
            <w:r>
              <w:t xml:space="preserve">7.234</w:t>
            </w:r>
            <w:r>
              <w:t xml:space="preserve"> belum dapat diukur hasilnya.</w:t>
            </w:r>
          </w:p>
          <w:p>
            <w:pPr>
              <w:pStyle w:val="IsiTabel"/>
              <w:keepNext/>
              <w:suppressAutoHyphens/>
              <w:spacing w:after="40"/>
            </w:pPr>
            <w:r>
              <w:rPr>
                <w:b/>
                <w:bCs/>
              </w:rPr>
              <w:t xml:space="preserve">Indikator selesai: </w:t>
            </w:r>
            <w:r>
              <w:t xml:space="preserve">penilaian ketangguhan yang sama diterapkan di desa Destana dan desa rawan pembanding pada 2027 di kab/kota daftar perhatian seluruh pulau</w:t>
            </w:r>
            <w:r>
              <w:t xml:space="preserve">. </w:t>
            </w:r>
            <w:r>
              <w:rPr>
                <w:b/>
                <w:bCs/>
              </w:rPr>
              <w:t xml:space="preserve">Dasar: </w:t>
            </w:r>
            <w:r>
              <w:t xml:space="preserve">Temuan C.3; Perban BNPB 7/2025 </w:t>
            </w:r>
            <w:r>
              <w:t xml:space="preserve">(BNPB, 2025g)</w:t>
            </w:r>
            <w:r>
              <w:t xml:space="preserve">; Renas PB 4.5.1.a </w:t>
            </w:r>
            <w:r>
              <w:t xml:space="preserve">(BNPB, 2025c, hlm. 107)</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208" name="Gambar 208"/>
                  <wp:cNvGraphicFramePr>
                    <a:graphicFrameLocks noChangeAspect="1"/>
                  </wp:cNvGraphicFramePr>
                  <a:graphic>
                    <a:graphicData uri="http://schemas.openxmlformats.org/drawingml/2006/picture">
                      <pic:pic>
                        <pic:nvPicPr>
                          <pic:cNvPr id="208"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rPr>
                <w:color w:val="2E3440"/>
                <w:sz w:val="16"/>
                <w:szCs w:val="16"/>
              </w:rPr>
              <w:t xml:space="preserve"> Data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Analisis kajian ini; register rekomendasi bersama; Renas PB 2025–2029</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12"/>
        </w:numPr>
      </w:pPr>
      <w:bookmarkStart w:id="707" w:name="_Toc00228"/>
      <w:r>
        <w:rPr>
          <w:sz w:val="18"/>
          <w:szCs w:val="18"/>
        </w:rPr>
        <w:br/>
      </w:r>
      <w:bookmarkStart w:id="706" w:name="_Ref0004"/>
      <w:r>
        <w:t xml:space="preserve">KELEMBAGAAN, PEMBIAYAAN, DAN PETA JALAN</w:t>
      </w:r>
      <w:bookmarkEnd w:id="706"/>
      <w:bookmarkEnd w:id="707"/>
    </w:p>
    <w:p>
      <w:pPr>
        <w:pStyle w:val="Pertanyaan"/>
      </w:pPr>
      <w:r>
        <w:t xml:space="preserve">Mandat tertulis siapa per jenis bencana dan fase, dan apa yang diusulkan berubah dari Renas PB 2025–2029 lewat jalur berkala atau jalur bencana? Lapisan dana mana yang menanggung kejadian sering sampai kejadian ekstrem? Instrumen hukum apa yang diperlukan, oleh siapa, dan bagaimana kemajuannya dilaporkan?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09" name="Gambar 209"/>
                  <wp:cNvGraphicFramePr>
                    <a:graphicFrameLocks noChangeAspect="1"/>
                  </wp:cNvGraphicFramePr>
                  <a:graphic>
                    <a:graphicData uri="http://schemas.openxmlformats.org/drawingml/2006/picture">
                      <pic:pic>
                        <pic:nvPicPr>
                          <pic:cNvPr id="209"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76</w:t>
            </w:r>
            <w:r>
              <w:t xml:space="preserve"> dari </w:t>
            </w:r>
            <w:r>
              <w:t xml:space="preserve">129</w:t>
            </w:r>
            <w:r>
              <w:t xml:space="preserve"> baris peran lembaga menyebut lembaganya di norma, tetapi </w:t>
            </w:r>
            <w:r>
              <w:t xml:space="preserve">6</w:t>
            </w:r>
            <w:r>
              <w:t xml:space="preserve"> dari </w:t>
            </w:r>
            <w:r>
              <w:t xml:space="preserve">13 ancaman</w:t>
            </w:r>
            <w:r>
              <w:t xml:space="preserve"> (gempa, tsunami, gunung api, longsor, cuaca ekstrem, kebakaran tempat pemrosesan akhir (TPA) sampah) tidak punya satu pun baris tertulis khusus jenis. Komando nasional Badan Nasional Penanggulangan Bencana (BNPB) bergantung pada Perpres penetapan status dan tingkatan bencana yang belum terbit.</w:t>
            </w:r>
          </w:p>
          <w:p>
            <w:pPr>
              <w:pStyle w:val="DaftarKotak"/>
              <w:numPr>
                <w:ilvl w:val="0"/>
                <w:numId w:val="1"/>
              </w:numPr>
            </w:pPr>
            <w:r>
              <w:t xml:space="preserve">Menurut tafsiran kajian atas Rencana Nasional Penanggulangan Bencana (Renas PB) §4.6, target dan lokus Renas PB 2025–2029 hanya dapat diubah lewat jalur berkala paling lambat </w:t>
            </w:r>
            <w:r>
              <w:t xml:space="preserve">2027</w:t>
            </w:r>
            <w:r>
              <w:t xml:space="preserve">; rekomendasinya karena itu harus termuat di evaluasi tahunan Renas 2026. Pada banjir dan longsor Sumatra 2025, hanya </w:t>
            </w:r>
            <w:r>
              <w:t xml:space="preserve">32%</w:t>
            </w:r>
            <w:r>
              <w:t xml:space="preserve"> korban meninggal dan hilang tercatat di kab/kota lokus prioritas.</w:t>
            </w:r>
          </w:p>
          <w:p>
            <w:pPr>
              <w:pStyle w:val="DaftarKotak"/>
              <w:numPr>
                <w:ilvl w:val="0"/>
                <w:numId w:val="1"/>
              </w:numPr>
            </w:pPr>
            <w:r>
              <w:t xml:space="preserve">Kebutuhan stimulan rumah tahunan batas bawah 2015–2025 berada di </w:t>
            </w:r>
            <w:r>
              <w:t xml:space="preserve">Rp1,6–2,0 triliun</w:t>
            </w:r>
            <w:r>
              <w:t xml:space="preserve"> pada tahun median dan </w:t>
            </w:r>
            <w:r>
              <w:t xml:space="preserve">Rp6,8–8,6 triliun</w:t>
            </w:r>
            <w:r>
              <w:t xml:space="preserve"> pada persentil 90 (Asumsi kebijakan); lapisan ekstrem berlantai tahun 2018 sebesar </w:t>
            </w:r>
            <w:r>
              <w:t xml:space="preserve">Rp9,5–11,9 triliun</w:t>
            </w:r>
            <w:r>
              <w:t xml:space="preserve"> dan kejadian tunggal Lombok 2018 sebesar </w:t>
            </w:r>
            <w:r>
              <w:t xml:space="preserve">Rp5,7–7,2 triliun</w:t>
            </w:r>
            <w:r>
              <w:t xml:space="preserve">.</w:t>
            </w:r>
          </w:p>
          <w:p>
            <w:pPr>
              <w:pStyle w:val="IsiKotak"/>
            </w:pPr>
            <w:r>
              <w:rPr>
                <w:b/>
                <w:bCs/>
                <w:color w:val="1A1A1A"/>
              </w:rPr>
              <w:t xml:space="preserve">Angka kunci: </w:t>
            </w:r>
          </w:p>
          <w:p>
            <w:pPr>
              <w:pStyle w:val="DaftarKotak"/>
              <w:numPr>
                <w:ilvl w:val="0"/>
                <w:numId w:val="1"/>
              </w:numPr>
            </w:pPr>
            <w:r>
              <w:t xml:space="preserve">Rp22,8 triliun</w:t>
            </w:r>
            <w:r>
              <w:t xml:space="preserve"> rata-rata kerugian ekonomi langsung bencana alam per tahun pada 2000–2016 menurut Strategi Pembiayaan dan Asuransi Risiko Bencana </w:t>
            </w:r>
            <w:r>
              <w:t xml:space="preserve">(Kementerian Keuangan Republik Indonesia, Badan Kebijakan Fiskal, 2018)</w:t>
            </w:r>
            <w:r>
              <w:t xml:space="preserve">.</w:t>
            </w:r>
          </w:p>
          <w:p>
            <w:pPr>
              <w:pStyle w:val="DaftarKotak"/>
              <w:numPr>
                <w:ilvl w:val="0"/>
                <w:numId w:val="1"/>
              </w:numPr>
            </w:pPr>
            <w:r>
              <w:t xml:space="preserve">171</w:t>
            </w:r>
            <w:r>
              <w:t xml:space="preserve"> kab/kota lokus prioritas Renas PB 2025–2029 </w:t>
            </w:r>
            <w:r>
              <w:t xml:space="preserve">(BNPB, 2025c, hlm. 47–48)</w:t>
            </w:r>
            <w:r>
              <w:t xml:space="preserve">.</w:t>
            </w:r>
          </w:p>
          <w:p>
            <w:pPr>
              <w:pStyle w:val="DaftarKotak"/>
              <w:numPr>
                <w:ilvl w:val="0"/>
                <w:numId w:val="1"/>
              </w:numPr>
            </w:pPr>
            <w:r>
              <w:t xml:space="preserve">11</w:t>
            </w:r>
            <w:r>
              <w:t xml:space="preserve"> rancangan dalam Program Penyusunan Peraturan BNPB 2026, berlaku satu tahun </w:t>
            </w:r>
            <w:r>
              <w:t xml:space="preserve">(BNPB, 2025b)</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_Ref0077 \h \* CHARFORMAT </w:instrText>
            </w:r>
            <w:r>
              <w:fldChar w:fldCharType="separate"/>
            </w:r>
            <w:r>
              <w:t xml:space="preserve">09</w:t>
            </w:r>
            <w:r>
              <w:fldChar w:fldCharType="end"/>
            </w:r>
            <w:r>
              <w:t xml:space="preserve"> Ajukan rakor peninjauan Renas PB kepada Kementerian Koordinator Bidang Pembangunan Manusia dan Kebudayaan (Kemenko PMK), disertai penugasan memuat rekomendasi kajian ke evaluasi tahunan Renas 2026 per jalur (Usulan baru; Biro Perencanaan dengan Direktorat Pengembangan Strategi Penanggulangan Bencana; rakor Kemenko PMK; 14 hari).</w:t>
            </w:r>
          </w:p>
          <w:p>
            <w:pPr>
              <w:pStyle w:val="DaftarKotak"/>
              <w:numPr>
                <w:ilvl w:val="0"/>
                <w:numId w:val="1"/>
              </w:numPr>
            </w:pPr>
            <w:r>
              <w:fldChar w:fldCharType="begin"/>
            </w:r>
            <w:r>
              <w:instrText xml:space="preserve"> REF _Ref0088 \h \* CHARFORMAT </w:instrText>
            </w:r>
            <w:r>
              <w:fldChar w:fldCharType="separate"/>
            </w:r>
            <w:r>
              <w:t xml:space="preserve">14</w:t>
            </w:r>
            <w:r>
              <w:fldChar w:fldCharType="end"/>
            </w:r>
            <w:r>
              <w:t xml:space="preserve"> Susun pedoman keadaan tertentu Perpres 46/2026 sebagai perubahan Perban BNPB 5/2018 (Usulan baru; Deputi Bidang Penanganan Darurat dengan Biro Hukum, Organisasi, dan Kerja Sama; rakor Kemenko PMK; rancangan 100 hari).</w:t>
            </w:r>
          </w:p>
          <w:p>
            <w:pPr>
              <w:pStyle w:val="DaftarKotak"/>
              <w:numPr>
                <w:ilvl w:val="0"/>
                <w:numId w:val="1"/>
              </w:numPr>
            </w:pPr>
            <w:r>
              <w:fldChar w:fldCharType="begin"/>
            </w:r>
            <w:r>
              <w:instrText xml:space="preserve"> REF _Ref0091 \h \* CHARFORMAT </w:instrText>
            </w:r>
            <w:r>
              <w:fldChar w:fldCharType="separate"/>
            </w:r>
            <w:r>
              <w:t xml:space="preserve">19</w:t>
            </w:r>
            <w:r>
              <w:fldChar w:fldCharType="end"/>
            </w:r>
            <w:r>
              <w:t xml:space="preserve"> Usulkan Perpres penetapan status dan tingkatan bencana dengan indikator menurut tafsir Mahkamah Konstitusi (Usulan baru; Direktorat Sistem Penanggulangan Bencana; Kemenko PMK; 2026–2027).</w:t>
            </w:r>
          </w:p>
          <w:p>
            <w:pPr>
              <w:pStyle w:val="DaftarKotak"/>
              <w:numPr>
                <w:ilvl w:val="0"/>
                <w:numId w:val="1"/>
              </w:numPr>
            </w:pPr>
            <w:r>
              <w:fldChar w:fldCharType="begin"/>
            </w:r>
            <w:r>
              <w:instrText xml:space="preserve"> REF _Ref0102 \h \* CHARFORMAT </w:instrText>
            </w:r>
            <w:r>
              <w:fldChar w:fldCharType="separate"/>
            </w:r>
            <w:r>
              <w:t xml:space="preserve">27</w:t>
            </w:r>
            <w:r>
              <w:fldChar w:fldCharType="end"/>
            </w:r>
            <w:r>
              <w:t xml:space="preserve"> Tarik data kerusakan dan kerugian rencana rehabilitasi dan rekonstruksi pascabencana (R3P) yang ditetapkan untuk Renas 2.a dan Dana Bersama pascabencana (Sudah ada, perlu dikembangkan; Deputi Bidang Rehabilitasi dan Rekonstruksi; Kementerian Dalam Negeri (Kemendagri) dan Kementerian Perumahan dan Kawasan Permukiman (PKP); 2026–2027).</w:t>
            </w:r>
          </w:p>
          <w:p>
            <w:pPr>
              <w:pStyle w:val="DaftarKotak"/>
              <w:numPr>
                <w:ilvl w:val="0"/>
                <w:numId w:val="1"/>
              </w:numPr>
            </w:pPr>
            <w:r>
              <w:fldChar w:fldCharType="begin"/>
            </w:r>
            <w:r>
              <w:instrText xml:space="preserve"> REF _Ref0103 \h \* CHARFORMAT </w:instrText>
            </w:r>
            <w:r>
              <w:fldChar w:fldCharType="separate"/>
            </w:r>
            <w:r>
              <w:t xml:space="preserve">29</w:t>
            </w:r>
            <w:r>
              <w:fldChar w:fldCharType="end"/>
            </w:r>
            <w:r>
              <w:t xml:space="preserve"> Tambahkan syarat analisis manfaat-biaya untuk usulan prabencana Dana Bersama lewat perubahan Perban BNPB 1/2026 (Usulan baru; Direktorat Pengembangan Strategi Penanggulangan Bencana; Kementerian Keuangan (Kemenkeu), Badan Perencanaan Pembangunan Nasional (Bappenas), Kemendagri, dan Kemenko PMK; 2028–2030).</w:t>
            </w:r>
          </w:p>
        </w:tc>
      </w:tr>
    </w:tbl>
    <w:p>
      <w:pPr>
        <w:pStyle w:val="Jarak"/>
      </w:pPr>
    </w:p>
    <w:p>
      <w:pPr>
        <w:pStyle w:val="Caption"/>
      </w:pPr>
      <w:bookmarkStart w:id="709" w:name="_Toc00229"/>
      <w:bookmarkStart w:id="708" w:name="_Ref003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708"/>
      <w:r>
        <w:rPr>
          <w:b/>
          <w:bCs/>
          <w:color w:val="051C2C"/>
        </w:rPr>
        <w:t xml:space="preserve"> </w:t>
      </w:r>
      <w:r>
        <w:t xml:space="preserve">Hutan rawa gambut setelah terbakar, Taman Nasional Sebangau, Kalimantan Tengah, 2019</w:t>
      </w:r>
      <w:bookmarkEnd w:id="709"/>
    </w:p>
    <w:p xmlns:a="http://schemas.openxmlformats.org/drawingml/2006/main" xmlns:pic="http://schemas.openxmlformats.org/drawingml/2006/picture">
      <w:pPr>
        <w:keepNext/>
        <w:spacing w:after="0" w:line="240" w:lineRule="auto"/>
        <w:jc w:val="center"/>
      </w:pPr>
      <w:bookmarkStart w:id="710" w:name="_Obj0065"/>
      <w:r>
        <w:drawing>
          <wp:inline distT="0" distB="0" distL="0" distR="0">
            <wp:extent cx="5940000" cy="2970000"/>
            <wp:effectExtent l="0" t="0" r="0" b="0"/>
            <wp:docPr id="210" name="Gambar 210"/>
            <wp:cNvGraphicFramePr>
              <a:graphicFrameLocks noChangeAspect="1"/>
            </wp:cNvGraphicFramePr>
            <a:graphic>
              <a:graphicData uri="http://schemas.openxmlformats.org/drawingml/2006/picture">
                <pic:pic>
                  <pic:nvPicPr>
                    <pic:cNvPr id="210" name="mit-b12-pasca-gambut.jpg"/>
                    <pic:cNvPicPr/>
                  </pic:nvPicPr>
                  <pic:blipFill>
                    <a:blip r:embed="rId95"/>
                    <a:stretch>
                      <a:fillRect/>
                    </a:stretch>
                  </pic:blipFill>
                  <pic:spPr>
                    <a:xfrm>
                      <a:off x="0" y="0"/>
                      <a:ext cx="5940000" cy="2970000"/>
                    </a:xfrm>
                    <a:prstGeom prst="rect">
                      <a:avLst/>
                    </a:prstGeom>
                  </pic:spPr>
                </pic:pic>
              </a:graphicData>
            </a:graphic>
          </wp:inline>
        </w:drawing>
      </w:r>
      <w:bookmarkEnd w:id="710"/>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Heading2"/>
      </w:pPr>
      <w:bookmarkStart w:id="712" w:name="_Toc00230"/>
      <w:bookmarkStart w:id="711" w:name="_Ref0180"/>
      <w:r>
        <w:t xml:space="preserve">12.1</w:t>
      </w:r>
      <w:bookmarkEnd w:id="711"/>
      <w:r>
        <w:tab/>
      </w:r>
      <w:r>
        <w:t xml:space="preserve">Matriks Mandat Tertulis per Jenis dan Fase</w:t>
      </w:r>
      <w:bookmarkEnd w:id="712"/>
    </w:p>
    <w:p>
      <w:pPr>
        <w:pStyle w:val="IsiTemuan"/>
      </w:pPr>
      <w:r>
        <w:rPr>
          <w:b/>
          <w:bCs/>
          <w:color w:val="051C2C"/>
        </w:rPr>
        <w:t xml:space="preserve">Paket lembaga Pantau Bencana memuat </w:t>
      </w:r>
      <w:r>
        <w:rPr>
          <w:b/>
          <w:bCs/>
          <w:color w:val="051C2C"/>
        </w:rPr>
        <w:t xml:space="preserve">129</w:t>
      </w:r>
      <w:r>
        <w:rPr>
          <w:b/>
          <w:bCs/>
          <w:color w:val="051C2C"/>
        </w:rPr>
        <w:t xml:space="preserve"> baris peran bersumber peraturan; </w:t>
      </w:r>
      <w:r>
        <w:rPr>
          <w:b/>
          <w:bCs/>
          <w:color w:val="051C2C"/>
        </w:rPr>
        <w:t xml:space="preserve">76</w:t>
      </w:r>
      <w:r>
        <w:rPr>
          <w:b/>
          <w:bCs/>
          <w:color w:val="051C2C"/>
        </w:rPr>
        <w:t xml:space="preserve"> menyebut lembaganya di norma dan </w:t>
      </w:r>
      <w:r>
        <w:rPr>
          <w:b/>
          <w:bCs/>
          <w:color w:val="051C2C"/>
        </w:rPr>
        <w:t xml:space="preserve">53</w:t>
      </w:r>
      <w:r>
        <w:rPr>
          <w:b/>
          <w:bCs/>
          <w:color w:val="051C2C"/>
        </w:rPr>
        <w:t xml:space="preserve"> pelakunya dipetakan penyusun.</w:t>
      </w:r>
      <w:r>
        <w:t xml:space="preserve"> Baris itu tersebar di </w:t>
      </w:r>
      <w:r>
        <w:t xml:space="preserve">35</w:t>
      </w:r>
      <w:r>
        <w:t xml:space="preserve"> kode lembaga, tetapi hanya </w:t>
      </w:r>
      <w:r>
        <w:t xml:space="preserve">26</w:t>
      </w:r>
      <w:r>
        <w:t xml:space="preserve"> lembaga yang punya paling sedikit satu peran tertulis; sembilan lembaga lain, antara lain Badan Riset dan Inovasi Nasional (BRIN) dan Kementerian Pekerjaan Umum (Kementerian PU), hanya muncul lewat pemetaan </w:t>
      </w:r>
      <w:r>
        <w:t xml:space="preserve">(Pantau Bencana, 2026b)</w:t>
      </w:r>
      <w:r>
        <w:t xml:space="preserve">. Norma lintas jenis bencana mengisi </w:t>
      </w:r>
      <w:r>
        <w:t xml:space="preserve">50</w:t>
      </w:r>
      <w:r>
        <w:t xml:space="preserve"> baris (</w:t>
      </w:r>
      <w:r>
        <w:t xml:space="preserve">41</w:t>
      </w:r>
      <w:r>
        <w:t xml:space="preserve"> tertulis) dan norma khusus jenis </w:t>
      </w:r>
      <w:r>
        <w:t xml:space="preserve">79</w:t>
      </w:r>
      <w:r>
        <w:t xml:space="preserve"> baris (</w:t>
      </w:r>
      <w:r>
        <w:t xml:space="preserve">35</w:t>
      </w:r>
      <w:r>
        <w:t xml:space="preserve"> tertulis). Kode peran mengikuti paket itu: K untuk koordinator atau penanggung jawab utama; P untuk pelaksana atau pendukung; R untuk penetap status atau izin dan pembuat norma; I untuk penyedia informasi dan peringatan dini.</w:t>
      </w:r>
    </w:p>
    <w:p>
      <w:pPr>
        <w:pStyle w:val="IsiTemuan"/>
      </w:pPr>
      <w:r>
        <w:rPr>
          <w:b/>
          <w:bCs/>
          <w:color w:val="051C2C"/>
        </w:rPr>
        <w:t xml:space="preserve">Mandat khusus jenis tertulis paling tebal untuk karhutla, sedangkan </w:t>
      </w:r>
      <w:r>
        <w:rPr>
          <w:b/>
          <w:bCs/>
          <w:color w:val="051C2C"/>
        </w:rPr>
        <w:t xml:space="preserve">6 ancaman</w:t>
      </w:r>
      <w:r>
        <w:rPr>
          <w:b/>
          <w:bCs/>
          <w:color w:val="051C2C"/>
        </w:rPr>
        <w:t xml:space="preserve"> tidak punya satu pun baris yang menyebut lembaganya.</w:t>
      </w:r>
      <w:r>
        <w:t xml:space="preserve"> Keenamnya adalah gempa, tsunami, gunung api, longsor, cuaca ekstrem, dan kebakaran TPA. Peringatan dini gempa dan tsunami bersandar pada UU 31/2009 yang menyebut pelakunya "Badan", dan Kawasan Rawan Bencana (KRB) geologi pada Lampiran UU 23/2014 kolom "Pemerintah Pusat" yang dipetakan ke Kementerian Energi dan Sumber Daya Mineral (Kementerian ESDM) (Badan Geologi) </w:t>
      </w:r>
      <w:r>
        <w:t xml:space="preserve">(Pantau Bencana, 2026b)</w:t>
      </w:r>
      <w:r>
        <w:t xml:space="preserve">. Karena itu, sel Badan Meteorologi, Klimatologi, dan Geofisika (BMKG) dan Badan Geologi diberi tanda bintang pada </w:t>
      </w:r>
      <w:r>
        <w:fldChar w:fldCharType="begin"/>
      </w:r>
      <w:r>
        <w:instrText xml:space="preserve"> REF _Ref0308 \h \* CHARFORMAT </w:instrText>
      </w:r>
      <w:r>
        <w:fldChar w:fldCharType="separate"/>
      </w:r>
      <w:r>
        <w:t xml:space="preserve">Tabel 12.1</w:t>
      </w:r>
      <w:r>
        <w:fldChar w:fldCharType="end"/>
      </w:r>
      <w:r>
        <w:t xml:space="preserve">. Karhutla punya Inpres 3/2020 sendiri; ketimpangan ini sejalan dengan ketimpangan bukti di Bab 10.</w:t>
      </w:r>
    </w:p>
    <w:p>
      <w:pPr>
        <w:pStyle w:val="Caption"/>
      </w:pPr>
      <w:bookmarkStart w:id="714" w:name="_Toc00231"/>
      <w:bookmarkStart w:id="713" w:name="_Ref030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13"/>
      <w:r>
        <w:rPr>
          <w:b/>
          <w:bCs/>
          <w:color w:val="051C2C"/>
        </w:rPr>
        <w:t xml:space="preserve"> </w:t>
      </w:r>
      <w:r>
        <w:t xml:space="preserve">Mandat tertulis lembaga per fase penanggulangan bencana dengan kode peran, peraturan yang dibaca per Oktober 2026</w:t>
      </w:r>
      <w:bookmarkEnd w:id="71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61"/>
        <w:gridCol w:w="1545"/>
        <w:gridCol w:w="2013"/>
        <w:gridCol w:w="1821"/>
        <w:gridCol w:w="1914"/>
      </w:tblGrid>
      <w:tr>
        <w:trPr>
          <w:cantSplit/>
          <w:tblHeader/>
        </w:trPr>
        <w:tc>
          <w:tcPr>
            <w:tcW w:w="2061" w:type="dxa"/>
            <w:shd w:val="clear" w:color="auto" w:fill="051C2C"/>
            <w:vAlign w:val="center"/>
          </w:tcPr>
          <w:p>
            <w:pPr>
              <w:pStyle w:val="KepalaTabel"/>
              <w:suppressAutoHyphens/>
            </w:pPr>
            <w:r>
              <w:t xml:space="preserve">LEMBAGA</w:t>
            </w:r>
          </w:p>
        </w:tc>
        <w:tc>
          <w:tcPr>
            <w:tcW w:w="1545" w:type="dxa"/>
            <w:shd w:val="clear" w:color="auto" w:fill="051C2C"/>
            <w:vAlign w:val="center"/>
          </w:tcPr>
          <w:p>
            <w:pPr>
              <w:pStyle w:val="KepalaTabel"/>
              <w:suppressAutoHyphens/>
            </w:pPr>
            <w:r>
              <w:t xml:space="preserve">PRABENCANA</w:t>
            </w:r>
          </w:p>
        </w:tc>
        <w:tc>
          <w:tcPr>
            <w:tcW w:w="2013" w:type="dxa"/>
            <w:shd w:val="clear" w:color="auto" w:fill="051C2C"/>
            <w:vAlign w:val="center"/>
          </w:tcPr>
          <w:p>
            <w:pPr>
              <w:pStyle w:val="KepalaTabel"/>
              <w:suppressAutoHyphens/>
            </w:pPr>
            <w:r>
              <w:t xml:space="preserve">TANGGAP DARURAT</w:t>
            </w:r>
          </w:p>
        </w:tc>
        <w:tc>
          <w:tcPr>
            <w:tcW w:w="1821" w:type="dxa"/>
            <w:shd w:val="clear" w:color="auto" w:fill="051C2C"/>
            <w:vAlign w:val="center"/>
          </w:tcPr>
          <w:p>
            <w:pPr>
              <w:pStyle w:val="KepalaTabel"/>
              <w:suppressAutoHyphens/>
            </w:pPr>
            <w:r>
              <w:t xml:space="preserve">PASCABENCANA</w:t>
            </w:r>
          </w:p>
        </w:tc>
        <w:tc>
          <w:tcPr>
            <w:tcW w:w="1914" w:type="dxa"/>
            <w:shd w:val="clear" w:color="auto" w:fill="051C2C"/>
            <w:vAlign w:val="center"/>
          </w:tcPr>
          <w:p>
            <w:pPr>
              <w:pStyle w:val="KepalaTabel"/>
              <w:suppressAutoHyphens/>
            </w:pPr>
            <w:r>
              <w:t xml:space="preserve">JENIS YANG DISEBUT KHUSUS</w:t>
            </w:r>
          </w:p>
        </w:tc>
      </w:tr>
      <w:tr>
        <w:trPr>
          <w:cantSplit/>
        </w:trPr>
        <w:tc>
          <w:tcPr>
            <w:tcW w:w="2061" w:type="dxa"/>
          </w:tcPr>
          <w:p>
            <w:pPr>
              <w:pStyle w:val="IsiTabel"/>
              <w:suppressAutoHyphens/>
              <w:jc w:val="left"/>
            </w:pPr>
            <w:r>
              <w:t xml:space="preserve">BNPB</w:t>
            </w:r>
          </w:p>
        </w:tc>
        <w:tc>
          <w:tcPr>
            <w:tcW w:w="1545" w:type="dxa"/>
          </w:tcPr>
          <w:p>
            <w:pPr>
              <w:pStyle w:val="IsiTabel"/>
              <w:suppressAutoHyphens/>
              <w:jc w:val="left"/>
            </w:pPr>
            <w:r>
              <w:t xml:space="preserve">I platform peringatan dini multiancaman (Perban BNPB 2/2024); K pedoman lintas fase (UU 24/2007)</w:t>
            </w:r>
          </w:p>
        </w:tc>
        <w:tc>
          <w:tcPr>
            <w:tcW w:w="2013" w:type="dxa"/>
          </w:tcPr>
          <w:p>
            <w:pPr>
              <w:pStyle w:val="IsiTabel"/>
              <w:suppressAutoHyphens/>
              <w:jc w:val="left"/>
            </w:pPr>
            <w:r>
              <w:t xml:space="preserve">K komando, DSP, keadaan tertentu, klaster logistik (lintas jenis)</w:t>
            </w:r>
          </w:p>
        </w:tc>
        <w:tc>
          <w:tcPr>
            <w:tcW w:w="1821" w:type="dxa"/>
          </w:tcPr>
          <w:p>
            <w:pPr>
              <w:pStyle w:val="IsiTabel"/>
              <w:suppressAutoHyphens/>
              <w:jc w:val="left"/>
            </w:pPr>
            <w:r>
              <w:t xml:space="preserve">K rencana rehabilitasi dan rekonstruksi nasional (Perban BNPB 5/2017)</w:t>
            </w:r>
          </w:p>
        </w:tc>
        <w:tc>
          <w:tcPr>
            <w:tcW w:w="1914" w:type="dxa"/>
          </w:tcPr>
          <w:p>
            <w:pPr>
              <w:pStyle w:val="IsiTabel"/>
              <w:suppressAutoHyphens/>
              <w:jc w:val="left"/>
            </w:pPr>
            <w:r>
              <w:t xml:space="preserve">karhutla K saat (Inpres 3/2020); konflik sosial P (UU 7/2012)</w:t>
            </w:r>
          </w:p>
        </w:tc>
      </w:tr>
      <w:tr>
        <w:trPr>
          <w:cantSplit/>
        </w:trPr>
        <w:tc>
          <w:tcPr>
            <w:tcW w:w="2061" w:type="dxa"/>
          </w:tcPr>
          <w:p>
            <w:pPr>
              <w:pStyle w:val="IsiTabel"/>
              <w:suppressAutoHyphens/>
              <w:jc w:val="left"/>
            </w:pPr>
            <w:r>
              <w:t xml:space="preserve">BPBD</w:t>
            </w:r>
          </w:p>
        </w:tc>
        <w:tc>
          <w:tcPr>
            <w:tcW w:w="1545" w:type="dxa"/>
          </w:tcPr>
          <w:p>
            <w:pPr>
              <w:pStyle w:val="IsiTabel"/>
              <w:suppressAutoHyphens/>
              <w:jc w:val="left"/>
            </w:pPr>
            <w:r>
              <w:t xml:space="preserve">I peta rawan; K pedoman daerah (lintas fase)</w:t>
            </w:r>
          </w:p>
        </w:tc>
        <w:tc>
          <w:tcPr>
            <w:tcW w:w="2013" w:type="dxa"/>
          </w:tcPr>
          <w:p>
            <w:pPr>
              <w:pStyle w:val="IsiTabel"/>
              <w:suppressAutoHyphens/>
              <w:jc w:val="left"/>
            </w:pPr>
            <w:r>
              <w:t xml:space="preserve">K koordinasi daerah (lintas fase)</w:t>
            </w:r>
          </w:p>
        </w:tc>
        <w:tc>
          <w:tcPr>
            <w:tcW w:w="1821" w:type="dxa"/>
          </w:tcPr>
          <w:p>
            <w:pPr>
              <w:pStyle w:val="IsiTabel"/>
              <w:suppressAutoHyphens/>
              <w:jc w:val="left"/>
            </w:pPr>
            <w:r>
              <w:t xml:space="preserve">K koordinasi daerah (lintas fase)</w:t>
            </w:r>
          </w:p>
        </w:tc>
        <w:tc>
          <w:tcPr>
            <w:tcW w:w="1914" w:type="dxa"/>
          </w:tcPr>
          <w:p>
            <w:pPr>
              <w:pStyle w:val="IsiTabel"/>
              <w:suppressAutoHyphens/>
              <w:jc w:val="left"/>
            </w:pPr>
            <w:r>
              <w:t xml:space="preserve">karhutla K lintas fase</w:t>
            </w:r>
          </w:p>
        </w:tc>
      </w:tr>
      <w:tr>
        <w:trPr>
          <w:cantSplit/>
        </w:trPr>
        <w:tc>
          <w:tcPr>
            <w:tcW w:w="2061" w:type="dxa"/>
          </w:tcPr>
          <w:p>
            <w:pPr>
              <w:pStyle w:val="IsiTabel"/>
              <w:suppressAutoHyphens/>
              <w:jc w:val="left"/>
            </w:pPr>
            <w:r>
              <w:t xml:space="preserve">Pemerintah daerah</w:t>
            </w:r>
          </w:p>
        </w:tc>
        <w:tc>
          <w:tcPr>
            <w:tcW w:w="1545" w:type="dxa"/>
          </w:tcPr>
          <w:p>
            <w:pPr>
              <w:pStyle w:val="IsiTabel"/>
              <w:suppressAutoHyphens/>
              <w:jc w:val="left"/>
            </w:pPr>
            <w:r>
              <w:t xml:space="preserve">R kawasan daya rusak air (banjir)</w:t>
            </w:r>
          </w:p>
        </w:tc>
        <w:tc>
          <w:tcPr>
            <w:tcW w:w="2013" w:type="dxa"/>
          </w:tcPr>
          <w:p>
            <w:pPr>
              <w:pStyle w:val="IsiTabel"/>
              <w:suppressAutoHyphens/>
              <w:jc w:val="left"/>
            </w:pPr>
            <w:r>
              <w:t xml:space="preserve">R status darurat daerah; R KLB; K pemadam kebakaran</w:t>
            </w:r>
          </w:p>
        </w:tc>
        <w:tc>
          <w:tcPr>
            <w:tcW w:w="1821" w:type="dxa"/>
          </w:tcPr>
          <w:p>
            <w:pPr>
              <w:pStyle w:val="IsiTabel"/>
              <w:suppressAutoHyphens/>
              <w:jc w:val="left"/>
            </w:pPr>
            <w:r>
              <w:t xml:space="preserve">K rumah korban; K pascakonflik</w:t>
            </w:r>
          </w:p>
        </w:tc>
        <w:tc>
          <w:tcPr>
            <w:tcW w:w="1914" w:type="dxa"/>
          </w:tcPr>
          <w:p>
            <w:pPr>
              <w:pStyle w:val="IsiTabel"/>
              <w:suppressAutoHyphens/>
              <w:jc w:val="left"/>
            </w:pPr>
            <w:r>
              <w:t xml:space="preserve">banjir, kekeringan, epidemi, gagal teknologi, TPA*, konflik sosial</w:t>
            </w:r>
          </w:p>
        </w:tc>
      </w:tr>
      <w:tr>
        <w:trPr>
          <w:cantSplit/>
        </w:trPr>
        <w:tc>
          <w:tcPr>
            <w:tcW w:w="2061" w:type="dxa"/>
          </w:tcPr>
          <w:p>
            <w:pPr>
              <w:pStyle w:val="IsiTabel"/>
              <w:suppressAutoHyphens/>
              <w:jc w:val="left"/>
            </w:pPr>
            <w:r>
              <w:t xml:space="preserve">Kemenko PMK</w:t>
            </w:r>
          </w:p>
        </w:tc>
        <w:tc>
          <w:tcPr>
            <w:tcW w:w="1545" w:type="dxa"/>
          </w:tcPr>
          <w:p>
            <w:pPr>
              <w:pStyle w:val="IsiTabel"/>
              <w:suppressAutoHyphens/>
              <w:jc w:val="left"/>
            </w:pPr>
            <w:r>
              <w:t xml:space="preserve">P prioritas Dana Bersama</w:t>
            </w:r>
          </w:p>
        </w:tc>
        <w:tc>
          <w:tcPr>
            <w:tcW w:w="2013" w:type="dxa"/>
          </w:tcPr>
          <w:p>
            <w:pPr>
              <w:pStyle w:val="IsiTabel"/>
              <w:suppressAutoHyphens/>
              <w:jc w:val="left"/>
            </w:pPr>
            <w:r>
              <w:t xml:space="preserve">K rakor keadaan tertentu (Perpres 46/2026)</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konflik sosial K lintas fase</w:t>
            </w:r>
          </w:p>
        </w:tc>
      </w:tr>
      <w:tr>
        <w:trPr>
          <w:cantSplit/>
        </w:trPr>
        <w:tc>
          <w:tcPr>
            <w:tcW w:w="2061" w:type="dxa"/>
          </w:tcPr>
          <w:p>
            <w:pPr>
              <w:pStyle w:val="IsiTabel"/>
              <w:suppressAutoHyphens/>
              <w:jc w:val="left"/>
            </w:pPr>
            <w:r>
              <w:t xml:space="preserve">BMKG</w:t>
            </w:r>
          </w:p>
        </w:tc>
        <w:tc>
          <w:tcPr>
            <w:tcW w:w="1545" w:type="dxa"/>
          </w:tcPr>
          <w:p>
            <w:pPr>
              <w:pStyle w:val="IsiTabel"/>
              <w:suppressAutoHyphens/>
              <w:jc w:val="left"/>
            </w:pPr>
            <w:r>
              <w:t xml:space="preserve">I gempa*, tsunami*, cuaca ekstrem*, gelombang*, iklim ekstrem* (UU 31/2009)</w:t>
            </w:r>
          </w:p>
        </w:tc>
        <w:tc>
          <w:tcPr>
            <w:tcW w:w="2013" w:type="dxa"/>
          </w:tcPr>
          <w:p>
            <w:pPr>
              <w:pStyle w:val="IsiTabel"/>
              <w:suppressAutoHyphens/>
              <w:jc w:val="left"/>
            </w:pPr>
            <w:r>
              <w:t xml:space="preserve">P</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karhutla I</w:t>
            </w:r>
          </w:p>
        </w:tc>
      </w:tr>
      <w:tr>
        <w:trPr>
          <w:cantSplit/>
        </w:trPr>
        <w:tc>
          <w:tcPr>
            <w:tcW w:w="2061" w:type="dxa"/>
          </w:tcPr>
          <w:p>
            <w:pPr>
              <w:pStyle w:val="IsiTabel"/>
              <w:suppressAutoHyphens/>
              <w:jc w:val="left"/>
            </w:pPr>
            <w:r>
              <w:t xml:space="preserve">Kementerian ESDM (Badan Geologi)</w:t>
            </w:r>
          </w:p>
        </w:tc>
        <w:tc>
          <w:tcPr>
            <w:tcW w:w="1545" w:type="dxa"/>
          </w:tcPr>
          <w:p>
            <w:pPr>
              <w:pStyle w:val="IsiTabel"/>
              <w:suppressAutoHyphens/>
              <w:jc w:val="left"/>
            </w:pPr>
            <w:r>
              <w:t xml:space="preserve">R KRB geologi*; I gunung api*, gerakan tanah* (UU 23/2014)</w:t>
            </w:r>
          </w:p>
        </w:tc>
        <w:tc>
          <w:tcPr>
            <w:tcW w:w="2013" w:type="dxa"/>
          </w:tcPr>
          <w:p>
            <w:pPr>
              <w:pStyle w:val="IsiTabel"/>
              <w:suppressAutoHyphens/>
              <w:jc w:val="left"/>
            </w:pPr>
            <w:r>
              <w:t xml:space="preserve">P</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w:t>
            </w:r>
          </w:p>
        </w:tc>
      </w:tr>
      <w:tr>
        <w:trPr>
          <w:cantSplit/>
        </w:trPr>
        <w:tc>
          <w:tcPr>
            <w:tcW w:w="2061" w:type="dxa"/>
          </w:tcPr>
          <w:p>
            <w:pPr>
              <w:pStyle w:val="IsiTabel"/>
              <w:suppressAutoHyphens/>
              <w:jc w:val="left"/>
            </w:pPr>
            <w:r>
              <w:t xml:space="preserve">Kementerian PU</w:t>
            </w:r>
          </w:p>
        </w:tc>
        <w:tc>
          <w:tcPr>
            <w:tcW w:w="1545" w:type="dxa"/>
          </w:tcPr>
          <w:p>
            <w:pPr>
              <w:pStyle w:val="IsiTabel"/>
              <w:suppressAutoHyphens/>
              <w:jc w:val="left"/>
            </w:pPr>
            <w:r>
              <w:t xml:space="preserve">R dan I banjir dan longsor*; K pengaman pantai*</w:t>
            </w:r>
          </w:p>
        </w:tc>
        <w:tc>
          <w:tcPr>
            <w:tcW w:w="2013" w:type="dxa"/>
          </w:tcPr>
          <w:p>
            <w:pPr>
              <w:pStyle w:val="IsiTabel"/>
              <w:suppressAutoHyphens/>
              <w:jc w:val="left"/>
            </w:pPr>
            <w:r>
              <w:t xml:space="preserve">P</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banjir, kekeringan, gelombang</w:t>
            </w:r>
          </w:p>
        </w:tc>
      </w:tr>
      <w:tr>
        <w:trPr>
          <w:cantSplit/>
        </w:trPr>
        <w:tc>
          <w:tcPr>
            <w:tcW w:w="2061" w:type="dxa"/>
          </w:tcPr>
          <w:p>
            <w:pPr>
              <w:pStyle w:val="IsiTabel"/>
              <w:suppressAutoHyphens/>
              <w:jc w:val="left"/>
            </w:pPr>
            <w:r>
              <w:t xml:space="preserve">Kemenkes</w:t>
            </w:r>
          </w:p>
        </w:tc>
        <w:tc>
          <w:tcPr>
            <w:tcW w:w="1545" w:type="dxa"/>
          </w:tcPr>
          <w:p>
            <w:pPr>
              <w:pStyle w:val="IsiTabel"/>
              <w:suppressAutoHyphens/>
              <w:jc w:val="left"/>
            </w:pPr>
            <w:r>
              <w:t xml:space="preserve">–</w:t>
            </w:r>
          </w:p>
        </w:tc>
        <w:tc>
          <w:tcPr>
            <w:tcW w:w="2013" w:type="dxa"/>
          </w:tcPr>
          <w:p>
            <w:pPr>
              <w:pStyle w:val="IsiTabel"/>
              <w:suppressAutoHyphens/>
              <w:jc w:val="left"/>
            </w:pPr>
            <w:r>
              <w:t xml:space="preserve">K klaster kesehatan; R daerah terjangkit wabah* (UU 17/2023 Pasal 368)</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epidemi K lintas fase</w:t>
            </w:r>
          </w:p>
        </w:tc>
      </w:tr>
      <w:tr>
        <w:trPr>
          <w:cantSplit/>
        </w:trPr>
        <w:tc>
          <w:tcPr>
            <w:tcW w:w="2061" w:type="dxa"/>
          </w:tcPr>
          <w:p>
            <w:pPr>
              <w:pStyle w:val="IsiTabel"/>
              <w:keepNext/>
              <w:suppressAutoHyphens/>
              <w:jc w:val="left"/>
            </w:pPr>
            <w:bookmarkStart w:id="715" w:name="_Ekor083a"/>
            <w:bookmarkEnd w:id="715"/>
            <w:r>
              <w:t xml:space="preserve">Kemensos</w:t>
            </w:r>
          </w:p>
        </w:tc>
        <w:tc>
          <w:tcPr>
            <w:tcW w:w="1545" w:type="dxa"/>
          </w:tcPr>
          <w:p>
            <w:pPr>
              <w:pStyle w:val="IsiTabel"/>
              <w:keepNext/>
              <w:suppressAutoHyphens/>
              <w:jc w:val="left"/>
            </w:pPr>
            <w:r>
              <w:t xml:space="preserve">–</w:t>
            </w:r>
          </w:p>
        </w:tc>
        <w:tc>
          <w:tcPr>
            <w:tcW w:w="2013" w:type="dxa"/>
          </w:tcPr>
          <w:p>
            <w:pPr>
              <w:pStyle w:val="IsiTabel"/>
              <w:keepNext/>
              <w:suppressAutoHyphens/>
              <w:jc w:val="left"/>
            </w:pPr>
            <w:r>
              <w:t xml:space="preserve">K klaster pengungsian</w:t>
            </w:r>
          </w:p>
        </w:tc>
        <w:tc>
          <w:tcPr>
            <w:tcW w:w="1821" w:type="dxa"/>
          </w:tcPr>
          <w:p>
            <w:pPr>
              <w:pStyle w:val="IsiTabel"/>
              <w:keepNext/>
              <w:suppressAutoHyphens/>
              <w:jc w:val="left"/>
            </w:pPr>
            <w:r>
              <w:t xml:space="preserve">–</w:t>
            </w:r>
          </w:p>
        </w:tc>
        <w:tc>
          <w:tcPr>
            <w:tcW w:w="1914" w:type="dxa"/>
          </w:tcPr>
          <w:p>
            <w:pPr>
              <w:pStyle w:val="IsiTabel"/>
              <w:keepNext/>
              <w:suppressAutoHyphens/>
              <w:jc w:val="left"/>
            </w:pPr>
            <w:r>
              <w:t xml:space="preserve">karhutla P; konflik sosial P</w:t>
            </w:r>
          </w:p>
        </w:tc>
      </w:tr>
      <w:tr>
        <w:trPr>
          <w:cantSplit/>
        </w:trPr>
        <w:tc>
          <w:tcPr>
            <w:tcW w:w="2061" w:type="dxa"/>
          </w:tcPr>
          <w:p>
            <w:pPr>
              <w:pStyle w:val="IsiTabel"/>
              <w:keepNext/>
              <w:suppressAutoHyphens/>
              <w:jc w:val="left"/>
            </w:pPr>
            <w:r>
              <w:t xml:space="preserve">Basarnas</w:t>
            </w:r>
          </w:p>
        </w:tc>
        <w:tc>
          <w:tcPr>
            <w:tcW w:w="1545" w:type="dxa"/>
          </w:tcPr>
          <w:p>
            <w:pPr>
              <w:pStyle w:val="IsiTabel"/>
              <w:keepNext/>
              <w:suppressAutoHyphens/>
              <w:jc w:val="left"/>
            </w:pPr>
            <w:r>
              <w:t xml:space="preserve">–</w:t>
            </w:r>
          </w:p>
        </w:tc>
        <w:tc>
          <w:tcPr>
            <w:tcW w:w="2013" w:type="dxa"/>
          </w:tcPr>
          <w:p>
            <w:pPr>
              <w:pStyle w:val="IsiTabel"/>
              <w:keepNext/>
              <w:suppressAutoHyphens/>
              <w:jc w:val="left"/>
            </w:pPr>
            <w:r>
              <w:t xml:space="preserve">K klaster pencarian dan pertolongan</w:t>
            </w:r>
          </w:p>
        </w:tc>
        <w:tc>
          <w:tcPr>
            <w:tcW w:w="1821" w:type="dxa"/>
          </w:tcPr>
          <w:p>
            <w:pPr>
              <w:pStyle w:val="IsiTabel"/>
              <w:keepNext/>
              <w:suppressAutoHyphens/>
              <w:jc w:val="left"/>
            </w:pPr>
            <w:r>
              <w:t xml:space="preserve">–</w:t>
            </w:r>
          </w:p>
        </w:tc>
        <w:tc>
          <w:tcPr>
            <w:tcW w:w="1914" w:type="dxa"/>
          </w:tcPr>
          <w:p>
            <w:pPr>
              <w:pStyle w:val="IsiTabel"/>
              <w:keepNext/>
              <w:suppressAutoHyphens/>
              <w:jc w:val="left"/>
            </w:pPr>
            <w:r>
              <w:t xml:space="preserve">–</w:t>
            </w:r>
          </w:p>
        </w:tc>
      </w:tr>
      <w:tr>
        <w:trPr>
          <w:cantSplit/>
        </w:trPr>
        <w:tc>
          <w:tcPr>
            <w:tcW w:w="2061" w:type="dxa"/>
          </w:tcPr>
          <w:p>
            <w:pPr>
              <w:pStyle w:val="IsiTabel"/>
              <w:keepNext/>
              <w:suppressAutoHyphens/>
              <w:jc w:val="left"/>
            </w:pPr>
            <w:r>
              <w:t xml:space="preserve">Kemendagri</w:t>
            </w:r>
          </w:p>
        </w:tc>
        <w:tc>
          <w:tcPr>
            <w:tcW w:w="1545" w:type="dxa"/>
          </w:tcPr>
          <w:p>
            <w:pPr>
              <w:pStyle w:val="IsiTabel"/>
              <w:keepNext/>
              <w:suppressAutoHyphens/>
              <w:jc w:val="left"/>
            </w:pPr>
            <w:r>
              <w:t xml:space="preserve">R standar pemadam kebakaran*</w:t>
            </w:r>
          </w:p>
        </w:tc>
        <w:tc>
          <w:tcPr>
            <w:tcW w:w="2013" w:type="dxa"/>
          </w:tcPr>
          <w:p>
            <w:pPr>
              <w:pStyle w:val="IsiTabel"/>
              <w:keepNext/>
              <w:suppressAutoHyphens/>
              <w:jc w:val="left"/>
            </w:pPr>
            <w:r>
              <w:t xml:space="preserve">P</w:t>
            </w:r>
          </w:p>
        </w:tc>
        <w:tc>
          <w:tcPr>
            <w:tcW w:w="1821" w:type="dxa"/>
          </w:tcPr>
          <w:p>
            <w:pPr>
              <w:pStyle w:val="IsiTabel"/>
              <w:keepNext/>
              <w:suppressAutoHyphens/>
              <w:jc w:val="left"/>
            </w:pPr>
            <w:r>
              <w:t xml:space="preserve">K klaster pemulihan</w:t>
            </w:r>
          </w:p>
        </w:tc>
        <w:tc>
          <w:tcPr>
            <w:tcW w:w="1914" w:type="dxa"/>
          </w:tcPr>
          <w:p>
            <w:pPr>
              <w:pStyle w:val="IsiTabel"/>
              <w:keepNext/>
              <w:suppressAutoHyphens/>
              <w:jc w:val="left"/>
            </w:pPr>
            <w:r>
              <w:t xml:space="preserve">–</w:t>
            </w:r>
          </w:p>
        </w:tc>
      </w:tr>
      <w:tr>
        <w:trPr>
          <w:cantSplit/>
        </w:trPr>
        <w:tc>
          <w:tcPr>
            <w:tcW w:w="2061" w:type="dxa"/>
          </w:tcPr>
          <w:p>
            <w:pPr>
              <w:pStyle w:val="IsiTabel"/>
              <w:suppressAutoHyphens/>
              <w:jc w:val="left"/>
            </w:pPr>
            <w:bookmarkStart w:id="716" w:name="_Ekor083z"/>
            <w:bookmarkEnd w:id="716"/>
            <w:r>
              <w:t xml:space="preserve">Polri; Kemenko Polkam</w:t>
            </w:r>
          </w:p>
        </w:tc>
        <w:tc>
          <w:tcPr>
            <w:tcW w:w="1545" w:type="dxa"/>
          </w:tcPr>
          <w:p>
            <w:pPr>
              <w:pStyle w:val="IsiTabel"/>
              <w:suppressAutoHyphens/>
              <w:jc w:val="left"/>
            </w:pPr>
            <w:r>
              <w:t xml:space="preserve">–</w:t>
            </w:r>
          </w:p>
        </w:tc>
        <w:tc>
          <w:tcPr>
            <w:tcW w:w="2013" w:type="dxa"/>
          </w:tcPr>
          <w:p>
            <w:pPr>
              <w:pStyle w:val="IsiTabel"/>
              <w:suppressAutoHyphens/>
              <w:jc w:val="left"/>
            </w:pPr>
            <w:r>
              <w:t xml:space="preserve">K konflik sosial (Polri); K konflik sosial* (Kemenko Polkam)</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karhutla K lintas fase* (Kemenko Polkam)</w:t>
            </w:r>
          </w:p>
        </w:tc>
      </w:tr>
    </w:tbl>
    <w:p>
      <w:pPr>
        <w:pStyle w:val="Sumber"/>
        <w:spacing w:after="40"/>
      </w:pPr>
      <w:r>
        <w:rPr>
          <w:b/>
          <w:bCs/>
          <w:color w:val="6B7280"/>
          <w:sz w:val="17"/>
          <w:szCs w:val="17"/>
        </w:rPr>
        <w:t xml:space="preserve">Sumber: </w:t>
      </w:r>
      <w:r>
        <w:rPr>
          <w:color w:val="6B7280"/>
          <w:sz w:val="17"/>
          <w:szCs w:val="17"/>
        </w:rPr>
        <w:t xml:space="preserve">Paket lembaga Pantau Bencana (peran.csv, matriks_ringkas.csv, matriks_bencana.csv) dari UU 24/2007, UU 7/2012, UU 17/2023, UU 31/2009, UU 23/2014, Perpres 1/2019, Perpres 46/2026, Inpres 3/2020, Perban BNPB 2/2024 dan 5/2017</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 koordinator atau penanggung jawab utama; P pelaksana atau pendukung; R penetap status, izin, atau norma; I informasi dan peringatan dini. Tanda * berarti norma tertulis dengan pelaku umum ("Badan", "Menteri", "Pemerintah Pusat") yang dipetakan penyusun ke lembaga. "–" berarti tidak tercatat di peraturan yang dibaca, bukan tidak berlaku. Kementerian PKP (K perumahan pascabencana, dipetakan) dan Bappenas (P rencana rehabilitasi dan rekonstruksi) dimuat di lampiran.</w:t>
      </w:r>
    </w:p>
    <w:p>
      <w:pPr>
        <w:pStyle w:val="IsiTemuan"/>
      </w:pPr>
      <w:r>
        <w:rPr>
          <w:b/>
          <w:bCs/>
          <w:color w:val="051C2C"/>
        </w:rPr>
        <w:t xml:space="preserve">Mandat BNPB tertulis di </w:t>
      </w:r>
      <w:r>
        <w:rPr>
          <w:b/>
          <w:bCs/>
          <w:color w:val="051C2C"/>
        </w:rPr>
        <w:t xml:space="preserve">11</w:t>
      </w:r>
      <w:r>
        <w:rPr>
          <w:b/>
          <w:bCs/>
          <w:color w:val="051C2C"/>
        </w:rPr>
        <w:t xml:space="preserve"> dari </w:t>
      </w:r>
      <w:r>
        <w:rPr>
          <w:b/>
          <w:bCs/>
          <w:color w:val="051C2C"/>
        </w:rPr>
        <w:t xml:space="preserve">13</w:t>
      </w:r>
      <w:r>
        <w:rPr>
          <w:b/>
          <w:bCs/>
          <w:color w:val="051C2C"/>
        </w:rPr>
        <w:t xml:space="preserve"> baris perannya; peran koordinator tanggap daruratnya berlaku untuk </w:t>
      </w:r>
      <w:r>
        <w:rPr>
          <w:b/>
          <w:bCs/>
          <w:color w:val="051C2C"/>
        </w:rPr>
        <w:t xml:space="preserve">13 ancaman</w:t>
      </w:r>
      <w:r>
        <w:rPr>
          <w:b/>
          <w:bCs/>
          <w:color w:val="051C2C"/>
        </w:rPr>
        <w:t xml:space="preserve"> lewat norma lintas jenis, tetapi untuk </w:t>
      </w:r>
      <w:r>
        <w:rPr>
          <w:b/>
          <w:bCs/>
          <w:color w:val="051C2C"/>
        </w:rPr>
        <w:t xml:space="preserve">1 ancaman</w:t>
      </w:r>
      <w:r>
        <w:rPr>
          <w:b/>
          <w:bCs/>
          <w:color w:val="051C2C"/>
        </w:rPr>
        <w:t xml:space="preserve"> saja (karhutla) lewat norma khusus.</w:t>
      </w:r>
      <w:r>
        <w:t xml:space="preserve"> Perpres 1/2019 menyatakan bahwa apabila terjadi bencana nasional, BNPB melaksanakan fungsi komando dalam penanganan status keadaan darurat dan keadaan tertentu (Pasal 5); koordinasi dijalankan pada prabencana dan pascabencana (Pasal 18), dan komando lewat pengerahan sumber daya (Pasal 19) </w:t>
      </w:r>
      <w:r>
        <w:t xml:space="preserve">(Republik Indonesia, 2019a)</w:t>
      </w:r>
      <w:r>
        <w:t xml:space="preserve">. Pasal 5 bersyarat bencana nasional, sementara Perpres penetapan status dan tingkatan bencana belum terbit (</w:t>
      </w:r>
      <w:r>
        <w:t xml:space="preserve">Subbab </w:t>
      </w:r>
      <w:r>
        <w:fldChar w:fldCharType="begin"/>
      </w:r>
      <w:r>
        <w:instrText xml:space="preserve"> REF _Ref0150 \h \* CHARFORMAT </w:instrText>
      </w:r>
      <w:r>
        <w:fldChar w:fldCharType="separate"/>
      </w:r>
      <w:r>
        <w:t xml:space="preserve">12.6</w:t>
      </w:r>
      <w:r>
        <w:fldChar w:fldCharType="end"/>
      </w:r>
      <w:r>
        <w:t xml:space="preserve">). Akibatnya, celah utama terletak pada akuntabilitas prabencana, yaitu siapa yang wajib menghasilkan informasi bahaya per jenis, ditambah ketergantungan komando nasional pada alat penetapan status yang belum ada.</w:t>
      </w:r>
    </w:p>
    <w:p>
      <w:pPr>
        <w:pStyle w:val="IsiTemuan"/>
      </w:pPr>
      <w:r>
        <w:rPr>
          <w:b/>
          <w:bCs/>
          <w:color w:val="051C2C"/>
        </w:rPr>
        <w:t xml:space="preserve">Klaster nasional tanggap darurat berjumlah </w:t>
      </w:r>
      <w:r>
        <w:rPr>
          <w:b/>
          <w:bCs/>
          <w:color w:val="051C2C"/>
        </w:rPr>
        <w:t xml:space="preserve">6 klaster</w:t>
      </w:r>
      <w:r>
        <w:rPr>
          <w:b/>
          <w:bCs/>
          <w:color w:val="051C2C"/>
        </w:rPr>
        <w:t xml:space="preserve"> menurut Kepka BNPB 308/2024 yang dikutip Juklak BNPB 16/2025 </w:t>
      </w:r>
      <w:r>
        <w:rPr>
          <w:b/>
          <w:bCs/>
          <w:color w:val="051C2C"/>
        </w:rPr>
        <w:t xml:space="preserve">(BNPB, 2025j)</w:t>
      </w:r>
      <w:r>
        <w:rPr>
          <w:b/>
          <w:bCs/>
          <w:color w:val="051C2C"/>
        </w:rPr>
        <w:t xml:space="preserve">.</w:t>
      </w:r>
      <w:r>
        <w:t xml:space="preserve"> BNPB mengoordinasikan klaster logistik dan Kemendagri klaster pemulihan; teks keputusan itu sendiri tidak dibuka.</w:t>
      </w:r>
    </w:p>
    <w:p>
      <w:pPr>
        <w:pStyle w:val="IsiTemuan"/>
      </w:pPr>
      <w:r>
        <w:rPr>
          <w:b/>
          <w:bCs/>
          <w:color w:val="051C2C"/>
        </w:rPr>
        <w:t xml:space="preserve">Pengawasan keselamatan migas dan industri berada pada Menteri ESDM (PP 11/1979 Pasal 2), Menteri Perindustrian (UU 3/2014 Pasal 117), dan Menteri Ketenagakerjaan (UU 1/1970 Pasal 3), dan tidak satu pun norma itu menyebut BNPB </w:t>
      </w:r>
      <w:r>
        <w:rPr>
          <w:b/>
          <w:bCs/>
          <w:color w:val="051C2C"/>
        </w:rPr>
        <w:t xml:space="preserve">(Republik Indonesia, 1979, 2014b, 1970)</w:t>
      </w:r>
      <w:r>
        <w:rPr>
          <w:b/>
          <w:bCs/>
          <w:color w:val="051C2C"/>
        </w:rPr>
        <w:t xml:space="preserve">.</w:t>
      </w:r>
      <w:r>
        <w:t xml:space="preserve"> Kementerian Perindustrian dan Kementerian Ketenagakerjaan belum dimuat paket lembaga, sehingga keduanya tidak tampil di </w:t>
      </w:r>
      <w:r>
        <w:fldChar w:fldCharType="begin"/>
      </w:r>
      <w:r>
        <w:instrText xml:space="preserve"> REF _Ref0308 \h \* CHARFORMAT </w:instrText>
      </w:r>
      <w:r>
        <w:fldChar w:fldCharType="separate"/>
      </w:r>
      <w:r>
        <w:t xml:space="preserve">Tabel 12.1</w:t>
      </w:r>
      <w:r>
        <w:fldChar w:fldCharType="end"/>
      </w:r>
      <w:r>
        <w:t xml:space="preserve"> meskipun mandat tertulisnya ada. Rencana rehabilitasi dan rekonstruksi skala nasional disusun BNPB bersama Bappenas dan K/L terkait (Perban BNPB 5/2017 Pasal 3) </w:t>
      </w:r>
      <w:r>
        <w:t xml:space="preserve">(BNPB, 2017a)</w:t>
      </w:r>
      <w:r>
        <w:t xml:space="preserve">.</w:t>
      </w:r>
    </w:p>
    <w:p>
      <w:pPr>
        <w:pStyle w:val="Heading2"/>
      </w:pPr>
      <w:bookmarkStart w:id="718" w:name="_Toc00232"/>
      <w:bookmarkStart w:id="717" w:name="_Ref0223"/>
      <w:r>
        <w:t xml:space="preserve">12.2</w:t>
      </w:r>
      <w:bookmarkEnd w:id="717"/>
      <w:r>
        <w:tab/>
      </w:r>
      <w:r>
        <w:t xml:space="preserve">Usulan Penugasan dan Instrumen Penetapannya</w:t>
      </w:r>
      <w:bookmarkEnd w:id="718"/>
    </w:p>
    <w:p>
      <w:pPr>
        <w:pStyle w:val="IsiTemuan"/>
      </w:pPr>
      <w:r>
        <w:rPr>
          <w:b/>
          <w:bCs/>
          <w:color w:val="051C2C"/>
        </w:rPr>
        <w:t xml:space="preserve">Lima peran belum tertulis di norma mana pun; empat diusulkan ditetapkan dengan instrumen yang berpijak pada dasar yang sudah berlaku, dan satu dicatat sebagai sel kosong beralasan (</w:t>
      </w:r>
      <w:r>
        <w:rPr>
          <w:b/>
          <w:bCs/>
          <w:color w:val="051C2C"/>
        </w:rPr>
        <w:fldChar w:fldCharType="begin"/>
      </w:r>
      <w:r>
        <w:rPr>
          <w:b/>
          <w:bCs/>
          <w:color w:val="051C2C"/>
        </w:rPr>
        <w:instrText xml:space="preserve"> REF _Ref0333 \h \* CHARFORMAT </w:instrText>
      </w:r>
      <w:r>
        <w:rPr>
          <w:b/>
          <w:bCs/>
          <w:color w:val="051C2C"/>
        </w:rPr>
        <w:fldChar w:fldCharType="separate"/>
      </w:r>
      <w:r>
        <w:rPr>
          <w:b/>
          <w:bCs/>
          <w:color w:val="051C2C"/>
        </w:rPr>
        <w:t xml:space="preserve">Tabel 12.2</w:t>
      </w:r>
      <w:r>
        <w:rPr>
          <w:b/>
          <w:bCs/>
          <w:color w:val="051C2C"/>
        </w:rPr>
        <w:fldChar w:fldCharType="end"/>
      </w:r>
      <w:r>
        <w:rPr>
          <w:b/>
          <w:bCs/>
          <w:color w:val="051C2C"/>
        </w:rPr>
        <w:t xml:space="preserve">).</w:t>
      </w:r>
      <w:r>
        <w:t xml:space="preserve"> Peran yang tertulis dengan pelaku umum tetap berada di </w:t>
      </w:r>
      <w:r>
        <w:fldChar w:fldCharType="begin"/>
      </w:r>
      <w:r>
        <w:instrText xml:space="preserve"> REF _Ref0308 \h \* CHARFORMAT </w:instrText>
      </w:r>
      <w:r>
        <w:fldChar w:fldCharType="separate"/>
      </w:r>
      <w:r>
        <w:t xml:space="preserve">Tabel 12.1</w:t>
      </w:r>
      <w:r>
        <w:fldChar w:fldCharType="end"/>
      </w:r>
      <w:r>
        <w:t xml:space="preserve"> bertanda bintang, dan peran BNPB sebagai kontributor aksi Renas 2.4.4.a tidak dimuat karena sudah tertulis di Renas PB </w:t>
      </w:r>
      <w:r>
        <w:t xml:space="preserve">(BNPB, 2025c, hlm. 86)</w:t>
      </w:r>
      <w:r>
        <w:t xml:space="preserve">. Paket lembaga mencatat </w:t>
      </w:r>
      <w:r>
        <w:t xml:space="preserve">17</w:t>
      </w:r>
      <w:r>
        <w:t xml:space="preserve"> celah kewenangan, antara lain dua rezim status epidemi dan dua rezim konflik sosial </w:t>
      </w:r>
      <w:r>
        <w:t xml:space="preserve">(Pantau Bencana, 2026b)</w:t>
      </w:r>
      <w:r>
        <w:t xml:space="preserve">.</w:t>
      </w:r>
    </w:p>
    <w:p>
      <w:pPr>
        <w:pStyle w:val="Caption"/>
      </w:pPr>
      <w:bookmarkStart w:id="720" w:name="_Toc00233"/>
      <w:bookmarkStart w:id="719" w:name="_Ref033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19"/>
      <w:r>
        <w:rPr>
          <w:b/>
          <w:bCs/>
          <w:color w:val="051C2C"/>
        </w:rPr>
        <w:t xml:space="preserve"> </w:t>
      </w:r>
      <w:r>
        <w:t xml:space="preserve">Usulan penugasan yang belum tertulis di norma dan instrumen untuk menetapkannya, 2026</w:t>
      </w:r>
      <w:bookmarkEnd w:id="72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41"/>
        <w:gridCol w:w="5176"/>
        <w:gridCol w:w="1326"/>
        <w:gridCol w:w="1111"/>
      </w:tblGrid>
      <w:tr>
        <w:trPr>
          <w:cantSplit/>
          <w:tblHeader/>
        </w:trPr>
        <w:tc>
          <w:tcPr>
            <w:tcW w:w="1741" w:type="dxa"/>
            <w:shd w:val="clear" w:color="auto" w:fill="051C2C"/>
            <w:vAlign w:val="center"/>
          </w:tcPr>
          <w:p>
            <w:pPr>
              <w:pStyle w:val="KepalaTabel"/>
              <w:keepNext/>
              <w:suppressAutoHyphens/>
            </w:pPr>
            <w:r>
              <w:t xml:space="preserve">PERAN YANG DIUSULKAN</w:t>
            </w:r>
          </w:p>
        </w:tc>
        <w:tc>
          <w:tcPr>
            <w:tcW w:w="5176" w:type="dxa"/>
            <w:shd w:val="clear" w:color="auto" w:fill="051C2C"/>
            <w:vAlign w:val="center"/>
          </w:tcPr>
          <w:p>
            <w:pPr>
              <w:pStyle w:val="KepalaTabel"/>
              <w:keepNext/>
              <w:suppressAutoHyphens/>
            </w:pPr>
            <w:r>
              <w:t xml:space="preserve">DASAR YANG SUDAH ADA</w:t>
            </w:r>
          </w:p>
        </w:tc>
        <w:tc>
          <w:tcPr>
            <w:tcW w:w="1326" w:type="dxa"/>
            <w:shd w:val="clear" w:color="auto" w:fill="051C2C"/>
            <w:vAlign w:val="center"/>
          </w:tcPr>
          <w:p>
            <w:pPr>
              <w:pStyle w:val="KepalaTabel"/>
              <w:keepNext/>
              <w:suppressAutoHyphens/>
            </w:pPr>
            <w:r>
              <w:t xml:space="preserve">INSTRUMEN PENETAPAN</w:t>
            </w:r>
          </w:p>
        </w:tc>
        <w:tc>
          <w:tcPr>
            <w:tcW w:w="1111" w:type="dxa"/>
            <w:shd w:val="clear" w:color="auto" w:fill="051C2C"/>
            <w:vAlign w:val="center"/>
          </w:tcPr>
          <w:p>
            <w:pPr>
              <w:pStyle w:val="KepalaTabel"/>
              <w:keepNext/>
              <w:suppressAutoHyphens/>
            </w:pPr>
            <w:r>
              <w:t xml:space="preserve">REGISTER</w:t>
            </w:r>
          </w:p>
        </w:tc>
      </w:tr>
      <w:tr>
        <w:trPr>
          <w:cantSplit/>
        </w:trPr>
        <w:tc>
          <w:tcPr>
            <w:tcW w:w="1741" w:type="dxa"/>
          </w:tcPr>
          <w:p>
            <w:pPr>
              <w:pStyle w:val="IsiTabel"/>
              <w:keepNext/>
              <w:suppressAutoHyphens/>
              <w:jc w:val="left"/>
            </w:pPr>
            <w:r>
              <w:t xml:space="preserve">BNPB menyelenggarakan PB dalam keadaan tertentu faktor sosial dan di daerah rekonsiliasi pascakonflik berkapasitas fiskal rendah</w:t>
            </w:r>
          </w:p>
        </w:tc>
        <w:tc>
          <w:tcPr>
            <w:tcW w:w="5176" w:type="dxa"/>
          </w:tcPr>
          <w:p>
            <w:pPr>
              <w:pStyle w:val="IsiTabel"/>
              <w:keepNext/>
              <w:suppressAutoHyphens/>
              <w:jc w:val="left"/>
            </w:pPr>
            <w:r>
              <w:t xml:space="preserve">Perpres 46/2026 Pasal 3 ayat (2) huruf a dan c, ayat (4)</w:t>
            </w:r>
          </w:p>
        </w:tc>
        <w:tc>
          <w:tcPr>
            <w:tcW w:w="1326" w:type="dxa"/>
          </w:tcPr>
          <w:p>
            <w:pPr>
              <w:pStyle w:val="IsiTabel"/>
              <w:keepNext/>
              <w:suppressAutoHyphens/>
              <w:jc w:val="left"/>
            </w:pPr>
            <w:r>
              <w:t xml:space="preserve">Pedoman Kepala BNPB berupa perubahan Perban BNPB 5/2018</w:t>
            </w:r>
          </w:p>
        </w:tc>
        <w:tc>
          <w:tcPr>
            <w:tcW w:w="1111" w:type="dxa"/>
          </w:tcPr>
          <w:p>
            <w:pPr>
              <w:pStyle w:val="IsiTabel"/>
              <w:keepNext/>
              <w:suppressAutoHyphens/>
              <w:jc w:val="left"/>
            </w:pPr>
            <w:r>
              <w:fldChar w:fldCharType="begin"/>
            </w:r>
            <w:r>
              <w:instrText xml:space="preserve"> REF _Ref0088 \h \* CHARFORMAT </w:instrText>
            </w:r>
            <w:r>
              <w:fldChar w:fldCharType="separate"/>
            </w:r>
            <w:r>
              <w:t xml:space="preserve">14</w:t>
            </w:r>
            <w:r>
              <w:fldChar w:fldCharType="end"/>
            </w:r>
          </w:p>
        </w:tc>
      </w:tr>
      <w:tr>
        <w:trPr>
          <w:cantSplit/>
        </w:trPr>
        <w:tc>
          <w:tcPr>
            <w:tcW w:w="1741" w:type="dxa"/>
          </w:tcPr>
          <w:p>
            <w:pPr>
              <w:pStyle w:val="IsiTabel"/>
              <w:keepNext/>
              <w:suppressAutoHyphens/>
              <w:jc w:val="left"/>
            </w:pPr>
            <w:bookmarkStart w:id="721" w:name="_Ekor084a"/>
            <w:bookmarkEnd w:id="721"/>
            <w:r>
              <w:t xml:space="preserve">Pengait status KLB atau wabah dengan status darurat bencana</w:t>
            </w:r>
          </w:p>
        </w:tc>
        <w:tc>
          <w:tcPr>
            <w:tcW w:w="5176" w:type="dxa"/>
          </w:tcPr>
          <w:p>
            <w:pPr>
              <w:pStyle w:val="IsiTabel"/>
              <w:keepNext/>
              <w:suppressAutoHyphens/>
              <w:jc w:val="left"/>
            </w:pPr>
            <w:r>
              <w:t xml:space="preserve">UU 17/2023 Pasal 353 dan 368; UU 24/2007 Pasal 51</w:t>
            </w:r>
          </w:p>
        </w:tc>
        <w:tc>
          <w:tcPr>
            <w:tcW w:w="1326" w:type="dxa"/>
          </w:tcPr>
          <w:p>
            <w:pPr>
              <w:pStyle w:val="IsiTabel"/>
              <w:keepNext/>
              <w:suppressAutoHyphens/>
              <w:jc w:val="left"/>
            </w:pPr>
            <w:r>
              <w:t xml:space="preserve">Norma bersama Kemenkes dan BNPB; bentuk belum dapat ditentukan</w:t>
            </w:r>
          </w:p>
        </w:tc>
        <w:tc>
          <w:tcPr>
            <w:tcW w:w="1111" w:type="dxa"/>
          </w:tcPr>
          <w:p>
            <w:pPr>
              <w:pStyle w:val="IsiTabel"/>
              <w:keepNext/>
              <w:suppressAutoHyphens/>
              <w:jc w:val="left"/>
            </w:pPr>
            <w:r>
              <w:fldChar w:fldCharType="begin"/>
            </w:r>
            <w:r>
              <w:instrText xml:space="preserve"> REF _Ref0092 \h \* CHARFORMAT </w:instrText>
            </w:r>
            <w:r>
              <w:fldChar w:fldCharType="separate"/>
            </w:r>
            <w:r>
              <w:t xml:space="preserve">36</w:t>
            </w:r>
            <w:r>
              <w:fldChar w:fldCharType="end"/>
            </w:r>
          </w:p>
        </w:tc>
      </w:tr>
      <w:tr>
        <w:trPr>
          <w:cantSplit/>
        </w:trPr>
        <w:tc>
          <w:tcPr>
            <w:tcW w:w="1741" w:type="dxa"/>
          </w:tcPr>
          <w:p>
            <w:pPr>
              <w:pStyle w:val="IsiTabel"/>
              <w:keepNext/>
              <w:suppressAutoHyphens/>
              <w:jc w:val="left"/>
            </w:pPr>
            <w:r>
              <w:t xml:space="preserve">Penetapan tingkatan bencana dengan indikator UU 24/2007 Pasal 7 ayat (2) menurut tafsir MK</w:t>
            </w:r>
          </w:p>
        </w:tc>
        <w:tc>
          <w:tcPr>
            <w:tcW w:w="5176" w:type="dxa"/>
          </w:tcPr>
          <w:p>
            <w:pPr>
              <w:pStyle w:val="IsiTabel"/>
              <w:keepNext/>
              <w:suppressAutoHyphens/>
              <w:jc w:val="left"/>
            </w:pPr>
            <w:r>
              <w:t xml:space="preserve">UU 24/2007 Pasal 7 ayat (3); Putusan MK 261/PUU-XXIII/2025</w:t>
            </w:r>
          </w:p>
        </w:tc>
        <w:tc>
          <w:tcPr>
            <w:tcW w:w="1326" w:type="dxa"/>
          </w:tcPr>
          <w:p>
            <w:pPr>
              <w:pStyle w:val="IsiTabel"/>
              <w:keepNext/>
              <w:suppressAutoHyphens/>
              <w:jc w:val="left"/>
            </w:pPr>
            <w:r>
              <w:t xml:space="preserve">Perpres penetapan status dan tingkatan bencana</w:t>
            </w:r>
          </w:p>
        </w:tc>
        <w:tc>
          <w:tcPr>
            <w:tcW w:w="1111" w:type="dxa"/>
          </w:tcPr>
          <w:p>
            <w:pPr>
              <w:pStyle w:val="IsiTabel"/>
              <w:keepNext/>
              <w:suppressAutoHyphens/>
              <w:jc w:val="left"/>
            </w:pPr>
            <w:r>
              <w:fldChar w:fldCharType="begin"/>
            </w:r>
            <w:r>
              <w:instrText xml:space="preserve"> REF _Ref0091 \h \* CHARFORMAT </w:instrText>
            </w:r>
            <w:r>
              <w:fldChar w:fldCharType="separate"/>
            </w:r>
            <w:r>
              <w:t xml:space="preserve">19</w:t>
            </w:r>
            <w:r>
              <w:fldChar w:fldCharType="end"/>
            </w:r>
          </w:p>
        </w:tc>
      </w:tr>
      <w:tr>
        <w:trPr>
          <w:cantSplit/>
        </w:trPr>
        <w:tc>
          <w:tcPr>
            <w:tcW w:w="1741" w:type="dxa"/>
          </w:tcPr>
          <w:p>
            <w:pPr>
              <w:pStyle w:val="IsiTabel"/>
              <w:keepNext/>
              <w:suppressAutoHyphens/>
              <w:jc w:val="left"/>
            </w:pPr>
            <w:r>
              <w:t xml:space="preserve">Penyedia peringatan dini kekeringan hidrologis dan sambungan peringatan dini per wilayah sungai ke platform BNPB</w:t>
            </w:r>
          </w:p>
        </w:tc>
        <w:tc>
          <w:tcPr>
            <w:tcW w:w="5176" w:type="dxa"/>
          </w:tcPr>
          <w:p>
            <w:pPr>
              <w:pStyle w:val="IsiTabel"/>
              <w:keepNext/>
              <w:suppressAutoHyphens/>
              <w:jc w:val="left"/>
            </w:pPr>
            <w:r>
              <w:t xml:space="preserve">PP 30/2024 Pasal 96; Perban BNPB 2/2024</w:t>
            </w:r>
          </w:p>
        </w:tc>
        <w:tc>
          <w:tcPr>
            <w:tcW w:w="1326" w:type="dxa"/>
          </w:tcPr>
          <w:p>
            <w:pPr>
              <w:pStyle w:val="IsiTabel"/>
              <w:keepNext/>
              <w:suppressAutoHyphens/>
              <w:jc w:val="left"/>
            </w:pPr>
            <w:r>
              <w:t xml:space="preserve">Pembahasan di Dewan SDA Nasional; perubahan Perban BNPB 2/2024</w:t>
            </w:r>
          </w:p>
        </w:tc>
        <w:tc>
          <w:tcPr>
            <w:tcW w:w="1111" w:type="dxa"/>
          </w:tcPr>
          <w:p>
            <w:pPr>
              <w:pStyle w:val="IsiTabel"/>
              <w:keepNext/>
              <w:suppressAutoHyphens/>
              <w:jc w:val="left"/>
            </w:pPr>
            <w:r>
              <w:fldChar w:fldCharType="begin"/>
            </w:r>
            <w:r>
              <w:instrText xml:space="preserve"> REF _Ref0097 \h \* CHARFORMAT </w:instrText>
            </w:r>
            <w:r>
              <w:fldChar w:fldCharType="separate"/>
            </w:r>
            <w:r>
              <w:t xml:space="preserve">24</w:t>
            </w:r>
            <w:r>
              <w:fldChar w:fldCharType="end"/>
            </w:r>
          </w:p>
        </w:tc>
      </w:tr>
      <w:tr>
        <w:trPr>
          <w:cantSplit/>
        </w:trPr>
        <w:tc>
          <w:tcPr>
            <w:tcW w:w="1741" w:type="dxa"/>
          </w:tcPr>
          <w:p>
            <w:pPr>
              <w:pStyle w:val="IsiTabel"/>
              <w:suppressAutoHyphens/>
              <w:jc w:val="left"/>
            </w:pPr>
            <w:bookmarkStart w:id="722" w:name="_Ekor084z"/>
            <w:bookmarkEnd w:id="722"/>
            <w:r>
              <w:t xml:space="preserve">Koordinator pemulihan darurat prasarana setelah klaster sarana dan prasarana tidak ada</w:t>
            </w:r>
          </w:p>
        </w:tc>
        <w:tc>
          <w:tcPr>
            <w:tcW w:w="5176" w:type="dxa"/>
          </w:tcPr>
          <w:p>
            <w:pPr>
              <w:pStyle w:val="IsiTabel"/>
              <w:suppressAutoHyphens/>
              <w:jc w:val="left"/>
            </w:pPr>
            <w:r>
              <w:t xml:space="preserve">Perpres 1/2019 Pasal 19; UU 24/2007 Pasal 58</w:t>
            </w:r>
          </w:p>
        </w:tc>
        <w:tc>
          <w:tcPr>
            <w:tcW w:w="1326" w:type="dxa"/>
          </w:tcPr>
          <w:p>
            <w:pPr>
              <w:pStyle w:val="IsiTabel"/>
              <w:suppressAutoHyphens/>
              <w:jc w:val="left"/>
            </w:pPr>
            <w:r>
              <w:t xml:space="preserve">Tanpa instrumen baru bila komando BNPB dipakai; dicatat sebagai sel kosong beralasan</w:t>
            </w:r>
          </w:p>
        </w:tc>
        <w:tc>
          <w:tcPr>
            <w:tcW w:w="1111" w:type="dxa"/>
          </w:tcPr>
          <w:p>
            <w:pPr>
              <w:pStyle w:val="IsiTabel"/>
              <w:suppressAutoHyphens/>
              <w:jc w:val="left"/>
            </w:pPr>
            <w:r>
              <w:fldChar w:fldCharType="begin"/>
            </w:r>
            <w:r>
              <w:instrText xml:space="preserve"> REF _Ref0095 \h \* CHARFORMAT </w:instrText>
            </w:r>
            <w:r>
              <w:fldChar w:fldCharType="separate"/>
            </w:r>
            <w:r>
              <w:t xml:space="preserve">22</w:t>
            </w:r>
            <w:r>
              <w:fldChar w:fldCharType="end"/>
            </w:r>
          </w:p>
        </w:tc>
      </w:tr>
    </w:tbl>
    <w:p>
      <w:pPr>
        <w:pStyle w:val="Sumber"/>
        <w:spacing w:after="40"/>
      </w:pPr>
      <w:r>
        <w:rPr>
          <w:b/>
          <w:bCs/>
          <w:color w:val="6B7280"/>
          <w:sz w:val="17"/>
          <w:szCs w:val="17"/>
        </w:rPr>
        <w:t xml:space="preserve">Sumber: </w:t>
      </w:r>
      <w:r>
        <w:rPr>
          <w:color w:val="6B7280"/>
          <w:sz w:val="17"/>
          <w:szCs w:val="17"/>
        </w:rPr>
        <w:t xml:space="preserve">Perpres 46/2026; UU 24/2007; UU 17/2023; UU 17/2019; PP 30/2024; Perpres 1/2019; Perban BNPB 2/2024; Putusan MK 261/PUU-XXIII/2025; paket lembaga Pantau Bencana;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Dasar yang ada berlabel resmi; pilihan instrumen dan penugasan adalah usulan penyusun.</w:t>
      </w:r>
    </w:p>
    <w:p>
      <w:pPr>
        <w:pStyle w:val="IsiTemuan"/>
      </w:pPr>
      <w:r>
        <w:rPr>
          <w:b/>
          <w:bCs/>
          <w:color w:val="051C2C"/>
        </w:rPr>
        <w:t xml:space="preserve">Tiga dari lima usulan berada di luar kewenangan BNPB untuk menetapkannya sendiri.</w:t>
      </w:r>
      <w:r>
        <w:t xml:space="preserve"> Sistem peringatan dini per wilayah sungai adalah pengaturan pengelola sumber daya air (PP 30/2024 Pasal 96 ayat (1) huruf b) dalam pola pengelolaan yang dipimpin Kementerian PU (UU 17/2019 Pasal 35 ayat (2)) </w:t>
      </w:r>
      <w:r>
        <w:t xml:space="preserve">(Republik Indonesia, 2024c, 2019b)</w:t>
      </w:r>
      <w:r>
        <w:t xml:space="preserve">. Oleh sebab itu, penunjukan penyedia peringatan dini kekeringan hidrologis dibahas di Dewan SDA Nasional, dan BNPB hanya mengatur sambungannya ke platform lewat perubahan Perban BNPB 2/2024. Status "kejadian luar biasa" (KLB) ditetapkan kepala daerah atau Menteri Kesehatan (UU 17/2023 Pasal 353) dan daerah terjangkit wabah oleh Menteri Kesehatan (Pasal 368), sedangkan status darurat bencana ditetapkan Presiden atau kepala daerah (UU 24/2007 Pasal 51) </w:t>
      </w:r>
      <w:r>
        <w:t xml:space="preserve">(Republik Indonesia, 2023b, 2007)</w:t>
      </w:r>
      <w:r>
        <w:t xml:space="preserve">. Norma pengait keduanya tidak ditemukan pada teks yang dibaca, dan rancangan Permenkes 1/2026 menambah status krisis kesehatan </w:t>
      </w:r>
      <w:r>
        <w:t xml:space="preserve">(Kemenkes, 2026)</w:t>
      </w:r>
      <w:r>
        <w:t xml:space="preserve">. Pemrakarsa pengait itu Kementerian Kesehatan (Kemenkes), dengan BNPB sebagai mitra lewat rakor Kemenko PMK. Perpres status dan tingkatan bencana ditetapkan Presiden; BNPB menginisiasinya lewat Kemenko PMK sesuai rekomendasi Badan Pemeriksa Keuangan (BPK) kepada Kepala BNPB </w:t>
      </w:r>
      <w:r>
        <w:t xml:space="preserve">(BPK, 2025)</w:t>
      </w:r>
      <w:r>
        <w:t xml:space="preserve">.</w:t>
      </w:r>
    </w:p>
    <w:p>
      <w:pPr>
        <w:pStyle w:val="Caption"/>
      </w:pPr>
      <w:bookmarkStart w:id="724" w:name="_Toc00234"/>
      <w:bookmarkStart w:id="723" w:name="_Ref003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723"/>
      <w:r>
        <w:rPr>
          <w:b/>
          <w:bCs/>
          <w:color w:val="051C2C"/>
        </w:rPr>
        <w:t xml:space="preserve"> </w:t>
      </w:r>
      <w:r>
        <w:t xml:space="preserve">Banjir Kanal Timur ruas Cipinang Muara, Jakarta Timur, Juni 2024</w:t>
      </w:r>
      <w:bookmarkEnd w:id="724"/>
    </w:p>
    <w:p xmlns:a="http://schemas.openxmlformats.org/drawingml/2006/main" xmlns:pic="http://schemas.openxmlformats.org/drawingml/2006/picture">
      <w:pPr>
        <w:keepNext/>
        <w:spacing w:after="0" w:line="240" w:lineRule="auto"/>
        <w:jc w:val="center"/>
      </w:pPr>
      <w:bookmarkStart w:id="725" w:name="_Obj0066"/>
      <w:r>
        <w:drawing>
          <wp:inline distT="0" distB="0" distL="0" distR="0">
            <wp:extent cx="2898000" cy="2173500"/>
            <wp:effectExtent l="0" t="0" r="0" b="0"/>
            <wp:docPr id="211" name="Gambar 211"/>
            <wp:cNvGraphicFramePr>
              <a:graphicFrameLocks noChangeAspect="1"/>
            </wp:cNvGraphicFramePr>
            <a:graphic>
              <a:graphicData uri="http://schemas.openxmlformats.org/drawingml/2006/picture">
                <pic:pic>
                  <pic:nvPicPr>
                    <pic:cNvPr id="211" name="air-bkt-cipinang.jpg"/>
                    <pic:cNvPicPr/>
                  </pic:nvPicPr>
                  <pic:blipFill>
                    <a:blip r:embed="rId96"/>
                    <a:stretch>
                      <a:fillRect/>
                    </a:stretch>
                  </pic:blipFill>
                  <pic:spPr>
                    <a:xfrm>
                      <a:off x="0" y="0"/>
                      <a:ext cx="2898000" cy="2173500"/>
                    </a:xfrm>
                    <a:prstGeom prst="rect">
                      <a:avLst/>
                    </a:prstGeom>
                  </pic:spPr>
                </pic:pic>
              </a:graphicData>
            </a:graphic>
          </wp:inline>
        </w:drawing>
      </w:r>
      <w:bookmarkEnd w:id="725"/>
    </w:p>
    <w:p>
      <w:pPr>
        <w:pStyle w:val="Sumber"/>
      </w:pPr>
      <w:r>
        <w:rPr>
          <w:b/>
          <w:bCs/>
          <w:color w:val="6B7280"/>
          <w:sz w:val="17"/>
          <w:szCs w:val="17"/>
        </w:rPr>
        <w:t xml:space="preserve">Sumber: </w:t>
      </w:r>
      <w:r>
        <w:rPr>
          <w:color w:val="6B7280"/>
          <w:sz w:val="17"/>
          <w:szCs w:val="17"/>
        </w:rPr>
        <w:t xml:space="preserve">Wikimedia Commons, Irvan Ary Maulana, CC BY-SA 4.0</w:t>
      </w:r>
    </w:p>
    <w:p>
      <w:pPr>
        <w:pStyle w:val="Heading2"/>
      </w:pPr>
      <w:bookmarkStart w:id="727" w:name="_Toc00235"/>
      <w:bookmarkStart w:id="726" w:name="_Ref0125"/>
      <w:r>
        <w:t xml:space="preserve">12.3</w:t>
      </w:r>
      <w:bookmarkEnd w:id="726"/>
      <w:r>
        <w:tab/>
      </w:r>
      <w:r>
        <w:t xml:space="preserve">Forum Koordinasi dan Jalur Adopsi</w:t>
      </w:r>
      <w:bookmarkEnd w:id="727"/>
    </w:p>
    <w:p>
      <w:pPr>
        <w:pStyle w:val="IsiTemuan"/>
      </w:pPr>
      <w:r>
        <w:rPr>
          <w:b/>
          <w:bCs/>
          <w:color w:val="051C2C"/>
        </w:rPr>
        <w:t xml:space="preserve">Rekomendasi kajian tidak memerlukan forum baru, karena empat forum yang dibutuhkan sudah berdasar peraturan.</w:t>
      </w:r>
      <w:r>
        <w:t xml:space="preserve"> Rakor Kemenko PMK menjadi simpul: BNPB dikoordinasikan kementerian koordinator itu (Perpres 1/2019 Pasal 6), dan Deputi Bidang Koordinasi Penanggulangan Bencana dan Konflik Sosial menyelenggarakan sinkronisasi serta pengendalian pelaksanaan kebijakan K/L di bidang itu (Perpres 144/2024 Pasal 25–26) </w:t>
      </w:r>
      <w:r>
        <w:t xml:space="preserve">(Republik Indonesia, 2019a, 2024e)</w:t>
      </w:r>
      <w:r>
        <w:t xml:space="preserve">. Untuk Dana Bersama, BNPB berkoordinasi dengan Kemenko PMK lewat daftar permohonan (Perban BNPB 1/2026 Pasal 13) </w:t>
      </w:r>
      <w:r>
        <w:t xml:space="preserve">(BNPB, 2026d)</w:t>
      </w:r>
      <w:r>
        <w:t xml:space="preserve">. Forum kedua adalah rakor antar-K/L yang keputusannya menjadi syarat keadaan tertentu (Perpres 46/2026 Pasal 3 ayat (1)) dan dilaksanakan atas inisiatif BNPB (Perban BNPB 5/2018 Pasal 5 ayat (2)) </w:t>
      </w:r>
      <w:r>
        <w:t xml:space="preserve">(Republik Indonesia, 2026a; BNPB, 2018f)</w:t>
      </w:r>
      <w:r>
        <w:t xml:space="preserve">. Forum ketiga adalah Unsur Pengarah BNPB, yang beranggotakan </w:t>
      </w:r>
      <w:r>
        <w:t xml:space="preserve">20 anggota</w:t>
      </w:r>
      <w:r>
        <w:t xml:space="preserve"> selain Ketua, termasuk </w:t>
      </w:r>
      <w:r>
        <w:t xml:space="preserve">11</w:t>
      </w:r>
      <w:r>
        <w:t xml:space="preserve">, dengan fungsi perumusan konsep kebijakan serta pemantauan dan evaluasi (Perban BNPB 6/2025 Pasal 7–10) </w:t>
      </w:r>
      <w:r>
        <w:t xml:space="preserve">(BNPB, 2025f)</w:t>
      </w:r>
      <w:r>
        <w:t xml:space="preserve">. Perpres 1/2019 Pasal 12–13 memuat susunan yang sama dengan nama lama Kemenko Polhukam dan Kementerian PUPR. Forum keempat adalah forum K/L penanggung jawab Renas PB paling lambat triwulan II tiap tahun </w:t>
      </w:r>
      <w:r>
        <w:t xml:space="preserve">(BNPB, 2025c, hlm. 123)</w:t>
      </w:r>
      <w:r>
        <w:t xml:space="preserve">. Notula forum-forum itu pada 2025–2026 tidak ditemukan; keaktifannya belum dapat dinyatakan.</w:t>
      </w:r>
    </w:p>
    <w:p>
      <w:pPr>
        <w:pStyle w:val="IsiTemuan"/>
      </w:pPr>
      <w:r>
        <w:rPr>
          <w:b/>
          <w:bCs/>
          <w:color w:val="051C2C"/>
        </w:rPr>
        <w:t xml:space="preserve">Jalur adopsi pada </w:t>
      </w:r>
      <w:r>
        <w:rPr>
          <w:b/>
          <w:bCs/>
          <w:color w:val="051C2C"/>
        </w:rPr>
        <w:fldChar w:fldCharType="begin"/>
      </w:r>
      <w:r>
        <w:rPr>
          <w:b/>
          <w:bCs/>
          <w:color w:val="051C2C"/>
        </w:rPr>
        <w:instrText xml:space="preserve"> REF _Ref0013 \h \* CHARFORMAT </w:instrText>
      </w:r>
      <w:r>
        <w:rPr>
          <w:b/>
          <w:bCs/>
          <w:color w:val="051C2C"/>
        </w:rPr>
        <w:fldChar w:fldCharType="separate"/>
      </w:r>
      <w:r>
        <w:rPr>
          <w:b/>
          <w:bCs/>
          <w:color w:val="051C2C"/>
        </w:rPr>
        <w:t xml:space="preserve">Gambar 12.3</w:t>
      </w:r>
      <w:r>
        <w:rPr>
          <w:b/>
          <w:bCs/>
          <w:color w:val="051C2C"/>
        </w:rPr>
        <w:fldChar w:fldCharType="end"/>
      </w:r>
      <w:r>
        <w:rPr>
          <w:b/>
          <w:bCs/>
          <w:color w:val="051C2C"/>
        </w:rPr>
        <w:t xml:space="preserve"> berangkat dari keputusan Kepala BNPB atas KD-1, lalu bercabang ke empat jalur bertenggat.</w:t>
      </w:r>
      <w:r>
        <w:t xml:space="preserve"> Perubahan Renas PB lewat jalur berkala paling lambat </w:t>
      </w:r>
      <w:r>
        <w:t xml:space="preserve">2027</w:t>
      </w:r>
      <w:r>
        <w:t xml:space="preserve"> dan lewat jalur bencana paling lambat </w:t>
      </w:r>
      <w:r>
        <w:t xml:space="preserve">2028</w:t>
      </w:r>
      <w:r>
        <w:t xml:space="preserve"> </w:t>
      </w:r>
      <w:r>
        <w:t xml:space="preserve">(BNPB, 2025c, hlm. 125)</w:t>
      </w:r>
      <w:r>
        <w:t xml:space="preserve">. Pengendalian menggeser lokasi kegiatan tahun berjalan tanpa mengubah Renas, sedangkan jalur Rencana Strategis (Renstra) mengubah indikator unit lewat Perpres 80/2025 </w:t>
      </w:r>
      <w:r>
        <w:t xml:space="preserve">(Republik Indonesia, 2025d)</w:t>
      </w:r>
      <w:r>
        <w:t xml:space="preserve">. Pemantauan Rencana Induk Penanggulangan Bencana (RIPB) dilaporkan sekali setahun ke Presiden melalui Menko PMK (Perpres 87/2020 Pasal 6) </w:t>
      </w:r>
      <w:r>
        <w:t xml:space="preserve">(Republik Indonesia, 2020f)</w:t>
      </w:r>
      <w:r>
        <w:t xml:space="preserve">.</w:t>
      </w:r>
    </w:p>
    <w:p>
      <w:pPr>
        <w:pStyle w:val="Caption"/>
      </w:pPr>
      <w:bookmarkStart w:id="729" w:name="_Toc00236"/>
      <w:bookmarkStart w:id="728" w:name="_Ref001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728"/>
      <w:r>
        <w:rPr>
          <w:b/>
          <w:bCs/>
          <w:color w:val="051C2C"/>
        </w:rPr>
        <w:t xml:space="preserve"> </w:t>
      </w:r>
      <w:r>
        <w:t xml:space="preserve">Forum koordinasi dan jalur adopsi rekomendasi kajian mitigasi, 2026–2030</w:t>
      </w:r>
      <w:bookmarkEnd w:id="729"/>
    </w:p>
    <w:p xmlns:a="http://schemas.openxmlformats.org/drawingml/2006/main" xmlns:pic="http://schemas.openxmlformats.org/drawingml/2006/picture">
      <w:pPr>
        <w:keepNext/>
        <w:spacing w:after="0" w:line="240" w:lineRule="auto"/>
        <w:jc w:val="center"/>
      </w:pPr>
      <w:bookmarkStart w:id="730" w:name="_Obj0067"/>
      <w:r>
        <w:drawing>
          <wp:inline distT="0" distB="0" distL="0" distR="0">
            <wp:extent cx="5940000" cy="2418646"/>
            <wp:effectExtent l="0" t="0" r="0" b="0"/>
            <wp:docPr id="212" name="Gambar 212"/>
            <wp:cNvGraphicFramePr>
              <a:graphicFrameLocks noChangeAspect="1"/>
            </wp:cNvGraphicFramePr>
            <a:graphic>
              <a:graphicData uri="http://schemas.openxmlformats.org/drawingml/2006/picture">
                <pic:pic>
                  <pic:nvPicPr>
                    <pic:cNvPr id="212" name="bab12-forum-jalur-adopsi.png"/>
                    <pic:cNvPicPr/>
                  </pic:nvPicPr>
                  <pic:blipFill>
                    <a:blip r:embed="rId97"/>
                    <a:stretch>
                      <a:fillRect/>
                    </a:stretch>
                  </pic:blipFill>
                  <pic:spPr>
                    <a:xfrm>
                      <a:off x="0" y="0"/>
                      <a:ext cx="5940000" cy="2418646"/>
                    </a:xfrm>
                    <a:prstGeom prst="rect">
                      <a:avLst/>
                    </a:prstGeom>
                  </pic:spPr>
                </pic:pic>
              </a:graphicData>
            </a:graphic>
          </wp:inline>
        </w:drawing>
      </w:r>
      <w:bookmarkEnd w:id="730"/>
    </w:p>
    <w:p>
      <w:pPr>
        <w:pStyle w:val="Sumber"/>
        <w:spacing w:after="40"/>
      </w:pPr>
      <w:r>
        <w:rPr>
          <w:b/>
          <w:bCs/>
          <w:color w:val="6B7280"/>
          <w:sz w:val="17"/>
          <w:szCs w:val="17"/>
        </w:rPr>
        <w:t xml:space="preserve">Sumber: </w:t>
      </w:r>
      <w:r>
        <w:rPr>
          <w:color w:val="6B7280"/>
          <w:sz w:val="17"/>
          <w:szCs w:val="17"/>
        </w:rPr>
        <w:t xml:space="preserve">Perpres 1/2019; Perpres 144/2024; Perpres 46/2026; Perpres 87/2020; Perpres 80/2025; Perban BNPB 5/2018, 6/2025, dan 1/2026; Renas PB 2025–2029 §4.5–4.6;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Panah menunjukkan jalur adopsi; tenggat 2027 dan 2028 dari Renas PB; panjang panah tidak menyatakan besaran.</w:t>
      </w:r>
    </w:p>
    <w:p>
      <w:pPr>
        <w:pStyle w:val="Heading2"/>
      </w:pPr>
      <w:bookmarkStart w:id="732" w:name="_Toc00237"/>
      <w:bookmarkStart w:id="731" w:name="_Ref0206"/>
      <w:r>
        <w:t xml:space="preserve">12.4</w:t>
      </w:r>
      <w:bookmarkEnd w:id="731"/>
      <w:r>
        <w:tab/>
      </w:r>
      <w:r>
        <w:t xml:space="preserve">Yang Berubah dari Renas PB 2025–2029</w:t>
      </w:r>
      <w:bookmarkEnd w:id="732"/>
    </w:p>
    <w:p>
      <w:pPr>
        <w:pStyle w:val="IsiTemuan"/>
      </w:pPr>
      <w:r>
        <w:rPr>
          <w:b/>
          <w:bCs/>
          <w:color w:val="051C2C"/>
        </w:rPr>
        <w:t xml:space="preserve">Renas PB 2025–2029 hanya dapat diubah lewat dua jalur bertenggat, dan keduanya sah bila rekomendasinya termuat di hasil pemantauan dan evaluasi tahunan atau evaluasi paruh waktu.</w:t>
      </w:r>
      <w:r>
        <w:t xml:space="preserve"> Perubahan karena peninjauan berkala dilakukan paling lambat tahun ketiga (</w:t>
      </w:r>
      <w:r>
        <w:t xml:space="preserve">2027</w:t>
      </w:r>
      <w:r>
        <w:t xml:space="preserve">), sedangkan perubahan karena bencana paling lambat tahun keempat (</w:t>
      </w:r>
      <w:r>
        <w:t xml:space="preserve">2028</w:t>
      </w:r>
      <w:r>
        <w:t xml:space="preserve">) dan terbatas pada program dan kegiatan dalam rencana aksi </w:t>
      </w:r>
      <w:r>
        <w:t xml:space="preserve">(BNPB, 2025c, hlm. 125)</w:t>
      </w:r>
      <w:r>
        <w:t xml:space="preserve">. Evaluasi tahunan selesai paling lambat minggu terakhir triwulan II tahun berikutnya, dan evaluasi paruh waktu dilaksanakan pada tahun ketiga </w:t>
      </w:r>
      <w:r>
        <w:t xml:space="preserve">(BNPB, 2025c, hlm. 124)</w:t>
      </w:r>
      <w:r>
        <w:t xml:space="preserve">. Dasarnya PP 21/2008 Pasal 6 ayat (6), yang mengatur peninjauan rencana penanggulangan bencana setiap dua tahun atau sewaktu-waktu bila terjadi bencana </w:t>
      </w:r>
      <w:r>
        <w:t xml:space="preserve">(Republik Indonesia, 2008a)</w:t>
      </w:r>
      <w:r>
        <w:t xml:space="preserve">.</w:t>
      </w:r>
    </w:p>
    <w:p>
      <w:pPr>
        <w:pStyle w:val="IsiTemuan"/>
      </w:pPr>
      <w:r>
        <w:rPr>
          <w:b/>
          <w:bCs/>
          <w:color w:val="051C2C"/>
        </w:rPr>
        <w:t xml:space="preserve">Teks §4.6 Renas menyebut perubahan kebijakan dan strategi beserta program dan kegiatan, tanpa menyebut target sasaran Tabel 2.8 maupun lokus prioritas Bab II.</w:t>
      </w:r>
      <w:r>
        <w:t xml:space="preserve"> Kajian ini menafsirkan, melampaui bunyi teksnya, bahwa usulan target beserta alat ukurnya hanya dapat masuk lewat jalur berkala; tafsiran yang sama berlaku bagi daftar lokus. Dengan demikian, evaluasi tahunan Renas 2026, yang selesai paling lambat triwulan II 2027, menjadi kesempatan terakhir yang masih menyisakan sisa 2027 untuk menetapkan perubahan berkala. Di luar dua jalur itu, pengendalian Renas dapat memberi saran perubahan lokasi atau penerima manfaat untuk Rencana Kerja (Renja) K/L tanpa mengubah Renas </w:t>
      </w:r>
      <w:r>
        <w:t xml:space="preserve">(BNPB, 2025c, hlm. 123)</w:t>
      </w:r>
      <w:r>
        <w:t xml:space="preserve">.</w:t>
      </w:r>
    </w:p>
    <w:p>
      <w:pPr>
        <w:pStyle w:val="IsiTemuan"/>
      </w:pPr>
      <w:r>
        <w:rPr>
          <w:b/>
          <w:bCs/>
          <w:color w:val="051C2C"/>
        </w:rPr>
        <w:t xml:space="preserve">Proyeksi 2025 indikator Renas 1.a sebesar </w:t>
      </w:r>
      <w:r>
        <w:rPr>
          <w:b/>
          <w:bCs/>
          <w:color w:val="051C2C"/>
        </w:rPr>
        <w:t xml:space="preserve">0,22</w:t>
      </w:r>
      <w:r>
        <w:rPr>
          <w:b/>
          <w:bCs/>
          <w:color w:val="051C2C"/>
        </w:rPr>
        <w:t xml:space="preserve"> meninggal dan hilang per 100.000 penduduk jauh di bawah realisasi Data dan Informasi Bencana Indonesia (DIBI) 2025, yaitu </w:t>
      </w:r>
      <w:r>
        <w:rPr>
          <w:b/>
          <w:bCs/>
          <w:color w:val="051C2C"/>
        </w:rPr>
        <w:t xml:space="preserve">0,68</w:t>
      </w:r>
      <w:r>
        <w:rPr>
          <w:b/>
          <w:bCs/>
          <w:color w:val="051C2C"/>
        </w:rPr>
        <w:t xml:space="preserve"> untuk bencana alam (</w:t>
      </w:r>
      <w:r>
        <w:rPr>
          <w:b/>
          <w:bCs/>
          <w:color w:val="051C2C"/>
        </w:rPr>
        <w:t xml:space="preserve">3,1 kali</w:t>
      </w:r>
      <w:r>
        <w:rPr>
          <w:b/>
          <w:bCs/>
          <w:color w:val="051C2C"/>
        </w:rPr>
        <w:t xml:space="preserve"> proyeksi) dan </w:t>
      </w:r>
      <w:r>
        <w:rPr>
          <w:b/>
          <w:bCs/>
          <w:color w:val="051C2C"/>
        </w:rPr>
        <w:t xml:space="preserve">0,79</w:t>
      </w:r>
      <w:r>
        <w:rPr>
          <w:b/>
          <w:bCs/>
          <w:color w:val="051C2C"/>
        </w:rPr>
        <w:t xml:space="preserve"> untuk semua klasifikasi (</w:t>
      </w:r>
      <w:r>
        <w:rPr>
          <w:b/>
          <w:bCs/>
          <w:color w:val="051C2C"/>
        </w:rPr>
        <w:t xml:space="preserve">3,6 kali</w:t>
      </w:r>
      <w:r>
        <w:rPr>
          <w:b/>
          <w:bCs/>
          <w:color w:val="051C2C"/>
        </w:rPr>
        <w:t xml:space="preserve">).</w:t>
      </w:r>
      <w:r>
        <w:t xml:space="preserve"> DIBI mencatat </w:t>
      </w:r>
      <w:r>
        <w:t xml:space="preserve">1.735 jiwa</w:t>
      </w:r>
      <w:r>
        <w:t xml:space="preserve"> meninggal dan </w:t>
      </w:r>
      <w:r>
        <w:t xml:space="preserve">221 jiwa</w:t>
      </w:r>
      <w:r>
        <w:t xml:space="preserve"> hilang akibat bencana alam pada 2025 </w:t>
      </w:r>
      <w:r>
        <w:t xml:space="preserve">(BNPB, t.t.-a)</w:t>
      </w:r>
      <w:r>
        <w:t xml:space="preserve">. Rumus dan penyebut indikator 1.a tidak tertulis di Renas, sehingga rasio itu pembanding, bukan capaian; target 2029 untuk 1.a dan 1.b hanya tertulis "Menurun" </w:t>
      </w:r>
      <w:r>
        <w:t xml:space="preserve">(BNPB, 2025c, hlm. 32–33)</w:t>
      </w:r>
      <w:r>
        <w:t xml:space="preserve">.</w:t>
      </w:r>
    </w:p>
    <w:p>
      <w:pPr>
        <w:pStyle w:val="IsiTemuan"/>
      </w:pPr>
      <w:r>
        <w:rPr>
          <w:b/>
          <w:bCs/>
          <w:color w:val="051C2C"/>
        </w:rPr>
        <w:t xml:space="preserve">Dari </w:t>
      </w:r>
      <w:r>
        <w:rPr>
          <w:b/>
          <w:bCs/>
          <w:color w:val="051C2C"/>
        </w:rPr>
        <w:t xml:space="preserve">1.342 jiwa</w:t>
      </w:r>
      <w:r>
        <w:rPr>
          <w:b/>
          <w:bCs/>
          <w:color w:val="051C2C"/>
        </w:rPr>
        <w:t xml:space="preserve"> meninggal dan hilang pada banjir dan longsor Sumatra 15 November sampai 31 Desember 2025, </w:t>
      </w:r>
      <w:r>
        <w:rPr>
          <w:b/>
          <w:bCs/>
          <w:color w:val="051C2C"/>
        </w:rPr>
        <w:t xml:space="preserve">429 jiwa</w:t>
      </w:r>
      <w:r>
        <w:rPr>
          <w:b/>
          <w:bCs/>
          <w:color w:val="051C2C"/>
        </w:rPr>
        <w:t xml:space="preserve"> (</w:t>
      </w:r>
      <w:r>
        <w:rPr>
          <w:b/>
          <w:bCs/>
          <w:color w:val="051C2C"/>
        </w:rPr>
        <w:t xml:space="preserve">32%</w:t>
      </w:r>
      <w:r>
        <w:rPr>
          <w:b/>
          <w:bCs/>
          <w:color w:val="051C2C"/>
        </w:rPr>
        <w:t xml:space="preserve">) tercatat di kab/kota lokus prioritas Renas, dan hanya </w:t>
      </w:r>
      <w:r>
        <w:rPr>
          <w:b/>
          <w:bCs/>
          <w:color w:val="051C2C"/>
        </w:rPr>
        <w:t xml:space="preserve">3 kab/kota</w:t>
      </w:r>
      <w:r>
        <w:rPr>
          <w:b/>
          <w:bCs/>
          <w:color w:val="051C2C"/>
        </w:rPr>
        <w:t xml:space="preserve"> dari sepuluh kab/kota dengan korban terbanyak termasuk lokus.</w:t>
      </w:r>
      <w:r>
        <w:t xml:space="preserve"> Tiga lokus itu Kabupaten Agam, Kota Sibolga, dan Kota Padang Panjang; tujuh lainnya, antara lain Kabupaten Aceh Utara dan Kabupaten Tapanuli Tengah, berada di luar lokus </w:t>
      </w:r>
      <w:r>
        <w:t xml:space="preserve">(BNPB, t.t.-a)</w:t>
      </w:r>
      <w:r>
        <w:t xml:space="preserve">. Tabel 2.3 Renas memuat </w:t>
      </w:r>
      <w:r>
        <w:t xml:space="preserve">171</w:t>
      </w:r>
      <w:r>
        <w:t xml:space="preserve"> kab/kota unik, </w:t>
      </w:r>
      <w:r>
        <w:t xml:space="preserve">40</w:t>
      </w:r>
      <w:r>
        <w:t xml:space="preserve"> di antaranya di Sumatra, dipilih dengan kriteria histori kejadian dan kajian risiko multibahaya sebelum November 2025 </w:t>
      </w:r>
      <w:r>
        <w:t xml:space="preserve">(BNPB, 2025c, hlm. 47–48)</w:t>
      </w:r>
      <w:r>
        <w:t xml:space="preserve">. Satu kejadian tidak menguji metode pemilihan lokus, tetapi cukup sebagai alasan memakai pengendalian untuk Renja K/L 2027 tanpa menunggu perubahan Renas. Pencocokan nama kab/kota dilakukan penyusun.</w:t>
      </w:r>
    </w:p>
    <w:p>
      <w:pPr>
        <w:pStyle w:val="IsiTemuan"/>
      </w:pPr>
      <w:r>
        <w:rPr>
          <w:b/>
          <w:bCs/>
          <w:color w:val="051C2C"/>
        </w:rPr>
        <w:t xml:space="preserve">Target aksi 3.1.2.c rehabilitasi dan rekonstruksi sektor perumahan, </w:t>
      </w:r>
      <w:r>
        <w:rPr>
          <w:b/>
          <w:bCs/>
          <w:color w:val="051C2C"/>
        </w:rPr>
        <w:t xml:space="preserve">5.802 rumah/unit/paket</w:t>
      </w:r>
      <w:r>
        <w:rPr>
          <w:b/>
          <w:bCs/>
          <w:color w:val="051C2C"/>
        </w:rPr>
        <w:t xml:space="preserve"> pada 2029 dari garis dasar </w:t>
      </w:r>
      <w:r>
        <w:rPr>
          <w:b/>
          <w:bCs/>
          <w:color w:val="051C2C"/>
        </w:rPr>
        <w:t xml:space="preserve">1.160</w:t>
      </w:r>
      <w:r>
        <w:rPr>
          <w:b/>
          <w:bCs/>
          <w:color w:val="051C2C"/>
        </w:rPr>
        <w:t xml:space="preserve">, ditetapkan sebelum kejadian Sumatra yang mencatat </w:t>
      </w:r>
      <w:r>
        <w:rPr>
          <w:b/>
          <w:bCs/>
          <w:color w:val="051C2C"/>
        </w:rPr>
        <w:t xml:space="preserve">62.956 unit</w:t>
      </w:r>
      <w:r>
        <w:rPr>
          <w:b/>
          <w:bCs/>
          <w:color w:val="051C2C"/>
        </w:rPr>
        <w:t xml:space="preserve"> rumah rusak berat.</w:t>
      </w:r>
      <w:r>
        <w:t xml:space="preserve"> Satuan aksi itu mencakup sarana dan prasarana permukiman dengan penanggung jawab Kementerian PKP, sedangkan angka DIBI hanya rumah rusak berat satu kejadian </w:t>
      </w:r>
      <w:r>
        <w:t xml:space="preserve">(Pantau Bencana, 2026d; BNPB, t.t.-a)</w:t>
      </w:r>
      <w:r>
        <w:t xml:space="preserve">. Penyandingan keduanya hanya penanda perlunya peninjauan lewat jalur bencana, bukan ukuran kekurangan target.</w:t>
      </w:r>
    </w:p>
    <w:p>
      <w:pPr>
        <w:pStyle w:val="Caption"/>
      </w:pPr>
      <w:bookmarkStart w:id="734" w:name="_Toc00238"/>
      <w:bookmarkStart w:id="733" w:name="_Ref032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733"/>
      <w:r>
        <w:rPr>
          <w:b/>
          <w:bCs/>
          <w:color w:val="051C2C"/>
        </w:rPr>
        <w:t xml:space="preserve"> </w:t>
      </w:r>
      <w:r>
        <w:t xml:space="preserve">Usulan perubahan terhadap Renas PB 2025–2029, jalur perubahan, dan dokumen evaluasi tempat rekomendasi dimuat</w:t>
      </w:r>
      <w:bookmarkEnd w:id="73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35"/>
        <w:gridCol w:w="1896"/>
        <w:gridCol w:w="1411"/>
        <w:gridCol w:w="1087"/>
        <w:gridCol w:w="1228"/>
        <w:gridCol w:w="1386"/>
        <w:gridCol w:w="1111"/>
      </w:tblGrid>
      <w:tr>
        <w:trPr>
          <w:cantSplit/>
          <w:tblHeader/>
        </w:trPr>
        <w:tc>
          <w:tcPr>
            <w:tcW w:w="1235" w:type="dxa"/>
            <w:shd w:val="clear" w:color="auto" w:fill="051C2C"/>
            <w:vAlign w:val="center"/>
          </w:tcPr>
          <w:p>
            <w:pPr>
              <w:pStyle w:val="KepalaTabel"/>
              <w:suppressAutoHyphens/>
            </w:pPr>
            <w:r>
              <w:t xml:space="preserve">KODE RENAS</w:t>
            </w:r>
          </w:p>
        </w:tc>
        <w:tc>
          <w:tcPr>
            <w:tcW w:w="1896" w:type="dxa"/>
            <w:shd w:val="clear" w:color="auto" w:fill="051C2C"/>
            <w:vAlign w:val="center"/>
          </w:tcPr>
          <w:p>
            <w:pPr>
              <w:pStyle w:val="KepalaTabel"/>
              <w:suppressAutoHyphens/>
            </w:pPr>
            <w:r>
              <w:t xml:space="preserve">YANG TERTULIS</w:t>
            </w:r>
          </w:p>
        </w:tc>
        <w:tc>
          <w:tcPr>
            <w:tcW w:w="1411" w:type="dxa"/>
            <w:shd w:val="clear" w:color="auto" w:fill="051C2C"/>
            <w:vAlign w:val="center"/>
          </w:tcPr>
          <w:p>
            <w:pPr>
              <w:pStyle w:val="KepalaTabel"/>
              <w:suppressAutoHyphens/>
            </w:pPr>
            <w:r>
              <w:t xml:space="preserve">PERUBAHAN YANG DIUSULKAN</w:t>
            </w:r>
          </w:p>
        </w:tc>
        <w:tc>
          <w:tcPr>
            <w:tcW w:w="1087" w:type="dxa"/>
            <w:shd w:val="clear" w:color="auto" w:fill="051C2C"/>
            <w:vAlign w:val="center"/>
          </w:tcPr>
          <w:p>
            <w:pPr>
              <w:pStyle w:val="KepalaTabel"/>
              <w:suppressAutoHyphens/>
            </w:pPr>
            <w:r>
              <w:t xml:space="preserve">JALUR</w:t>
            </w:r>
          </w:p>
        </w:tc>
        <w:tc>
          <w:tcPr>
            <w:tcW w:w="1228" w:type="dxa"/>
            <w:shd w:val="clear" w:color="auto" w:fill="051C2C"/>
            <w:vAlign w:val="center"/>
          </w:tcPr>
          <w:p>
            <w:pPr>
              <w:pStyle w:val="KepalaTabel"/>
              <w:suppressAutoHyphens/>
            </w:pPr>
            <w:r>
              <w:t xml:space="preserve">DOKUMEN EVALUASI</w:t>
            </w:r>
          </w:p>
        </w:tc>
        <w:tc>
          <w:tcPr>
            <w:tcW w:w="1386" w:type="dxa"/>
            <w:shd w:val="clear" w:color="auto" w:fill="051C2C"/>
            <w:vAlign w:val="center"/>
          </w:tcPr>
          <w:p>
            <w:pPr>
              <w:pStyle w:val="KepalaTabel"/>
              <w:suppressAutoHyphens/>
            </w:pPr>
            <w:r>
              <w:t xml:space="preserve">STATUS</w:t>
            </w:r>
          </w:p>
        </w:tc>
        <w:tc>
          <w:tcPr>
            <w:tcW w:w="1111" w:type="dxa"/>
            <w:shd w:val="clear" w:color="auto" w:fill="051C2C"/>
            <w:vAlign w:val="center"/>
          </w:tcPr>
          <w:p>
            <w:pPr>
              <w:pStyle w:val="KepalaTabel"/>
              <w:suppressAutoHyphens/>
            </w:pPr>
            <w:r>
              <w:t xml:space="preserve">REGISTER</w:t>
            </w:r>
          </w:p>
        </w:tc>
      </w:tr>
      <w:tr>
        <w:trPr>
          <w:cantSplit/>
        </w:trPr>
        <w:tc>
          <w:tcPr>
            <w:tcW w:w="1235" w:type="dxa"/>
          </w:tcPr>
          <w:p>
            <w:pPr>
              <w:pStyle w:val="IsiTabel"/>
              <w:suppressAutoHyphens/>
              <w:jc w:val="left"/>
            </w:pPr>
            <w:r>
              <w:t xml:space="preserve">Sasaran 1.a dan 1.b</w:t>
            </w:r>
          </w:p>
        </w:tc>
        <w:tc>
          <w:tcPr>
            <w:tcW w:w="1896" w:type="dxa"/>
          </w:tcPr>
          <w:p>
            <w:pPr>
              <w:pStyle w:val="IsiTabel"/>
              <w:suppressAutoHyphens/>
              <w:jc w:val="left"/>
            </w:pPr>
            <w:r>
              <w:t xml:space="preserve">Proyeksi 2025 </w:t>
            </w:r>
            <w:r>
              <w:t xml:space="preserve">0,22</w:t>
            </w:r>
            <w:r>
              <w:t xml:space="preserve"> dan </w:t>
            </w:r>
            <w:r>
              <w:t xml:space="preserve">2.643</w:t>
            </w:r>
            <w:r>
              <w:t xml:space="preserve"> per 100.000; target 2029 "Menurun"</w:t>
            </w:r>
          </w:p>
        </w:tc>
        <w:tc>
          <w:tcPr>
            <w:tcW w:w="1411" w:type="dxa"/>
          </w:tcPr>
          <w:p>
            <w:pPr>
              <w:pStyle w:val="IsiTabel"/>
              <w:suppressAutoHyphens/>
              <w:jc w:val="left"/>
            </w:pPr>
            <w:r>
              <w:t xml:space="preserve">Target 2029 berangka dari DIBI versi bencana alam dan semua klasifikasi, dengan rumus dan penyebut tertulis</w:t>
            </w:r>
          </w:p>
        </w:tc>
        <w:tc>
          <w:tcPr>
            <w:tcW w:w="1087" w:type="dxa"/>
          </w:tcPr>
          <w:p>
            <w:pPr>
              <w:pStyle w:val="IsiTabel"/>
              <w:suppressAutoHyphens/>
              <w:jc w:val="left"/>
            </w:pPr>
            <w:r>
              <w:t xml:space="preserve">B</w:t>
            </w:r>
          </w:p>
        </w:tc>
        <w:tc>
          <w:tcPr>
            <w:tcW w:w="1228" w:type="dxa"/>
          </w:tcPr>
          <w:p>
            <w:pPr>
              <w:pStyle w:val="IsiTabel"/>
              <w:suppressAutoHyphens/>
              <w:jc w:val="left"/>
            </w:pPr>
            <w:r>
              <w:t xml:space="preserve">ET-2026; cadangan EPW-2027</w:t>
            </w:r>
          </w:p>
        </w:tc>
        <w:tc>
          <w:tcPr>
            <w:tcW w:w="1386"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_Ref0094 \h \* CHARFORMAT </w:instrText>
            </w:r>
            <w:r>
              <w:fldChar w:fldCharType="separate"/>
            </w:r>
            <w:r>
              <w:t xml:space="preserve">21</w:t>
            </w:r>
            <w:r>
              <w:fldChar w:fldCharType="end"/>
            </w:r>
          </w:p>
        </w:tc>
      </w:tr>
      <w:tr>
        <w:trPr>
          <w:cantSplit/>
        </w:trPr>
        <w:tc>
          <w:tcPr>
            <w:tcW w:w="1235" w:type="dxa"/>
          </w:tcPr>
          <w:p>
            <w:pPr>
              <w:pStyle w:val="IsiTabel"/>
              <w:suppressAutoHyphens/>
              <w:jc w:val="left"/>
            </w:pPr>
            <w:r>
              <w:t xml:space="preserve">Sasaran 1.c; IKP Renstra</w:t>
            </w:r>
          </w:p>
        </w:tc>
        <w:tc>
          <w:tcPr>
            <w:tcW w:w="1896" w:type="dxa"/>
          </w:tcPr>
          <w:p>
            <w:pPr>
              <w:pStyle w:val="IsiTabel"/>
              <w:suppressAutoHyphens/>
              <w:jc w:val="left"/>
            </w:pPr>
            <w:r>
              <w:t xml:space="preserve">11.060</w:t>
            </w:r>
            <w:r>
              <w:t xml:space="preserve"> ke </w:t>
            </w:r>
            <w:r>
              <w:t xml:space="preserve">52.000</w:t>
            </w:r>
            <w:r>
              <w:t xml:space="preserve"> per 100.000, lawan </w:t>
            </w:r>
            <w:r>
              <w:t xml:space="preserve">6,10%</w:t>
            </w:r>
            <w:r>
              <w:t xml:space="preserve"> ke </w:t>
            </w:r>
            <w:r>
              <w:t xml:space="preserve">6,32%</w:t>
            </w:r>
          </w:p>
        </w:tc>
        <w:tc>
          <w:tcPr>
            <w:tcW w:w="1411" w:type="dxa"/>
          </w:tcPr>
          <w:p>
            <w:pPr>
              <w:pStyle w:val="IsiTabel"/>
              <w:suppressAutoHyphens/>
              <w:jc w:val="left"/>
            </w:pPr>
            <w:r>
              <w:t xml:space="preserve">Satu lintasan dengan penyebut tertulis (KD-2)</w:t>
            </w:r>
          </w:p>
        </w:tc>
        <w:tc>
          <w:tcPr>
            <w:tcW w:w="1087" w:type="dxa"/>
          </w:tcPr>
          <w:p>
            <w:pPr>
              <w:pStyle w:val="IsiTabel"/>
              <w:suppressAutoHyphens/>
              <w:jc w:val="left"/>
            </w:pPr>
            <w:r>
              <w:t xml:space="preserve">B; R</w:t>
            </w:r>
          </w:p>
        </w:tc>
        <w:tc>
          <w:tcPr>
            <w:tcW w:w="1228" w:type="dxa"/>
          </w:tcPr>
          <w:p>
            <w:pPr>
              <w:pStyle w:val="IsiTabel"/>
              <w:suppressAutoHyphens/>
              <w:jc w:val="left"/>
            </w:pPr>
            <w:r>
              <w:t xml:space="preserve">ET-2026; evaluasi Renstra tahun ke-3</w:t>
            </w:r>
          </w:p>
        </w:tc>
        <w:tc>
          <w:tcPr>
            <w:tcW w:w="1386"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_Ref0081 \h \* CHARFORMAT </w:instrText>
            </w:r>
            <w:r>
              <w:fldChar w:fldCharType="separate"/>
            </w:r>
            <w:r>
              <w:t xml:space="preserve">33</w:t>
            </w:r>
            <w:r>
              <w:fldChar w:fldCharType="end"/>
            </w:r>
          </w:p>
        </w:tc>
      </w:tr>
      <w:tr>
        <w:trPr>
          <w:cantSplit/>
        </w:trPr>
        <w:tc>
          <w:tcPr>
            <w:tcW w:w="1235" w:type="dxa"/>
          </w:tcPr>
          <w:p>
            <w:pPr>
              <w:pStyle w:val="IsiTabel"/>
              <w:suppressAutoHyphens/>
              <w:jc w:val="left"/>
            </w:pPr>
            <w:r>
              <w:t xml:space="preserve">Tidak ada di Renas; IKS Renstra</w:t>
            </w:r>
          </w:p>
        </w:tc>
        <w:tc>
          <w:tcPr>
            <w:tcW w:w="1896" w:type="dxa"/>
          </w:tcPr>
          <w:p>
            <w:pPr>
              <w:pStyle w:val="IsiTabel"/>
              <w:suppressAutoHyphens/>
              <w:jc w:val="left"/>
            </w:pPr>
            <w:r>
              <w:t xml:space="preserve">90%</w:t>
            </w:r>
            <w:r>
              <w:t xml:space="preserve"> pada 2029 tanpa alat ukur tertulis</w:t>
            </w:r>
          </w:p>
        </w:tc>
        <w:tc>
          <w:tcPr>
            <w:tcW w:w="1411" w:type="dxa"/>
          </w:tcPr>
          <w:p>
            <w:pPr>
              <w:pStyle w:val="IsiTabel"/>
              <w:suppressAutoHyphens/>
              <w:jc w:val="left"/>
            </w:pPr>
            <w:r>
              <w:t xml:space="preserve">Pilih penyebut dan alat ukur: Indeks Ketahanan Daerah atau kelas kapasitas KRB (KD-3)</w:t>
            </w:r>
          </w:p>
        </w:tc>
        <w:tc>
          <w:tcPr>
            <w:tcW w:w="1087" w:type="dxa"/>
          </w:tcPr>
          <w:p>
            <w:pPr>
              <w:pStyle w:val="IsiTabel"/>
              <w:suppressAutoHyphens/>
              <w:jc w:val="left"/>
            </w:pPr>
            <w:r>
              <w:t xml:space="preserve">Kepka Manual IKU untuk alat ukur; R untuk angka target; B bila dimuat ke Renas</w:t>
            </w:r>
          </w:p>
        </w:tc>
        <w:tc>
          <w:tcPr>
            <w:tcW w:w="1228" w:type="dxa"/>
          </w:tcPr>
          <w:p>
            <w:pPr>
              <w:pStyle w:val="IsiTabel"/>
              <w:suppressAutoHyphens/>
              <w:jc w:val="left"/>
            </w:pPr>
            <w:r>
              <w:t xml:space="preserve">Evaluasi Renstra tahun ke-3; ET-2026</w:t>
            </w:r>
          </w:p>
        </w:tc>
        <w:tc>
          <w:tcPr>
            <w:tcW w:w="1386"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_Ref0089 \h \* CHARFORMAT </w:instrText>
            </w:r>
            <w:r>
              <w:fldChar w:fldCharType="separate"/>
            </w:r>
            <w:r>
              <w:t xml:space="preserve">35</w:t>
            </w:r>
            <w:r>
              <w:fldChar w:fldCharType="end"/>
            </w:r>
          </w:p>
        </w:tc>
      </w:tr>
      <w:tr>
        <w:trPr>
          <w:cantSplit/>
        </w:trPr>
        <w:tc>
          <w:tcPr>
            <w:tcW w:w="1235" w:type="dxa"/>
          </w:tcPr>
          <w:p>
            <w:pPr>
              <w:pStyle w:val="IsiTabel"/>
              <w:suppressAutoHyphens/>
              <w:jc w:val="left"/>
            </w:pPr>
            <w:r>
              <w:t xml:space="preserve">Sasaran 4.c</w:t>
            </w:r>
          </w:p>
        </w:tc>
        <w:tc>
          <w:tcPr>
            <w:tcW w:w="1896" w:type="dxa"/>
          </w:tcPr>
          <w:p>
            <w:pPr>
              <w:pStyle w:val="IsiTabel"/>
              <w:suppressAutoHyphens/>
              <w:jc w:val="left"/>
            </w:pPr>
            <w:r>
              <w:t xml:space="preserve">Turun </w:t>
            </w:r>
            <w:r>
              <w:t xml:space="preserve">1,2%</w:t>
            </w:r>
            <w:r>
              <w:t xml:space="preserve"> per tahun</w:t>
            </w:r>
          </w:p>
        </w:tc>
        <w:tc>
          <w:tcPr>
            <w:tcW w:w="1411" w:type="dxa"/>
          </w:tcPr>
          <w:p>
            <w:pPr>
              <w:pStyle w:val="IsiTabel"/>
              <w:suppressAutoHyphens/>
              <w:jc w:val="left"/>
            </w:pPr>
            <w:r>
              <w:t xml:space="preserve">Catatan metode dan garis dasar IRBI 2025 skala baru (KD-4)</w:t>
            </w:r>
          </w:p>
        </w:tc>
        <w:tc>
          <w:tcPr>
            <w:tcW w:w="1087" w:type="dxa"/>
          </w:tcPr>
          <w:p>
            <w:pPr>
              <w:pStyle w:val="IsiTabel"/>
              <w:suppressAutoHyphens/>
              <w:jc w:val="left"/>
            </w:pPr>
            <w:r>
              <w:t xml:space="preserve">B</w:t>
            </w:r>
          </w:p>
        </w:tc>
        <w:tc>
          <w:tcPr>
            <w:tcW w:w="1228" w:type="dxa"/>
          </w:tcPr>
          <w:p>
            <w:pPr>
              <w:pStyle w:val="IsiTabel"/>
              <w:suppressAutoHyphens/>
              <w:jc w:val="left"/>
            </w:pPr>
            <w:r>
              <w:t xml:space="preserve">ET-2026</w:t>
            </w:r>
          </w:p>
        </w:tc>
        <w:tc>
          <w:tcPr>
            <w:tcW w:w="1386"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_Ref0086 \h \* CHARFORMAT </w:instrText>
            </w:r>
            <w:r>
              <w:fldChar w:fldCharType="separate"/>
            </w:r>
            <w:r>
              <w:t xml:space="preserve">10</w:t>
            </w:r>
            <w:r>
              <w:fldChar w:fldCharType="end"/>
            </w:r>
          </w:p>
        </w:tc>
      </w:tr>
      <w:tr>
        <w:trPr>
          <w:cantSplit/>
        </w:trPr>
        <w:tc>
          <w:tcPr>
            <w:tcW w:w="1235" w:type="dxa"/>
          </w:tcPr>
          <w:p>
            <w:pPr>
              <w:pStyle w:val="IsiTabel"/>
              <w:suppressAutoHyphens/>
              <w:jc w:val="left"/>
            </w:pPr>
            <w:r>
              <w:t xml:space="preserve">§2.7 Tabel 2.3 lokus</w:t>
            </w:r>
          </w:p>
        </w:tc>
        <w:tc>
          <w:tcPr>
            <w:tcW w:w="1896" w:type="dxa"/>
          </w:tcPr>
          <w:p>
            <w:pPr>
              <w:pStyle w:val="IsiTabel"/>
              <w:suppressAutoHyphens/>
              <w:jc w:val="left"/>
            </w:pPr>
            <w:r>
              <w:t xml:space="preserve">171</w:t>
            </w:r>
            <w:r>
              <w:t xml:space="preserve"> kab/kota</w:t>
            </w:r>
          </w:p>
        </w:tc>
        <w:tc>
          <w:tcPr>
            <w:tcW w:w="1411" w:type="dxa"/>
          </w:tcPr>
          <w:p>
            <w:pPr>
              <w:pStyle w:val="IsiTabel"/>
              <w:suppressAutoHyphens/>
              <w:jc w:val="left"/>
            </w:pPr>
            <w:r>
              <w:t xml:space="preserve">Saran lokasi kegiatan 2027 di kab/kota terdampak berat 2025 di luar lokus, lalu penambahan lokus atau rujukan daftar perhatian Bab 3</w:t>
            </w:r>
          </w:p>
        </w:tc>
        <w:tc>
          <w:tcPr>
            <w:tcW w:w="1087" w:type="dxa"/>
          </w:tcPr>
          <w:p>
            <w:pPr>
              <w:pStyle w:val="IsiTabel"/>
              <w:suppressAutoHyphens/>
              <w:jc w:val="left"/>
            </w:pPr>
            <w:r>
              <w:t xml:space="preserve">K, lalu B</w:t>
            </w:r>
          </w:p>
        </w:tc>
        <w:tc>
          <w:tcPr>
            <w:tcW w:w="1228" w:type="dxa"/>
          </w:tcPr>
          <w:p>
            <w:pPr>
              <w:pStyle w:val="IsiTabel"/>
              <w:suppressAutoHyphens/>
              <w:jc w:val="left"/>
            </w:pPr>
            <w:r>
              <w:t xml:space="preserve">PPP-2026; ET-2026</w:t>
            </w:r>
          </w:p>
        </w:tc>
        <w:tc>
          <w:tcPr>
            <w:tcW w:w="1386"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_Ref0105 \h \* CHARFORMAT </w:instrText>
            </w:r>
            <w:r>
              <w:fldChar w:fldCharType="separate"/>
            </w:r>
            <w:r>
              <w:t xml:space="preserve">30</w:t>
            </w:r>
            <w:r>
              <w:fldChar w:fldCharType="end"/>
            </w:r>
          </w:p>
        </w:tc>
      </w:tr>
      <w:tr>
        <w:trPr>
          <w:cantSplit/>
        </w:trPr>
        <w:tc>
          <w:tcPr>
            <w:tcW w:w="1235" w:type="dxa"/>
          </w:tcPr>
          <w:p>
            <w:pPr>
              <w:pStyle w:val="IsiTabel"/>
              <w:suppressAutoHyphens/>
              <w:jc w:val="left"/>
            </w:pPr>
            <w:r>
              <w:t xml:space="preserve">3.1.2.c perumahan</w:t>
            </w:r>
          </w:p>
        </w:tc>
        <w:tc>
          <w:tcPr>
            <w:tcW w:w="1896" w:type="dxa"/>
          </w:tcPr>
          <w:p>
            <w:pPr>
              <w:pStyle w:val="IsiTabel"/>
              <w:suppressAutoHyphens/>
              <w:jc w:val="left"/>
            </w:pPr>
            <w:r>
              <w:t xml:space="preserve">5.802 rumah/unit/paket</w:t>
            </w:r>
            <w:r>
              <w:t xml:space="preserve"> pada 2029</w:t>
            </w:r>
          </w:p>
        </w:tc>
        <w:tc>
          <w:tcPr>
            <w:tcW w:w="1411" w:type="dxa"/>
          </w:tcPr>
          <w:p>
            <w:pPr>
              <w:pStyle w:val="IsiTabel"/>
              <w:suppressAutoHyphens/>
              <w:jc w:val="left"/>
            </w:pPr>
            <w:r>
              <w:t xml:space="preserve">Tinjau target setelah Sumatra 2025</w:t>
            </w:r>
          </w:p>
        </w:tc>
        <w:tc>
          <w:tcPr>
            <w:tcW w:w="1087" w:type="dxa"/>
          </w:tcPr>
          <w:p>
            <w:pPr>
              <w:pStyle w:val="IsiTabel"/>
              <w:suppressAutoHyphens/>
              <w:jc w:val="left"/>
            </w:pPr>
            <w:r>
              <w:t xml:space="preserve">D (atau B)</w:t>
            </w:r>
          </w:p>
        </w:tc>
        <w:tc>
          <w:tcPr>
            <w:tcW w:w="1228" w:type="dxa"/>
          </w:tcPr>
          <w:p>
            <w:pPr>
              <w:pStyle w:val="IsiTabel"/>
              <w:suppressAutoHyphens/>
              <w:jc w:val="left"/>
            </w:pPr>
            <w:r>
              <w:t xml:space="preserve">ET-2026 atau ET-2027</w:t>
            </w:r>
          </w:p>
        </w:tc>
        <w:tc>
          <w:tcPr>
            <w:tcW w:w="1386"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_Ref0102 \h \* CHARFORMAT </w:instrText>
            </w:r>
            <w:r>
              <w:fldChar w:fldCharType="separate"/>
            </w:r>
            <w:r>
              <w:t xml:space="preserve">27</w:t>
            </w:r>
            <w:r>
              <w:fldChar w:fldCharType="end"/>
            </w:r>
          </w:p>
        </w:tc>
      </w:tr>
      <w:tr>
        <w:trPr>
          <w:cantSplit/>
        </w:trPr>
        <w:tc>
          <w:tcPr>
            <w:tcW w:w="1235" w:type="dxa"/>
          </w:tcPr>
          <w:p>
            <w:pPr>
              <w:pStyle w:val="IsiTabel"/>
              <w:suppressAutoHyphens/>
              <w:jc w:val="left"/>
            </w:pPr>
            <w:r>
              <w:t xml:space="preserve">Unit Renstra</w:t>
            </w:r>
          </w:p>
        </w:tc>
        <w:tc>
          <w:tcPr>
            <w:tcW w:w="1896" w:type="dxa"/>
          </w:tcPr>
          <w:p>
            <w:pPr>
              <w:pStyle w:val="IsiTabel"/>
              <w:suppressAutoHyphens/>
              <w:jc w:val="left"/>
            </w:pPr>
            <w:r>
              <w:t xml:space="preserve">Nama unit organisasi lama</w:t>
            </w:r>
          </w:p>
        </w:tc>
        <w:tc>
          <w:tcPr>
            <w:tcW w:w="1411" w:type="dxa"/>
          </w:tcPr>
          <w:p>
            <w:pPr>
              <w:pStyle w:val="IsiTabel"/>
              <w:suppressAutoHyphens/>
              <w:jc w:val="left"/>
            </w:pPr>
            <w:r>
              <w:t xml:space="preserve">Selaraskan dengan Perban BNPB 11/2025</w:t>
            </w:r>
          </w:p>
        </w:tc>
        <w:tc>
          <w:tcPr>
            <w:tcW w:w="1087" w:type="dxa"/>
          </w:tcPr>
          <w:p>
            <w:pPr>
              <w:pStyle w:val="IsiTabel"/>
              <w:suppressAutoHyphens/>
              <w:jc w:val="left"/>
            </w:pPr>
            <w:r>
              <w:t xml:space="preserve">R</w:t>
            </w:r>
          </w:p>
        </w:tc>
        <w:tc>
          <w:tcPr>
            <w:tcW w:w="1228" w:type="dxa"/>
          </w:tcPr>
          <w:p>
            <w:pPr>
              <w:pStyle w:val="IsiTabel"/>
              <w:suppressAutoHyphens/>
              <w:jc w:val="left"/>
            </w:pPr>
            <w:r>
              <w:t xml:space="preserve">Evaluasi Renstra tahun ke-3</w:t>
            </w:r>
          </w:p>
        </w:tc>
        <w:tc>
          <w:tcPr>
            <w:tcW w:w="1386" w:type="dxa"/>
          </w:tcPr>
          <w:p>
            <w:pPr>
              <w:pStyle w:val="IsiTabel"/>
              <w:suppressAutoHyphens/>
              <w:jc w:val="left"/>
            </w:pPr>
            <w:r>
              <w:t xml:space="preserve">Sudah ada, perlu dikembangkan</w:t>
            </w:r>
          </w:p>
        </w:tc>
        <w:tc>
          <w:tcPr>
            <w:tcW w:w="1111" w:type="dxa"/>
          </w:tcPr>
          <w:p>
            <w:pPr>
              <w:pStyle w:val="IsiTabel"/>
              <w:suppressAutoHyphens/>
              <w:jc w:val="left"/>
            </w:pPr>
            <w:r>
              <w:fldChar w:fldCharType="begin"/>
            </w:r>
            <w:r>
              <w:instrText xml:space="preserve"> REF _Ref0095 \h \* CHARFORMAT </w:instrText>
            </w:r>
            <w:r>
              <w:fldChar w:fldCharType="separate"/>
            </w:r>
            <w:r>
              <w:t xml:space="preserve">22</w:t>
            </w:r>
            <w:r>
              <w:fldChar w:fldCharType="end"/>
            </w:r>
          </w:p>
        </w:tc>
      </w:tr>
      <w:tr>
        <w:trPr>
          <w:cantSplit/>
        </w:trPr>
        <w:tc>
          <w:tcPr>
            <w:tcW w:w="1235" w:type="dxa"/>
          </w:tcPr>
          <w:p>
            <w:pPr>
              <w:pStyle w:val="IsiTabel"/>
              <w:keepNext/>
              <w:suppressAutoHyphens/>
              <w:jc w:val="left"/>
            </w:pPr>
            <w:bookmarkStart w:id="735" w:name="_Ekor085a"/>
            <w:bookmarkEnd w:id="735"/>
            <w:r>
              <w:t xml:space="preserve">4.1.1.l</w:t>
            </w:r>
          </w:p>
        </w:tc>
        <w:tc>
          <w:tcPr>
            <w:tcW w:w="1896" w:type="dxa"/>
          </w:tcPr>
          <w:p>
            <w:pPr>
              <w:pStyle w:val="IsiTabel"/>
              <w:keepNext/>
              <w:suppressAutoHyphens/>
              <w:jc w:val="left"/>
            </w:pPr>
            <w:r>
              <w:t xml:space="preserve">NSPK analisis risiko, </w:t>
            </w:r>
            <w:r>
              <w:t xml:space="preserve">1 dokumen</w:t>
            </w:r>
          </w:p>
        </w:tc>
        <w:tc>
          <w:tcPr>
            <w:tcW w:w="1411" w:type="dxa"/>
          </w:tcPr>
          <w:p>
            <w:pPr>
              <w:pStyle w:val="IsiTabel"/>
              <w:keepNext/>
              <w:suppressAutoHyphens/>
              <w:jc w:val="left"/>
            </w:pPr>
            <w:r>
              <w:t xml:space="preserve">Dilaksanakan lewat Progsun butir 3</w:t>
            </w:r>
          </w:p>
        </w:tc>
        <w:tc>
          <w:tcPr>
            <w:tcW w:w="1087" w:type="dxa"/>
          </w:tcPr>
          <w:p>
            <w:pPr>
              <w:pStyle w:val="IsiTabel"/>
              <w:keepNext/>
              <w:suppressAutoHyphens/>
              <w:jc w:val="left"/>
            </w:pPr>
            <w:r>
              <w:t xml:space="preserve">tanpa ubah Renas</w:t>
            </w:r>
          </w:p>
        </w:tc>
        <w:tc>
          <w:tcPr>
            <w:tcW w:w="1228" w:type="dxa"/>
          </w:tcPr>
          <w:p>
            <w:pPr>
              <w:pStyle w:val="IsiTabel"/>
              <w:keepNext/>
              <w:suppressAutoHyphens/>
              <w:jc w:val="left"/>
            </w:pPr>
            <w:r>
              <w:t xml:space="preserve">Laporan triwulanan Progsun</w:t>
            </w:r>
          </w:p>
        </w:tc>
        <w:tc>
          <w:tcPr>
            <w:tcW w:w="1386" w:type="dxa"/>
          </w:tcPr>
          <w:p>
            <w:pPr>
              <w:pStyle w:val="IsiTabel"/>
              <w:keepNext/>
              <w:suppressAutoHyphens/>
              <w:jc w:val="left"/>
            </w:pPr>
            <w:r>
              <w:t xml:space="preserve">Sudah ada, perlu dikembangkan</w:t>
            </w:r>
          </w:p>
        </w:tc>
        <w:tc>
          <w:tcPr>
            <w:tcW w:w="1111" w:type="dxa"/>
          </w:tcPr>
          <w:p>
            <w:pPr>
              <w:pStyle w:val="IsiTabel"/>
              <w:keepNext/>
              <w:suppressAutoHyphens/>
              <w:jc w:val="left"/>
            </w:pPr>
            <w:r>
              <w:fldChar w:fldCharType="begin"/>
            </w:r>
            <w:r>
              <w:instrText xml:space="preserve"> REF _Ref0096 \h \* CHARFORMAT </w:instrText>
            </w:r>
            <w:r>
              <w:fldChar w:fldCharType="separate"/>
            </w:r>
            <w:r>
              <w:t xml:space="preserve">23</w:t>
            </w:r>
            <w:r>
              <w:fldChar w:fldCharType="end"/>
            </w:r>
          </w:p>
        </w:tc>
      </w:tr>
      <w:tr>
        <w:trPr>
          <w:cantSplit/>
        </w:trPr>
        <w:tc>
          <w:tcPr>
            <w:tcW w:w="1235" w:type="dxa"/>
          </w:tcPr>
          <w:p>
            <w:pPr>
              <w:pStyle w:val="IsiTabel"/>
              <w:keepNext/>
              <w:suppressAutoHyphens/>
              <w:jc w:val="left"/>
            </w:pPr>
            <w:r>
              <w:t xml:space="preserve">Tabel 4.1 Sasaran 1 d</w:t>
            </w:r>
          </w:p>
        </w:tc>
        <w:tc>
          <w:tcPr>
            <w:tcW w:w="1896" w:type="dxa"/>
          </w:tcPr>
          <w:p>
            <w:pPr>
              <w:pStyle w:val="IsiTabel"/>
              <w:keepNext/>
              <w:suppressAutoHyphens/>
              <w:jc w:val="left"/>
            </w:pPr>
            <w:r>
              <w:t xml:space="preserve">"Status tingkatan bencana" tanpa aksi berkode</w:t>
            </w:r>
          </w:p>
        </w:tc>
        <w:tc>
          <w:tcPr>
            <w:tcW w:w="1411" w:type="dxa"/>
          </w:tcPr>
          <w:p>
            <w:pPr>
              <w:pStyle w:val="IsiTabel"/>
              <w:keepNext/>
              <w:suppressAutoHyphens/>
              <w:jc w:val="left"/>
            </w:pPr>
            <w:r>
              <w:t xml:space="preserve">Tambah aksi Perpres status dan tingkatan bencana di Program 4.1.1</w:t>
            </w:r>
          </w:p>
        </w:tc>
        <w:tc>
          <w:tcPr>
            <w:tcW w:w="1087" w:type="dxa"/>
          </w:tcPr>
          <w:p>
            <w:pPr>
              <w:pStyle w:val="IsiTabel"/>
              <w:keepNext/>
              <w:suppressAutoHyphens/>
              <w:jc w:val="left"/>
            </w:pPr>
            <w:r>
              <w:t xml:space="preserve">B (cadangan D)</w:t>
            </w:r>
          </w:p>
        </w:tc>
        <w:tc>
          <w:tcPr>
            <w:tcW w:w="1228" w:type="dxa"/>
          </w:tcPr>
          <w:p>
            <w:pPr>
              <w:pStyle w:val="IsiTabel"/>
              <w:keepNext/>
              <w:suppressAutoHyphens/>
              <w:jc w:val="left"/>
            </w:pPr>
            <w:r>
              <w:t xml:space="preserve">ET-2026</w:t>
            </w:r>
          </w:p>
        </w:tc>
        <w:tc>
          <w:tcPr>
            <w:tcW w:w="1386" w:type="dxa"/>
          </w:tcPr>
          <w:p>
            <w:pPr>
              <w:pStyle w:val="IsiTabel"/>
              <w:keepNext/>
              <w:suppressAutoHyphens/>
              <w:jc w:val="left"/>
            </w:pPr>
            <w:r>
              <w:t xml:space="preserve">Usulan baru</w:t>
            </w:r>
          </w:p>
        </w:tc>
        <w:tc>
          <w:tcPr>
            <w:tcW w:w="1111" w:type="dxa"/>
          </w:tcPr>
          <w:p>
            <w:pPr>
              <w:pStyle w:val="IsiTabel"/>
              <w:keepNext/>
              <w:suppressAutoHyphens/>
              <w:jc w:val="left"/>
            </w:pPr>
            <w:r>
              <w:fldChar w:fldCharType="begin"/>
            </w:r>
            <w:r>
              <w:instrText xml:space="preserve"> REF _Ref0091 \h \* CHARFORMAT </w:instrText>
            </w:r>
            <w:r>
              <w:fldChar w:fldCharType="separate"/>
            </w:r>
            <w:r>
              <w:t xml:space="preserve">19</w:t>
            </w:r>
            <w:r>
              <w:fldChar w:fldCharType="end"/>
            </w:r>
          </w:p>
        </w:tc>
      </w:tr>
      <w:tr>
        <w:trPr>
          <w:cantSplit/>
        </w:trPr>
        <w:tc>
          <w:tcPr>
            <w:tcW w:w="1235" w:type="dxa"/>
          </w:tcPr>
          <w:p>
            <w:pPr>
              <w:pStyle w:val="IsiTabel"/>
              <w:keepNext/>
              <w:suppressAutoHyphens/>
              <w:jc w:val="left"/>
            </w:pPr>
            <w:r>
              <w:t xml:space="preserve">4.6.2.c</w:t>
            </w:r>
          </w:p>
        </w:tc>
        <w:tc>
          <w:tcPr>
            <w:tcW w:w="1896" w:type="dxa"/>
          </w:tcPr>
          <w:p>
            <w:pPr>
              <w:pStyle w:val="IsiTabel"/>
              <w:keepNext/>
              <w:suppressAutoHyphens/>
              <w:jc w:val="left"/>
            </w:pPr>
            <w:r>
              <w:t xml:space="preserve">Tata kelola penyaluran Dana Bersama</w:t>
            </w:r>
          </w:p>
        </w:tc>
        <w:tc>
          <w:tcPr>
            <w:tcW w:w="1411" w:type="dxa"/>
          </w:tcPr>
          <w:p>
            <w:pPr>
              <w:pStyle w:val="IsiTabel"/>
              <w:keepNext/>
              <w:suppressAutoHyphens/>
              <w:jc w:val="left"/>
            </w:pPr>
            <w:r>
              <w:t xml:space="preserve">Syarat analisis manfaat-biaya untuk usulan prabencana</w:t>
            </w:r>
          </w:p>
        </w:tc>
        <w:tc>
          <w:tcPr>
            <w:tcW w:w="1087" w:type="dxa"/>
          </w:tcPr>
          <w:p>
            <w:pPr>
              <w:pStyle w:val="IsiTabel"/>
              <w:keepNext/>
              <w:suppressAutoHyphens/>
              <w:jc w:val="left"/>
            </w:pPr>
            <w:r>
              <w:t xml:space="preserve">tanpa ubah Renas</w:t>
            </w:r>
          </w:p>
        </w:tc>
        <w:tc>
          <w:tcPr>
            <w:tcW w:w="1228" w:type="dxa"/>
          </w:tcPr>
          <w:p>
            <w:pPr>
              <w:pStyle w:val="IsiTabel"/>
              <w:keepNext/>
              <w:suppressAutoHyphens/>
              <w:jc w:val="left"/>
            </w:pPr>
            <w:r>
              <w:t xml:space="preserve">Laporan monev Dana Bersama 4.6.2.b</w:t>
            </w:r>
          </w:p>
        </w:tc>
        <w:tc>
          <w:tcPr>
            <w:tcW w:w="1386" w:type="dxa"/>
          </w:tcPr>
          <w:p>
            <w:pPr>
              <w:pStyle w:val="IsiTabel"/>
              <w:keepNext/>
              <w:suppressAutoHyphens/>
              <w:jc w:val="left"/>
            </w:pPr>
            <w:r>
              <w:t xml:space="preserve">Usulan baru</w:t>
            </w:r>
          </w:p>
        </w:tc>
        <w:tc>
          <w:tcPr>
            <w:tcW w:w="1111" w:type="dxa"/>
          </w:tcPr>
          <w:p>
            <w:pPr>
              <w:pStyle w:val="IsiTabel"/>
              <w:keepNext/>
              <w:suppressAutoHyphens/>
              <w:jc w:val="left"/>
            </w:pPr>
            <w:r>
              <w:fldChar w:fldCharType="begin"/>
            </w:r>
            <w:r>
              <w:instrText xml:space="preserve"> REF _Ref0103 \h \* CHARFORMAT </w:instrText>
            </w:r>
            <w:r>
              <w:fldChar w:fldCharType="separate"/>
            </w:r>
            <w:r>
              <w:t xml:space="preserve">29</w:t>
            </w:r>
            <w:r>
              <w:fldChar w:fldCharType="end"/>
            </w:r>
          </w:p>
        </w:tc>
      </w:tr>
      <w:tr>
        <w:trPr>
          <w:cantSplit/>
        </w:trPr>
        <w:tc>
          <w:tcPr>
            <w:tcW w:w="1235" w:type="dxa"/>
          </w:tcPr>
          <w:p>
            <w:pPr>
              <w:pStyle w:val="IsiTabel"/>
              <w:suppressAutoHyphens/>
              <w:jc w:val="left"/>
            </w:pPr>
            <w:bookmarkStart w:id="736" w:name="_Ekor085z"/>
            <w:bookmarkEnd w:id="736"/>
            <w:r>
              <w:t xml:space="preserve">1.2.1; 4.1.1.h</w:t>
            </w:r>
          </w:p>
        </w:tc>
        <w:tc>
          <w:tcPr>
            <w:tcW w:w="1896" w:type="dxa"/>
          </w:tcPr>
          <w:p>
            <w:pPr>
              <w:pStyle w:val="IsiTabel"/>
              <w:suppressAutoHyphens/>
              <w:jc w:val="left"/>
            </w:pPr>
            <w:r>
              <w:t xml:space="preserve">Tanpa pedoman keadaan tertentu faktor sosial dan pascakonflik</w:t>
            </w:r>
          </w:p>
        </w:tc>
        <w:tc>
          <w:tcPr>
            <w:tcW w:w="1411" w:type="dxa"/>
          </w:tcPr>
          <w:p>
            <w:pPr>
              <w:pStyle w:val="IsiTabel"/>
              <w:suppressAutoHyphens/>
              <w:jc w:val="left"/>
            </w:pPr>
            <w:r>
              <w:t xml:space="preserve">Pedoman Kepala BNPB lewat perubahan Perban BNPB 5/2018</w:t>
            </w:r>
          </w:p>
        </w:tc>
        <w:tc>
          <w:tcPr>
            <w:tcW w:w="1087" w:type="dxa"/>
          </w:tcPr>
          <w:p>
            <w:pPr>
              <w:pStyle w:val="IsiTabel"/>
              <w:suppressAutoHyphens/>
              <w:jc w:val="left"/>
            </w:pPr>
            <w:r>
              <w:t xml:space="preserve">tanpa ubah Renas</w:t>
            </w:r>
          </w:p>
        </w:tc>
        <w:tc>
          <w:tcPr>
            <w:tcW w:w="1228" w:type="dxa"/>
          </w:tcPr>
          <w:p>
            <w:pPr>
              <w:pStyle w:val="IsiTabel"/>
              <w:suppressAutoHyphens/>
              <w:jc w:val="left"/>
            </w:pPr>
            <w:r>
              <w:t xml:space="preserve">ET-2026, catatan pelaksanaan</w:t>
            </w:r>
          </w:p>
        </w:tc>
        <w:tc>
          <w:tcPr>
            <w:tcW w:w="1386"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_Ref0088 \h \* CHARFORMAT </w:instrText>
            </w:r>
            <w:r>
              <w:fldChar w:fldCharType="separate"/>
            </w:r>
            <w:r>
              <w:t xml:space="preserve">14</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hlm. 32–33, 47–48, 90, 94–99, 111–125; Renstra BNPB 2025–2029; Manual IKU BNPB (Kepka BNPB 318/2025); Perpres 80/2025; DIBI BNPB;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Jalur B berkala (paling lambat 2027); D bencana (paling lambat 2028); K pengendalian tanpa mengubah Renas; R Renstra lewat Perpres 80/2025. ET-2026 evaluasi tahunan Renas 2026, selesai paling lambat triwulan II 2027; EPW-2027 evaluasi paruh waktu; PPP-2026 pemantauan pra-pelaksanaan triwulan IV 2026. Angka yang tertulis berlabel resmi; perubahan yang diusulkan adalah usulan penyusun. Penempatan target dan lokus di jalur berkala adalah tafsiran kajian.</w:t>
      </w:r>
    </w:p>
    <w:p>
      <w:pPr>
        <w:pStyle w:val="IsiTemuan"/>
      </w:pPr>
      <w:r>
        <w:rPr>
          <w:b/>
          <w:bCs/>
          <w:color w:val="051C2C"/>
        </w:rPr>
        <w:t xml:space="preserve">Enam dari sebelas baris </w:t>
      </w:r>
      <w:r>
        <w:rPr>
          <w:b/>
          <w:bCs/>
          <w:color w:val="051C2C"/>
        </w:rPr>
        <w:fldChar w:fldCharType="begin"/>
      </w:r>
      <w:r>
        <w:rPr>
          <w:b/>
          <w:bCs/>
          <w:color w:val="051C2C"/>
        </w:rPr>
        <w:instrText xml:space="preserve"> REF _Ref0324 \h \* CHARFORMAT </w:instrText>
      </w:r>
      <w:r>
        <w:rPr>
          <w:b/>
          <w:bCs/>
          <w:color w:val="051C2C"/>
        </w:rPr>
        <w:fldChar w:fldCharType="separate"/>
      </w:r>
      <w:r>
        <w:rPr>
          <w:b/>
          <w:bCs/>
          <w:color w:val="051C2C"/>
        </w:rPr>
        <w:t xml:space="preserve">Tabel 12.3</w:t>
      </w:r>
      <w:r>
        <w:rPr>
          <w:b/>
          <w:bCs/>
          <w:color w:val="051C2C"/>
        </w:rPr>
        <w:fldChar w:fldCharType="end"/>
      </w:r>
      <w:r>
        <w:rPr>
          <w:b/>
          <w:bCs/>
          <w:color w:val="051C2C"/>
        </w:rPr>
        <w:t xml:space="preserve"> memakai jalur berkala, termasuk KD-2, KD-3, dan KD-4, dan untuk KD-3 jalur itu hanya dipakai bila indikator kapasitas dimuat ke Renas.</w:t>
      </w:r>
      <w:r>
        <w:t xml:space="preserve"> Satu baris berjalur bencana, tiga melibatkan Renstra (dua di antaranya juga berjalur berkala), dan tiga dilaksanakan tanpa mengubah Renas. Renstra BNPB masih memakai nama unit Perban BNPB 4/2019 untuk Deputi Bidang Penanganan Darurat dan Deputi Bidang Rehabilitasi dan Rekonstruksi, padahal organisasinya sudah berubah lewat Perban BNPB 11/2025 </w:t>
      </w:r>
      <w:r>
        <w:t xml:space="preserve">(BNPB, 2025e, 2025d)</w:t>
      </w:r>
      <w:r>
        <w:t xml:space="preserve">. Indikator daerah yang mendapat rekomendasi bantuan pendanaan pascabencana (</w:t>
      </w:r>
      <w:r>
        <w:t xml:space="preserve">50%</w:t>
      </w:r>
      <w:r>
        <w:t xml:space="preserve"> ke </w:t>
      </w:r>
      <w:r>
        <w:t xml:space="preserve">70%</w:t>
      </w:r>
      <w:r>
        <w:t xml:space="preserve">) masih tercatat pada direktorat yang sudah diganti. Perubahan Renstra disetujui kementerian perencanaan setelah Pertemuan Dua Pihak (Perpres 80/2025 Pasal 26–29) </w:t>
      </w:r>
      <w:r>
        <w:t xml:space="preserve">(Republik Indonesia, 2025d)</w:t>
      </w:r>
      <w:r>
        <w:t xml:space="preserve">. Laporan evaluasi Renas 2025 tidak ditemukan.</w:t>
      </w:r>
    </w:p>
    <w:p>
      <w:pPr>
        <w:pStyle w:val="Heading2"/>
      </w:pPr>
      <w:bookmarkStart w:id="738" w:name="_Toc00239"/>
      <w:bookmarkStart w:id="737" w:name="_Ref0186"/>
      <w:r>
        <w:t xml:space="preserve">12.5</w:t>
      </w:r>
      <w:bookmarkEnd w:id="737"/>
      <w:r>
        <w:tab/>
      </w:r>
      <w:r>
        <w:t xml:space="preserve">Profil Kerugian dan Arsitektur Pembiayaan</w:t>
      </w:r>
      <w:bookmarkEnd w:id="738"/>
    </w:p>
    <w:p>
      <w:pPr>
        <w:pStyle w:val="IsiTemuan"/>
      </w:pPr>
      <w:r>
        <w:rPr>
          <w:b/>
          <w:bCs/>
          <w:color w:val="051C2C"/>
        </w:rPr>
        <w:t xml:space="preserve">Kebutuhan stimulan rumah tahunan batas bawah 2015–2025 berjumlah </w:t>
      </w:r>
      <w:r>
        <w:rPr>
          <w:b/>
          <w:bCs/>
          <w:color w:val="051C2C"/>
        </w:rPr>
        <w:t xml:space="preserve">Rp29,1–37,1 triliun</w:t>
      </w:r>
      <w:r>
        <w:rPr>
          <w:b/>
          <w:bCs/>
          <w:color w:val="051C2C"/>
        </w:rPr>
        <w:t xml:space="preserve">, atau rata-rata </w:t>
      </w:r>
      <w:r>
        <w:rPr>
          <w:b/>
          <w:bCs/>
          <w:color w:val="051C2C"/>
        </w:rPr>
        <w:t xml:space="preserve">Rp2,6–3,4 triliun</w:t>
      </w:r>
      <w:r>
        <w:rPr>
          <w:b/>
          <w:bCs/>
          <w:color w:val="051C2C"/>
        </w:rPr>
        <w:t xml:space="preserve"> per tahun, dan separuh lebih dari jumlah itu jatuh pada 2018 dan 2025.</w:t>
      </w:r>
      <w:r>
        <w:t xml:space="preserve"> Profil ini mengalikan rumah rusak DIBI semua jenis dengan stimulan rumah rusak berat </w:t>
      </w:r>
      <w:r>
        <w:t xml:space="preserve">Rp50 juta</w:t>
      </w:r>
      <w:r>
        <w:t xml:space="preserve"> sampai </w:t>
      </w:r>
      <w:r>
        <w:t xml:space="preserve">Rp60 juta</w:t>
      </w:r>
      <w:r>
        <w:t xml:space="preserve">, rusak sedang </w:t>
      </w:r>
      <w:r>
        <w:t xml:space="preserve">Rp25 juta</w:t>
      </w:r>
      <w:r>
        <w:t xml:space="preserve"> sampai </w:t>
      </w:r>
      <w:r>
        <w:t xml:space="preserve">Rp30 juta</w:t>
      </w:r>
      <w:r>
        <w:t xml:space="preserve">, dan rusak ringan </w:t>
      </w:r>
      <w:r>
        <w:t xml:space="preserve">Rp10 juta</w:t>
      </w:r>
      <w:r>
        <w:t xml:space="preserve"> sampai </w:t>
      </w:r>
      <w:r>
        <w:t xml:space="preserve">Rp15 juta</w:t>
      </w:r>
      <w:r>
        <w:t xml:space="preserve"> </w:t>
      </w:r>
      <w:r>
        <w:t xml:space="preserve">(Pantau Bencana, 2026f)</w:t>
      </w:r>
      <w:r>
        <w:t xml:space="preserve">. Menurut siaran Kemenko PMK 22 November 2023, besaran rendah berlaku sejak 2010 dan dinaikkan ke besaran tinggi atas arahan Presiden; teks peraturan yang menetapkannya tidak ditemukan </w:t>
      </w:r>
      <w:r>
        <w:t xml:space="preserve">(Kementerian Koordinator Bidang Pembangunan Manusia dan Kebudayaan, 2023a)</w:t>
      </w:r>
      <w:r>
        <w:t xml:space="preserve">. Kolom estimasi kerugian rumah di DIBI memakai besaran tinggi yang sama, ditambah satu komponen rumah terendam, pada </w:t>
      </w:r>
      <w:r>
        <w:t xml:space="preserve">4.146</w:t>
      </w:r>
      <w:r>
        <w:t xml:space="preserve"> dari </w:t>
      </w:r>
      <w:r>
        <w:t xml:space="preserve">4.146 baris</w:t>
      </w:r>
      <w:r>
        <w:t xml:space="preserve"> peristiwa kejadian besar 2009–2025 </w:t>
      </w:r>
      <w:r>
        <w:t xml:space="preserve">(BNPB, t.t.-a)</w:t>
      </w:r>
      <w:r>
        <w:t xml:space="preserve">. Pengalinya pilihan penyusun, sehingga profil berlabel Asumsi kebijakan dan tidak boleh dibaca sebagai kerugian ekonomi.</w:t>
      </w:r>
    </w:p>
    <w:p>
      <w:pPr>
        <w:pStyle w:val="IsiTemuan"/>
      </w:pPr>
      <w:r>
        <w:rPr>
          <w:b/>
          <w:bCs/>
          <w:color w:val="051C2C"/>
        </w:rPr>
        <w:t xml:space="preserve">Lapisan sering berukuran </w:t>
      </w:r>
      <w:r>
        <w:rPr>
          <w:b/>
          <w:bCs/>
          <w:color w:val="051C2C"/>
        </w:rPr>
        <w:t xml:space="preserve">Rp1,6–2,0 triliun</w:t>
      </w:r>
      <w:r>
        <w:rPr>
          <w:b/>
          <w:bCs/>
          <w:color w:val="051C2C"/>
        </w:rPr>
        <w:t xml:space="preserve"> (tahun median 2019), lapisan berat sampai </w:t>
      </w:r>
      <w:r>
        <w:rPr>
          <w:b/>
          <w:bCs/>
          <w:color w:val="051C2C"/>
        </w:rPr>
        <w:t xml:space="preserve">Rp6,8–8,6 triliun</w:t>
      </w:r>
      <w:r>
        <w:rPr>
          <w:b/>
          <w:bCs/>
          <w:color w:val="051C2C"/>
        </w:rPr>
        <w:t xml:space="preserve"> (persentil 90, yaitu 2025), dan lapisan ekstrem tidak boleh lebih ringan daripada 2018 dengan </w:t>
      </w:r>
      <w:r>
        <w:rPr>
          <w:b/>
          <w:bCs/>
          <w:color w:val="051C2C"/>
        </w:rPr>
        <w:t xml:space="preserve">Rp9,5–11,9 triliun</w:t>
      </w:r>
      <w:r>
        <w:rPr>
          <w:b/>
          <w:bCs/>
          <w:color w:val="051C2C"/>
        </w:rPr>
        <w:t xml:space="preserve"> (</w:t>
      </w:r>
      <w:r>
        <w:rPr>
          <w:b/>
          <w:bCs/>
          <w:color w:val="051C2C"/>
        </w:rPr>
        <w:fldChar w:fldCharType="begin"/>
      </w:r>
      <w:r>
        <w:rPr>
          <w:b/>
          <w:bCs/>
          <w:color w:val="051C2C"/>
        </w:rPr>
        <w:instrText xml:space="preserve"> REF _Ref0054 \h \* CHARFORMAT </w:instrText>
      </w:r>
      <w:r>
        <w:rPr>
          <w:b/>
          <w:bCs/>
          <w:color w:val="051C2C"/>
        </w:rPr>
        <w:fldChar w:fldCharType="separate"/>
      </w:r>
      <w:r>
        <w:rPr>
          <w:b/>
          <w:bCs/>
          <w:color w:val="051C2C"/>
        </w:rPr>
        <w:t xml:space="preserve">Gambar 12.4</w:t>
      </w:r>
      <w:r>
        <w:rPr>
          <w:b/>
          <w:bCs/>
          <w:color w:val="051C2C"/>
        </w:rPr>
        <w:fldChar w:fldCharType="end"/>
      </w:r>
      <w:r>
        <w:rPr>
          <w:b/>
          <w:bCs/>
          <w:color w:val="051C2C"/>
        </w:rPr>
        <w:t xml:space="preserve">).</w:t>
      </w:r>
      <w:r>
        <w:t xml:space="preserve"> Dengan rumus yang sama, kejadian tunggal terberat 2015–2025 adalah gempa Lombok 2018 (</w:t>
      </w:r>
      <w:r>
        <w:t xml:space="preserve">Rp5,7–7,2 triliun</w:t>
      </w:r>
      <w:r>
        <w:t xml:space="preserve">), sedikit di atas banjir dan longsor Sumatra 2025 (</w:t>
      </w:r>
      <w:r>
        <w:t xml:space="preserve">Rp5,6–7,1 triliun</w:t>
      </w:r>
      <w:r>
        <w:t xml:space="preserve">). Untuk periode acuan geologi 30 tahun, gempa Padang 2009 lebih berat lagi (</w:t>
      </w:r>
      <w:r>
        <w:t xml:space="preserve">Rp7,5–9,4 triliun</w:t>
      </w:r>
      <w:r>
        <w:t xml:space="preserve">) </w:t>
      </w:r>
      <w:r>
        <w:t xml:space="preserve">(BNPB, t.t.-a)</w:t>
      </w:r>
      <w:r>
        <w:t xml:space="preserve">. Artinya, satu kejadian setara Lombok atau Sumatra mendekati satu tahun lapisan berat.</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Gempa dengan korban jiwa terbanyak tidak otomatis menjadi gempa dengan kebutuhan rumah terbesar. Dengan ukuran stimulan yang sama, gempa Lombok 2018 (</w:t>
            </w:r>
            <w:r>
              <w:t xml:space="preserve">Rp5,7–7,2 triliun</w:t>
            </w:r>
            <w:r>
              <w:t xml:space="preserve">) hampir dua kali Sulawesi Tengah 2018 (</w:t>
            </w:r>
            <w:r>
              <w:t xml:space="preserve">Rp2,9–3,6 triliun</w:t>
            </w:r>
            <w:r>
              <w:t xml:space="preserve">), sehingga lantai kejadian tunggal untuk kebutuhan rumah adalah Lombok 2018 </w:t>
            </w:r>
            <w:r>
              <w:t xml:space="preserve">(BNPB, t.t.-a)</w:t>
            </w:r>
            <w:r>
              <w:t xml:space="preserve">. Sulawesi Tengah 2018 tetap analog korban jiwa, bukan analog kebutuhan rumah.</w:t>
            </w:r>
          </w:p>
        </w:tc>
      </w:tr>
    </w:tbl>
    <w:p>
      <w:pPr>
        <w:pStyle w:val="Jarak"/>
      </w:pPr>
    </w:p>
    <w:p>
      <w:pPr>
        <w:pStyle w:val="IsiTemuan"/>
      </w:pPr>
      <w:r>
        <w:rPr>
          <w:b/>
          <w:bCs/>
          <w:color w:val="051C2C"/>
        </w:rPr>
        <w:t xml:space="preserve">Angka kerusakan dan kerugian resmi per kejadian lebih besar daripada ukuran stimulan untuk kejadian yang sama, dan keduanya ditulis berdampingan di bawah ini.</w:t>
      </w:r>
      <w:r>
        <w:t xml:space="preserve"> Penilaian sementara BNPB untuk Sulawesi Tengah 2018 mencatat </w:t>
      </w:r>
      <w:r>
        <w:t xml:space="preserve">Rp13,8 triliun</w:t>
      </w:r>
      <w:r>
        <w:t xml:space="preserve">, lawan batas tinggi stimulan </w:t>
      </w:r>
      <w:r>
        <w:t xml:space="preserve">Rp3,6 triliun</w:t>
      </w:r>
      <w:r>
        <w:t xml:space="preserve"> </w:t>
      </w:r>
      <w:r>
        <w:t xml:space="preserve">(BNPB, 2018b)</w:t>
      </w:r>
      <w:r>
        <w:t xml:space="preserve">. Kebutuhan R3P Lombok 2018 sebesar </w:t>
      </w:r>
      <w:r>
        <w:t xml:space="preserve">Rp11,4 triliun</w:t>
      </w:r>
      <w:r>
        <w:t xml:space="preserve"> menurut Kemenko PMK, atau </w:t>
      </w:r>
      <w:r>
        <w:t xml:space="preserve">1,6 kali</w:t>
      </w:r>
      <w:r>
        <w:t xml:space="preserve"> batas tinggi stimulan </w:t>
      </w:r>
      <w:r>
        <w:t xml:space="preserve">(Kemenko PMK, 2024)</w:t>
      </w:r>
      <w:r>
        <w:t xml:space="preserve">. Sektor perumahan R3P Cianjur 2022 sebesar </w:t>
      </w:r>
      <w:r>
        <w:t xml:space="preserve">Rp3,2 triliun</w:t>
      </w:r>
      <w:r>
        <w:t xml:space="preserve">, </w:t>
      </w:r>
      <w:r>
        <w:t xml:space="preserve">1,06</w:t>
      </w:r>
      <w:r>
        <w:t xml:space="preserve"> kali stimulan dengan jumlah rumah R3P </w:t>
      </w:r>
      <w:r>
        <w:t xml:space="preserve">(Pemerintah Kabupaten Cianjur, 2022)</w:t>
      </w:r>
      <w:r>
        <w:t xml:space="preserve">. Kerugian Yogyakarta 2006 tertulis </w:t>
      </w:r>
      <w:r>
        <w:t xml:space="preserve">Rp26,1 triliun</w:t>
      </w:r>
      <w:r>
        <w:t xml:space="preserve"> menurut Strategi Pembiayaan dan Asuransi Risiko Bencana (PARB) Kemenkeu, lawan </w:t>
      </w:r>
      <w:r>
        <w:t xml:space="preserve">Rp29,1 triliun</w:t>
      </w:r>
      <w:r>
        <w:t xml:space="preserve"> menurut penilaian awal Bappenas; kedua angka itu bertentangan dan ditulis berdampingan </w:t>
      </w:r>
      <w:r>
        <w:t xml:space="preserve">(Kementerian Keuangan Republik Indonesia, Badan Kebijakan Fiskal, 2018; Bappenas, 2006)</w:t>
      </w:r>
      <w:r>
        <w:t xml:space="preserve">. Lantai kerugian kejadian tercatat dalam 30 tahun adalah Aceh 2004 dengan </w:t>
      </w:r>
      <w:r>
        <w:t xml:space="preserve">Rp51,4 triliun</w:t>
      </w:r>
      <w:r>
        <w:t xml:space="preserve"> menurut Strategi PARB </w:t>
      </w:r>
      <w:r>
        <w:t xml:space="preserve">(Kementerian Keuangan Republik Indonesia, Badan Kebijakan Fiskal, 2018)</w:t>
      </w:r>
      <w:r>
        <w:t xml:space="preserve">.</w:t>
      </w:r>
    </w:p>
    <w:p>
      <w:pPr>
        <w:pStyle w:val="Caption"/>
      </w:pPr>
      <w:bookmarkStart w:id="740" w:name="_Toc00240"/>
      <w:bookmarkStart w:id="739" w:name="_Ref005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739"/>
      <w:r>
        <w:rPr>
          <w:b/>
          <w:bCs/>
          <w:color w:val="051C2C"/>
        </w:rPr>
        <w:t xml:space="preserve"> </w:t>
      </w:r>
      <w:r>
        <w:t xml:space="preserve">Kebutuhan stimulan rumah tahunan batas bawah, 2015–2025, dengan lapisan dan kejadian tunggal (Rp triliun)</w:t>
      </w:r>
      <w:bookmarkEnd w:id="740"/>
    </w:p>
    <w:p xmlns:a="http://schemas.openxmlformats.org/drawingml/2006/main" xmlns:pic="http://schemas.openxmlformats.org/drawingml/2006/picture">
      <w:pPr>
        <w:keepNext/>
        <w:spacing w:after="0" w:line="240" w:lineRule="auto"/>
        <w:jc w:val="center"/>
      </w:pPr>
      <w:bookmarkStart w:id="741" w:name="_Obj0068"/>
      <w:r>
        <w:drawing>
          <wp:inline distT="0" distB="0" distL="0" distR="0">
            <wp:extent cx="5940000" cy="4304215"/>
            <wp:effectExtent l="0" t="0" r="0" b="0"/>
            <wp:docPr id="213" name="Gambar 213"/>
            <wp:cNvGraphicFramePr>
              <a:graphicFrameLocks noChangeAspect="1"/>
            </wp:cNvGraphicFramePr>
            <a:graphic>
              <a:graphicData uri="http://schemas.openxmlformats.org/drawingml/2006/picture">
                <pic:pic>
                  <pic:nvPicPr>
                    <pic:cNvPr id="213" name="bab12-profil-kerugian.png"/>
                    <pic:cNvPicPr/>
                  </pic:nvPicPr>
                  <pic:blipFill>
                    <a:blip r:embed="rId98"/>
                    <a:stretch>
                      <a:fillRect/>
                    </a:stretch>
                  </pic:blipFill>
                  <pic:spPr>
                    <a:xfrm>
                      <a:off x="0" y="0"/>
                      <a:ext cx="5940000" cy="4304215"/>
                    </a:xfrm>
                    <a:prstGeom prst="rect">
                      <a:avLst/>
                    </a:prstGeom>
                  </pic:spPr>
                </pic:pic>
              </a:graphicData>
            </a:graphic>
          </wp:inline>
        </w:drawing>
      </w:r>
      <w:bookmarkEnd w:id="741"/>
    </w:p>
    <w:p>
      <w:pPr>
        <w:pStyle w:val="Sumber"/>
        <w:spacing w:after="40"/>
      </w:pPr>
      <w:r>
        <w:rPr>
          <w:b/>
          <w:bCs/>
          <w:color w:val="6B7280"/>
          <w:sz w:val="17"/>
          <w:szCs w:val="17"/>
        </w:rPr>
        <w:t xml:space="preserve">Sumber: </w:t>
      </w:r>
      <w:r>
        <w:rPr>
          <w:color w:val="6B7280"/>
          <w:sz w:val="17"/>
          <w:szCs w:val="17"/>
        </w:rPr>
        <w:t xml:space="preserve">Pengolahan data Pantau Bencana dari DIBI BNPB (rumah rusak, kejadian besar) dan siaran Kemenko PMK 22 November 2023 (besaran stimulan); Strategi PARB Kemenkeu; BNPB (2018); Kemenko PMK (2024); R3P Cianjur 2022; Bappenas (2006)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Garis per baris menunjukkan rentang besaran stimulan 2010 sampai besaran 2023. Lapisan median dan persentil 90 serta kejadian tunggal Sulawesi Tengah 2018 dan Sumatra 2025 ditulis di bawah seri tahun. Batas bawah kebutuhan rumah, bukan kerugian ekonomi; pembanding kerugian resmi ditulis di teks dan tidak dikalikan ke profil.</w:t>
      </w:r>
    </w:p>
    <w:p>
      <w:pPr>
        <w:pStyle w:val="IsiTemuan"/>
      </w:pPr>
      <w:r>
        <w:rPr>
          <w:b/>
          <w:bCs/>
          <w:color w:val="051C2C"/>
        </w:rPr>
        <w:t xml:space="preserve">Rata-rata kebutuhan stimulan rumah per tahun hanya sekitar seperdelapan sampai seperenam rata-rata kerugian ekonomi langsung menurut Strategi PARB, yaitu </w:t>
      </w:r>
      <w:r>
        <w:rPr>
          <w:b/>
          <w:bCs/>
          <w:color w:val="051C2C"/>
        </w:rPr>
        <w:t xml:space="preserve">Rp22,8 triliun</w:t>
      </w:r>
      <w:r>
        <w:rPr>
          <w:b/>
          <w:bCs/>
          <w:color w:val="051C2C"/>
        </w:rPr>
        <w:t xml:space="preserve"> per tahun pada 2000–2016, dengan periode dan cakupan yang berbeda </w:t>
      </w:r>
      <w:r>
        <w:rPr>
          <w:b/>
          <w:bCs/>
          <w:color w:val="051C2C"/>
        </w:rPr>
        <w:t xml:space="preserve">(Kementerian Keuangan Republik Indonesia, Badan Kebijakan Fiskal, 2018)</w:t>
      </w:r>
      <w:r>
        <w:rPr>
          <w:b/>
          <w:bCs/>
          <w:color w:val="051C2C"/>
        </w:rPr>
        <w:t xml:space="preserve">.</w:t>
      </w:r>
      <w:r>
        <w:t xml:space="preserve"> Dokumen yang sama mengutip perkiraan Bank Dunia bahwa kerugian yang dapat diidentifikasi hanya sekitar </w:t>
      </w:r>
      <w:r>
        <w:t xml:space="preserve">60%</w:t>
      </w:r>
      <w:r>
        <w:t xml:space="preserve"> dari kerugian sebenarnya.</w:t>
      </w:r>
    </w:p>
    <w:p>
      <w:pPr>
        <w:pStyle w:val="IsiTemuan"/>
      </w:pPr>
      <w:r>
        <w:rPr>
          <w:b/>
          <w:bCs/>
          <w:color w:val="051C2C"/>
        </w:rPr>
        <w:t xml:space="preserve">Seri kerusakan dan kerugian berdasarkan proposal pemerintah daerah di portal data BNPB belum dapat mengukur indikator Renas 2.a.</w:t>
      </w:r>
      <w:r>
        <w:t xml:space="preserve"> Seri itu memuat </w:t>
      </w:r>
      <w:r>
        <w:t xml:space="preserve">310 baris</w:t>
      </w:r>
      <w:r>
        <w:t xml:space="preserve"> untuk 2017–2024 berjumlah </w:t>
      </w:r>
      <w:r>
        <w:t xml:space="preserve">Rp109,3 triliun</w:t>
      </w:r>
      <w:r>
        <w:t xml:space="preserve">, tetapi </w:t>
      </w:r>
      <w:r>
        <w:t xml:space="preserve">43 baris</w:t>
      </w:r>
      <w:r>
        <w:t xml:space="preserve"> bertahun kejadian rentang dan </w:t>
      </w:r>
      <w:r>
        <w:t xml:space="preserve">6 baris</w:t>
      </w:r>
      <w:r>
        <w:t xml:space="preserve"> memuat nilai kerugian yang sama persis dengan nilai kerusakan </w:t>
      </w:r>
      <w:r>
        <w:t xml:space="preserve">(Badan Nasional Penanggulangan Bencana, 2025k)</w:t>
      </w:r>
      <w:r>
        <w:t xml:space="preserve">. Baris Sulawesi Tengah untuk kejadian 2018 berjumlah </w:t>
      </w:r>
      <w:r>
        <w:t xml:space="preserve">Rp44,2 triliun</w:t>
      </w:r>
      <w:r>
        <w:t xml:space="preserve"> dari proposal 2020–2024, dengan Kota Palu tercatat dua kali, lawan </w:t>
      </w:r>
      <w:r>
        <w:t xml:space="preserve">Rp13,8 triliun</w:t>
      </w:r>
      <w:r>
        <w:t xml:space="preserve"> angka sementara BNPB Oktober 2018. Nilai itu pengajuan pemda, bukan hasil verifikasi. Indikator 2.a identik dengan sasaran utama Prioritas Nasional 8 Rencana Pembangunan Jangka Menengah Nasional (RPJMN), yaitu proporsi kerugian ekonomi langsung terhadap produk domestik bruto (PDB): garis dasar </w:t>
      </w:r>
      <w:r>
        <w:t xml:space="preserve">0,140%</w:t>
      </w:r>
      <w:r>
        <w:t xml:space="preserve"> pada 2022 dan target </w:t>
      </w:r>
      <w:r>
        <w:t xml:space="preserve">0,135%</w:t>
      </w:r>
      <w:r>
        <w:t xml:space="preserve"> pada 2029 </w:t>
      </w:r>
      <w:r>
        <w:t xml:space="preserve">(Republik Indonesia, 2025b)</w:t>
      </w:r>
      <w:r>
        <w:t xml:space="preserve">. Indikator itu ditulis "belum dapat diukur" sampai seri dibersihkan menurut tahun kejadian dan dipasangkan dengan R3P yang ditetapkan (</w:t>
      </w:r>
      <w:r>
        <w:fldChar w:fldCharType="begin"/>
      </w:r>
      <w:r>
        <w:instrText xml:space="preserve"> REF _Ref0102 \h \* CHARFORMAT </w:instrText>
      </w:r>
      <w:r>
        <w:fldChar w:fldCharType="separate"/>
      </w:r>
      <w:r>
        <w:t xml:space="preserve">27</w:t>
      </w:r>
      <w:r>
        <w:fldChar w:fldCharType="end"/>
      </w:r>
      <w:r>
        <w:t xml:space="preserve">).</w:t>
      </w:r>
    </w:p>
    <w:p>
      <w:pPr>
        <w:pStyle w:val="IsiTemuan"/>
      </w:pPr>
      <w:r>
        <w:rPr>
          <w:b/>
          <w:bCs/>
          <w:color w:val="051C2C"/>
        </w:rPr>
        <w:t xml:space="preserve">Pelapisan dana menurut frekuensi dan dampak sudah resmi dalam Strategi PARB, sehingga yang dibutuhkan BNPB adalah urutan pemakaian dana di atas Dana Siap Pakai (DSP), bukan instrumen baru (</w:t>
      </w:r>
      <w:r>
        <w:rPr>
          <w:b/>
          <w:bCs/>
          <w:color w:val="051C2C"/>
        </w:rPr>
        <w:fldChar w:fldCharType="begin"/>
      </w:r>
      <w:r>
        <w:rPr>
          <w:b/>
          <w:bCs/>
          <w:color w:val="051C2C"/>
        </w:rPr>
        <w:instrText xml:space="preserve"> REF _Ref0045 \h \* CHARFORMAT </w:instrText>
      </w:r>
      <w:r>
        <w:rPr>
          <w:b/>
          <w:bCs/>
          <w:color w:val="051C2C"/>
        </w:rPr>
        <w:fldChar w:fldCharType="separate"/>
      </w:r>
      <w:r>
        <w:rPr>
          <w:b/>
          <w:bCs/>
          <w:color w:val="051C2C"/>
        </w:rPr>
        <w:t xml:space="preserve">Gambar 12.5</w:t>
      </w:r>
      <w:r>
        <w:rPr>
          <w:b/>
          <w:bCs/>
          <w:color w:val="051C2C"/>
        </w:rPr>
        <w:fldChar w:fldCharType="end"/>
      </w:r>
      <w:r>
        <w:rPr>
          <w:b/>
          <w:bCs/>
          <w:color w:val="051C2C"/>
        </w:rPr>
        <w:t xml:space="preserve">).</w:t>
      </w:r>
      <w:r>
        <w:t xml:space="preserve"> Bencana berdampak besar didefinisikan di atas </w:t>
      </w:r>
      <w:r>
        <w:t xml:space="preserve">Rp4 triliun</w:t>
      </w:r>
      <w:r>
        <w:t xml:space="preserve">; Pemerintah menyerap lewat Anggaran Pendapatan dan Belanja Negara (APBN) dan Anggaran Pendapatan dan Belanja Daerah (APBD) bencana yang sering atau berdampak kecil, dan memindahkan risiko besar lewat asuransi </w:t>
      </w:r>
      <w:r>
        <w:t xml:space="preserve">(Kementerian Keuangan Republik Indonesia, Badan Kebijakan Fiskal, 2018)</w:t>
      </w:r>
      <w:r>
        <w:t xml:space="preserve">. Kapasitas dana cadangan APBN pada periode yang ditelaah dokumen itu mendekati atau di bawah </w:t>
      </w:r>
      <w:r>
        <w:t xml:space="preserve">20%</w:t>
      </w:r>
      <w:r>
        <w:t xml:space="preserve"> dari kerugian ekonomi.</w:t>
      </w:r>
    </w:p>
    <w:p>
      <w:pPr>
        <w:pStyle w:val="IsiTemuan"/>
      </w:pPr>
      <w:r>
        <w:rPr>
          <w:b/>
          <w:bCs/>
          <w:color w:val="051C2C"/>
        </w:rPr>
        <w:t xml:space="preserve">Bagi BNPB, lapisan sering dipikul belanja tidak terduga (BTT) APBD dan DSP, baik DSP BNPB maupun DSP Badan Penanggulangan Bencana Daerah (BPBD) bila dianggarkan.</w:t>
      </w:r>
      <w:r>
        <w:t xml:space="preserve"> DSP BNPB dipakai selama keadaan darurat bencana dan keadaan tertentu, serta pada risiko bencana berdampak luas yang ditetapkan Kepala BNPB (Perban BNPB 4/2020 Pasal 20 ayat (1)) </w:t>
      </w:r>
      <w:r>
        <w:t xml:space="preserve">(BNPB, 2020a)</w:t>
      </w:r>
      <w:r>
        <w:t xml:space="preserve">. PP 22/2008 Pasal 6 ayat (2) menempatkan DSP pada tanggap darurat, dan Pasal 17 ayat (2) membatasinya pada </w:t>
      </w:r>
      <w:r>
        <w:t xml:space="preserve">8 jenis</w:t>
      </w:r>
      <w:r>
        <w:t xml:space="preserve"> pengadaan </w:t>
      </w:r>
      <w:r>
        <w:t xml:space="preserve">(Republik Indonesia, 2008b)</w:t>
      </w:r>
      <w:r>
        <w:t xml:space="preserve">. Hubungan hukum kedua norma itu belum ditelaah kajian ini; keduanya ditulis berdampingan. BTT APBD mencakup keadaan darurat bencana dan KLB (PP 12/2019 Pasal 68–69) </w:t>
      </w:r>
      <w:r>
        <w:t xml:space="preserve">(Pemerintah Republik Indonesia, 2019)</w:t>
      </w:r>
      <w:r>
        <w:t xml:space="preserve">. Renas PB sendiri mencatat potensi ketidakjelasan akuntabilitas BTT dan belum sinkronnya pengelolaan BTT dengan DSP </w:t>
      </w:r>
      <w:r>
        <w:t xml:space="preserve">(BNPB, 2025c, hlm. 26)</w:t>
      </w:r>
      <w:r>
        <w:t xml:space="preserve">.</w:t>
      </w:r>
    </w:p>
    <w:p>
      <w:pPr>
        <w:pStyle w:val="IsiTemuan"/>
      </w:pPr>
      <w:r>
        <w:rPr>
          <w:b/>
          <w:bCs/>
          <w:color w:val="051C2C"/>
        </w:rPr>
        <w:t xml:space="preserve">Lapisan berat menambah Dana Bersama Penanggulangan Bencana dan hibah rehabilitasi dan rekonstruksi; lapisan ekstrem menambah dana utama Dana Bersama dan transfer risiko.</w:t>
      </w:r>
      <w:r>
        <w:t xml:space="preserve"> Dana Bersama disalurkan untuk empat keperluan yang mencakup transfer risiko (Perpres 75/2021 Pasal 6 ayat (2)). Untuk prabencana dan pascabencana, BNPB menelaah permohonan tertulis pemda atau K/L, meminta pertimbangan Kemenkeu, Bappenas, dan Kemendagri, lalu Kepala BNPB menyampaikan rekomendasi kepada Menteri Keuangan (Pasal 8) </w:t>
      </w:r>
      <w:r>
        <w:t xml:space="preserve">(Republik Indonesia, 2021b)</w:t>
      </w:r>
      <w:r>
        <w:t xml:space="preserve">. Rekening dan penyalurannya berada di Badan Pengelola Dana Lingkungan Hidup (PMK 28/2025 Pasal 3 dan 27) </w:t>
      </w:r>
      <w:r>
        <w:t xml:space="preserve">(Kementerian Keuangan Republik Indonesia, 2025a)</w:t>
      </w:r>
      <w:r>
        <w:t xml:space="preserve">. Halaman Pooling Fund Bencana Badan Kebijakan Fiskal menulis urutan pemakaian dari dana siap pakai (</w:t>
      </w:r>
      <w:r>
        <w:rPr>
          <w:i/>
          <w:iCs/>
        </w:rPr>
        <w:t xml:space="preserve">on call</w:t>
      </w:r>
      <w:r>
        <w:t xml:space="preserve">) ke dana cadangan, lalu hasil investasi sebelum dana utama (istilah Pooling Fund Bencana, bukan DSP BNPB), dan menyatakan pemda dapat menyiapkan usulan untuk tahun anggaran 2027 </w:t>
      </w:r>
      <w:r>
        <w:t xml:space="preserve">(Kementerian Keuangan Republik Indonesia, Badan Kebijakan Fiskal, 2026)</w:t>
      </w:r>
      <w:r>
        <w:t xml:space="preserve">. Hibah pascabencana berpola permohonan pemda melalui BNPB (PP 22/2008 Pasal 23) </w:t>
      </w:r>
      <w:r>
        <w:t xml:space="preserve">(Republik Indonesia, 2008b)</w:t>
      </w:r>
      <w:r>
        <w:t xml:space="preserve">. Renas 4.6.3.a menargetkan </w:t>
      </w:r>
      <w:r>
        <w:t xml:space="preserve">1 peraturan perundang-undangan</w:t>
      </w:r>
      <w:r>
        <w:t xml:space="preserve"> untuk perluasan skema asuransi barang milik negara dan daerah pada 2029 </w:t>
      </w:r>
      <w:r>
        <w:t xml:space="preserve">(BNPB, 2025c, hlm. 112)</w:t>
      </w:r>
      <w:r>
        <w:t xml:space="preserve">.</w:t>
      </w:r>
    </w:p>
    <w:p>
      <w:pPr>
        <w:pStyle w:val="IsiTemuan"/>
      </w:pPr>
      <w:r>
        <w:rPr>
          <w:b/>
          <w:bCs/>
          <w:color w:val="051C2C"/>
        </w:rPr>
        <w:t xml:space="preserve">Perban BNPB 1/2026 menjadikan R3P yang ditetapkan sebagai syarat wajib permohonan Dana Bersama pascabencana (Pasal 14 ayat (5)), dan memakai daerah berindeks risiko bencana tinggi sebagai pertimbangan prioritas (Pasal 7 ayat (2)) </w:t>
      </w:r>
      <w:r>
        <w:rPr>
          <w:b/>
          <w:bCs/>
          <w:color w:val="051C2C"/>
        </w:rPr>
        <w:t xml:space="preserve">(BNPB, 2026d)</w:t>
      </w:r>
      <w:r>
        <w:rPr>
          <w:b/>
          <w:bCs/>
          <w:color w:val="051C2C"/>
        </w:rPr>
        <w:t xml:space="preserve">.</w:t>
      </w:r>
      <w:r>
        <w:t xml:space="preserve"> Kriteria prabencana hanya kesesuaian dengan Renas dan rencana kerja K/L atau dengan rencana daerah dan Standar Pelayanan Minimal (SPM) (Pasal 14 ayat (4)), tanpa syarat analisis manfaat-biaya. Dokumen R3P Lombok dan Sulawesi Tengah tidak ditemukan di sumber terbuka, dan R3P Cianjur berstatus contoh; ketersediaan R3P dengan demikian ikut menentukan akses dana. Kriteria indeks risiko tinggi baru dapat dibaca seragam bila catatan metode Indeks Risiko Bencana Indonesia (IRBI) 2025 terbit. Karena itu, catatan metode tersebut (KD-4, </w:t>
      </w:r>
      <w:r>
        <w:fldChar w:fldCharType="begin"/>
      </w:r>
      <w:r>
        <w:instrText xml:space="preserve"> REF _Ref0086 \h \* CHARFORMAT </w:instrText>
      </w:r>
      <w:r>
        <w:fldChar w:fldCharType="separate"/>
      </w:r>
      <w:r>
        <w:t xml:space="preserve">10</w:t>
      </w:r>
      <w:r>
        <w:fldChar w:fldCharType="end"/>
      </w:r>
      <w:r>
        <w:t xml:space="preserve">) ikut menentukan prioritas Dana Bersama.</w:t>
      </w:r>
    </w:p>
    <w:p>
      <w:pPr>
        <w:pStyle w:val="IsiTemuan"/>
      </w:pPr>
      <w:r>
        <w:rPr>
          <w:b/>
          <w:bCs/>
          <w:color w:val="051C2C"/>
        </w:rPr>
        <w:t xml:space="preserve">Mitigasi prabencana dibiayai APBN K/L, APBD, dana desa, dan Dana Bersama prabencana, bukan DSP; dana kontinjensi bencana APBN disediakan untuk kesiapsiagaan prabencana (PP 22/2008 Pasal 6 ayat (1)) </w:t>
      </w:r>
      <w:r>
        <w:rPr>
          <w:b/>
          <w:bCs/>
          <w:color w:val="051C2C"/>
        </w:rPr>
        <w:t xml:space="preserve">(Republik Indonesia, 2008b)</w:t>
      </w:r>
      <w:r>
        <w:rPr>
          <w:b/>
          <w:bCs/>
          <w:color w:val="051C2C"/>
        </w:rPr>
        <w:t xml:space="preserve">.</w:t>
      </w:r>
      <w:r>
        <w:t xml:space="preserve"> Fokus dana desa 2026 memuat desa berketahanan iklim dan tangguh bencana (Permendes PDT 16/2025 Pasal 2 ayat (1) huruf b), sejalan dengan catatan Renas bahwa dana desa belum banyak dipakai untuk program ketangguhan bencana </w:t>
      </w:r>
      <w:r>
        <w:t xml:space="preserve">(Kementerian Desa dan Pembangunan Daerah Tertinggal Republik Indonesia, 2025; BNPB, 2025c, hlm. 26)</w:t>
      </w:r>
      <w:r>
        <w:t xml:space="preserve">. Penghentian konflik sosial dan rekonsiliasi pascakonflik dibiayai DSP APBN dan BTT APBD oleh unsur Satuan Tugas Penyelesaian Konflik Sosial (UU 7/2012 Pasal 55 ayat (1)) </w:t>
      </w:r>
      <w:r>
        <w:t xml:space="preserve">(Republik Indonesia, 2012)</w:t>
      </w:r>
      <w:r>
        <w:t xml:space="preserve">. Dasar hukum dan menu Dana Alokasi Khusus (DAK) penanggulangan bencana 2026 tidak ditemukan; DAK karena itu tidak dimuat di </w:t>
      </w:r>
      <w:r>
        <w:fldChar w:fldCharType="begin"/>
      </w:r>
      <w:r>
        <w:instrText xml:space="preserve"> REF _Ref0045 \h \* CHARFORMAT </w:instrText>
      </w:r>
      <w:r>
        <w:fldChar w:fldCharType="separate"/>
      </w:r>
      <w:r>
        <w:t xml:space="preserve">Gambar 12.5</w:t>
      </w:r>
      <w:r>
        <w:fldChar w:fldCharType="end"/>
      </w:r>
      <w:r>
        <w:t xml:space="preserve">.</w:t>
      </w:r>
    </w:p>
    <w:p>
      <w:pPr>
        <w:pStyle w:val="Caption"/>
      </w:pPr>
      <w:bookmarkStart w:id="743" w:name="_Toc00241"/>
      <w:bookmarkStart w:id="742" w:name="_Ref004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742"/>
      <w:r>
        <w:rPr>
          <w:b/>
          <w:bCs/>
          <w:color w:val="051C2C"/>
        </w:rPr>
        <w:t xml:space="preserve"> </w:t>
      </w:r>
      <w:r>
        <w:t xml:space="preserve">Lapisan kejadian dan sumber dana penanggulangan bencana menurut peraturan yang berlaku, Oktober 2026</w:t>
      </w:r>
      <w:bookmarkEnd w:id="743"/>
    </w:p>
    <w:p xmlns:a="http://schemas.openxmlformats.org/drawingml/2006/main" xmlns:pic="http://schemas.openxmlformats.org/drawingml/2006/picture">
      <w:pPr>
        <w:keepNext/>
        <w:spacing w:after="0" w:line="240" w:lineRule="auto"/>
        <w:jc w:val="center"/>
      </w:pPr>
      <w:bookmarkStart w:id="744" w:name="_Obj0069"/>
      <w:r>
        <w:drawing>
          <wp:inline distT="0" distB="0" distL="0" distR="0">
            <wp:extent cx="5940000" cy="3740677"/>
            <wp:effectExtent l="0" t="0" r="0" b="0"/>
            <wp:docPr id="214" name="Gambar 214"/>
            <wp:cNvGraphicFramePr>
              <a:graphicFrameLocks noChangeAspect="1"/>
            </wp:cNvGraphicFramePr>
            <a:graphic>
              <a:graphicData uri="http://schemas.openxmlformats.org/drawingml/2006/picture">
                <pic:pic>
                  <pic:nvPicPr>
                    <pic:cNvPr id="214" name="bab12-lapisan-pembiayaan.png"/>
                    <pic:cNvPicPr/>
                  </pic:nvPicPr>
                  <pic:blipFill>
                    <a:blip r:embed="rId99"/>
                    <a:stretch>
                      <a:fillRect/>
                    </a:stretch>
                  </pic:blipFill>
                  <pic:spPr>
                    <a:xfrm>
                      <a:off x="0" y="0"/>
                      <a:ext cx="5940000" cy="3740677"/>
                    </a:xfrm>
                    <a:prstGeom prst="rect">
                      <a:avLst/>
                    </a:prstGeom>
                  </pic:spPr>
                </pic:pic>
              </a:graphicData>
            </a:graphic>
          </wp:inline>
        </w:drawing>
      </w:r>
      <w:bookmarkEnd w:id="744"/>
    </w:p>
    <w:p>
      <w:pPr>
        <w:pStyle w:val="Sumber"/>
        <w:spacing w:after="40"/>
      </w:pPr>
      <w:r>
        <w:rPr>
          <w:b/>
          <w:bCs/>
          <w:color w:val="6B7280"/>
          <w:sz w:val="17"/>
          <w:szCs w:val="17"/>
        </w:rPr>
        <w:t xml:space="preserve">Sumber: </w:t>
      </w:r>
      <w:r>
        <w:rPr>
          <w:color w:val="6B7280"/>
          <w:sz w:val="17"/>
          <w:szCs w:val="17"/>
        </w:rPr>
        <w:t xml:space="preserve">Strategi PARB Kemenkeu; PP 22/2008; PP 12/2019; UU 7/2012; Perpres 75/2021; Perpres 46/2026; PMK 28/2025; Perban BNPB 4/2020 dan 1/2026; Permendes PDT 16/2025; Renas PB 2025–2029; BKF Kemenkeu;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Lima lapis (prabencana, sering, berat, ekstrem, konflik sosial) dengan sumber dana utama, tambahan, dan lain beserta dasar hukumnya. Tanpa nominal anggaran; tinggi lapis tidak sebanding besaran. Pelapisan berjangkar Strategi PARB (resmi); penempatan sumber dana ke lapis oleh penyusun. DAK tidak dimuat karena dasar 2026 belum diverifikasi.</w:t>
      </w:r>
    </w:p>
    <w:p>
      <w:pPr>
        <w:pStyle w:val="IsiTemuan"/>
      </w:pPr>
      <w:r>
        <w:rPr>
          <w:b/>
          <w:bCs/>
          <w:color w:val="051C2C"/>
        </w:rPr>
        <w:t xml:space="preserve">Kompendium program kajian ini tidak memuat satu pun program kelembagaan atau pembiayaan berkekuatan bukti kuat, sehingga tidak ada program pembiayaan yang disebut terbukti </w:t>
      </w:r>
      <w:r>
        <w:rPr>
          <w:b/>
          <w:bCs/>
          <w:color w:val="051C2C"/>
        </w:rPr>
        <w:t xml:space="preserve">(Pantau Bencana, 2026d)</w:t>
      </w:r>
      <w:r>
        <w:rPr>
          <w:b/>
          <w:bCs/>
          <w:color w:val="051C2C"/>
        </w:rPr>
        <w:t xml:space="preserve">.</w:t>
      </w:r>
      <w:r>
        <w:t xml:space="preserve"> Asuransi risiko dan </w:t>
      </w:r>
      <w:r>
        <w:rPr>
          <w:i/>
          <w:iCs/>
        </w:rPr>
        <w:t xml:space="preserve">pooling</w:t>
      </w:r>
      <w:r>
        <w:t xml:space="preserve"> seperti Caribbean Catastrophe Risk Insurance Facility (CCRIF) dan African Risk Capacity (ARC) berposisi program dengan syarat (bukti sedang): pemicu parametrik harus cocok dengan kerugian nyata dan rencana penggunaan dana disiapkan sebelum bencana. Hibah mitigasi Federal Emergency Management Agency (FEMA) dengan syarat analisis manfaat-biaya berposisi rujukan tata kelola, karena rasio manfaatnya hasil pemodelan tanpa angka tercatat Indonesia yang dapat disandingkan </w:t>
      </w:r>
      <w:r>
        <w:t xml:space="preserve">(FEMA Federal Insurance and Mitigation Administration, 2018)</w:t>
      </w:r>
      <w:r>
        <w:t xml:space="preserve">. Rehabilitasi rumah pascagempa Lombok 2018 berkekuatan lemah dan berposisi pelajaran, bukan teladan. Syarat manfaat-biaya Dana Bersama (</w:t>
      </w:r>
      <w:r>
        <w:fldChar w:fldCharType="begin"/>
      </w:r>
      <w:r>
        <w:instrText xml:space="preserve"> REF _Ref0103 \h \* CHARFORMAT </w:instrText>
      </w:r>
      <w:r>
        <w:fldChar w:fldCharType="separate"/>
      </w:r>
      <w:r>
        <w:t xml:space="preserve">29</w:t>
      </w:r>
      <w:r>
        <w:fldChar w:fldCharType="end"/>
      </w:r>
      <w:r>
        <w:t xml:space="preserve">) diusulkan sebagai perbaikan tata kelola, tanpa klaim bahwa Dana Bersama akan lebih efektif.</w:t>
      </w:r>
    </w:p>
    <w:p>
      <w:pPr>
        <w:pStyle w:val="Heading2"/>
      </w:pPr>
      <w:bookmarkStart w:id="746" w:name="_Toc00242"/>
      <w:bookmarkStart w:id="745" w:name="_Ref0150"/>
      <w:r>
        <w:t xml:space="preserve">12.6</w:t>
      </w:r>
      <w:bookmarkEnd w:id="745"/>
      <w:r>
        <w:tab/>
      </w:r>
      <w:r>
        <w:t xml:space="preserve">Instrumen Hukum</w:t>
      </w:r>
      <w:bookmarkEnd w:id="746"/>
    </w:p>
    <w:p>
      <w:pPr>
        <w:pStyle w:val="IsiTemuan"/>
      </w:pPr>
      <w:r>
        <w:rPr>
          <w:b/>
          <w:bCs/>
          <w:color w:val="051C2C"/>
        </w:rPr>
        <w:t xml:space="preserve">Program Penyusunan Peraturan (Progsun) BNPB 2026 (Kepka BNPB 327/2025) memuat </w:t>
      </w:r>
      <w:r>
        <w:rPr>
          <w:b/>
          <w:bCs/>
          <w:color w:val="051C2C"/>
        </w:rPr>
        <w:t xml:space="preserve">11</w:t>
      </w:r>
      <w:r>
        <w:rPr>
          <w:b/>
          <w:bCs/>
          <w:color w:val="051C2C"/>
        </w:rPr>
        <w:t xml:space="preserve"> rancangan, dan empat di antaranya menyentuh bab ini (</w:t>
      </w:r>
      <w:r>
        <w:rPr>
          <w:b/>
          <w:bCs/>
          <w:color w:val="051C2C"/>
        </w:rPr>
        <w:fldChar w:fldCharType="begin"/>
      </w:r>
      <w:r>
        <w:rPr>
          <w:b/>
          <w:bCs/>
          <w:color w:val="051C2C"/>
        </w:rPr>
        <w:instrText xml:space="preserve"> REF _Ref0278 \h \* CHARFORMAT </w:instrText>
      </w:r>
      <w:r>
        <w:rPr>
          <w:b/>
          <w:bCs/>
          <w:color w:val="051C2C"/>
        </w:rPr>
        <w:fldChar w:fldCharType="separate"/>
      </w:r>
      <w:r>
        <w:rPr>
          <w:b/>
          <w:bCs/>
          <w:color w:val="051C2C"/>
        </w:rPr>
        <w:t xml:space="preserve">Tabel 12.4</w:t>
      </w:r>
      <w:r>
        <w:rPr>
          <w:b/>
          <w:bCs/>
          <w:color w:val="051C2C"/>
        </w:rPr>
        <w:fldChar w:fldCharType="end"/>
      </w:r>
      <w:r>
        <w:rPr>
          <w:b/>
          <w:bCs/>
          <w:color w:val="051C2C"/>
        </w:rPr>
        <w:t xml:space="preserve">).</w:t>
      </w:r>
      <w:r>
        <w:t xml:space="preserve"> Butir 3 mengatur analisis risiko bencana pada kegiatan pembangunan berisiko tinggi, dan butir 7 mengubah Perka BNPB 6/2014 tentang pembentukan produk hukum </w:t>
      </w:r>
      <w:r>
        <w:t xml:space="preserve">(BNPB, 2025b)</w:t>
      </w:r>
      <w:r>
        <w:t xml:space="preserve">. Butir 9 tentang penelaahan Dana Bersama sudah terbit sebagai Perban BNPB 1/2026 pada 10 Maret 2026, sedangkan butir 11 mengatur pemantauan dan evaluasi RIPB </w:t>
      </w:r>
      <w:r>
        <w:t xml:space="preserve">(BNPB, 2026d)</w:t>
      </w:r>
      <w:r>
        <w:t xml:space="preserve">. Kepala Biro Hukum, Organisasi, dan Kerja Sama melaporkan realisasinya tiap triwulan.</w:t>
      </w:r>
    </w:p>
    <w:p>
      <w:pPr>
        <w:pStyle w:val="IsiTemuan"/>
      </w:pPr>
      <w:r>
        <w:rPr>
          <w:b/>
          <w:bCs/>
          <w:color w:val="051C2C"/>
        </w:rPr>
        <w:t xml:space="preserve">Empat instrumen yang diperlukan tidak ada di Progsun 2026: pedoman keadaan tertentu Perpres 46/2026; syarat manfaat-biaya Dana Bersama; standar stimulan rumah; dan perubahan Renas PB 2025–2029.</w:t>
      </w:r>
      <w:r>
        <w:t xml:space="preserve"> Keempatnya dapat disusun di luar program dengan izin prakarsa Kepala BNPB (Perka BNPB 6/2014 Pasal 8 ayat (2)) atau dimasukkan ke Progsun 2027 </w:t>
      </w:r>
      <w:r>
        <w:t xml:space="preserve">(BNPB, 2014b)</w:t>
      </w:r>
      <w:r>
        <w:t xml:space="preserve">. Penerapan Perka itu pada Peraturan Badan adalah tafsiran penyusun yang didukung pencantumannya di konsiderans Kepka 327/2025. Butir 7 sedang mengubah Perka 6/2014, sehingga mekanisme izin prakarsa perlu dicek terhadap rancangan perubahannya (</w:t>
      </w:r>
      <w:r>
        <w:fldChar w:fldCharType="begin"/>
      </w:r>
      <w:r>
        <w:instrText xml:space="preserve"> REF _Ref0087 \h \* CHARFORMAT </w:instrText>
      </w:r>
      <w:r>
        <w:fldChar w:fldCharType="separate"/>
      </w:r>
      <w:r>
        <w:t xml:space="preserve">11</w:t>
      </w:r>
      <w:r>
        <w:fldChar w:fldCharType="end"/>
      </w:r>
      <w:r>
        <w:t xml:space="preserve">).</w:t>
      </w:r>
    </w:p>
    <w:p>
      <w:pPr>
        <w:pStyle w:val="IsiTemuan"/>
      </w:pPr>
      <w:r>
        <w:rPr>
          <w:b/>
          <w:bCs/>
          <w:color w:val="051C2C"/>
        </w:rPr>
        <w:t xml:space="preserve">Perban BNPB 5/2018 belum melaksanakan Perpres 46/2026 yang diundangkan 16 Juli 2026.</w:t>
      </w:r>
      <w:r>
        <w:t xml:space="preserve"> Perban itu memuat </w:t>
      </w:r>
      <w:r>
        <w:t xml:space="preserve">10 jenis</w:t>
      </w:r>
      <w:r>
        <w:t xml:space="preserve"> ancaman alam dan nonalam tanpa faktor sosial maupun pascakonflik </w:t>
      </w:r>
      <w:r>
        <w:t xml:space="preserve">(BNPB, 2018f)</w:t>
      </w:r>
      <w:r>
        <w:t xml:space="preserve">. Perpres 46/2026 menambah faktor sosial dan pemda yang dalam proses rekonsiliasi pascakonflik dengan kapasitas fiskal sangat rendah atau rendah, lalu memerintahkan pedoman Kepala BNPB (Pasal 3 ayat (4)) </w:t>
      </w:r>
      <w:r>
        <w:t xml:space="preserve">(Republik Indonesia, 2026a)</w:t>
      </w:r>
      <w:r>
        <w:t xml:space="preserve">. Peta Kapasitas Fiskal Daerah menempatkan </w:t>
      </w:r>
      <w:r>
        <w:t xml:space="preserve">351</w:t>
      </w:r>
      <w:r>
        <w:t xml:space="preserve"> dari </w:t>
      </w:r>
      <w:r>
        <w:t xml:space="preserve">508</w:t>
      </w:r>
      <w:r>
        <w:t xml:space="preserve"> kab/kota di kelas rendah atau sangat rendah </w:t>
      </w:r>
      <w:r>
        <w:t xml:space="preserve">(Kementerian Keuangan, 2025)</w:t>
      </w:r>
      <w:r>
        <w:t xml:space="preserve">. Instrumen ini didahulukan untuk musim hujan 2026/2027 karena menentukan apakah DSP dapat dipakai pada keadaan tertentu faktor sosial (</w:t>
      </w:r>
      <w:r>
        <w:fldChar w:fldCharType="begin"/>
      </w:r>
      <w:r>
        <w:instrText xml:space="preserve"> REF _Ref0088 \h \* CHARFORMAT </w:instrText>
      </w:r>
      <w:r>
        <w:fldChar w:fldCharType="separate"/>
      </w:r>
      <w:r>
        <w:t xml:space="preserve">14</w:t>
      </w:r>
      <w:r>
        <w:fldChar w:fldCharType="end"/>
      </w:r>
      <w:r>
        <w:t xml:space="preserve">).</w:t>
      </w:r>
    </w:p>
    <w:p>
      <w:pPr>
        <w:pStyle w:val="IsiTemuan"/>
      </w:pPr>
      <w:r>
        <w:rPr>
          <w:b/>
          <w:bCs/>
          <w:color w:val="051C2C"/>
        </w:rPr>
        <w:t xml:space="preserve">Perpres penetapan status dan tingkatan bencana diperintahkan UU 24/2007 Pasal 7 ayat (3) sejak 2007 dan belum ditemukan terbit per 24 Oktober 2026.</w:t>
      </w:r>
      <w:r>
        <w:t xml:space="preserve"> Pemerintah di persidangan Mahkamah Konstitusi (MK) menyatakan Perpres itu belum dibentuk secara tersendiri, dan BPK mencatat hal yang sama dengan rekomendasi agar Kepala BNPB menginisiasinya </w:t>
      </w:r>
      <w:r>
        <w:t xml:space="preserve">(MK, 2026; BPK, 2025)</w:t>
      </w:r>
      <w:r>
        <w:t xml:space="preserve">. Putusan MK 261/PUU-XXIII/2025, diucapkan 28 Agustus 2026, memaknai Pasal 7 ayat (2): status dan tingkat bencana nasional didasarkan pada sekurang-kurangnya </w:t>
      </w:r>
      <w:r>
        <w:t xml:space="preserve">3 indikator</w:t>
      </w:r>
      <w:r>
        <w:t xml:space="preserve"> dari </w:t>
      </w:r>
      <w:r>
        <w:t xml:space="preserve">5 indikator</w:t>
      </w:r>
      <w:r>
        <w:t xml:space="preserve">, dengan jumlah korban sebagai indikator utama yang harus dipenuhi </w:t>
      </w:r>
      <w:r>
        <w:t xml:space="preserve">(MK, 2026, hlm. 240)</w:t>
      </w:r>
      <w:r>
        <w:t xml:space="preserve">. Putusan itu tidak menetapkan ambang angka, sehingga kajian ini menyajikan sebaran indikator dari DIBI sebagai bahan Perpres tanpa mengusulkan ambang. Renas PB sudah mendaftar substansi status tingkatan bencana di Tabel 4.1, tetapi tanpa aksi berkode </w:t>
      </w:r>
      <w:r>
        <w:t xml:space="preserve">(BNPB, 2025c, hlm. 94–99, 118–119)</w:t>
      </w:r>
      <w:r>
        <w:t xml:space="preserve">.</w:t>
      </w:r>
    </w:p>
    <w:p>
      <w:pPr>
        <w:pStyle w:val="Caption"/>
      </w:pPr>
      <w:bookmarkStart w:id="748" w:name="_Toc00243"/>
      <w:bookmarkStart w:id="747" w:name="_Ref027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747"/>
      <w:r>
        <w:rPr>
          <w:b/>
          <w:bCs/>
          <w:color w:val="051C2C"/>
        </w:rPr>
        <w:t xml:space="preserve"> </w:t>
      </w:r>
      <w:r>
        <w:t xml:space="preserve">Instrumen hukum untuk rekomendasi kajian mitigasi, pemrakarsa, horizon, dan posisinya di lima dokumen perencanaan, 2026</w:t>
      </w:r>
      <w:bookmarkEnd w:id="74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022"/>
        <w:gridCol w:w="1288"/>
        <w:gridCol w:w="1173"/>
        <w:gridCol w:w="914"/>
        <w:gridCol w:w="667"/>
        <w:gridCol w:w="644"/>
        <w:gridCol w:w="926"/>
        <w:gridCol w:w="833"/>
        <w:gridCol w:w="1044"/>
        <w:gridCol w:w="843"/>
      </w:tblGrid>
      <w:tr>
        <w:trPr>
          <w:cantSplit/>
          <w:tblHeader/>
        </w:trPr>
        <w:tc>
          <w:tcPr>
            <w:tcW w:w="1022" w:type="dxa"/>
            <w:shd w:val="clear" w:color="auto" w:fill="051C2C"/>
            <w:vAlign w:val="center"/>
          </w:tcPr>
          <w:p>
            <w:pPr>
              <w:pStyle w:val="KepalaTabel"/>
              <w:suppressAutoHyphens/>
            </w:pPr>
            <w:r>
              <w:t xml:space="preserve">INSTRUMEN</w:t>
            </w:r>
          </w:p>
        </w:tc>
        <w:tc>
          <w:tcPr>
            <w:tcW w:w="1288" w:type="dxa"/>
            <w:shd w:val="clear" w:color="auto" w:fill="051C2C"/>
            <w:vAlign w:val="center"/>
          </w:tcPr>
          <w:p>
            <w:pPr>
              <w:pStyle w:val="KepalaTabel"/>
              <w:suppressAutoHyphens/>
            </w:pPr>
            <w:r>
              <w:t xml:space="preserve">JENIS</w:t>
            </w:r>
          </w:p>
        </w:tc>
        <w:tc>
          <w:tcPr>
            <w:tcW w:w="1173" w:type="dxa"/>
            <w:shd w:val="clear" w:color="auto" w:fill="051C2C"/>
            <w:vAlign w:val="center"/>
          </w:tcPr>
          <w:p>
            <w:pPr>
              <w:pStyle w:val="KepalaTabel"/>
              <w:suppressAutoHyphens/>
            </w:pPr>
            <w:r>
              <w:t xml:space="preserve">PEMRAKARSA; FORUM</w:t>
            </w:r>
          </w:p>
        </w:tc>
        <w:tc>
          <w:tcPr>
            <w:tcW w:w="914" w:type="dxa"/>
            <w:shd w:val="clear" w:color="auto" w:fill="051C2C"/>
            <w:vAlign w:val="center"/>
          </w:tcPr>
          <w:p>
            <w:pPr>
              <w:pStyle w:val="KepalaTabel"/>
              <w:suppressAutoHyphens/>
            </w:pPr>
            <w:r>
              <w:t xml:space="preserve">HORIZON</w:t>
            </w:r>
          </w:p>
        </w:tc>
        <w:tc>
          <w:tcPr>
            <w:tcW w:w="667" w:type="dxa"/>
            <w:shd w:val="clear" w:color="auto" w:fill="051C2C"/>
            <w:vAlign w:val="center"/>
          </w:tcPr>
          <w:p>
            <w:pPr>
              <w:pStyle w:val="KepalaTabel"/>
              <w:suppressAutoHyphens/>
            </w:pPr>
            <w:r>
              <w:t xml:space="preserve">RIPB</w:t>
            </w:r>
          </w:p>
        </w:tc>
        <w:tc>
          <w:tcPr>
            <w:tcW w:w="644" w:type="dxa"/>
            <w:shd w:val="clear" w:color="auto" w:fill="051C2C"/>
            <w:vAlign w:val="center"/>
          </w:tcPr>
          <w:p>
            <w:pPr>
              <w:pStyle w:val="KepalaTabel"/>
              <w:suppressAutoHyphens/>
            </w:pPr>
            <w:r>
              <w:t xml:space="preserve">RENAS</w:t>
            </w:r>
          </w:p>
        </w:tc>
        <w:tc>
          <w:tcPr>
            <w:tcW w:w="926" w:type="dxa"/>
            <w:shd w:val="clear" w:color="auto" w:fill="051C2C"/>
            <w:vAlign w:val="center"/>
          </w:tcPr>
          <w:p>
            <w:pPr>
              <w:pStyle w:val="KepalaTabel"/>
              <w:suppressAutoHyphens/>
            </w:pPr>
            <w:r>
              <w:t xml:space="preserve">RENSTRA; RPJMN</w:t>
            </w:r>
          </w:p>
        </w:tc>
        <w:tc>
          <w:tcPr>
            <w:tcW w:w="833" w:type="dxa"/>
            <w:shd w:val="clear" w:color="auto" w:fill="051C2C"/>
            <w:vAlign w:val="center"/>
          </w:tcPr>
          <w:p>
            <w:pPr>
              <w:pStyle w:val="KepalaTabel"/>
              <w:suppressAutoHyphens/>
            </w:pPr>
            <w:r>
              <w:t xml:space="preserve">PROGSUN 2026</w:t>
            </w:r>
          </w:p>
        </w:tc>
        <w:tc>
          <w:tcPr>
            <w:tcW w:w="1044" w:type="dxa"/>
            <w:shd w:val="clear" w:color="auto" w:fill="051C2C"/>
            <w:vAlign w:val="center"/>
          </w:tcPr>
          <w:p>
            <w:pPr>
              <w:pStyle w:val="KepalaTabel"/>
              <w:suppressAutoHyphens/>
            </w:pPr>
            <w:r>
              <w:t xml:space="preserve">STATUS</w:t>
            </w:r>
          </w:p>
        </w:tc>
        <w:tc>
          <w:tcPr>
            <w:tcW w:w="843" w:type="dxa"/>
            <w:shd w:val="clear" w:color="auto" w:fill="051C2C"/>
            <w:vAlign w:val="center"/>
          </w:tcPr>
          <w:p>
            <w:pPr>
              <w:pStyle w:val="KepalaTabel"/>
              <w:suppressAutoHyphens/>
            </w:pPr>
            <w:r>
              <w:t xml:space="preserve">REGISTER</w:t>
            </w:r>
          </w:p>
        </w:tc>
      </w:tr>
      <w:tr>
        <w:trPr>
          <w:cantSplit/>
        </w:trPr>
        <w:tc>
          <w:tcPr>
            <w:tcW w:w="1022" w:type="dxa"/>
          </w:tcPr>
          <w:p>
            <w:pPr>
              <w:pStyle w:val="IsiTabel"/>
              <w:suppressAutoHyphens/>
              <w:jc w:val="left"/>
            </w:pPr>
            <w:r>
              <w:t xml:space="preserve">Pedoman keadaan tertentu faktor sosial dan pascakonflik</w:t>
            </w:r>
          </w:p>
        </w:tc>
        <w:tc>
          <w:tcPr>
            <w:tcW w:w="1288" w:type="dxa"/>
          </w:tcPr>
          <w:p>
            <w:pPr>
              <w:pStyle w:val="IsiTabel"/>
              <w:suppressAutoHyphens/>
              <w:jc w:val="left"/>
            </w:pPr>
            <w:r>
              <w:t xml:space="preserve">Perban (perubahan Perban 5/2018)</w:t>
            </w:r>
          </w:p>
        </w:tc>
        <w:tc>
          <w:tcPr>
            <w:tcW w:w="1173" w:type="dxa"/>
          </w:tcPr>
          <w:p>
            <w:pPr>
              <w:pStyle w:val="IsiTabel"/>
              <w:suppressAutoHyphens/>
              <w:jc w:val="left"/>
            </w:pPr>
            <w:r>
              <w:t xml:space="preserve">Deputi Bidang Penanganan Darurat, Biro Hukum, Organisasi, dan Kerja Sama; rakor Kemenko PMK</w:t>
            </w:r>
          </w:p>
        </w:tc>
        <w:tc>
          <w:tcPr>
            <w:tcW w:w="914" w:type="dxa"/>
          </w:tcPr>
          <w:p>
            <w:pPr>
              <w:pStyle w:val="IsiTabel"/>
              <w:suppressAutoHyphens/>
              <w:jc w:val="left"/>
            </w:pPr>
            <w:r>
              <w:t xml:space="preserve">100 hari (rancangan); 2027 (penetapan)</w:t>
            </w:r>
          </w:p>
        </w:tc>
        <w:tc>
          <w:tcPr>
            <w:tcW w:w="667" w:type="dxa"/>
          </w:tcPr>
          <w:p>
            <w:pPr>
              <w:pStyle w:val="IsiTabel"/>
              <w:suppressAutoHyphens/>
              <w:jc w:val="left"/>
            </w:pPr>
            <w:r>
              <w:t xml:space="preserve">fokus capaian 7</w:t>
            </w:r>
          </w:p>
        </w:tc>
        <w:tc>
          <w:tcPr>
            <w:tcW w:w="644" w:type="dxa"/>
          </w:tcPr>
          <w:p>
            <w:pPr>
              <w:pStyle w:val="IsiTabel"/>
              <w:suppressAutoHyphens/>
              <w:jc w:val="left"/>
            </w:pPr>
            <w:r>
              <w:t xml:space="preserve">4.1.1.h; Tabel 4.1 Sasaran 1</w:t>
            </w:r>
          </w:p>
        </w:tc>
        <w:tc>
          <w:tcPr>
            <w:tcW w:w="926" w:type="dxa"/>
          </w:tcPr>
          <w:p>
            <w:pPr>
              <w:pStyle w:val="IsiTabel"/>
              <w:suppressAutoHyphens/>
              <w:jc w:val="left"/>
            </w:pPr>
            <w:r>
              <w:t xml:space="preserve">KP 08.04.02</w:t>
            </w:r>
          </w:p>
        </w:tc>
        <w:tc>
          <w:tcPr>
            <w:tcW w:w="833" w:type="dxa"/>
          </w:tcPr>
          <w:p>
            <w:pPr>
              <w:pStyle w:val="IsiTabel"/>
              <w:suppressAutoHyphens/>
              <w:jc w:val="left"/>
            </w:pPr>
            <w:r>
              <w:t xml:space="preserve">tidak ada; izin prakarsa</w:t>
            </w:r>
          </w:p>
        </w:tc>
        <w:tc>
          <w:tcPr>
            <w:tcW w:w="1044" w:type="dxa"/>
          </w:tcPr>
          <w:p>
            <w:pPr>
              <w:pStyle w:val="IsiTabel"/>
              <w:suppressAutoHyphens/>
              <w:jc w:val="left"/>
            </w:pPr>
            <w:r>
              <w:t xml:space="preserve">Usulan baru</w:t>
            </w:r>
          </w:p>
        </w:tc>
        <w:tc>
          <w:tcPr>
            <w:tcW w:w="843" w:type="dxa"/>
          </w:tcPr>
          <w:p>
            <w:pPr>
              <w:pStyle w:val="IsiTabel"/>
              <w:suppressAutoHyphens/>
              <w:jc w:val="left"/>
            </w:pPr>
            <w:r>
              <w:fldChar w:fldCharType="begin"/>
            </w:r>
            <w:r>
              <w:instrText xml:space="preserve"> REF _Ref0088 \h \* CHARFORMAT </w:instrText>
            </w:r>
            <w:r>
              <w:fldChar w:fldCharType="separate"/>
            </w:r>
            <w:r>
              <w:t xml:space="preserve">14</w:t>
            </w:r>
            <w:r>
              <w:fldChar w:fldCharType="end"/>
            </w:r>
          </w:p>
        </w:tc>
      </w:tr>
      <w:tr>
        <w:trPr>
          <w:cantSplit/>
        </w:trPr>
        <w:tc>
          <w:tcPr>
            <w:tcW w:w="1022" w:type="dxa"/>
          </w:tcPr>
          <w:p>
            <w:pPr>
              <w:pStyle w:val="IsiTabel"/>
              <w:suppressAutoHyphens/>
              <w:jc w:val="left"/>
            </w:pPr>
            <w:r>
              <w:t xml:space="preserve">Perpres status dan tingkatan bencana</w:t>
            </w:r>
          </w:p>
        </w:tc>
        <w:tc>
          <w:tcPr>
            <w:tcW w:w="1288" w:type="dxa"/>
          </w:tcPr>
          <w:p>
            <w:pPr>
              <w:pStyle w:val="IsiTabel"/>
              <w:suppressAutoHyphens/>
              <w:jc w:val="left"/>
            </w:pPr>
            <w:r>
              <w:t xml:space="preserve">Perpres</w:t>
            </w:r>
          </w:p>
        </w:tc>
        <w:tc>
          <w:tcPr>
            <w:tcW w:w="1173" w:type="dxa"/>
          </w:tcPr>
          <w:p>
            <w:pPr>
              <w:pStyle w:val="IsiTabel"/>
              <w:suppressAutoHyphens/>
              <w:jc w:val="left"/>
            </w:pPr>
            <w:r>
              <w:t xml:space="preserve">BNPB menginisiasi lewat Kemenko PMK</w:t>
            </w:r>
          </w:p>
        </w:tc>
        <w:tc>
          <w:tcPr>
            <w:tcW w:w="914" w:type="dxa"/>
          </w:tcPr>
          <w:p>
            <w:pPr>
              <w:pStyle w:val="IsiTabel"/>
              <w:suppressAutoHyphens/>
              <w:jc w:val="left"/>
            </w:pPr>
            <w:r>
              <w:t xml:space="preserve">2026–2027</w:t>
            </w:r>
          </w:p>
        </w:tc>
        <w:tc>
          <w:tcPr>
            <w:tcW w:w="667" w:type="dxa"/>
          </w:tcPr>
          <w:p>
            <w:pPr>
              <w:pStyle w:val="IsiTabel"/>
              <w:suppressAutoHyphens/>
              <w:jc w:val="left"/>
            </w:pPr>
            <w:r>
              <w:t xml:space="preserve">fokus capaian 1; strategi 1a</w:t>
            </w:r>
          </w:p>
        </w:tc>
        <w:tc>
          <w:tcPr>
            <w:tcW w:w="644" w:type="dxa"/>
          </w:tcPr>
          <w:p>
            <w:pPr>
              <w:pStyle w:val="IsiTabel"/>
              <w:suppressAutoHyphens/>
              <w:jc w:val="left"/>
            </w:pPr>
            <w:r>
              <w:t xml:space="preserve">Tabel 4.1 Sasaran 1 d</w:t>
            </w:r>
          </w:p>
        </w:tc>
        <w:tc>
          <w:tcPr>
            <w:tcW w:w="926" w:type="dxa"/>
          </w:tcPr>
          <w:p>
            <w:pPr>
              <w:pStyle w:val="IsiTabel"/>
              <w:suppressAutoHyphens/>
              <w:jc w:val="left"/>
            </w:pPr>
            <w:r>
              <w:t xml:space="preserve">–</w:t>
            </w:r>
          </w:p>
        </w:tc>
        <w:tc>
          <w:tcPr>
            <w:tcW w:w="833" w:type="dxa"/>
          </w:tcPr>
          <w:p>
            <w:pPr>
              <w:pStyle w:val="IsiTabel"/>
              <w:suppressAutoHyphens/>
              <w:jc w:val="left"/>
            </w:pPr>
            <w:r>
              <w:t xml:space="preserve">bukan objek Progsun BNPB</w:t>
            </w:r>
          </w:p>
        </w:tc>
        <w:tc>
          <w:tcPr>
            <w:tcW w:w="1044" w:type="dxa"/>
          </w:tcPr>
          <w:p>
            <w:pPr>
              <w:pStyle w:val="IsiTabel"/>
              <w:suppressAutoHyphens/>
              <w:jc w:val="left"/>
            </w:pPr>
            <w:r>
              <w:t xml:space="preserve">Usulan baru</w:t>
            </w:r>
          </w:p>
        </w:tc>
        <w:tc>
          <w:tcPr>
            <w:tcW w:w="843" w:type="dxa"/>
          </w:tcPr>
          <w:p>
            <w:pPr>
              <w:pStyle w:val="IsiTabel"/>
              <w:suppressAutoHyphens/>
              <w:jc w:val="left"/>
            </w:pPr>
            <w:r>
              <w:fldChar w:fldCharType="begin"/>
            </w:r>
            <w:r>
              <w:instrText xml:space="preserve"> REF _Ref0091 \h \* CHARFORMAT </w:instrText>
            </w:r>
            <w:r>
              <w:fldChar w:fldCharType="separate"/>
            </w:r>
            <w:r>
              <w:t xml:space="preserve">19</w:t>
            </w:r>
            <w:r>
              <w:fldChar w:fldCharType="end"/>
            </w:r>
          </w:p>
        </w:tc>
      </w:tr>
      <w:tr>
        <w:trPr>
          <w:cantSplit/>
        </w:trPr>
        <w:tc>
          <w:tcPr>
            <w:tcW w:w="1022" w:type="dxa"/>
          </w:tcPr>
          <w:p>
            <w:pPr>
              <w:pStyle w:val="IsiTabel"/>
              <w:suppressAutoHyphens/>
              <w:jc w:val="left"/>
            </w:pPr>
            <w:r>
              <w:t xml:space="preserve">Pengait status KLB atau wabah dengan darurat bencana</w:t>
            </w:r>
          </w:p>
        </w:tc>
        <w:tc>
          <w:tcPr>
            <w:tcW w:w="1288" w:type="dxa"/>
          </w:tcPr>
          <w:p>
            <w:pPr>
              <w:pStyle w:val="IsiTabel"/>
              <w:suppressAutoHyphens/>
              <w:jc w:val="left"/>
            </w:pPr>
            <w:r>
              <w:t xml:space="preserve">Permenkes krisis kesehatan atau norma bersama</w:t>
            </w:r>
          </w:p>
        </w:tc>
        <w:tc>
          <w:tcPr>
            <w:tcW w:w="1173" w:type="dxa"/>
          </w:tcPr>
          <w:p>
            <w:pPr>
              <w:pStyle w:val="IsiTabel"/>
              <w:suppressAutoHyphens/>
              <w:jc w:val="left"/>
            </w:pPr>
            <w:r>
              <w:t xml:space="preserve">Kemenkes bersama BNPB; rakor Kemenko PMK</w:t>
            </w:r>
          </w:p>
        </w:tc>
        <w:tc>
          <w:tcPr>
            <w:tcW w:w="914" w:type="dxa"/>
          </w:tcPr>
          <w:p>
            <w:pPr>
              <w:pStyle w:val="IsiTabel"/>
              <w:suppressAutoHyphens/>
              <w:jc w:val="left"/>
            </w:pPr>
            <w:r>
              <w:t xml:space="preserve">2026–2027</w:t>
            </w:r>
          </w:p>
        </w:tc>
        <w:tc>
          <w:tcPr>
            <w:tcW w:w="667" w:type="dxa"/>
          </w:tcPr>
          <w:p>
            <w:pPr>
              <w:pStyle w:val="IsiTabel"/>
              <w:suppressAutoHyphens/>
              <w:jc w:val="left"/>
            </w:pPr>
            <w:r>
              <w:t xml:space="preserve">fokus capaian 1</w:t>
            </w:r>
          </w:p>
        </w:tc>
        <w:tc>
          <w:tcPr>
            <w:tcW w:w="644" w:type="dxa"/>
          </w:tcPr>
          <w:p>
            <w:pPr>
              <w:pStyle w:val="IsiTabel"/>
              <w:suppressAutoHyphens/>
              <w:jc w:val="left"/>
            </w:pPr>
            <w:r>
              <w:t xml:space="preserve">1.2.1</w:t>
            </w:r>
          </w:p>
        </w:tc>
        <w:tc>
          <w:tcPr>
            <w:tcW w:w="926" w:type="dxa"/>
          </w:tcPr>
          <w:p>
            <w:pPr>
              <w:pStyle w:val="IsiTabel"/>
              <w:suppressAutoHyphens/>
              <w:jc w:val="left"/>
            </w:pPr>
            <w:r>
              <w:t xml:space="preserve">–</w:t>
            </w:r>
          </w:p>
        </w:tc>
        <w:tc>
          <w:tcPr>
            <w:tcW w:w="833" w:type="dxa"/>
          </w:tcPr>
          <w:p>
            <w:pPr>
              <w:pStyle w:val="IsiTabel"/>
              <w:suppressAutoHyphens/>
              <w:jc w:val="left"/>
            </w:pPr>
            <w:r>
              <w:t xml:space="preserve">bukan objek Progsun BNPB</w:t>
            </w:r>
          </w:p>
        </w:tc>
        <w:tc>
          <w:tcPr>
            <w:tcW w:w="1044" w:type="dxa"/>
          </w:tcPr>
          <w:p>
            <w:pPr>
              <w:pStyle w:val="IsiTabel"/>
              <w:suppressAutoHyphens/>
              <w:jc w:val="left"/>
            </w:pPr>
            <w:r>
              <w:t xml:space="preserve">Usulan baru</w:t>
            </w:r>
          </w:p>
        </w:tc>
        <w:tc>
          <w:tcPr>
            <w:tcW w:w="843" w:type="dxa"/>
          </w:tcPr>
          <w:p>
            <w:pPr>
              <w:pStyle w:val="IsiTabel"/>
              <w:suppressAutoHyphens/>
              <w:jc w:val="left"/>
            </w:pPr>
            <w:r>
              <w:fldChar w:fldCharType="begin"/>
            </w:r>
            <w:r>
              <w:instrText xml:space="preserve"> REF _Ref0092 \h \* CHARFORMAT </w:instrText>
            </w:r>
            <w:r>
              <w:fldChar w:fldCharType="separate"/>
            </w:r>
            <w:r>
              <w:t xml:space="preserve">36</w:t>
            </w:r>
            <w:r>
              <w:fldChar w:fldCharType="end"/>
            </w:r>
          </w:p>
        </w:tc>
      </w:tr>
      <w:tr>
        <w:trPr>
          <w:cantSplit/>
        </w:trPr>
        <w:tc>
          <w:tcPr>
            <w:tcW w:w="1022" w:type="dxa"/>
          </w:tcPr>
          <w:p>
            <w:pPr>
              <w:pStyle w:val="IsiTabel"/>
              <w:suppressAutoHyphens/>
              <w:jc w:val="left"/>
            </w:pPr>
            <w:r>
              <w:t xml:space="preserve">Persyaratan analisis risiko pembangunan berisiko tinggi</w:t>
            </w:r>
          </w:p>
        </w:tc>
        <w:tc>
          <w:tcPr>
            <w:tcW w:w="1288" w:type="dxa"/>
          </w:tcPr>
          <w:p>
            <w:pPr>
              <w:pStyle w:val="IsiTabel"/>
              <w:suppressAutoHyphens/>
              <w:jc w:val="left"/>
            </w:pPr>
            <w:r>
              <w:t xml:space="preserve">Perban (menyempurnakan Perka 5/2008)</w:t>
            </w:r>
          </w:p>
        </w:tc>
        <w:tc>
          <w:tcPr>
            <w:tcW w:w="1173" w:type="dxa"/>
          </w:tcPr>
          <w:p>
            <w:pPr>
              <w:pStyle w:val="IsiTabel"/>
              <w:suppressAutoHyphens/>
              <w:jc w:val="left"/>
            </w:pPr>
            <w:r>
              <w:t xml:space="preserve">Direktorat Pemetaan dan Evaluasi Risiko Bencana</w:t>
            </w:r>
          </w:p>
        </w:tc>
        <w:tc>
          <w:tcPr>
            <w:tcW w:w="914" w:type="dxa"/>
          </w:tcPr>
          <w:p>
            <w:pPr>
              <w:pStyle w:val="IsiTabel"/>
              <w:suppressAutoHyphens/>
              <w:jc w:val="left"/>
            </w:pPr>
            <w:r>
              <w:t xml:space="preserve">2026–2027</w:t>
            </w:r>
          </w:p>
        </w:tc>
        <w:tc>
          <w:tcPr>
            <w:tcW w:w="667" w:type="dxa"/>
          </w:tcPr>
          <w:p>
            <w:pPr>
              <w:pStyle w:val="IsiTabel"/>
              <w:suppressAutoHyphens/>
              <w:jc w:val="left"/>
            </w:pPr>
            <w:r>
              <w:t xml:space="preserve">fokus capaian 1; strategi 1b</w:t>
            </w:r>
          </w:p>
        </w:tc>
        <w:tc>
          <w:tcPr>
            <w:tcW w:w="644" w:type="dxa"/>
          </w:tcPr>
          <w:p>
            <w:pPr>
              <w:pStyle w:val="IsiTabel"/>
              <w:suppressAutoHyphens/>
              <w:jc w:val="left"/>
            </w:pPr>
            <w:r>
              <w:t xml:space="preserve">4.1.1.l; Tabel 4.1 Sasaran 2 a</w:t>
            </w:r>
          </w:p>
        </w:tc>
        <w:tc>
          <w:tcPr>
            <w:tcW w:w="926" w:type="dxa"/>
          </w:tcPr>
          <w:p>
            <w:pPr>
              <w:pStyle w:val="IsiTabel"/>
              <w:suppressAutoHyphens/>
              <w:jc w:val="left"/>
            </w:pPr>
            <w:r>
              <w:t xml:space="preserve">–</w:t>
            </w:r>
          </w:p>
        </w:tc>
        <w:tc>
          <w:tcPr>
            <w:tcW w:w="833" w:type="dxa"/>
          </w:tcPr>
          <w:p>
            <w:pPr>
              <w:pStyle w:val="IsiTabel"/>
              <w:suppressAutoHyphens/>
              <w:jc w:val="left"/>
            </w:pPr>
            <w:r>
              <w:t xml:space="preserve">butir 3</w:t>
            </w:r>
          </w:p>
        </w:tc>
        <w:tc>
          <w:tcPr>
            <w:tcW w:w="1044" w:type="dxa"/>
          </w:tcPr>
          <w:p>
            <w:pPr>
              <w:pStyle w:val="IsiTabel"/>
              <w:suppressAutoHyphens/>
              <w:jc w:val="left"/>
            </w:pPr>
            <w:r>
              <w:t xml:space="preserve">Sudah ada, perlu dikembangkan</w:t>
            </w:r>
          </w:p>
        </w:tc>
        <w:tc>
          <w:tcPr>
            <w:tcW w:w="843" w:type="dxa"/>
          </w:tcPr>
          <w:p>
            <w:pPr>
              <w:pStyle w:val="IsiTabel"/>
              <w:suppressAutoHyphens/>
              <w:jc w:val="left"/>
            </w:pPr>
            <w:r>
              <w:fldChar w:fldCharType="begin"/>
            </w:r>
            <w:r>
              <w:instrText xml:space="preserve"> REF _Ref0096 \h \* CHARFORMAT </w:instrText>
            </w:r>
            <w:r>
              <w:fldChar w:fldCharType="separate"/>
            </w:r>
            <w:r>
              <w:t xml:space="preserve">23</w:t>
            </w:r>
            <w:r>
              <w:fldChar w:fldCharType="end"/>
            </w:r>
          </w:p>
        </w:tc>
      </w:tr>
      <w:tr>
        <w:trPr>
          <w:cantSplit/>
        </w:trPr>
        <w:tc>
          <w:tcPr>
            <w:tcW w:w="1022" w:type="dxa"/>
          </w:tcPr>
          <w:p>
            <w:pPr>
              <w:pStyle w:val="IsiTabel"/>
              <w:suppressAutoHyphens/>
              <w:jc w:val="left"/>
            </w:pPr>
            <w:r>
              <w:t xml:space="preserve">Penelaahan Dana Bersama</w:t>
            </w:r>
          </w:p>
        </w:tc>
        <w:tc>
          <w:tcPr>
            <w:tcW w:w="1288" w:type="dxa"/>
          </w:tcPr>
          <w:p>
            <w:pPr>
              <w:pStyle w:val="IsiTabel"/>
              <w:suppressAutoHyphens/>
              <w:jc w:val="left"/>
            </w:pPr>
            <w:r>
              <w:t xml:space="preserve">Perban 1/2026 (terbit)</w:t>
            </w:r>
          </w:p>
        </w:tc>
        <w:tc>
          <w:tcPr>
            <w:tcW w:w="1173" w:type="dxa"/>
          </w:tcPr>
          <w:p>
            <w:pPr>
              <w:pStyle w:val="IsiTabel"/>
              <w:suppressAutoHyphens/>
              <w:jc w:val="left"/>
            </w:pPr>
            <w:r>
              <w:t xml:space="preserve">Biro Hukum, Organisasi, dan Kerja Sama</w:t>
            </w:r>
          </w:p>
        </w:tc>
        <w:tc>
          <w:tcPr>
            <w:tcW w:w="914" w:type="dxa"/>
          </w:tcPr>
          <w:p>
            <w:pPr>
              <w:pStyle w:val="IsiTabel"/>
              <w:suppressAutoHyphens/>
              <w:jc w:val="left"/>
            </w:pPr>
            <w:r>
              <w:t xml:space="preserve">berjalan</w:t>
            </w:r>
          </w:p>
        </w:tc>
        <w:tc>
          <w:tcPr>
            <w:tcW w:w="667" w:type="dxa"/>
          </w:tcPr>
          <w:p>
            <w:pPr>
              <w:pStyle w:val="IsiTabel"/>
              <w:suppressAutoHyphens/>
              <w:jc w:val="left"/>
            </w:pPr>
            <w:r>
              <w:t xml:space="preserve">strategi 3c</w:t>
            </w:r>
          </w:p>
        </w:tc>
        <w:tc>
          <w:tcPr>
            <w:tcW w:w="644" w:type="dxa"/>
          </w:tcPr>
          <w:p>
            <w:pPr>
              <w:pStyle w:val="IsiTabel"/>
              <w:suppressAutoHyphens/>
              <w:jc w:val="left"/>
            </w:pPr>
            <w:r>
              <w:t xml:space="preserve">4.6.2</w:t>
            </w:r>
          </w:p>
        </w:tc>
        <w:tc>
          <w:tcPr>
            <w:tcW w:w="926" w:type="dxa"/>
          </w:tcPr>
          <w:p>
            <w:pPr>
              <w:pStyle w:val="IsiTabel"/>
              <w:suppressAutoHyphens/>
              <w:jc w:val="left"/>
            </w:pPr>
            <w:r>
              <w:t xml:space="preserve">–</w:t>
            </w:r>
          </w:p>
        </w:tc>
        <w:tc>
          <w:tcPr>
            <w:tcW w:w="833" w:type="dxa"/>
          </w:tcPr>
          <w:p>
            <w:pPr>
              <w:pStyle w:val="IsiTabel"/>
              <w:suppressAutoHyphens/>
              <w:jc w:val="left"/>
            </w:pPr>
            <w:r>
              <w:t xml:space="preserve">butir 9, terealisasi</w:t>
            </w:r>
          </w:p>
        </w:tc>
        <w:tc>
          <w:tcPr>
            <w:tcW w:w="1044" w:type="dxa"/>
          </w:tcPr>
          <w:p>
            <w:pPr>
              <w:pStyle w:val="IsiTabel"/>
              <w:suppressAutoHyphens/>
              <w:jc w:val="left"/>
            </w:pPr>
            <w:r>
              <w:t xml:space="preserve">Sudah ada</w:t>
            </w:r>
          </w:p>
        </w:tc>
        <w:tc>
          <w:tcPr>
            <w:tcW w:w="843" w:type="dxa"/>
          </w:tcPr>
          <w:p>
            <w:pPr>
              <w:pStyle w:val="IsiTabel"/>
              <w:suppressAutoHyphens/>
              <w:jc w:val="left"/>
            </w:pPr>
            <w:r>
              <w:t xml:space="preserve">–</w:t>
            </w:r>
          </w:p>
        </w:tc>
      </w:tr>
      <w:tr>
        <w:trPr>
          <w:cantSplit/>
        </w:trPr>
        <w:tc>
          <w:tcPr>
            <w:tcW w:w="1022" w:type="dxa"/>
          </w:tcPr>
          <w:p>
            <w:pPr>
              <w:pStyle w:val="IsiTabel"/>
              <w:suppressAutoHyphens/>
              <w:jc w:val="left"/>
            </w:pPr>
            <w:r>
              <w:t xml:space="preserve">Syarat analisis manfaat-biaya Dana Bersama prabencana</w:t>
            </w:r>
          </w:p>
        </w:tc>
        <w:tc>
          <w:tcPr>
            <w:tcW w:w="1288" w:type="dxa"/>
          </w:tcPr>
          <w:p>
            <w:pPr>
              <w:pStyle w:val="IsiTabel"/>
              <w:suppressAutoHyphens/>
              <w:jc w:val="left"/>
            </w:pPr>
            <w:r>
              <w:t xml:space="preserve">Perban (perubahan Perban 1/2026)</w:t>
            </w:r>
          </w:p>
        </w:tc>
        <w:tc>
          <w:tcPr>
            <w:tcW w:w="1173" w:type="dxa"/>
          </w:tcPr>
          <w:p>
            <w:pPr>
              <w:pStyle w:val="IsiTabel"/>
              <w:suppressAutoHyphens/>
              <w:jc w:val="left"/>
            </w:pPr>
            <w:r>
              <w:t xml:space="preserve">Direktorat Pengembangan Strategi Penanggulangan Bencana, Biro Hukum, Organisasi, dan Kerja Sama</w:t>
            </w:r>
          </w:p>
        </w:tc>
        <w:tc>
          <w:tcPr>
            <w:tcW w:w="914" w:type="dxa"/>
          </w:tcPr>
          <w:p>
            <w:pPr>
              <w:pStyle w:val="IsiTabel"/>
              <w:suppressAutoHyphens/>
              <w:jc w:val="left"/>
            </w:pPr>
            <w:r>
              <w:t xml:space="preserve">2028–2030</w:t>
            </w:r>
          </w:p>
        </w:tc>
        <w:tc>
          <w:tcPr>
            <w:tcW w:w="667" w:type="dxa"/>
          </w:tcPr>
          <w:p>
            <w:pPr>
              <w:pStyle w:val="IsiTabel"/>
              <w:suppressAutoHyphens/>
              <w:jc w:val="left"/>
            </w:pPr>
            <w:r>
              <w:t xml:space="preserve">strategi 3c</w:t>
            </w:r>
          </w:p>
        </w:tc>
        <w:tc>
          <w:tcPr>
            <w:tcW w:w="644" w:type="dxa"/>
          </w:tcPr>
          <w:p>
            <w:pPr>
              <w:pStyle w:val="IsiTabel"/>
              <w:suppressAutoHyphens/>
              <w:jc w:val="left"/>
            </w:pPr>
            <w:r>
              <w:t xml:space="preserve">4.6.2.c; 4.1.1.c</w:t>
            </w:r>
          </w:p>
        </w:tc>
        <w:tc>
          <w:tcPr>
            <w:tcW w:w="926" w:type="dxa"/>
          </w:tcPr>
          <w:p>
            <w:pPr>
              <w:pStyle w:val="IsiTabel"/>
              <w:suppressAutoHyphens/>
              <w:jc w:val="left"/>
            </w:pPr>
            <w:r>
              <w:t xml:space="preserve">–</w:t>
            </w:r>
          </w:p>
        </w:tc>
        <w:tc>
          <w:tcPr>
            <w:tcW w:w="833" w:type="dxa"/>
          </w:tcPr>
          <w:p>
            <w:pPr>
              <w:pStyle w:val="IsiTabel"/>
              <w:suppressAutoHyphens/>
              <w:jc w:val="left"/>
            </w:pPr>
            <w:r>
              <w:t xml:space="preserve">tidak ada</w:t>
            </w:r>
          </w:p>
        </w:tc>
        <w:tc>
          <w:tcPr>
            <w:tcW w:w="1044" w:type="dxa"/>
          </w:tcPr>
          <w:p>
            <w:pPr>
              <w:pStyle w:val="IsiTabel"/>
              <w:suppressAutoHyphens/>
              <w:jc w:val="left"/>
            </w:pPr>
            <w:r>
              <w:t xml:space="preserve">Usulan baru</w:t>
            </w:r>
          </w:p>
        </w:tc>
        <w:tc>
          <w:tcPr>
            <w:tcW w:w="843" w:type="dxa"/>
          </w:tcPr>
          <w:p>
            <w:pPr>
              <w:pStyle w:val="IsiTabel"/>
              <w:suppressAutoHyphens/>
              <w:jc w:val="left"/>
            </w:pPr>
            <w:r>
              <w:fldChar w:fldCharType="begin"/>
            </w:r>
            <w:r>
              <w:instrText xml:space="preserve"> REF _Ref0103 \h \* CHARFORMAT </w:instrText>
            </w:r>
            <w:r>
              <w:fldChar w:fldCharType="separate"/>
            </w:r>
            <w:r>
              <w:t xml:space="preserve">29</w:t>
            </w:r>
            <w:r>
              <w:fldChar w:fldCharType="end"/>
            </w:r>
          </w:p>
        </w:tc>
      </w:tr>
      <w:tr>
        <w:trPr>
          <w:cantSplit/>
        </w:trPr>
        <w:tc>
          <w:tcPr>
            <w:tcW w:w="1022" w:type="dxa"/>
          </w:tcPr>
          <w:p>
            <w:pPr>
              <w:pStyle w:val="IsiTabel"/>
              <w:suppressAutoHyphens/>
              <w:jc w:val="left"/>
            </w:pPr>
            <w:r>
              <w:t xml:space="preserve">Perubahan Renas PB (target, lokus, aksi status tingkatan bencana)</w:t>
            </w:r>
          </w:p>
        </w:tc>
        <w:tc>
          <w:tcPr>
            <w:tcW w:w="1288" w:type="dxa"/>
          </w:tcPr>
          <w:p>
            <w:pPr>
              <w:pStyle w:val="IsiTabel"/>
              <w:suppressAutoHyphens/>
              <w:jc w:val="left"/>
            </w:pPr>
            <w:r>
              <w:t xml:space="preserve">Perban (perubahan Perban 1/2025)</w:t>
            </w:r>
          </w:p>
        </w:tc>
        <w:tc>
          <w:tcPr>
            <w:tcW w:w="1173" w:type="dxa"/>
          </w:tcPr>
          <w:p>
            <w:pPr>
              <w:pStyle w:val="IsiTabel"/>
              <w:suppressAutoHyphens/>
              <w:jc w:val="left"/>
            </w:pPr>
            <w:r>
              <w:t xml:space="preserve">Direktorat Pengembangan Strategi Penanggulangan Bencana, Biro Perencanaan, Biro Hukum, Organisasi, dan Kerja Sama</w:t>
            </w:r>
          </w:p>
        </w:tc>
        <w:tc>
          <w:tcPr>
            <w:tcW w:w="914" w:type="dxa"/>
          </w:tcPr>
          <w:p>
            <w:pPr>
              <w:pStyle w:val="IsiTabel"/>
              <w:suppressAutoHyphens/>
              <w:jc w:val="left"/>
            </w:pPr>
            <w:r>
              <w:t xml:space="preserve">paling lambat 2027</w:t>
            </w:r>
          </w:p>
        </w:tc>
        <w:tc>
          <w:tcPr>
            <w:tcW w:w="667" w:type="dxa"/>
          </w:tcPr>
          <w:p>
            <w:pPr>
              <w:pStyle w:val="IsiTabel"/>
              <w:suppressAutoHyphens/>
              <w:jc w:val="left"/>
            </w:pPr>
            <w:r>
              <w:t xml:space="preserve">Perpres 87/2020 Pasal 7</w:t>
            </w:r>
          </w:p>
        </w:tc>
        <w:tc>
          <w:tcPr>
            <w:tcW w:w="644" w:type="dxa"/>
          </w:tcPr>
          <w:p>
            <w:pPr>
              <w:pStyle w:val="IsiTabel"/>
              <w:suppressAutoHyphens/>
              <w:jc w:val="left"/>
            </w:pPr>
            <w:r>
              <w:t xml:space="preserve">§4.6</w:t>
            </w:r>
          </w:p>
        </w:tc>
        <w:tc>
          <w:tcPr>
            <w:tcW w:w="926" w:type="dxa"/>
          </w:tcPr>
          <w:p>
            <w:pPr>
              <w:pStyle w:val="IsiTabel"/>
              <w:suppressAutoHyphens/>
              <w:jc w:val="left"/>
            </w:pPr>
            <w:r>
              <w:t xml:space="preserve">IKP P1; PP 08.04</w:t>
            </w:r>
          </w:p>
        </w:tc>
        <w:tc>
          <w:tcPr>
            <w:tcW w:w="833" w:type="dxa"/>
          </w:tcPr>
          <w:p>
            <w:pPr>
              <w:pStyle w:val="IsiTabel"/>
              <w:suppressAutoHyphens/>
              <w:jc w:val="left"/>
            </w:pPr>
            <w:r>
              <w:t xml:space="preserve">tidak ada; izin prakarsa</w:t>
            </w:r>
          </w:p>
        </w:tc>
        <w:tc>
          <w:tcPr>
            <w:tcW w:w="1044" w:type="dxa"/>
          </w:tcPr>
          <w:p>
            <w:pPr>
              <w:pStyle w:val="IsiTabel"/>
              <w:suppressAutoHyphens/>
              <w:jc w:val="left"/>
            </w:pPr>
            <w:r>
              <w:t xml:space="preserve">Usulan baru</w:t>
            </w:r>
          </w:p>
        </w:tc>
        <w:tc>
          <w:tcPr>
            <w:tcW w:w="843" w:type="dxa"/>
          </w:tcPr>
          <w:p>
            <w:pPr>
              <w:pStyle w:val="IsiTabel"/>
              <w:suppressAutoHyphens/>
              <w:jc w:val="left"/>
            </w:pPr>
            <w:r>
              <w:fldChar w:fldCharType="begin"/>
            </w:r>
            <w:r>
              <w:instrText xml:space="preserve"> REF _Ref0077 \h \* CHARFORMAT </w:instrText>
            </w:r>
            <w:r>
              <w:fldChar w:fldCharType="separate"/>
            </w:r>
            <w:r>
              <w:t xml:space="preserve">09</w:t>
            </w:r>
            <w:r>
              <w:fldChar w:fldCharType="end"/>
            </w:r>
          </w:p>
        </w:tc>
      </w:tr>
      <w:tr>
        <w:trPr>
          <w:cantSplit/>
        </w:trPr>
        <w:tc>
          <w:tcPr>
            <w:tcW w:w="1022" w:type="dxa"/>
          </w:tcPr>
          <w:p>
            <w:pPr>
              <w:pStyle w:val="IsiTabel"/>
              <w:keepNext/>
              <w:suppressAutoHyphens/>
              <w:jc w:val="left"/>
            </w:pPr>
            <w:bookmarkStart w:id="749" w:name="_Ekor086a"/>
            <w:bookmarkEnd w:id="749"/>
            <w:r>
              <w:t xml:space="preserve">Standar bantuan stimulan rumah</w:t>
            </w:r>
          </w:p>
        </w:tc>
        <w:tc>
          <w:tcPr>
            <w:tcW w:w="1288" w:type="dxa"/>
          </w:tcPr>
          <w:p>
            <w:pPr>
              <w:pStyle w:val="IsiTabel"/>
              <w:keepNext/>
              <w:suppressAutoHyphens/>
              <w:jc w:val="left"/>
            </w:pPr>
            <w:r>
              <w:t xml:space="preserve">Perban atau perubahan Juklak 5/2024</w:t>
            </w:r>
          </w:p>
        </w:tc>
        <w:tc>
          <w:tcPr>
            <w:tcW w:w="1173" w:type="dxa"/>
          </w:tcPr>
          <w:p>
            <w:pPr>
              <w:pStyle w:val="IsiTabel"/>
              <w:keepNext/>
              <w:suppressAutoHyphens/>
              <w:jc w:val="left"/>
            </w:pPr>
            <w:r>
              <w:t xml:space="preserve">Deputi Bidang Rehabilitasi dan Rekonstruksi</w:t>
            </w:r>
          </w:p>
        </w:tc>
        <w:tc>
          <w:tcPr>
            <w:tcW w:w="914" w:type="dxa"/>
          </w:tcPr>
          <w:p>
            <w:pPr>
              <w:pStyle w:val="IsiTabel"/>
              <w:keepNext/>
              <w:suppressAutoHyphens/>
              <w:jc w:val="left"/>
            </w:pPr>
            <w:r>
              <w:t xml:space="preserve">2026–2027</w:t>
            </w:r>
          </w:p>
        </w:tc>
        <w:tc>
          <w:tcPr>
            <w:tcW w:w="667" w:type="dxa"/>
          </w:tcPr>
          <w:p>
            <w:pPr>
              <w:pStyle w:val="IsiTabel"/>
              <w:keepNext/>
              <w:suppressAutoHyphens/>
              <w:jc w:val="left"/>
            </w:pPr>
            <w:r>
              <w:t xml:space="preserve">strategi 6c</w:t>
            </w:r>
          </w:p>
        </w:tc>
        <w:tc>
          <w:tcPr>
            <w:tcW w:w="644" w:type="dxa"/>
          </w:tcPr>
          <w:p>
            <w:pPr>
              <w:pStyle w:val="IsiTabel"/>
              <w:keepNext/>
              <w:suppressAutoHyphens/>
              <w:jc w:val="left"/>
            </w:pPr>
            <w:r>
              <w:t xml:space="preserve">4.1.1.n; 3.1.2.c</w:t>
            </w:r>
          </w:p>
        </w:tc>
        <w:tc>
          <w:tcPr>
            <w:tcW w:w="926" w:type="dxa"/>
          </w:tcPr>
          <w:p>
            <w:pPr>
              <w:pStyle w:val="IsiTabel"/>
              <w:keepNext/>
              <w:suppressAutoHyphens/>
              <w:jc w:val="left"/>
            </w:pPr>
            <w:r>
              <w:t xml:space="preserve">KP 08.04.03</w:t>
            </w:r>
          </w:p>
        </w:tc>
        <w:tc>
          <w:tcPr>
            <w:tcW w:w="833" w:type="dxa"/>
          </w:tcPr>
          <w:p>
            <w:pPr>
              <w:pStyle w:val="IsiTabel"/>
              <w:keepNext/>
              <w:suppressAutoHyphens/>
              <w:jc w:val="left"/>
            </w:pPr>
            <w:r>
              <w:t xml:space="preserve">tidak ada</w:t>
            </w:r>
          </w:p>
        </w:tc>
        <w:tc>
          <w:tcPr>
            <w:tcW w:w="1044" w:type="dxa"/>
          </w:tcPr>
          <w:p>
            <w:pPr>
              <w:pStyle w:val="IsiTabel"/>
              <w:keepNext/>
              <w:suppressAutoHyphens/>
              <w:jc w:val="left"/>
            </w:pPr>
            <w:r>
              <w:t xml:space="preserve">Belum dapat dipastikan</w:t>
            </w:r>
          </w:p>
        </w:tc>
        <w:tc>
          <w:tcPr>
            <w:tcW w:w="843" w:type="dxa"/>
          </w:tcPr>
          <w:p>
            <w:pPr>
              <w:pStyle w:val="IsiTabel"/>
              <w:keepNext/>
              <w:suppressAutoHyphens/>
              <w:jc w:val="left"/>
            </w:pPr>
            <w:r>
              <w:t xml:space="preserve">belum ber-ID</w:t>
            </w:r>
          </w:p>
        </w:tc>
      </w:tr>
      <w:tr>
        <w:trPr>
          <w:cantSplit/>
        </w:trPr>
        <w:tc>
          <w:tcPr>
            <w:tcW w:w="1022" w:type="dxa"/>
          </w:tcPr>
          <w:p>
            <w:pPr>
              <w:pStyle w:val="IsiTabel"/>
              <w:keepNext/>
              <w:suppressAutoHyphens/>
              <w:jc w:val="left"/>
            </w:pPr>
            <w:r>
              <w:t xml:space="preserve">Pemantauan dan evaluasi RIPB</w:t>
            </w:r>
          </w:p>
        </w:tc>
        <w:tc>
          <w:tcPr>
            <w:tcW w:w="1288" w:type="dxa"/>
          </w:tcPr>
          <w:p>
            <w:pPr>
              <w:pStyle w:val="IsiTabel"/>
              <w:keepNext/>
              <w:suppressAutoHyphens/>
              <w:jc w:val="left"/>
            </w:pPr>
            <w:r>
              <w:t xml:space="preserve">Perban</w:t>
            </w:r>
          </w:p>
        </w:tc>
        <w:tc>
          <w:tcPr>
            <w:tcW w:w="1173" w:type="dxa"/>
          </w:tcPr>
          <w:p>
            <w:pPr>
              <w:pStyle w:val="IsiTabel"/>
              <w:keepNext/>
              <w:suppressAutoHyphens/>
              <w:jc w:val="left"/>
            </w:pPr>
            <w:r>
              <w:t xml:space="preserve">Direktorat Pengembangan Strategi Penanggulangan Bencana</w:t>
            </w:r>
          </w:p>
        </w:tc>
        <w:tc>
          <w:tcPr>
            <w:tcW w:w="914" w:type="dxa"/>
          </w:tcPr>
          <w:p>
            <w:pPr>
              <w:pStyle w:val="IsiTabel"/>
              <w:keepNext/>
              <w:suppressAutoHyphens/>
              <w:jc w:val="left"/>
            </w:pPr>
            <w:r>
              <w:t xml:space="preserve">2026–2027</w:t>
            </w:r>
          </w:p>
        </w:tc>
        <w:tc>
          <w:tcPr>
            <w:tcW w:w="667" w:type="dxa"/>
          </w:tcPr>
          <w:p>
            <w:pPr>
              <w:pStyle w:val="IsiTabel"/>
              <w:keepNext/>
              <w:suppressAutoHyphens/>
              <w:jc w:val="left"/>
            </w:pPr>
            <w:r>
              <w:t xml:space="preserve">Perpres 87/2020 Pasal 6</w:t>
            </w:r>
          </w:p>
        </w:tc>
        <w:tc>
          <w:tcPr>
            <w:tcW w:w="644" w:type="dxa"/>
          </w:tcPr>
          <w:p>
            <w:pPr>
              <w:pStyle w:val="IsiTabel"/>
              <w:keepNext/>
              <w:suppressAutoHyphens/>
              <w:jc w:val="left"/>
            </w:pPr>
            <w:r>
              <w:t xml:space="preserve">4.7.1</w:t>
            </w:r>
          </w:p>
        </w:tc>
        <w:tc>
          <w:tcPr>
            <w:tcW w:w="926" w:type="dxa"/>
          </w:tcPr>
          <w:p>
            <w:pPr>
              <w:pStyle w:val="IsiTabel"/>
              <w:keepNext/>
              <w:suppressAutoHyphens/>
              <w:jc w:val="left"/>
            </w:pPr>
            <w:r>
              <w:t xml:space="preserve">IKP P1</w:t>
            </w:r>
          </w:p>
        </w:tc>
        <w:tc>
          <w:tcPr>
            <w:tcW w:w="833" w:type="dxa"/>
          </w:tcPr>
          <w:p>
            <w:pPr>
              <w:pStyle w:val="IsiTabel"/>
              <w:keepNext/>
              <w:suppressAutoHyphens/>
              <w:jc w:val="left"/>
            </w:pPr>
            <w:r>
              <w:t xml:space="preserve">butir 11</w:t>
            </w:r>
          </w:p>
        </w:tc>
        <w:tc>
          <w:tcPr>
            <w:tcW w:w="1044" w:type="dxa"/>
          </w:tcPr>
          <w:p>
            <w:pPr>
              <w:pStyle w:val="IsiTabel"/>
              <w:keepNext/>
              <w:suppressAutoHyphens/>
              <w:jc w:val="left"/>
            </w:pPr>
            <w:r>
              <w:t xml:space="preserve">Sudah ada</w:t>
            </w:r>
          </w:p>
        </w:tc>
        <w:tc>
          <w:tcPr>
            <w:tcW w:w="843" w:type="dxa"/>
          </w:tcPr>
          <w:p>
            <w:pPr>
              <w:pStyle w:val="IsiTabel"/>
              <w:keepNext/>
              <w:suppressAutoHyphens/>
              <w:jc w:val="left"/>
            </w:pPr>
            <w:r>
              <w:fldChar w:fldCharType="begin"/>
            </w:r>
            <w:r>
              <w:instrText xml:space="preserve"> REF _Ref0106 \h \* CHARFORMAT </w:instrText>
            </w:r>
            <w:r>
              <w:fldChar w:fldCharType="separate"/>
            </w:r>
            <w:r>
              <w:t xml:space="preserve">31</w:t>
            </w:r>
            <w:r>
              <w:fldChar w:fldCharType="end"/>
            </w:r>
          </w:p>
        </w:tc>
      </w:tr>
      <w:tr>
        <w:trPr>
          <w:cantSplit/>
        </w:trPr>
        <w:tc>
          <w:tcPr>
            <w:tcW w:w="1022" w:type="dxa"/>
          </w:tcPr>
          <w:p>
            <w:pPr>
              <w:pStyle w:val="IsiTabel"/>
              <w:keepNext/>
              <w:suppressAutoHyphens/>
              <w:jc w:val="left"/>
            </w:pPr>
            <w:r>
              <w:t xml:space="preserve">Penyelarasan Renstra (unit, target peringatan dini dan kapasitas)</w:t>
            </w:r>
          </w:p>
        </w:tc>
        <w:tc>
          <w:tcPr>
            <w:tcW w:w="1288" w:type="dxa"/>
          </w:tcPr>
          <w:p>
            <w:pPr>
              <w:pStyle w:val="IsiTabel"/>
              <w:keepNext/>
              <w:suppressAutoHyphens/>
              <w:jc w:val="left"/>
            </w:pPr>
            <w:r>
              <w:t xml:space="preserve">Perban (perubahan Perban 5/2025) lewat Perpres 80/2025</w:t>
            </w:r>
          </w:p>
        </w:tc>
        <w:tc>
          <w:tcPr>
            <w:tcW w:w="1173" w:type="dxa"/>
          </w:tcPr>
          <w:p>
            <w:pPr>
              <w:pStyle w:val="IsiTabel"/>
              <w:keepNext/>
              <w:suppressAutoHyphens/>
              <w:jc w:val="left"/>
            </w:pPr>
            <w:r>
              <w:t xml:space="preserve">Biro Perencanaan</w:t>
            </w:r>
          </w:p>
        </w:tc>
        <w:tc>
          <w:tcPr>
            <w:tcW w:w="914" w:type="dxa"/>
          </w:tcPr>
          <w:p>
            <w:pPr>
              <w:pStyle w:val="IsiTabel"/>
              <w:keepNext/>
              <w:suppressAutoHyphens/>
              <w:jc w:val="left"/>
            </w:pPr>
            <w:r>
              <w:t xml:space="preserve">2027</w:t>
            </w:r>
          </w:p>
        </w:tc>
        <w:tc>
          <w:tcPr>
            <w:tcW w:w="667" w:type="dxa"/>
          </w:tcPr>
          <w:p>
            <w:pPr>
              <w:pStyle w:val="IsiTabel"/>
              <w:keepNext/>
              <w:suppressAutoHyphens/>
              <w:jc w:val="left"/>
            </w:pPr>
            <w:r>
              <w:t xml:space="preserve">–</w:t>
            </w:r>
          </w:p>
        </w:tc>
        <w:tc>
          <w:tcPr>
            <w:tcW w:w="644" w:type="dxa"/>
          </w:tcPr>
          <w:p>
            <w:pPr>
              <w:pStyle w:val="IsiTabel"/>
              <w:keepNext/>
              <w:suppressAutoHyphens/>
              <w:jc w:val="left"/>
            </w:pPr>
            <w:r>
              <w:t xml:space="preserve">1.c</w:t>
            </w:r>
          </w:p>
        </w:tc>
        <w:tc>
          <w:tcPr>
            <w:tcW w:w="926" w:type="dxa"/>
          </w:tcPr>
          <w:p>
            <w:pPr>
              <w:pStyle w:val="IsiTabel"/>
              <w:keepNext/>
              <w:suppressAutoHyphens/>
              <w:jc w:val="left"/>
            </w:pPr>
            <w:r>
              <w:t xml:space="preserve">IKP; IKS; KP 08.04.01–02</w:t>
            </w:r>
          </w:p>
        </w:tc>
        <w:tc>
          <w:tcPr>
            <w:tcW w:w="833" w:type="dxa"/>
          </w:tcPr>
          <w:p>
            <w:pPr>
              <w:pStyle w:val="IsiTabel"/>
              <w:keepNext/>
              <w:suppressAutoHyphens/>
              <w:jc w:val="left"/>
            </w:pPr>
            <w:r>
              <w:t xml:space="preserve">tidak ada</w:t>
            </w:r>
          </w:p>
        </w:tc>
        <w:tc>
          <w:tcPr>
            <w:tcW w:w="1044" w:type="dxa"/>
          </w:tcPr>
          <w:p>
            <w:pPr>
              <w:pStyle w:val="IsiTabel"/>
              <w:keepNext/>
              <w:suppressAutoHyphens/>
              <w:jc w:val="left"/>
            </w:pPr>
            <w:r>
              <w:t xml:space="preserve">Usulan baru</w:t>
            </w:r>
          </w:p>
        </w:tc>
        <w:tc>
          <w:tcPr>
            <w:tcW w:w="843" w:type="dxa"/>
          </w:tcPr>
          <w:p>
            <w:pPr>
              <w:pStyle w:val="IsiTabel"/>
              <w:keepNext/>
              <w:suppressAutoHyphens/>
              <w:jc w:val="left"/>
            </w:pPr>
            <w:r>
              <w:fldChar w:fldCharType="begin"/>
            </w:r>
            <w:r>
              <w:instrText xml:space="preserve"> REF _Ref0089 \h \* CHARFORMAT </w:instrText>
            </w:r>
            <w:r>
              <w:fldChar w:fldCharType="separate"/>
            </w:r>
            <w:r>
              <w:t xml:space="preserve">35</w:t>
            </w:r>
            <w:r>
              <w:fldChar w:fldCharType="end"/>
            </w:r>
          </w:p>
        </w:tc>
      </w:tr>
      <w:tr>
        <w:trPr>
          <w:cantSplit/>
        </w:trPr>
        <w:tc>
          <w:tcPr>
            <w:tcW w:w="1022" w:type="dxa"/>
          </w:tcPr>
          <w:p>
            <w:pPr>
              <w:pStyle w:val="IsiTabel"/>
              <w:suppressAutoHyphens/>
              <w:jc w:val="left"/>
            </w:pPr>
            <w:bookmarkStart w:id="750" w:name="_Ekor086z"/>
            <w:bookmarkEnd w:id="750"/>
            <w:r>
              <w:t xml:space="preserve">Perubahan Perka 6/2014 (tata cara produk hukum)</w:t>
            </w:r>
          </w:p>
        </w:tc>
        <w:tc>
          <w:tcPr>
            <w:tcW w:w="1288" w:type="dxa"/>
          </w:tcPr>
          <w:p>
            <w:pPr>
              <w:pStyle w:val="IsiTabel"/>
              <w:suppressAutoHyphens/>
              <w:jc w:val="left"/>
            </w:pPr>
            <w:r>
              <w:t xml:space="preserve">Perban</w:t>
            </w:r>
          </w:p>
        </w:tc>
        <w:tc>
          <w:tcPr>
            <w:tcW w:w="1173" w:type="dxa"/>
          </w:tcPr>
          <w:p>
            <w:pPr>
              <w:pStyle w:val="IsiTabel"/>
              <w:suppressAutoHyphens/>
              <w:jc w:val="left"/>
            </w:pPr>
            <w:r>
              <w:t xml:space="preserve">Biro Hukum, Organisasi, dan Kerja Sama</w:t>
            </w:r>
          </w:p>
        </w:tc>
        <w:tc>
          <w:tcPr>
            <w:tcW w:w="914" w:type="dxa"/>
          </w:tcPr>
          <w:p>
            <w:pPr>
              <w:pStyle w:val="IsiTabel"/>
              <w:suppressAutoHyphens/>
              <w:jc w:val="left"/>
            </w:pPr>
            <w:r>
              <w:t xml:space="preserve">2026</w:t>
            </w:r>
          </w:p>
        </w:tc>
        <w:tc>
          <w:tcPr>
            <w:tcW w:w="667" w:type="dxa"/>
          </w:tcPr>
          <w:p>
            <w:pPr>
              <w:pStyle w:val="IsiTabel"/>
              <w:suppressAutoHyphens/>
              <w:jc w:val="left"/>
            </w:pPr>
            <w:r>
              <w:t xml:space="preserve">fokus capaian 1</w:t>
            </w:r>
          </w:p>
        </w:tc>
        <w:tc>
          <w:tcPr>
            <w:tcW w:w="644" w:type="dxa"/>
          </w:tcPr>
          <w:p>
            <w:pPr>
              <w:pStyle w:val="IsiTabel"/>
              <w:suppressAutoHyphens/>
              <w:jc w:val="left"/>
            </w:pPr>
            <w:r>
              <w:t xml:space="preserve">–</w:t>
            </w:r>
          </w:p>
        </w:tc>
        <w:tc>
          <w:tcPr>
            <w:tcW w:w="926" w:type="dxa"/>
          </w:tcPr>
          <w:p>
            <w:pPr>
              <w:pStyle w:val="IsiTabel"/>
              <w:suppressAutoHyphens/>
              <w:jc w:val="left"/>
            </w:pPr>
            <w:r>
              <w:t xml:space="preserve">–</w:t>
            </w:r>
          </w:p>
        </w:tc>
        <w:tc>
          <w:tcPr>
            <w:tcW w:w="833" w:type="dxa"/>
          </w:tcPr>
          <w:p>
            <w:pPr>
              <w:pStyle w:val="IsiTabel"/>
              <w:suppressAutoHyphens/>
              <w:jc w:val="left"/>
            </w:pPr>
            <w:r>
              <w:t xml:space="preserve">butir 7</w:t>
            </w:r>
          </w:p>
        </w:tc>
        <w:tc>
          <w:tcPr>
            <w:tcW w:w="1044" w:type="dxa"/>
          </w:tcPr>
          <w:p>
            <w:pPr>
              <w:pStyle w:val="IsiTabel"/>
              <w:suppressAutoHyphens/>
              <w:jc w:val="left"/>
            </w:pPr>
            <w:r>
              <w:t xml:space="preserve">Sudah ada</w:t>
            </w:r>
          </w:p>
        </w:tc>
        <w:tc>
          <w:tcPr>
            <w:tcW w:w="843" w:type="dxa"/>
          </w:tcPr>
          <w:p>
            <w:pPr>
              <w:pStyle w:val="IsiTabel"/>
              <w:suppressAutoHyphens/>
              <w:jc w:val="left"/>
            </w:pPr>
            <w:r>
              <w:fldChar w:fldCharType="begin"/>
            </w:r>
            <w:r>
              <w:instrText xml:space="preserve"> REF _Ref0087 \h \* CHARFORMAT </w:instrText>
            </w:r>
            <w:r>
              <w:fldChar w:fldCharType="separate"/>
            </w:r>
            <w:r>
              <w:t xml:space="preserve">11</w:t>
            </w:r>
            <w:r>
              <w:fldChar w:fldCharType="end"/>
            </w:r>
          </w:p>
        </w:tc>
      </w:tr>
    </w:tbl>
    <w:p>
      <w:pPr>
        <w:pStyle w:val="Sumber"/>
        <w:spacing w:after="40"/>
      </w:pPr>
      <w:r>
        <w:rPr>
          <w:b/>
          <w:bCs/>
          <w:color w:val="6B7280"/>
          <w:sz w:val="17"/>
          <w:szCs w:val="17"/>
        </w:rPr>
        <w:t xml:space="preserve">Sumber: </w:t>
      </w:r>
      <w:r>
        <w:rPr>
          <w:color w:val="6B7280"/>
          <w:sz w:val="17"/>
          <w:szCs w:val="17"/>
        </w:rPr>
        <w:t xml:space="preserve">Kepka BNPB 327/2025; Perka BNPB 6/2014; Perpres 87/2020; Renas PB 2025–2029; Renstra BNPB 2025–2029; RPJMN 2025–2029; UU 24/2007; Perpres 46/2026; Putusan MK 261/PUU-XXIII/2025;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Kolom RIPB memakai kode fokus capaian dan strategi RIPB 2020–2044. Pedoman keadaan tertentu berstatus Usulan baru karena faktor sosial dan pascakonflik belum diatur di peraturan mana pun, meskipun wadahnya Perban BNPB 5/2018 sudah ada. "–" berarti dokumen itu tidak memuat butir yang sepadan.</w:t>
      </w:r>
    </w:p>
    <w:p>
      <w:pPr>
        <w:pStyle w:val="IsiTemuan"/>
      </w:pPr>
      <w:r>
        <w:rPr>
          <w:b/>
          <w:bCs/>
          <w:color w:val="051C2C"/>
        </w:rPr>
        <w:t xml:space="preserve">Standar bantuan stimulan rumah berstatus belum dapat dipastikan karena teks Juklak BNPB 5/2024, yang tercatat berlaku sejak 10 Juni 2024 di indeks Jaringan Dokumentasi dan Informasi Hukum (JDIH), tidak tersedia </w:t>
      </w:r>
      <w:r>
        <w:rPr>
          <w:b/>
          <w:bCs/>
          <w:color w:val="051C2C"/>
        </w:rPr>
        <w:t xml:space="preserve">(BNPB, 2024g)</w:t>
      </w:r>
      <w:r>
        <w:rPr>
          <w:b/>
          <w:bCs/>
          <w:color w:val="051C2C"/>
        </w:rPr>
        <w:t xml:space="preserve">.</w:t>
      </w:r>
      <w:r>
        <w:t xml:space="preserve"> Persyaratan analisis risiko untuk pembangunan berisiko tinggi bersandar pada UU 24/2007 Pasal 40 ayat (3) dan Pasal 41, dengan instrumen berlaku Perka BNPB 5/2008 </w:t>
      </w:r>
      <w:r>
        <w:t xml:space="preserve">(Republik Indonesia, 2007; BNPB, 2008a)</w:t>
      </w:r>
      <w:r>
        <w:t xml:space="preserve">. Persyaratan itu dilampirkan pada izin; pengawasan keselamatan proses fasilitas migas dan industri tetap pada kementerian sektornya.</w:t>
      </w:r>
    </w:p>
    <w:p>
      <w:pPr>
        <w:pStyle w:val="Heading2"/>
      </w:pPr>
      <w:bookmarkStart w:id="752" w:name="_Toc00244"/>
      <w:bookmarkStart w:id="751" w:name="_Ref0188"/>
      <w:r>
        <w:t xml:space="preserve">12.7</w:t>
      </w:r>
      <w:bookmarkEnd w:id="751"/>
      <w:r>
        <w:tab/>
      </w:r>
      <w:r>
        <w:t xml:space="preserve">Peta Jalan</w:t>
      </w:r>
      <w:bookmarkEnd w:id="752"/>
    </w:p>
    <w:p>
      <w:pPr>
        <w:pStyle w:val="IsiTemuan"/>
      </w:pPr>
      <w:r>
        <w:rPr>
          <w:b/>
          <w:bCs/>
          <w:color w:val="051C2C"/>
        </w:rPr>
        <w:t xml:space="preserve">Peta jalan berjangkar pada tenggat bersumber, dan tiap baris draf register dapat diberi pemilik bermandat, forum, sumber dana, dan instrumen tanpa forum atau lapisan dana baru (</w:t>
      </w:r>
      <w:r>
        <w:rPr>
          <w:b/>
          <w:bCs/>
          <w:color w:val="051C2C"/>
        </w:rPr>
        <w:fldChar w:fldCharType="begin"/>
      </w:r>
      <w:r>
        <w:rPr>
          <w:b/>
          <w:bCs/>
          <w:color w:val="051C2C"/>
        </w:rPr>
        <w:instrText xml:space="preserve"> REF _Ref0313 \h \* CHARFORMAT </w:instrText>
      </w:r>
      <w:r>
        <w:rPr>
          <w:b/>
          <w:bCs/>
          <w:color w:val="051C2C"/>
        </w:rPr>
        <w:fldChar w:fldCharType="separate"/>
      </w:r>
      <w:r>
        <w:rPr>
          <w:b/>
          <w:bCs/>
          <w:color w:val="051C2C"/>
        </w:rPr>
        <w:t xml:space="preserve">Tabel 12.5</w:t>
      </w:r>
      <w:r>
        <w:rPr>
          <w:b/>
          <w:bCs/>
          <w:color w:val="051C2C"/>
        </w:rPr>
        <w:fldChar w:fldCharType="end"/>
      </w:r>
      <w:r>
        <w:rPr>
          <w:b/>
          <w:bCs/>
          <w:color w:val="051C2C"/>
        </w:rPr>
        <w:t xml:space="preserve">).</w:t>
      </w:r>
      <w:r>
        <w:t xml:space="preserve"> Jangkarnya adalah pemantauan pra-pelaksanaan Renas triwulan IV 2026 untuk Renja K/L 2027, evaluasi tahunan Renas 2026, batas perubahan berkala </w:t>
      </w:r>
      <w:r>
        <w:t xml:space="preserve">2027</w:t>
      </w:r>
      <w:r>
        <w:t xml:space="preserve">, evaluasi Renstra tahun ke-3 pada </w:t>
      </w:r>
      <w:r>
        <w:t xml:space="preserve">2027</w:t>
      </w:r>
      <w:r>
        <w:t xml:space="preserve">, dan batas perubahan karena bencana </w:t>
      </w:r>
      <w:r>
        <w:t xml:space="preserve">2028</w:t>
      </w:r>
      <w:r>
        <w:t xml:space="preserve"> </w:t>
      </w:r>
      <w:r>
        <w:t xml:space="preserve">(BNPB, 2025c, hlm. 123–125; Republik Indonesia, 2025d)</w:t>
      </w:r>
      <w:r>
        <w:t xml:space="preserve">. Hari ke-0 adalah tanggal penetapan oleh Kepala BNPB, dan horizonnya rancangan kajian. Penugasan Direktorat Pengembangan Strategi Penanggulangan Bencana dan Biro Perencanaan untuk memuat rekomendasi ke evaluasi tahunan Renas 2026, dipisah per jalur, menyertai </w:t>
      </w:r>
      <w:r>
        <w:fldChar w:fldCharType="begin"/>
      </w:r>
      <w:r>
        <w:instrText xml:space="preserve"> REF _Ref0077 \h \* CHARFORMAT </w:instrText>
      </w:r>
      <w:r>
        <w:fldChar w:fldCharType="separate"/>
      </w:r>
      <w:r>
        <w:t xml:space="preserve">09</w:t>
      </w:r>
      <w:r>
        <w:fldChar w:fldCharType="end"/>
      </w:r>
      <w:r>
        <w:t xml:space="preserve"> dalam empat belas hari pertama. Tabel pemilik per baris register dimuat di Lampiran I.</w:t>
      </w:r>
    </w:p>
    <w:p>
      <w:pPr>
        <w:pStyle w:val="Caption"/>
      </w:pPr>
      <w:bookmarkStart w:id="754" w:name="_Toc00245"/>
      <w:bookmarkStart w:id="753" w:name="_Ref031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753"/>
      <w:r>
        <w:rPr>
          <w:b/>
          <w:bCs/>
          <w:color w:val="051C2C"/>
        </w:rPr>
        <w:t xml:space="preserve"> </w:t>
      </w:r>
      <w:r>
        <w:t xml:space="preserve">Peta jalan rekomendasi kajian mitigasi per horizon, 2026–2030</w:t>
      </w:r>
      <w:bookmarkEnd w:id="75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27"/>
        <w:gridCol w:w="2471"/>
        <w:gridCol w:w="3646"/>
        <w:gridCol w:w="2110"/>
      </w:tblGrid>
      <w:tr>
        <w:trPr>
          <w:cantSplit/>
          <w:tblHeader/>
        </w:trPr>
        <w:tc>
          <w:tcPr>
            <w:tcW w:w="1127" w:type="dxa"/>
            <w:shd w:val="clear" w:color="auto" w:fill="051C2C"/>
            <w:vAlign w:val="center"/>
          </w:tcPr>
          <w:p>
            <w:pPr>
              <w:pStyle w:val="KepalaTabel"/>
              <w:keepNext/>
              <w:suppressAutoHyphens/>
            </w:pPr>
            <w:r>
              <w:t xml:space="preserve">HORIZON</w:t>
            </w:r>
          </w:p>
        </w:tc>
        <w:tc>
          <w:tcPr>
            <w:tcW w:w="2471" w:type="dxa"/>
            <w:shd w:val="clear" w:color="auto" w:fill="051C2C"/>
            <w:vAlign w:val="center"/>
          </w:tcPr>
          <w:p>
            <w:pPr>
              <w:pStyle w:val="KepalaTabel"/>
              <w:keepNext/>
              <w:suppressAutoHyphens/>
            </w:pPr>
            <w:r>
              <w:t xml:space="preserve">JANGKAR BERSUMBER</w:t>
            </w:r>
          </w:p>
        </w:tc>
        <w:tc>
          <w:tcPr>
            <w:tcW w:w="3646" w:type="dxa"/>
            <w:shd w:val="clear" w:color="auto" w:fill="051C2C"/>
            <w:vAlign w:val="center"/>
          </w:tcPr>
          <w:p>
            <w:pPr>
              <w:pStyle w:val="KepalaTabel"/>
              <w:keepNext/>
              <w:suppressAutoHyphens/>
            </w:pPr>
            <w:r>
              <w:t xml:space="preserve">INSTRUMEN, FORUM, ATAU DOKUMEN</w:t>
            </w:r>
          </w:p>
        </w:tc>
        <w:tc>
          <w:tcPr>
            <w:tcW w:w="2110" w:type="dxa"/>
            <w:shd w:val="clear" w:color="auto" w:fill="051C2C"/>
            <w:vAlign w:val="center"/>
          </w:tcPr>
          <w:p>
            <w:pPr>
              <w:pStyle w:val="KepalaTabel"/>
              <w:keepNext/>
              <w:suppressAutoHyphens/>
            </w:pPr>
            <w:r>
              <w:t xml:space="preserve">REGISTER</w:t>
            </w:r>
          </w:p>
        </w:tc>
      </w:tr>
      <w:tr>
        <w:trPr>
          <w:cantSplit/>
        </w:trPr>
        <w:tc>
          <w:tcPr>
            <w:tcW w:w="1127" w:type="dxa"/>
          </w:tcPr>
          <w:p>
            <w:pPr>
              <w:pStyle w:val="IsiTabel"/>
              <w:keepNext/>
              <w:suppressAutoHyphens/>
              <w:jc w:val="left"/>
            </w:pPr>
            <w:r>
              <w:t xml:space="preserve">Hari ke-0</w:t>
            </w:r>
          </w:p>
        </w:tc>
        <w:tc>
          <w:tcPr>
            <w:tcW w:w="2471" w:type="dxa"/>
          </w:tcPr>
          <w:p>
            <w:pPr>
              <w:pStyle w:val="IsiTabel"/>
              <w:keepNext/>
              <w:suppressAutoHyphens/>
              <w:jc w:val="left"/>
            </w:pPr>
            <w:r>
              <w:t xml:space="preserve">Penetapan Kepala BNPB; November 2026 bila KD-1 ditetapkan dalam bulan itu</w:t>
            </w:r>
          </w:p>
        </w:tc>
        <w:tc>
          <w:tcPr>
            <w:tcW w:w="3646" w:type="dxa"/>
          </w:tcPr>
          <w:p>
            <w:pPr>
              <w:pStyle w:val="IsiTabel"/>
              <w:keepNext/>
              <w:suppressAutoHyphens/>
              <w:jc w:val="left"/>
            </w:pPr>
            <w:r>
              <w:t xml:space="preserve">Keputusan Kepala BNPB</w:t>
            </w:r>
          </w:p>
        </w:tc>
        <w:tc>
          <w:tcPr>
            <w:tcW w:w="2110" w:type="dxa"/>
          </w:tcPr>
          <w:p>
            <w:pPr>
              <w:pStyle w:val="IsiTabel"/>
              <w:keepNext/>
              <w:suppressAutoHyphens/>
              <w:jc w:val="left"/>
            </w:pPr>
            <w:r>
              <w:fldChar w:fldCharType="begin"/>
            </w:r>
            <w:r>
              <w:instrText xml:space="preserve"> REF _Ref0073 \h \* CHARFORMAT </w:instrText>
            </w:r>
            <w:r>
              <w:fldChar w:fldCharType="separate"/>
            </w:r>
            <w:r>
              <w:t xml:space="preserve">05</w:t>
            </w:r>
            <w:r>
              <w:fldChar w:fldCharType="end"/>
            </w:r>
          </w:p>
        </w:tc>
      </w:tr>
      <w:tr>
        <w:trPr>
          <w:cantSplit/>
        </w:trPr>
        <w:tc>
          <w:tcPr>
            <w:tcW w:w="1127" w:type="dxa"/>
          </w:tcPr>
          <w:p>
            <w:pPr>
              <w:pStyle w:val="IsiTabel"/>
              <w:keepNext/>
              <w:suppressAutoHyphens/>
              <w:jc w:val="left"/>
            </w:pPr>
            <w:bookmarkStart w:id="755" w:name="_Ekor087a"/>
            <w:bookmarkEnd w:id="755"/>
            <w:r>
              <w:t xml:space="preserve">14 hari</w:t>
            </w:r>
          </w:p>
        </w:tc>
        <w:tc>
          <w:tcPr>
            <w:tcW w:w="2471" w:type="dxa"/>
          </w:tcPr>
          <w:p>
            <w:pPr>
              <w:pStyle w:val="IsiTabel"/>
              <w:keepNext/>
              <w:suppressAutoHyphens/>
              <w:jc w:val="left"/>
            </w:pPr>
            <w:r>
              <w:t xml:space="preserve">Pemantauan pra-pelaksanaan Renas triwulan IV 2026</w:t>
            </w:r>
          </w:p>
        </w:tc>
        <w:tc>
          <w:tcPr>
            <w:tcW w:w="3646" w:type="dxa"/>
          </w:tcPr>
          <w:p>
            <w:pPr>
              <w:pStyle w:val="IsiTabel"/>
              <w:keepNext/>
              <w:suppressAutoHyphens/>
              <w:jc w:val="left"/>
            </w:pPr>
            <w:r>
              <w:t xml:space="preserve">Surat ke Kemenko PMK untuk rakor peninjauan Renas; penugasan pemuatan rekomendasi ke evaluasi tahunan 2026 per jalur; saran lokasi Renja 2027; penugasan catatan metode IRBI; izin prakarsa</w:t>
            </w:r>
          </w:p>
        </w:tc>
        <w:tc>
          <w:tcPr>
            <w:tcW w:w="2110" w:type="dxa"/>
          </w:tcPr>
          <w:p>
            <w:pPr>
              <w:pStyle w:val="IsiTabel"/>
              <w:keepNext/>
              <w:suppressAutoHyphens/>
              <w:jc w:val="left"/>
            </w:pPr>
            <w:r>
              <w:fldChar w:fldCharType="begin"/>
            </w:r>
            <w:r>
              <w:instrText xml:space="preserve"> REF _Ref0077 \h \* CHARFORMAT </w:instrText>
            </w:r>
            <w:r>
              <w:fldChar w:fldCharType="separate"/>
            </w:r>
            <w:r>
              <w:t xml:space="preserve">09</w:t>
            </w:r>
            <w:r>
              <w:fldChar w:fldCharType="end"/>
            </w:r>
            <w:r>
              <w:t xml:space="preserve">; </w:t>
            </w:r>
            <w:r>
              <w:fldChar w:fldCharType="begin"/>
            </w:r>
            <w:r>
              <w:instrText xml:space="preserve"> REF _Ref0086 \h \* CHARFORMAT </w:instrText>
            </w:r>
            <w:r>
              <w:fldChar w:fldCharType="separate"/>
            </w:r>
            <w:r>
              <w:t xml:space="preserve">10</w:t>
            </w:r>
            <w:r>
              <w:fldChar w:fldCharType="end"/>
            </w:r>
            <w:r>
              <w:t xml:space="preserve">; </w:t>
            </w:r>
            <w:r>
              <w:fldChar w:fldCharType="begin"/>
            </w:r>
            <w:r>
              <w:instrText xml:space="preserve"> REF _Ref0087 \h \* CHARFORMAT </w:instrText>
            </w:r>
            <w:r>
              <w:fldChar w:fldCharType="separate"/>
            </w:r>
            <w:r>
              <w:t xml:space="preserve">11</w:t>
            </w:r>
            <w:r>
              <w:fldChar w:fldCharType="end"/>
            </w:r>
          </w:p>
        </w:tc>
      </w:tr>
      <w:tr>
        <w:trPr>
          <w:cantSplit/>
        </w:trPr>
        <w:tc>
          <w:tcPr>
            <w:tcW w:w="1127" w:type="dxa"/>
          </w:tcPr>
          <w:p>
            <w:pPr>
              <w:pStyle w:val="IsiTabel"/>
              <w:keepNext/>
              <w:suppressAutoHyphens/>
              <w:jc w:val="left"/>
            </w:pPr>
            <w:r>
              <w:t xml:space="preserve">100 hari</w:t>
            </w:r>
          </w:p>
        </w:tc>
        <w:tc>
          <w:tcPr>
            <w:tcW w:w="2471" w:type="dxa"/>
          </w:tcPr>
          <w:p>
            <w:pPr>
              <w:pStyle w:val="IsiTabel"/>
              <w:keepNext/>
              <w:suppressAutoHyphens/>
              <w:jc w:val="left"/>
            </w:pPr>
            <w:r>
              <w:t xml:space="preserve">Puncak musim hujan; usulan Dana Bersama tahun anggaran 2027</w:t>
            </w:r>
          </w:p>
        </w:tc>
        <w:tc>
          <w:tcPr>
            <w:tcW w:w="3646" w:type="dxa"/>
          </w:tcPr>
          <w:p>
            <w:pPr>
              <w:pStyle w:val="IsiTabel"/>
              <w:keepNext/>
              <w:suppressAutoHyphens/>
              <w:jc w:val="left"/>
            </w:pPr>
            <w:r>
              <w:t xml:space="preserve">Rancangan pedoman keadaan tertentu; permintaan data realisasi Dana Bersama, BTT, dan seri kerusakan dan kerugian yang dibersihkan</w:t>
            </w:r>
          </w:p>
        </w:tc>
        <w:tc>
          <w:tcPr>
            <w:tcW w:w="2110" w:type="dxa"/>
          </w:tcPr>
          <w:p>
            <w:pPr>
              <w:pStyle w:val="IsiTabel"/>
              <w:keepNext/>
              <w:suppressAutoHyphens/>
              <w:jc w:val="left"/>
            </w:pPr>
            <w:r>
              <w:fldChar w:fldCharType="begin"/>
            </w:r>
            <w:r>
              <w:instrText xml:space="preserve"> REF _Ref0088 \h \* CHARFORMAT </w:instrText>
            </w:r>
            <w:r>
              <w:fldChar w:fldCharType="separate"/>
            </w:r>
            <w:r>
              <w:t xml:space="preserve">14</w:t>
            </w:r>
            <w:r>
              <w:fldChar w:fldCharType="end"/>
            </w:r>
          </w:p>
        </w:tc>
      </w:tr>
      <w:tr>
        <w:trPr>
          <w:cantSplit/>
        </w:trPr>
        <w:tc>
          <w:tcPr>
            <w:tcW w:w="1127" w:type="dxa"/>
          </w:tcPr>
          <w:p>
            <w:pPr>
              <w:pStyle w:val="IsiTabel"/>
              <w:keepNext/>
              <w:suppressAutoHyphens/>
              <w:jc w:val="left"/>
            </w:pPr>
            <w:r>
              <w:t xml:space="preserve">2026–2027</w:t>
            </w:r>
          </w:p>
        </w:tc>
        <w:tc>
          <w:tcPr>
            <w:tcW w:w="2471" w:type="dxa"/>
          </w:tcPr>
          <w:p>
            <w:pPr>
              <w:pStyle w:val="IsiTabel"/>
              <w:keepNext/>
              <w:suppressAutoHyphens/>
              <w:jc w:val="left"/>
            </w:pPr>
            <w:r>
              <w:t xml:space="preserve">Evaluasi tahunan Renas 2026; batas perubahan berkala </w:t>
            </w:r>
            <w:r>
              <w:t xml:space="preserve">2027</w:t>
            </w:r>
            <w:r>
              <w:t xml:space="preserve">; evaluasi paruh waktu; evaluasi Renstra tahun ke-3; Progsun 2027</w:t>
            </w:r>
          </w:p>
        </w:tc>
        <w:tc>
          <w:tcPr>
            <w:tcW w:w="3646" w:type="dxa"/>
          </w:tcPr>
          <w:p>
            <w:pPr>
              <w:pStyle w:val="IsiTabel"/>
              <w:keepNext/>
              <w:suppressAutoHyphens/>
              <w:jc w:val="left"/>
            </w:pPr>
            <w:r>
              <w:t xml:space="preserve">Perubahan Renas jalur berkala; penyelarasan Renstra; Perban analisis risiko; usulan Perpres status dan tingkatan bencana; data R3P</w:t>
            </w:r>
          </w:p>
        </w:tc>
        <w:tc>
          <w:tcPr>
            <w:tcW w:w="2110" w:type="dxa"/>
          </w:tcPr>
          <w:p>
            <w:pPr>
              <w:pStyle w:val="IsiTabel"/>
              <w:keepNext/>
              <w:suppressAutoHyphens/>
              <w:jc w:val="left"/>
            </w:pPr>
            <w:r>
              <w:fldChar w:fldCharType="begin"/>
            </w:r>
            <w:r>
              <w:instrText xml:space="preserve"> REF _Ref0081 \h \* CHARFORMAT </w:instrText>
            </w:r>
            <w:r>
              <w:fldChar w:fldCharType="separate"/>
            </w:r>
            <w:r>
              <w:t xml:space="preserve">33</w:t>
            </w:r>
            <w:r>
              <w:fldChar w:fldCharType="end"/>
            </w:r>
            <w:r>
              <w:t xml:space="preserve">; </w:t>
            </w:r>
            <w:r>
              <w:fldChar w:fldCharType="begin"/>
            </w:r>
            <w:r>
              <w:instrText xml:space="preserve"> REF _Ref0089 \h \* CHARFORMAT </w:instrText>
            </w:r>
            <w:r>
              <w:fldChar w:fldCharType="separate"/>
            </w:r>
            <w:r>
              <w:t xml:space="preserve">35</w:t>
            </w:r>
            <w:r>
              <w:fldChar w:fldCharType="end"/>
            </w:r>
            <w:r>
              <w:t xml:space="preserve">; </w:t>
            </w:r>
            <w:r>
              <w:fldChar w:fldCharType="begin"/>
            </w:r>
            <w:r>
              <w:instrText xml:space="preserve"> REF _Ref0091 \h \* CHARFORMAT </w:instrText>
            </w:r>
            <w:r>
              <w:fldChar w:fldCharType="separate"/>
            </w:r>
            <w:r>
              <w:t xml:space="preserve">19</w:t>
            </w:r>
            <w:r>
              <w:fldChar w:fldCharType="end"/>
            </w:r>
            <w:r>
              <w:t xml:space="preserve">; </w:t>
            </w:r>
            <w:r>
              <w:fldChar w:fldCharType="begin"/>
            </w:r>
            <w:r>
              <w:instrText xml:space="preserve"> REF _Ref0094 \h \* CHARFORMAT </w:instrText>
            </w:r>
            <w:r>
              <w:fldChar w:fldCharType="separate"/>
            </w:r>
            <w:r>
              <w:t xml:space="preserve">21</w:t>
            </w:r>
            <w:r>
              <w:fldChar w:fldCharType="end"/>
            </w:r>
            <w:r>
              <w:t xml:space="preserve">; </w:t>
            </w:r>
            <w:r>
              <w:fldChar w:fldCharType="begin"/>
            </w:r>
            <w:r>
              <w:instrText xml:space="preserve"> REF _Ref0095 \h \* CHARFORMAT </w:instrText>
            </w:r>
            <w:r>
              <w:fldChar w:fldCharType="separate"/>
            </w:r>
            <w:r>
              <w:t xml:space="preserve">22</w:t>
            </w:r>
            <w:r>
              <w:fldChar w:fldCharType="end"/>
            </w:r>
            <w:r>
              <w:t xml:space="preserve">; </w:t>
            </w:r>
            <w:r>
              <w:fldChar w:fldCharType="begin"/>
            </w:r>
            <w:r>
              <w:instrText xml:space="preserve"> REF _Ref0096 \h \* CHARFORMAT </w:instrText>
            </w:r>
            <w:r>
              <w:fldChar w:fldCharType="separate"/>
            </w:r>
            <w:r>
              <w:t xml:space="preserve">23</w:t>
            </w:r>
            <w:r>
              <w:fldChar w:fldCharType="end"/>
            </w:r>
            <w:r>
              <w:t xml:space="preserve">; </w:t>
            </w:r>
            <w:r>
              <w:fldChar w:fldCharType="begin"/>
            </w:r>
            <w:r>
              <w:instrText xml:space="preserve"> REF _Ref0102 \h \* CHARFORMAT </w:instrText>
            </w:r>
            <w:r>
              <w:fldChar w:fldCharType="separate"/>
            </w:r>
            <w:r>
              <w:t xml:space="preserve">27</w:t>
            </w:r>
            <w:r>
              <w:fldChar w:fldCharType="end"/>
            </w:r>
          </w:p>
        </w:tc>
      </w:tr>
      <w:tr>
        <w:trPr>
          <w:cantSplit/>
        </w:trPr>
        <w:tc>
          <w:tcPr>
            <w:tcW w:w="1127" w:type="dxa"/>
          </w:tcPr>
          <w:p>
            <w:pPr>
              <w:pStyle w:val="IsiTabel"/>
              <w:suppressAutoHyphens/>
              <w:jc w:val="left"/>
            </w:pPr>
            <w:bookmarkStart w:id="756" w:name="_Ekor087z"/>
            <w:bookmarkEnd w:id="756"/>
            <w:r>
              <w:t xml:space="preserve">2028–2030</w:t>
            </w:r>
          </w:p>
        </w:tc>
        <w:tc>
          <w:tcPr>
            <w:tcW w:w="2471" w:type="dxa"/>
          </w:tcPr>
          <w:p>
            <w:pPr>
              <w:pStyle w:val="IsiTabel"/>
              <w:suppressAutoHyphens/>
              <w:jc w:val="left"/>
            </w:pPr>
            <w:r>
              <w:t xml:space="preserve">Batas perubahan karena bencana </w:t>
            </w:r>
            <w:r>
              <w:t xml:space="preserve">2028</w:t>
            </w:r>
            <w:r>
              <w:t xml:space="preserve">; target 2029; evaluasi akhir Renas</w:t>
            </w:r>
          </w:p>
        </w:tc>
        <w:tc>
          <w:tcPr>
            <w:tcW w:w="3646" w:type="dxa"/>
          </w:tcPr>
          <w:p>
            <w:pPr>
              <w:pStyle w:val="IsiTabel"/>
              <w:suppressAutoHyphens/>
              <w:jc w:val="left"/>
            </w:pPr>
            <w:r>
              <w:t xml:space="preserve">Perubahan aksi 3.1.2.c bila belum; syarat manfaat-biaya Dana Bersama; pemantauan dan evaluasi RIPB; pembaruan daftar perhatian</w:t>
            </w:r>
          </w:p>
        </w:tc>
        <w:tc>
          <w:tcPr>
            <w:tcW w:w="2110" w:type="dxa"/>
          </w:tcPr>
          <w:p>
            <w:pPr>
              <w:pStyle w:val="IsiTabel"/>
              <w:suppressAutoHyphens/>
              <w:jc w:val="left"/>
            </w:pPr>
            <w:r>
              <w:fldChar w:fldCharType="begin"/>
            </w:r>
            <w:r>
              <w:instrText xml:space="preserve"> REF _Ref0103 \h \* CHARFORMAT </w:instrText>
            </w:r>
            <w:r>
              <w:fldChar w:fldCharType="separate"/>
            </w:r>
            <w:r>
              <w:t xml:space="preserve">29</w:t>
            </w:r>
            <w:r>
              <w:fldChar w:fldCharType="end"/>
            </w:r>
            <w:r>
              <w:t xml:space="preserve">; </w:t>
            </w:r>
            <w:r>
              <w:fldChar w:fldCharType="begin"/>
            </w:r>
            <w:r>
              <w:instrText xml:space="preserve"> REF _Ref0105 \h \* CHARFORMAT </w:instrText>
            </w:r>
            <w:r>
              <w:fldChar w:fldCharType="separate"/>
            </w:r>
            <w:r>
              <w:t xml:space="preserve">30</w:t>
            </w:r>
            <w:r>
              <w:fldChar w:fldCharType="end"/>
            </w:r>
            <w:r>
              <w:t xml:space="preserve">; </w:t>
            </w:r>
            <w:r>
              <w:fldChar w:fldCharType="begin"/>
            </w:r>
            <w:r>
              <w:instrText xml:space="preserve"> REF _Ref0106 \h \* CHARFORMAT </w:instrText>
            </w:r>
            <w:r>
              <w:fldChar w:fldCharType="separate"/>
            </w:r>
            <w:r>
              <w:t xml:space="preserve">31</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§4.5–4.6; Perpres 80/2025; Kepka BNPB 327/2025; Perpres 46/2026; BKF Kemenkeu;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Hari ke-0 dan horizon adalah rancangan kajian; jangkar waktu bersumber resmi.</w:t>
      </w:r>
    </w:p>
    <w:p>
      <w:pPr>
        <w:pStyle w:val="Heading2"/>
      </w:pPr>
      <w:bookmarkStart w:id="758" w:name="_Toc00246"/>
      <w:bookmarkStart w:id="757" w:name="_Ref0148"/>
      <w:r>
        <w:t xml:space="preserve">12.8</w:t>
      </w:r>
      <w:bookmarkEnd w:id="757"/>
      <w:r>
        <w:tab/>
      </w:r>
      <w:r>
        <w:t xml:space="preserve">Indikator Kinerja</w:t>
      </w:r>
      <w:bookmarkEnd w:id="758"/>
    </w:p>
    <w:p>
      <w:pPr>
        <w:pStyle w:val="IsiTemuan"/>
      </w:pPr>
      <w:r>
        <w:rPr>
          <w:b/>
          <w:bCs/>
          <w:color w:val="051C2C"/>
        </w:rPr>
        <w:t xml:space="preserve">Renstra BNPB menargetkan rekomendasi kebijakan sistem dan strategi yang diintegrasikan K/L dan daerah naik dari </w:t>
      </w:r>
      <w:r>
        <w:rPr>
          <w:b/>
          <w:bCs/>
          <w:color w:val="051C2C"/>
        </w:rPr>
        <w:t xml:space="preserve">82,35%</w:t>
      </w:r>
      <w:r>
        <w:rPr>
          <w:b/>
          <w:bCs/>
          <w:color w:val="051C2C"/>
        </w:rPr>
        <w:t xml:space="preserve"> ke </w:t>
      </w:r>
      <w:r>
        <w:rPr>
          <w:b/>
          <w:bCs/>
          <w:color w:val="051C2C"/>
        </w:rPr>
        <w:t xml:space="preserve">94,12%</w:t>
      </w:r>
      <w:r>
        <w:rPr>
          <w:b/>
          <w:bCs/>
          <w:color w:val="051C2C"/>
        </w:rPr>
        <w:t xml:space="preserve"> pada 2027 dan </w:t>
      </w:r>
      <w:r>
        <w:rPr>
          <w:b/>
          <w:bCs/>
          <w:color w:val="051C2C"/>
        </w:rPr>
        <w:t xml:space="preserve">100%</w:t>
      </w:r>
      <w:r>
        <w:rPr>
          <w:b/>
          <w:bCs/>
          <w:color w:val="051C2C"/>
        </w:rPr>
        <w:t xml:space="preserve"> pada 2029 </w:t>
      </w:r>
      <w:r>
        <w:rPr>
          <w:b/>
          <w:bCs/>
          <w:color w:val="051C2C"/>
        </w:rPr>
        <w:t xml:space="preserve">(BNPB, 2025e)</w:t>
      </w:r>
      <w:r>
        <w:rPr>
          <w:b/>
          <w:bCs/>
          <w:color w:val="051C2C"/>
        </w:rPr>
        <w:t xml:space="preserve">.</w:t>
      </w:r>
      <w:r>
        <w:t xml:space="preserve"> Indikator itu dipakai sebagai ukuran adopsi rekomendasi kajian, dengan catatan bahwa pembilang dan penyebutnya belum dibaca. Indikator lain pada </w:t>
      </w:r>
      <w:r>
        <w:fldChar w:fldCharType="begin"/>
      </w:r>
      <w:r>
        <w:instrText xml:space="preserve"> REF _Ref0277 \h \* CHARFORMAT </w:instrText>
      </w:r>
      <w:r>
        <w:fldChar w:fldCharType="separate"/>
      </w:r>
      <w:r>
        <w:t xml:space="preserve">Tabel 12.6</w:t>
      </w:r>
      <w:r>
        <w:fldChar w:fldCharType="end"/>
      </w:r>
      <w:r>
        <w:t xml:space="preserve"> adalah indikator Renas PB, RPJMN, dan Renstra yang sudah ada, ditambah satu indikator tata kelola; arah 2030 tidak ditulis karena rumusnya tidak tertulis.</w:t>
      </w:r>
    </w:p>
    <w:p>
      <w:pPr>
        <w:pStyle w:val="Caption"/>
      </w:pPr>
      <w:bookmarkStart w:id="760" w:name="_Toc00247"/>
      <w:bookmarkStart w:id="759" w:name="_Ref027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759"/>
      <w:r>
        <w:rPr>
          <w:b/>
          <w:bCs/>
          <w:color w:val="051C2C"/>
        </w:rPr>
        <w:t xml:space="preserve"> </w:t>
      </w:r>
      <w:r>
        <w:t xml:space="preserve">Indikator kinerja kelembagaan dan pembiayaan, garis dasar sampai 2029</w:t>
      </w:r>
      <w:bookmarkEnd w:id="76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78"/>
        <w:gridCol w:w="1119"/>
        <w:gridCol w:w="1073"/>
        <w:gridCol w:w="1706"/>
        <w:gridCol w:w="1246"/>
        <w:gridCol w:w="1238"/>
        <w:gridCol w:w="1694"/>
      </w:tblGrid>
      <w:tr>
        <w:trPr>
          <w:cantSplit/>
          <w:tblHeader/>
        </w:trPr>
        <w:tc>
          <w:tcPr>
            <w:tcW w:w="1278" w:type="dxa"/>
            <w:shd w:val="clear" w:color="auto" w:fill="051C2C"/>
            <w:vAlign w:val="center"/>
          </w:tcPr>
          <w:p>
            <w:pPr>
              <w:pStyle w:val="KepalaTabel"/>
              <w:suppressAutoHyphens/>
            </w:pPr>
            <w:r>
              <w:t xml:space="preserve">INDIKATOR</w:t>
            </w:r>
          </w:p>
        </w:tc>
        <w:tc>
          <w:tcPr>
            <w:tcW w:w="1119" w:type="dxa"/>
            <w:shd w:val="clear" w:color="auto" w:fill="051C2C"/>
            <w:vAlign w:val="center"/>
          </w:tcPr>
          <w:p>
            <w:pPr>
              <w:pStyle w:val="KepalaTabel"/>
              <w:suppressAutoHyphens/>
            </w:pPr>
            <w:r>
              <w:t xml:space="preserve">GARIS DASAR</w:t>
            </w:r>
          </w:p>
        </w:tc>
        <w:tc>
          <w:tcPr>
            <w:tcW w:w="1073" w:type="dxa"/>
            <w:shd w:val="clear" w:color="auto" w:fill="051C2C"/>
            <w:vAlign w:val="center"/>
          </w:tcPr>
          <w:p>
            <w:pPr>
              <w:pStyle w:val="KepalaTabel"/>
              <w:suppressAutoHyphens/>
            </w:pPr>
            <w:r>
              <w:t xml:space="preserve">100 HARI</w:t>
            </w:r>
          </w:p>
        </w:tc>
        <w:tc>
          <w:tcPr>
            <w:tcW w:w="1706" w:type="dxa"/>
            <w:shd w:val="clear" w:color="auto" w:fill="051C2C"/>
            <w:vAlign w:val="center"/>
          </w:tcPr>
          <w:p>
            <w:pPr>
              <w:pStyle w:val="KepalaTabel"/>
              <w:suppressAutoHyphens/>
            </w:pPr>
            <w:r>
              <w:t xml:space="preserve">2026–2027</w:t>
            </w:r>
          </w:p>
        </w:tc>
        <w:tc>
          <w:tcPr>
            <w:tcW w:w="1246" w:type="dxa"/>
            <w:shd w:val="clear" w:color="auto" w:fill="051C2C"/>
            <w:vAlign w:val="center"/>
          </w:tcPr>
          <w:p>
            <w:pPr>
              <w:pStyle w:val="KepalaTabel"/>
              <w:suppressAutoHyphens/>
            </w:pPr>
            <w:r>
              <w:t xml:space="preserve">2028–2030</w:t>
            </w:r>
          </w:p>
        </w:tc>
        <w:tc>
          <w:tcPr>
            <w:tcW w:w="1238" w:type="dxa"/>
            <w:shd w:val="clear" w:color="auto" w:fill="051C2C"/>
            <w:vAlign w:val="center"/>
          </w:tcPr>
          <w:p>
            <w:pPr>
              <w:pStyle w:val="KepalaTabel"/>
              <w:suppressAutoHyphens/>
            </w:pPr>
            <w:r>
              <w:t xml:space="preserve">LEMBAGA</w:t>
            </w:r>
          </w:p>
        </w:tc>
        <w:tc>
          <w:tcPr>
            <w:tcW w:w="1694" w:type="dxa"/>
            <w:shd w:val="clear" w:color="auto" w:fill="051C2C"/>
            <w:vAlign w:val="center"/>
          </w:tcPr>
          <w:p>
            <w:pPr>
              <w:pStyle w:val="KepalaTabel"/>
              <w:suppressAutoHyphens/>
            </w:pPr>
            <w:r>
              <w:t xml:space="preserve">KEYAKINAN</w:t>
            </w:r>
          </w:p>
        </w:tc>
      </w:tr>
      <w:tr>
        <w:trPr>
          <w:cantSplit/>
        </w:trPr>
        <w:tc>
          <w:tcPr>
            <w:tcW w:w="1278" w:type="dxa"/>
          </w:tcPr>
          <w:p>
            <w:pPr>
              <w:pStyle w:val="IsiTabel"/>
              <w:suppressAutoHyphens/>
              <w:jc w:val="left"/>
            </w:pPr>
            <w:r>
              <w:t xml:space="preserve">Renas 1.a meninggal dan hilang per 100.000</w:t>
            </w:r>
          </w:p>
        </w:tc>
        <w:tc>
          <w:tcPr>
            <w:tcW w:w="1119" w:type="dxa"/>
          </w:tcPr>
          <w:p>
            <w:pPr>
              <w:pStyle w:val="IsiTabel"/>
              <w:suppressAutoHyphens/>
              <w:jc w:val="left"/>
            </w:pPr>
            <w:r>
              <w:t xml:space="preserve">Proyeksi </w:t>
            </w:r>
            <w:r>
              <w:t xml:space="preserve">0,22</w:t>
            </w:r>
            <w:r>
              <w:t xml:space="preserve"> (2025); realisasi DIBI </w:t>
            </w:r>
            <w:r>
              <w:t xml:space="preserve">0,68</w:t>
            </w:r>
            <w:r>
              <w:t xml:space="preserve"> bencana alam, </w:t>
            </w:r>
            <w:r>
              <w:t xml:space="preserve">0,79</w:t>
            </w:r>
            <w:r>
              <w:t xml:space="preserve"> semua klasifikasi</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target berangka ditetapkan lewat evaluasi tahunan 2026</w:t>
            </w:r>
          </w:p>
        </w:tc>
        <w:tc>
          <w:tcPr>
            <w:tcW w:w="1246" w:type="dxa"/>
          </w:tcPr>
          <w:p>
            <w:pPr>
              <w:pStyle w:val="IsiTabel"/>
              <w:suppressAutoHyphens/>
              <w:jc w:val="left"/>
            </w:pPr>
            <w:r>
              <w:t xml:space="preserve">target 2029 "Menurun"</w:t>
            </w:r>
          </w:p>
        </w:tc>
        <w:tc>
          <w:tcPr>
            <w:tcW w:w="1238" w:type="dxa"/>
          </w:tcPr>
          <w:p>
            <w:pPr>
              <w:pStyle w:val="IsiTabel"/>
              <w:suppressAutoHyphens/>
              <w:jc w:val="left"/>
            </w:pPr>
            <w:r>
              <w:t xml:space="preserve">BNPB</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Renas 1.b terdampak per 100.000</w:t>
            </w:r>
          </w:p>
        </w:tc>
        <w:tc>
          <w:tcPr>
            <w:tcW w:w="1119" w:type="dxa"/>
          </w:tcPr>
          <w:p>
            <w:pPr>
              <w:pStyle w:val="IsiTabel"/>
              <w:suppressAutoHyphens/>
              <w:jc w:val="left"/>
            </w:pPr>
            <w:r>
              <w:t xml:space="preserve">Proyeksi </w:t>
            </w:r>
            <w:r>
              <w:t xml:space="preserve">2.643</w:t>
            </w:r>
            <w:r>
              <w:t xml:space="preserve"> (2025)</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definisi tertulis</w:t>
            </w:r>
          </w:p>
        </w:tc>
        <w:tc>
          <w:tcPr>
            <w:tcW w:w="1246" w:type="dxa"/>
          </w:tcPr>
          <w:p>
            <w:pPr>
              <w:pStyle w:val="IsiTabel"/>
              <w:suppressAutoHyphens/>
              <w:jc w:val="left"/>
            </w:pPr>
            <w:r>
              <w:t xml:space="preserve">target 2029 "Menurun"</w:t>
            </w:r>
          </w:p>
        </w:tc>
        <w:tc>
          <w:tcPr>
            <w:tcW w:w="1238" w:type="dxa"/>
          </w:tcPr>
          <w:p>
            <w:pPr>
              <w:pStyle w:val="IsiTabel"/>
              <w:suppressAutoHyphens/>
              <w:jc w:val="left"/>
            </w:pPr>
            <w:r>
              <w:t xml:space="preserve">BNPB</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Renas 1.c; RPJMN KP 08.04.02 peringatan dini</w:t>
            </w:r>
          </w:p>
        </w:tc>
        <w:tc>
          <w:tcPr>
            <w:tcW w:w="1119" w:type="dxa"/>
          </w:tcPr>
          <w:p>
            <w:pPr>
              <w:pStyle w:val="IsiTabel"/>
              <w:suppressAutoHyphens/>
              <w:jc w:val="left"/>
            </w:pPr>
            <w:r>
              <w:t xml:space="preserve">11.060</w:t>
            </w:r>
            <w:r>
              <w:t xml:space="preserve"> per 100.000 (2025); </w:t>
            </w:r>
            <w:r>
              <w:t xml:space="preserve">6,00%</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lintasan dipilih (KD-2)</w:t>
            </w:r>
          </w:p>
        </w:tc>
        <w:tc>
          <w:tcPr>
            <w:tcW w:w="1246" w:type="dxa"/>
          </w:tcPr>
          <w:p>
            <w:pPr>
              <w:pStyle w:val="IsiTabel"/>
              <w:suppressAutoHyphens/>
              <w:jc w:val="left"/>
            </w:pPr>
            <w:r>
              <w:t xml:space="preserve">52.000</w:t>
            </w:r>
            <w:r>
              <w:t xml:space="preserve"> per 100.000; </w:t>
            </w:r>
            <w:r>
              <w:t xml:space="preserve">6,32%</w:t>
            </w:r>
          </w:p>
        </w:tc>
        <w:tc>
          <w:tcPr>
            <w:tcW w:w="1238" w:type="dxa"/>
          </w:tcPr>
          <w:p>
            <w:pPr>
              <w:pStyle w:val="IsiTabel"/>
              <w:suppressAutoHyphens/>
              <w:jc w:val="left"/>
            </w:pPr>
            <w:r>
              <w:t xml:space="preserve">Direktorat Peringatan Dini</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RPJMN KP 08.04.01 kapasitas minimal sedang</w:t>
            </w:r>
          </w:p>
        </w:tc>
        <w:tc>
          <w:tcPr>
            <w:tcW w:w="1119" w:type="dxa"/>
          </w:tcPr>
          <w:p>
            <w:pPr>
              <w:pStyle w:val="IsiTabel"/>
              <w:suppressAutoHyphens/>
              <w:jc w:val="left"/>
            </w:pPr>
            <w:r>
              <w:t xml:space="preserve">62%</w:t>
            </w:r>
            <w:r>
              <w:t xml:space="preserve"> (2023); kelas kapasitas KRB </w:t>
            </w:r>
            <w:r>
              <w:t xml:space="preserve">38%</w:t>
            </w:r>
            <w:r>
              <w:t xml:space="preserve"> (olahan penyusun, asumsi kebijakan)</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alat ukur dipilih (KD-3)</w:t>
            </w:r>
          </w:p>
        </w:tc>
        <w:tc>
          <w:tcPr>
            <w:tcW w:w="1246" w:type="dxa"/>
          </w:tcPr>
          <w:p>
            <w:pPr>
              <w:pStyle w:val="IsiTabel"/>
              <w:suppressAutoHyphens/>
              <w:jc w:val="left"/>
            </w:pPr>
            <w:r>
              <w:t xml:space="preserve">90%</w:t>
            </w:r>
          </w:p>
        </w:tc>
        <w:tc>
          <w:tcPr>
            <w:tcW w:w="1238" w:type="dxa"/>
          </w:tcPr>
          <w:p>
            <w:pPr>
              <w:pStyle w:val="IsiTabel"/>
              <w:suppressAutoHyphens/>
              <w:jc w:val="left"/>
            </w:pPr>
            <w:r>
              <w:t xml:space="preserve">BNPB</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Renas 4.c; RPJMN PP 08.04 penurunan IRB</w:t>
            </w:r>
          </w:p>
        </w:tc>
        <w:tc>
          <w:tcPr>
            <w:tcW w:w="1119" w:type="dxa"/>
          </w:tcPr>
          <w:p>
            <w:pPr>
              <w:pStyle w:val="IsiTabel"/>
              <w:suppressAutoHyphens/>
              <w:jc w:val="left"/>
            </w:pPr>
            <w:r>
              <w:t xml:space="preserve">penurunan </w:t>
            </w:r>
            <w:r>
              <w:t xml:space="preserve">1,54%</w:t>
            </w:r>
            <w:r>
              <w:t xml:space="preserve"> (2023)</w:t>
            </w:r>
          </w:p>
        </w:tc>
        <w:tc>
          <w:tcPr>
            <w:tcW w:w="1073" w:type="dxa"/>
          </w:tcPr>
          <w:p>
            <w:pPr>
              <w:pStyle w:val="IsiTabel"/>
              <w:suppressAutoHyphens/>
              <w:jc w:val="left"/>
            </w:pPr>
            <w:r>
              <w:t xml:space="preserve">catatan metode IRBI 2025 terbit (KD-4)</w:t>
            </w:r>
          </w:p>
        </w:tc>
        <w:tc>
          <w:tcPr>
            <w:tcW w:w="1706" w:type="dxa"/>
          </w:tcPr>
          <w:p>
            <w:pPr>
              <w:pStyle w:val="IsiTabel"/>
              <w:suppressAutoHyphens/>
              <w:jc w:val="left"/>
            </w:pPr>
            <w:r>
              <w:t xml:space="preserve">garis dasar 2025 skala baru</w:t>
            </w:r>
          </w:p>
        </w:tc>
        <w:tc>
          <w:tcPr>
            <w:tcW w:w="1246" w:type="dxa"/>
          </w:tcPr>
          <w:p>
            <w:pPr>
              <w:pStyle w:val="IsiTabel"/>
              <w:suppressAutoHyphens/>
              <w:jc w:val="left"/>
            </w:pPr>
            <w:r>
              <w:t xml:space="preserve">turun </w:t>
            </w:r>
            <w:r>
              <w:t xml:space="preserve">1,2%</w:t>
            </w:r>
            <w:r>
              <w:t xml:space="preserve"> per tahun</w:t>
            </w:r>
          </w:p>
        </w:tc>
        <w:tc>
          <w:tcPr>
            <w:tcW w:w="1238" w:type="dxa"/>
          </w:tcPr>
          <w:p>
            <w:pPr>
              <w:pStyle w:val="IsiTabel"/>
              <w:suppressAutoHyphens/>
              <w:jc w:val="left"/>
            </w:pPr>
            <w:r>
              <w:t xml:space="preserve">Direktorat Pemetaan dan Evaluasi Risiko Bencana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bookmarkStart w:id="761" w:name="_Ekor088a"/>
            <w:bookmarkEnd w:id="761"/>
            <w:r>
              <w:t xml:space="preserve">Renas 2.a kerugian ekonomi langsung terhadap PDB</w:t>
            </w:r>
          </w:p>
        </w:tc>
        <w:tc>
          <w:tcPr>
            <w:tcW w:w="1119" w:type="dxa"/>
          </w:tcPr>
          <w:p>
            <w:pPr>
              <w:pStyle w:val="IsiTabel"/>
              <w:keepNext/>
              <w:suppressAutoHyphens/>
              <w:jc w:val="left"/>
            </w:pPr>
            <w:r>
              <w:t xml:space="preserve">0,140%</w:t>
            </w:r>
            <w:r>
              <w:t xml:space="preserve"> (2022)</w:t>
            </w:r>
          </w:p>
        </w:tc>
        <w:tc>
          <w:tcPr>
            <w:tcW w:w="1073" w:type="dxa"/>
          </w:tcPr>
          <w:p>
            <w:pPr>
              <w:pStyle w:val="IsiTabel"/>
              <w:keepNext/>
              <w:suppressAutoHyphens/>
              <w:jc w:val="left"/>
            </w:pPr>
            <w:r>
              <w:t xml:space="preserve">–</w:t>
            </w:r>
          </w:p>
        </w:tc>
        <w:tc>
          <w:tcPr>
            <w:tcW w:w="1706" w:type="dxa"/>
          </w:tcPr>
          <w:p>
            <w:pPr>
              <w:pStyle w:val="IsiTabel"/>
              <w:keepNext/>
              <w:suppressAutoHyphens/>
              <w:jc w:val="left"/>
            </w:pPr>
            <w:r>
              <w:t xml:space="preserve">belum dapat diukur; seri kerusakan dan kerugian dibersihkan</w:t>
            </w:r>
          </w:p>
        </w:tc>
        <w:tc>
          <w:tcPr>
            <w:tcW w:w="1246" w:type="dxa"/>
          </w:tcPr>
          <w:p>
            <w:pPr>
              <w:pStyle w:val="IsiTabel"/>
              <w:keepNext/>
              <w:suppressAutoHyphens/>
              <w:jc w:val="left"/>
            </w:pPr>
            <w:r>
              <w:t xml:space="preserve">0,135%</w:t>
            </w:r>
          </w:p>
        </w:tc>
        <w:tc>
          <w:tcPr>
            <w:tcW w:w="1238" w:type="dxa"/>
          </w:tcPr>
          <w:p>
            <w:pPr>
              <w:pStyle w:val="IsiTabel"/>
              <w:keepNext/>
              <w:suppressAutoHyphens/>
              <w:jc w:val="left"/>
            </w:pPr>
            <w:r>
              <w:t xml:space="preserve">BNPB; Bappenas</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r>
              <w:t xml:space="preserve">Renas 4.6.2.a penerima Dana Bersama</w:t>
            </w:r>
          </w:p>
        </w:tc>
        <w:tc>
          <w:tcPr>
            <w:tcW w:w="1119" w:type="dxa"/>
          </w:tcPr>
          <w:p>
            <w:pPr>
              <w:pStyle w:val="IsiTabel"/>
              <w:keepNext/>
              <w:suppressAutoHyphens/>
              <w:jc w:val="left"/>
            </w:pPr>
            <w:r>
              <w:t xml:space="preserve">–</w:t>
            </w:r>
          </w:p>
        </w:tc>
        <w:tc>
          <w:tcPr>
            <w:tcW w:w="1073" w:type="dxa"/>
          </w:tcPr>
          <w:p>
            <w:pPr>
              <w:pStyle w:val="IsiTabel"/>
              <w:keepNext/>
              <w:suppressAutoHyphens/>
              <w:jc w:val="left"/>
            </w:pPr>
            <w:r>
              <w:t xml:space="preserve">–</w:t>
            </w:r>
          </w:p>
        </w:tc>
        <w:tc>
          <w:tcPr>
            <w:tcW w:w="1706" w:type="dxa"/>
          </w:tcPr>
          <w:p>
            <w:pPr>
              <w:pStyle w:val="IsiTabel"/>
              <w:keepNext/>
              <w:suppressAutoHyphens/>
              <w:jc w:val="left"/>
            </w:pPr>
            <w:r>
              <w:t xml:space="preserve">permintaan data realisasi</w:t>
            </w:r>
          </w:p>
        </w:tc>
        <w:tc>
          <w:tcPr>
            <w:tcW w:w="1246" w:type="dxa"/>
          </w:tcPr>
          <w:p>
            <w:pPr>
              <w:pStyle w:val="IsiTabel"/>
              <w:keepNext/>
              <w:suppressAutoHyphens/>
              <w:jc w:val="left"/>
            </w:pPr>
            <w:r>
              <w:t xml:space="preserve">100 K/L, pemda, kelompok</w:t>
            </w:r>
          </w:p>
        </w:tc>
        <w:tc>
          <w:tcPr>
            <w:tcW w:w="1238" w:type="dxa"/>
          </w:tcPr>
          <w:p>
            <w:pPr>
              <w:pStyle w:val="IsiTabel"/>
              <w:keepNext/>
              <w:suppressAutoHyphens/>
              <w:jc w:val="left"/>
            </w:pPr>
            <w:r>
              <w:t xml:space="preserve">Kemenkeu; BNPB</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r>
              <w:t xml:space="preserve">Renstra IKP P1 adopsi rekomendasi</w:t>
            </w:r>
          </w:p>
        </w:tc>
        <w:tc>
          <w:tcPr>
            <w:tcW w:w="1119" w:type="dxa"/>
          </w:tcPr>
          <w:p>
            <w:pPr>
              <w:pStyle w:val="IsiTabel"/>
              <w:keepNext/>
              <w:suppressAutoHyphens/>
              <w:jc w:val="left"/>
            </w:pPr>
            <w:r>
              <w:t xml:space="preserve">82,35%</w:t>
            </w:r>
          </w:p>
        </w:tc>
        <w:tc>
          <w:tcPr>
            <w:tcW w:w="1073" w:type="dxa"/>
          </w:tcPr>
          <w:p>
            <w:pPr>
              <w:pStyle w:val="IsiTabel"/>
              <w:keepNext/>
              <w:suppressAutoHyphens/>
              <w:jc w:val="left"/>
            </w:pPr>
            <w:r>
              <w:t xml:space="preserve">–</w:t>
            </w:r>
          </w:p>
        </w:tc>
        <w:tc>
          <w:tcPr>
            <w:tcW w:w="1706" w:type="dxa"/>
          </w:tcPr>
          <w:p>
            <w:pPr>
              <w:pStyle w:val="IsiTabel"/>
              <w:keepNext/>
              <w:suppressAutoHyphens/>
              <w:jc w:val="left"/>
            </w:pPr>
            <w:r>
              <w:t xml:space="preserve">94,12%</w:t>
            </w:r>
            <w:r>
              <w:t xml:space="preserve"> pada 2027</w:t>
            </w:r>
          </w:p>
        </w:tc>
        <w:tc>
          <w:tcPr>
            <w:tcW w:w="1246" w:type="dxa"/>
          </w:tcPr>
          <w:p>
            <w:pPr>
              <w:pStyle w:val="IsiTabel"/>
              <w:keepNext/>
              <w:suppressAutoHyphens/>
              <w:jc w:val="left"/>
            </w:pPr>
            <w:r>
              <w:t xml:space="preserve">100%</w:t>
            </w:r>
          </w:p>
        </w:tc>
        <w:tc>
          <w:tcPr>
            <w:tcW w:w="1238" w:type="dxa"/>
          </w:tcPr>
          <w:p>
            <w:pPr>
              <w:pStyle w:val="IsiTabel"/>
              <w:keepNext/>
              <w:suppressAutoHyphens/>
              <w:jc w:val="left"/>
            </w:pPr>
            <w:r>
              <w:t xml:space="preserve">Deputi Bidang Sistem dan Strategi</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bookmarkStart w:id="762" w:name="_Ekor088z"/>
            <w:bookmarkEnd w:id="762"/>
            <w:r>
              <w:t xml:space="preserve">Pedoman keadaan tertentu Perpres 46/2026</w:t>
            </w:r>
          </w:p>
        </w:tc>
        <w:tc>
          <w:tcPr>
            <w:tcW w:w="1119" w:type="dxa"/>
          </w:tcPr>
          <w:p>
            <w:pPr>
              <w:pStyle w:val="IsiTabel"/>
              <w:keepNext/>
              <w:suppressAutoHyphens/>
              <w:jc w:val="left"/>
            </w:pPr>
            <w:r>
              <w:t xml:space="preserve">belum ada (2026)</w:t>
            </w:r>
          </w:p>
        </w:tc>
        <w:tc>
          <w:tcPr>
            <w:tcW w:w="1073" w:type="dxa"/>
          </w:tcPr>
          <w:p>
            <w:pPr>
              <w:pStyle w:val="IsiTabel"/>
              <w:keepNext/>
              <w:suppressAutoHyphens/>
              <w:jc w:val="left"/>
            </w:pPr>
            <w:r>
              <w:t xml:space="preserve">rancangan selesai</w:t>
            </w:r>
          </w:p>
        </w:tc>
        <w:tc>
          <w:tcPr>
            <w:tcW w:w="1706" w:type="dxa"/>
          </w:tcPr>
          <w:p>
            <w:pPr>
              <w:pStyle w:val="IsiTabel"/>
              <w:keepNext/>
              <w:suppressAutoHyphens/>
              <w:jc w:val="left"/>
            </w:pPr>
            <w:r>
              <w:t xml:space="preserve">ditetapkan (2027)</w:t>
            </w:r>
          </w:p>
        </w:tc>
        <w:tc>
          <w:tcPr>
            <w:tcW w:w="1246" w:type="dxa"/>
          </w:tcPr>
          <w:p>
            <w:pPr>
              <w:pStyle w:val="IsiTabel"/>
              <w:keepNext/>
              <w:suppressAutoHyphens/>
              <w:jc w:val="left"/>
            </w:pPr>
            <w:r>
              <w:t xml:space="preserve">dipakai</w:t>
            </w:r>
          </w:p>
        </w:tc>
        <w:tc>
          <w:tcPr>
            <w:tcW w:w="1238" w:type="dxa"/>
          </w:tcPr>
          <w:p>
            <w:pPr>
              <w:pStyle w:val="IsiTabel"/>
              <w:keepNext/>
              <w:suppressAutoHyphens/>
              <w:jc w:val="left"/>
            </w:pPr>
            <w:r>
              <w:t xml:space="preserve">Deputi Bidang Penanganan Darurat</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hlm. 32–33, 111–114; RPJMN 2025–2029; Renstra BNPB 2025–2029; DIBI BNPB;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Realisasi DIBI 2025 memakai penyebut BPS 2026. "–" berarti target atau garis dasar tidak tercantum, atau realisasinya tidak ditemukan.</w:t>
      </w:r>
    </w:p>
    <w:p>
      <w:pPr>
        <w:pStyle w:val="Heading2"/>
      </w:pPr>
      <w:bookmarkStart w:id="764" w:name="_Toc00248"/>
      <w:bookmarkStart w:id="763" w:name="_Ref0185"/>
      <w:r>
        <w:t xml:space="preserve">12.9</w:t>
      </w:r>
      <w:bookmarkEnd w:id="763"/>
      <w:r>
        <w:tab/>
      </w:r>
      <w:r>
        <w:t xml:space="preserve">Pemantauan dan Pelaporan</w:t>
      </w:r>
      <w:bookmarkEnd w:id="764"/>
    </w:p>
    <w:p>
      <w:pPr>
        <w:pStyle w:val="IsiTemuan"/>
      </w:pPr>
      <w:r>
        <w:rPr>
          <w:b/>
          <w:bCs/>
          <w:color w:val="051C2C"/>
        </w:rPr>
        <w:t xml:space="preserve">Semua lapis pelaporan yang dibutuhkan sudah diwajibkan peraturan, sehingga kajian ini tidak menambah laporan baru bagi daerah (</w:t>
      </w:r>
      <w:r>
        <w:rPr>
          <w:b/>
          <w:bCs/>
          <w:color w:val="051C2C"/>
        </w:rPr>
        <w:fldChar w:fldCharType="begin"/>
      </w:r>
      <w:r>
        <w:rPr>
          <w:b/>
          <w:bCs/>
          <w:color w:val="051C2C"/>
        </w:rPr>
        <w:instrText xml:space="preserve"> REF _Ref0048 \h \* CHARFORMAT </w:instrText>
      </w:r>
      <w:r>
        <w:rPr>
          <w:b/>
          <w:bCs/>
          <w:color w:val="051C2C"/>
        </w:rPr>
        <w:fldChar w:fldCharType="separate"/>
      </w:r>
      <w:r>
        <w:rPr>
          <w:b/>
          <w:bCs/>
          <w:color w:val="051C2C"/>
        </w:rPr>
        <w:t xml:space="preserve">Gambar 12.6</w:t>
      </w:r>
      <w:r>
        <w:rPr>
          <w:b/>
          <w:bCs/>
          <w:color w:val="051C2C"/>
        </w:rPr>
        <w:fldChar w:fldCharType="end"/>
      </w:r>
      <w:r>
        <w:rPr>
          <w:b/>
          <w:bCs/>
          <w:color w:val="051C2C"/>
        </w:rPr>
        <w:t xml:space="preserve">).</w:t>
      </w:r>
      <w:r>
        <w:t xml:space="preserve"> Pada lapis internal, Kepala BNPB melapor kepada Presiden sebulan sekali dalam kondisi normal dan setiap saat dalam kondisi darurat (Perpres 1/2019 Pasal 3 huruf d) </w:t>
      </w:r>
      <w:r>
        <w:t xml:space="preserve">(Republik Indonesia, 2019a)</w:t>
      </w:r>
      <w:r>
        <w:t xml:space="preserve">. Biro Perencanaan dan Direktorat Pengembangan Strategi Penanggulangan Bencana menyusun pemantauan dan evaluasi (Perban BNPB 6/2025 Pasal 24–25 dan 50–51), sedangkan Biro Hukum, Organisasi, dan Kerja Sama melaporkan Progsun tiap triwulan </w:t>
      </w:r>
      <w:r>
        <w:t xml:space="preserve">(BNPB, 2025f, 2025b)</w:t>
      </w:r>
      <w:r>
        <w:t xml:space="preserve">. Pada lapis lintas K/L, evaluasi Renas menjadi bagian pemantauan RIPB yang dilaporkan ke Presiden melalui Menko PMK </w:t>
      </w:r>
      <w:r>
        <w:t xml:space="preserve">(BNPB, 2025c, hlm. 4; Republik Indonesia, 2020f)</w:t>
      </w:r>
      <w:r>
        <w:t xml:space="preserve">. Renas juga menargetkan </w:t>
      </w:r>
      <w:r>
        <w:t xml:space="preserve">3 dokumen</w:t>
      </w:r>
      <w:r>
        <w:t xml:space="preserve"> metadata indikator kinerja dan </w:t>
      </w:r>
      <w:r>
        <w:t xml:space="preserve">5 dokumen</w:t>
      </w:r>
      <w:r>
        <w:t xml:space="preserve"> laporan pemantauan Dana Bersama </w:t>
      </w:r>
      <w:r>
        <w:t xml:space="preserve">(BNPB, 2025c, hlm. 112–114)</w:t>
      </w:r>
      <w:r>
        <w:t xml:space="preserve">.</w:t>
      </w:r>
    </w:p>
    <w:p>
      <w:pPr>
        <w:pStyle w:val="IsiTemuan"/>
      </w:pPr>
      <w:r>
        <w:rPr>
          <w:b/>
          <w:bCs/>
          <w:color w:val="051C2C"/>
        </w:rPr>
        <w:t xml:space="preserve">Pada lapis daerah, laporan DSP disampaikan tiap tanggal </w:t>
      </w:r>
      <w:r>
        <w:rPr>
          <w:b/>
          <w:bCs/>
          <w:color w:val="051C2C"/>
        </w:rPr>
        <w:t xml:space="preserve">5</w:t>
      </w:r>
      <w:r>
        <w:rPr>
          <w:b/>
          <w:bCs/>
          <w:color w:val="051C2C"/>
        </w:rPr>
        <w:t xml:space="preserve"> bulan berikutnya (Perban BNPB 4/2020 Pasal 21), dan laporan akhir Dana Bersama paling lama </w:t>
      </w:r>
      <w:r>
        <w:rPr>
          <w:b/>
          <w:bCs/>
          <w:color w:val="051C2C"/>
        </w:rPr>
        <w:t xml:space="preserve">60 hari kalender</w:t>
      </w:r>
      <w:r>
        <w:rPr>
          <w:b/>
          <w:bCs/>
          <w:color w:val="051C2C"/>
        </w:rPr>
        <w:t xml:space="preserve"> setelah kegiatan berakhir (Perban BNPB 1/2026 Pasal 32) </w:t>
      </w:r>
      <w:r>
        <w:rPr>
          <w:b/>
          <w:bCs/>
          <w:color w:val="051C2C"/>
        </w:rPr>
        <w:t xml:space="preserve">(BNPB, 2020a, 2026d)</w:t>
      </w:r>
      <w:r>
        <w:rPr>
          <w:b/>
          <w:bCs/>
          <w:color w:val="051C2C"/>
        </w:rPr>
        <w:t xml:space="preserve">.</w:t>
      </w:r>
      <w:r>
        <w:t xml:space="preserve"> Data Bencana mencakup Data Pembiayaan Penanggulangan Bencana dan disebarluaskan Walidata lewat portal Satu Data Bencana (Perban BNPB 1/2023 Pasal 4–5 dan 28); penunjukan Pusat Data, Informasi, dan Komunikasi Kebencanaan sebagai Walidata adalah pemetaan penyusun </w:t>
      </w:r>
      <w:r>
        <w:t xml:space="preserve">(BNPB, 2023b)</w:t>
      </w:r>
      <w:r>
        <w:t xml:space="preserve">. Data realisasi pembiayaan per fase tidak ditemukan, sehingga lapisan pada </w:t>
      </w:r>
      <w:r>
        <w:fldChar w:fldCharType="begin"/>
      </w:r>
      <w:r>
        <w:instrText xml:space="preserve"> REF _Ref0045 \h \* CHARFORMAT </w:instrText>
      </w:r>
      <w:r>
        <w:fldChar w:fldCharType="separate"/>
      </w:r>
      <w:r>
        <w:t xml:space="preserve">Gambar 12.5</w:t>
      </w:r>
      <w:r>
        <w:fldChar w:fldCharType="end"/>
      </w:r>
      <w:r>
        <w:t xml:space="preserve"> belum dapat dipantau dengan angka.</w:t>
      </w:r>
    </w:p>
    <w:p>
      <w:pPr>
        <w:pStyle w:val="IsiTemuan"/>
      </w:pPr>
      <w:r>
        <w:rPr>
          <w:b/>
          <w:bCs/>
          <w:color w:val="051C2C"/>
        </w:rPr>
        <w:t xml:space="preserve">Indikator usulan kajian cukup dimasukkan ke metadata indikator Renas 4.7.1.c dan lampiran evaluasi tahunan Renas, dan BPK sudah menjadi lapis pemeriksaan eksternal dengan </w:t>
      </w:r>
      <w:r>
        <w:rPr>
          <w:b/>
          <w:bCs/>
          <w:color w:val="051C2C"/>
        </w:rPr>
        <w:t xml:space="preserve">30 objek pemeriksaan</w:t>
      </w:r>
      <w:r>
        <w:rPr>
          <w:b/>
          <w:bCs/>
          <w:color w:val="051C2C"/>
        </w:rPr>
        <w:t xml:space="preserve"> kinerja penanggulangan bencana </w:t>
      </w:r>
      <w:r>
        <w:rPr>
          <w:b/>
          <w:bCs/>
          <w:color w:val="051C2C"/>
        </w:rPr>
        <w:t xml:space="preserve">(BPK, 2025)</w:t>
      </w:r>
      <w:r>
        <w:rPr>
          <w:b/>
          <w:bCs/>
          <w:color w:val="051C2C"/>
        </w:rPr>
        <w:t xml:space="preserve">.</w:t>
      </w:r>
      <w:r>
        <w:t xml:space="preserve"> Laporan kemajuan publik tahunan Delta Programme Belanda berposisi rujukan tata kelola dengan bukti lemah </w:t>
      </w:r>
      <w:r>
        <w:t xml:space="preserve">(Pantau Bencana, 2026d)</w:t>
      </w:r>
      <w:r>
        <w:t xml:space="preserve">. Keluaran simulasi platform Pantau Bencana tetap di luar Data Bencana.</w:t>
      </w:r>
    </w:p>
    <w:p>
      <w:pPr>
        <w:pStyle w:val="Caption"/>
      </w:pPr>
      <w:bookmarkStart w:id="766" w:name="_Toc00249"/>
      <w:bookmarkStart w:id="765" w:name="_Ref004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765"/>
      <w:r>
        <w:rPr>
          <w:b/>
          <w:bCs/>
          <w:color w:val="051C2C"/>
        </w:rPr>
        <w:t xml:space="preserve"> </w:t>
      </w:r>
      <w:r>
        <w:t xml:space="preserve">Tata kelola dan pelaporan rekomendasi kajian mitigasi dalam tiga lapis, 2026–2030</w:t>
      </w:r>
      <w:bookmarkEnd w:id="766"/>
    </w:p>
    <w:p xmlns:a="http://schemas.openxmlformats.org/drawingml/2006/main" xmlns:pic="http://schemas.openxmlformats.org/drawingml/2006/picture">
      <w:pPr>
        <w:keepNext/>
        <w:spacing w:after="0" w:line="240" w:lineRule="auto"/>
        <w:jc w:val="center"/>
      </w:pPr>
      <w:bookmarkStart w:id="767" w:name="_Obj0070"/>
      <w:r>
        <w:drawing>
          <wp:inline distT="0" distB="0" distL="0" distR="0">
            <wp:extent cx="5940000" cy="2351631"/>
            <wp:effectExtent l="0" t="0" r="0" b="0"/>
            <wp:docPr id="215" name="Gambar 215"/>
            <wp:cNvGraphicFramePr>
              <a:graphicFrameLocks noChangeAspect="1"/>
            </wp:cNvGraphicFramePr>
            <a:graphic>
              <a:graphicData uri="http://schemas.openxmlformats.org/drawingml/2006/picture">
                <pic:pic>
                  <pic:nvPicPr>
                    <pic:cNvPr id="215" name="bab12-pelaporan-tiga-lapis.png"/>
                    <pic:cNvPicPr/>
                  </pic:nvPicPr>
                  <pic:blipFill>
                    <a:blip r:embed="rId100"/>
                    <a:stretch>
                      <a:fillRect/>
                    </a:stretch>
                  </pic:blipFill>
                  <pic:spPr>
                    <a:xfrm>
                      <a:off x="0" y="0"/>
                      <a:ext cx="5940000" cy="2351631"/>
                    </a:xfrm>
                    <a:prstGeom prst="rect">
                      <a:avLst/>
                    </a:prstGeom>
                  </pic:spPr>
                </pic:pic>
              </a:graphicData>
            </a:graphic>
          </wp:inline>
        </w:drawing>
      </w:r>
      <w:bookmarkEnd w:id="767"/>
    </w:p>
    <w:p>
      <w:pPr>
        <w:pStyle w:val="Sumber"/>
        <w:spacing w:after="40"/>
      </w:pPr>
      <w:r>
        <w:rPr>
          <w:b/>
          <w:bCs/>
          <w:color w:val="6B7280"/>
          <w:sz w:val="17"/>
          <w:szCs w:val="17"/>
        </w:rPr>
        <w:t xml:space="preserve">Sumber: </w:t>
      </w:r>
      <w:r>
        <w:rPr>
          <w:color w:val="6B7280"/>
          <w:sz w:val="17"/>
          <w:szCs w:val="17"/>
        </w:rPr>
        <w:t xml:space="preserve">Perpres 1/2019; Perpres 87/2020; Perpres 144/2024; Perban BNPB 1/2023, 1/2025, 1/2026, 2/2023, 4/2020, dan 6/2025; Kepka BNPB 327/2025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Frekuensi laporan berpasal; Pusdatinkom sebagai Walidata adalah pemetaan penyusun; keluaran simulasi Pantau Bencana bukan Data Bencana.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Data berikut belum ditemukan dan menjadi permintaan kepada pemegangnya.</w:t>
            </w:r>
          </w:p>
          <w:p>
            <w:pPr>
              <w:pStyle w:val="DaftarKotak"/>
              <w:numPr>
                <w:ilvl w:val="0"/>
                <w:numId w:val="1"/>
              </w:numPr>
            </w:pPr>
            <w:r>
              <w:t xml:space="preserve">Laporan evaluasi Renas PB 2025 dan laporan pemantauan RIPB: Direktorat Pengembangan Strategi Penanggulangan Bencana dan Biro Perencanaan.</w:t>
            </w:r>
          </w:p>
          <w:p>
            <w:pPr>
              <w:pStyle w:val="DaftarKotak"/>
              <w:numPr>
                <w:ilvl w:val="0"/>
                <w:numId w:val="1"/>
              </w:numPr>
            </w:pPr>
            <w:r>
              <w:t xml:space="preserve">Realisasi Dana Bersama dan BTT per daerah, termasuk pemakaian dana kontinjensi: tim penelaahan Dana Bersama, Badan Pengelola Dana Lingkungan Hidup, dan Kemendagri.</w:t>
            </w:r>
          </w:p>
          <w:p>
            <w:pPr>
              <w:pStyle w:val="DaftarKotak"/>
              <w:numPr>
                <w:ilvl w:val="0"/>
                <w:numId w:val="1"/>
              </w:numPr>
            </w:pPr>
            <w:r>
              <w:t xml:space="preserve">Dasar dan menu DAK penanggulangan bencana 2026: Kemenkeu dan Bappenas.</w:t>
            </w:r>
          </w:p>
          <w:p>
            <w:pPr>
              <w:pStyle w:val="DaftarKotak"/>
              <w:numPr>
                <w:ilvl w:val="0"/>
                <w:numId w:val="1"/>
              </w:numPr>
            </w:pPr>
            <w:r>
              <w:t xml:space="preserve">Teks Juklak BNPB 5/2024 dan Kepka BNPB 308/2024 serta kemajuan Progsun butir 3, 7, dan 11: Biro Hukum, Organisasi, dan Kerja Sama.</w:t>
            </w:r>
          </w:p>
          <w:p>
            <w:pPr>
              <w:pStyle w:val="DaftarKotak"/>
              <w:numPr>
                <w:ilvl w:val="0"/>
                <w:numId w:val="1"/>
              </w:numPr>
            </w:pPr>
            <w:r>
              <w:t xml:space="preserve">Penjelasan baris Batang 2018, pengulangan Palu, dan baris kerugian yang sama dengan kerusakan di seri proposal pemda: Deputi Bidang Rehabilitasi dan Rekonstruksi.</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numPr>
          <w:ilvl w:val="0"/>
          <w:numId w:val="913"/>
        </w:numPr>
      </w:pPr>
      <w:bookmarkStart w:id="769" w:name="_Toc00250"/>
      <w:r>
        <w:rPr>
          <w:sz w:val="18"/>
          <w:szCs w:val="18"/>
        </w:rPr>
        <w:br/>
      </w:r>
      <w:bookmarkStart w:id="768" w:name="_Ref0006"/>
      <w:r>
        <w:t xml:space="preserve">KESIMPULAN DAN REKOMENDASI</w:t>
      </w:r>
      <w:bookmarkEnd w:id="768"/>
      <w:bookmarkEnd w:id="769"/>
    </w:p>
    <w:p>
      <w:pPr>
        <w:pStyle w:val="Pertanyaan"/>
      </w:pPr>
      <w:r>
        <w:t xml:space="preserve">Delapan kesimpulan berangka apa yang menopang tesis kajian? Keputusan apa yang hanya dapat diambil Kepala Badan Nasional Penanggulangan Bencana (BNPB), dan apa akibat tiap pilihan? Rekomendasi apa yang diajukan per horizon dan per unit?</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16" name="Gambar 216"/>
                  <wp:cNvGraphicFramePr>
                    <a:graphicFrameLocks noChangeAspect="1"/>
                  </wp:cNvGraphicFramePr>
                  <a:graphic>
                    <a:graphicData uri="http://schemas.openxmlformats.org/drawingml/2006/picture">
                      <pic:pic>
                        <pic:nvPicPr>
                          <pic:cNvPr id="216"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Badan Nasional Penanggulangan Bencana (BNPB) mencatat </w:t>
            </w:r>
            <w:r>
              <w:t xml:space="preserve">1.956</w:t>
            </w:r>
            <w:r>
              <w:t xml:space="preserve"> korban meninggal dan hilang akibat bencana alam pada 2025, tertinggi sejak 2018. Angka itu </w:t>
            </w:r>
            <w:r>
              <w:t xml:space="preserve">3,1</w:t>
            </w:r>
            <w:r>
              <w:t xml:space="preserve"> kali proyeksi Rencana Nasional Penanggulangan Bencana (Renas PB) 1.a (</w:t>
            </w:r>
            <w:r>
              <w:t xml:space="preserve">3,6</w:t>
            </w:r>
            <w:r>
              <w:t xml:space="preserve"> kali untuk semua klasifikasi), padahal Indeks Risiko Bencana (IRB) nasional </w:t>
            </w:r>
            <w:r>
              <w:t xml:space="preserve">turun 10,76%</w:t>
            </w:r>
            <w:r>
              <w:t xml:space="preserve"> dari 2019 ke 2024.</w:t>
            </w:r>
          </w:p>
          <w:p>
            <w:pPr>
              <w:pStyle w:val="DaftarKotak"/>
              <w:numPr>
                <w:ilvl w:val="0"/>
                <w:numId w:val="1"/>
              </w:numPr>
            </w:pPr>
            <w:r>
              <w:t xml:space="preserve">Musim hujan 2025/2026 mencatat </w:t>
            </w:r>
            <w:r>
              <w:t xml:space="preserve">1.692</w:t>
            </w:r>
            <w:r>
              <w:t xml:space="preserve"> meninggal dan hilang, lantai skenario Rencana Aksi Musim Hujan 2026/2027 dan di atas batas atas pita model La Niña </w:t>
            </w:r>
            <w:r>
              <w:t xml:space="preserve">520–1.200 jiwa</w:t>
            </w:r>
            <w:r>
              <w:t xml:space="preserve"> (estimasi model, belum diuji balik).</w:t>
            </w:r>
          </w:p>
          <w:p>
            <w:pPr>
              <w:pStyle w:val="DaftarKotak"/>
              <w:numPr>
                <w:ilvl w:val="0"/>
                <w:numId w:val="1"/>
              </w:numPr>
            </w:pPr>
            <w:r>
              <w:t xml:space="preserve">Kapasitas daerah minimal sedang tercatat </w:t>
            </w:r>
            <w:r>
              <w:t xml:space="preserve">50%</w:t>
            </w:r>
            <w:r>
              <w:t xml:space="preserve"> provinsi pada 2025 terhadap target </w:t>
            </w:r>
            <w:r>
              <w:t xml:space="preserve">67%</w:t>
            </w:r>
            <w:r>
              <w:t xml:space="preserve">, dan Indikator Kinerja Program (IKP) peringatan dini </w:t>
            </w:r>
            <w:r>
              <w:t xml:space="preserve">6,10%</w:t>
            </w:r>
            <w:r>
              <w:t xml:space="preserve"> adalah rerata sederhana cakupan tsunami </w:t>
            </w:r>
            <w:r>
              <w:t xml:space="preserve">12,19%</w:t>
            </w:r>
            <w:r>
              <w:t xml:space="preserve"> dan banjir </w:t>
            </w:r>
            <w:r>
              <w:t xml:space="preserve">0,01%</w:t>
            </w:r>
            <w:r>
              <w:t xml:space="preserve">.</w:t>
            </w:r>
          </w:p>
          <w:p>
            <w:pPr>
              <w:pStyle w:val="IsiKotak"/>
            </w:pPr>
            <w:r>
              <w:rPr>
                <w:b/>
                <w:bCs/>
                <w:color w:val="1A1A1A"/>
              </w:rPr>
              <w:t xml:space="preserve">Angka kunci: </w:t>
            </w:r>
          </w:p>
          <w:p>
            <w:pPr>
              <w:pStyle w:val="DaftarKotak"/>
              <w:numPr>
                <w:ilvl w:val="0"/>
                <w:numId w:val="1"/>
              </w:numPr>
            </w:pPr>
            <w:r>
              <w:t xml:space="preserve">1.666</w:t>
            </w:r>
            <w:r>
              <w:t xml:space="preserve"> meninggal dan </w:t>
            </w:r>
            <w:r>
              <w:t xml:space="preserve">214</w:t>
            </w:r>
            <w:r>
              <w:t xml:space="preserve"> hilang akibat bencana pada 2025 menurut data terverifikasi Laporan Kinerja (LKIP) BNPB 2025 </w:t>
            </w:r>
            <w:r>
              <w:t xml:space="preserve">(BNPB, 2026c)</w:t>
            </w:r>
            <w:r>
              <w:t xml:space="preserve">, berdampingan dengan </w:t>
            </w:r>
            <w:r>
              <w:t xml:space="preserve">1.735</w:t>
            </w:r>
            <w:r>
              <w:t xml:space="preserve"> meninggal dan </w:t>
            </w:r>
            <w:r>
              <w:t xml:space="preserve">221</w:t>
            </w:r>
            <w:r>
              <w:t xml:space="preserve"> hilang akibat bencana alam menurut DIBI per 23 Oktober 2026 </w:t>
            </w:r>
            <w:r>
              <w:t xml:space="preserve">(BNPB, t.t.-a)</w:t>
            </w:r>
            <w:r>
              <w:t xml:space="preserve">.</w:t>
            </w:r>
          </w:p>
          <w:p>
            <w:pPr>
              <w:pStyle w:val="DaftarKotak"/>
              <w:numPr>
                <w:ilvl w:val="0"/>
                <w:numId w:val="1"/>
              </w:numPr>
            </w:pPr>
            <w:r>
              <w:t xml:space="preserve">24</w:t>
            </w:r>
            <w:r>
              <w:t xml:space="preserve"> dari </w:t>
            </w:r>
            <w:r>
              <w:t xml:space="preserve">39</w:t>
            </w:r>
            <w:r>
              <w:t xml:space="preserve"> sel fase dan jenis bencana tanpa program berbukti kuat atau sedang </w:t>
            </w:r>
            <w:r>
              <w:t xml:space="preserve">(Pantau Bencana, 2026d)</w:t>
            </w:r>
            <w:r>
              <w:t xml:space="preserve">.</w:t>
            </w:r>
          </w:p>
          <w:p>
            <w:pPr>
              <w:pStyle w:val="DaftarKotak"/>
              <w:numPr>
                <w:ilvl w:val="0"/>
                <w:numId w:val="1"/>
              </w:numPr>
            </w:pPr>
            <w:r>
              <w:t xml:space="preserve">6</w:t>
            </w:r>
            <w:r>
              <w:t xml:space="preserve"> peraturan pelaksana belum disahkan dan </w:t>
            </w:r>
            <w:r>
              <w:t xml:space="preserve">11</w:t>
            </w:r>
            <w:r>
              <w:t xml:space="preserve"> belum diinisiasi BNPB menurut Badan Pemeriksa Keuangan (BPK) </w:t>
            </w:r>
            <w:r>
              <w:t xml:space="preserve">(BPK, 2025)</w:t>
            </w:r>
            <w:r>
              <w:t xml:space="preserve">.</w:t>
            </w:r>
          </w:p>
          <w:p>
            <w:pPr>
              <w:pStyle w:val="IsiKotak"/>
            </w:pPr>
            <w:r>
              <w:rPr>
                <w:b/>
                <w:bCs/>
                <w:color w:val="1A1A1A"/>
              </w:rPr>
              <w:t xml:space="preserve">Rekomendasi: </w:t>
            </w:r>
            <w:r>
              <w:fldChar w:fldCharType="begin"/>
            </w:r>
            <w:r>
              <w:instrText xml:space="preserve"> REF _Ref0073 \h \* CHARFORMAT </w:instrText>
            </w:r>
            <w:r>
              <w:fldChar w:fldCharType="separate"/>
            </w:r>
            <w:r>
              <w:t xml:space="preserve">05</w:t>
            </w:r>
            <w:r>
              <w:fldChar w:fldCharType="end"/>
            </w:r>
            <w:r>
              <w:t xml:space="preserve">, </w:t>
            </w:r>
            <w:r>
              <w:fldChar w:fldCharType="begin"/>
            </w:r>
            <w:r>
              <w:instrText xml:space="preserve"> REF _Ref0074 \h \* CHARFORMAT </w:instrText>
            </w:r>
            <w:r>
              <w:fldChar w:fldCharType="separate"/>
            </w:r>
            <w:r>
              <w:t xml:space="preserve">06</w:t>
            </w:r>
            <w:r>
              <w:fldChar w:fldCharType="end"/>
            </w:r>
            <w:r>
              <w:t xml:space="preserve">, </w:t>
            </w:r>
            <w:r>
              <w:fldChar w:fldCharType="begin"/>
            </w:r>
            <w:r>
              <w:instrText xml:space="preserve"> REF _Ref0086 \h \* CHARFORMAT </w:instrText>
            </w:r>
            <w:r>
              <w:fldChar w:fldCharType="separate"/>
            </w:r>
            <w:r>
              <w:t xml:space="preserve">10</w:t>
            </w:r>
            <w:r>
              <w:fldChar w:fldCharType="end"/>
            </w:r>
            <w:r>
              <w:t xml:space="preserve">, </w:t>
            </w:r>
            <w:r>
              <w:fldChar w:fldCharType="begin"/>
            </w:r>
            <w:r>
              <w:instrText xml:space="preserve"> REF _Ref0088 \h \* CHARFORMAT </w:instrText>
            </w:r>
            <w:r>
              <w:fldChar w:fldCharType="separate"/>
            </w:r>
            <w:r>
              <w:t xml:space="preserve">14</w:t>
            </w:r>
            <w:r>
              <w:fldChar w:fldCharType="end"/>
            </w:r>
            <w:r>
              <w:t xml:space="preserve">, </w:t>
            </w:r>
            <w:r>
              <w:fldChar w:fldCharType="begin"/>
            </w:r>
            <w:r>
              <w:instrText xml:space="preserve"> REF _Ref0089 \h \* CHARFORMAT </w:instrText>
            </w:r>
            <w:r>
              <w:fldChar w:fldCharType="separate"/>
            </w:r>
            <w:r>
              <w:t xml:space="preserve">35</w:t>
            </w:r>
            <w:r>
              <w:fldChar w:fldCharType="end"/>
            </w:r>
            <w:r>
              <w:t xml:space="preserve">; daftar lengkap di </w:t>
            </w:r>
            <w:r>
              <w:t xml:space="preserve">Subbab </w:t>
            </w:r>
            <w:r>
              <w:fldChar w:fldCharType="begin"/>
            </w:r>
            <w:r>
              <w:instrText xml:space="preserve"> REF _Ref0203 \h \* CHARFORMAT </w:instrText>
            </w:r>
            <w:r>
              <w:fldChar w:fldCharType="separate"/>
            </w:r>
            <w:r>
              <w:t xml:space="preserve">13.3</w:t>
            </w:r>
            <w:r>
              <w:fldChar w:fldCharType="end"/>
            </w:r>
            <w:r>
              <w:t xml:space="preserve"> dan </w:t>
            </w:r>
            <w:r>
              <w:t xml:space="preserve">Subbab </w:t>
            </w:r>
            <w:r>
              <w:fldChar w:fldCharType="begin"/>
            </w:r>
            <w:r>
              <w:instrText xml:space="preserve"> REF _Ref0204 \h \* CHARFORMAT </w:instrText>
            </w:r>
            <w:r>
              <w:fldChar w:fldCharType="separate"/>
            </w:r>
            <w:r>
              <w:t xml:space="preserve">13.4</w:t>
            </w:r>
            <w:r>
              <w:fldChar w:fldCharType="end"/>
            </w:r>
            <w:r>
              <w:t xml:space="preserve">.</w:t>
            </w:r>
          </w:p>
        </w:tc>
      </w:tr>
    </w:tbl>
    <w:p>
      <w:pPr>
        <w:pStyle w:val="Jarak"/>
      </w:pPr>
    </w:p>
    <w:p>
      <w:pPr>
        <w:pStyle w:val="Caption"/>
      </w:pPr>
      <w:bookmarkStart w:id="771" w:name="_Toc00251"/>
      <w:bookmarkStart w:id="770" w:name="_Ref003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770"/>
      <w:r>
        <w:rPr>
          <w:b/>
          <w:bCs/>
          <w:color w:val="051C2C"/>
        </w:rPr>
        <w:t xml:space="preserve"> </w:t>
      </w:r>
      <w:r>
        <w:t xml:space="preserve">Asap dari bara di dalam lahan gambut yang terbakar, Taman Nasional Sebangau, Kalimantan Tengah, 2019</w:t>
      </w:r>
      <w:bookmarkEnd w:id="771"/>
    </w:p>
    <w:p xmlns:a="http://schemas.openxmlformats.org/drawingml/2006/main" xmlns:pic="http://schemas.openxmlformats.org/drawingml/2006/picture">
      <w:pPr>
        <w:keepNext/>
        <w:spacing w:after="0" w:line="240" w:lineRule="auto"/>
        <w:jc w:val="center"/>
      </w:pPr>
      <w:bookmarkStart w:id="772" w:name="_Obj0071"/>
      <w:r>
        <w:drawing>
          <wp:inline distT="0" distB="0" distL="0" distR="0">
            <wp:extent cx="5940000" cy="2970000"/>
            <wp:effectExtent l="0" t="0" r="0" b="0"/>
            <wp:docPr id="217" name="Gambar 217"/>
            <wp:cNvGraphicFramePr>
              <a:graphicFrameLocks noChangeAspect="1"/>
            </wp:cNvGraphicFramePr>
            <a:graphic>
              <a:graphicData uri="http://schemas.openxmlformats.org/drawingml/2006/picture">
                <pic:pic>
                  <pic:nvPicPr>
                    <pic:cNvPr id="217" name="mit-b13-gambut.jpg"/>
                    <pic:cNvPicPr/>
                  </pic:nvPicPr>
                  <pic:blipFill>
                    <a:blip r:embed="rId101"/>
                    <a:stretch>
                      <a:fillRect/>
                    </a:stretch>
                  </pic:blipFill>
                  <pic:spPr>
                    <a:xfrm>
                      <a:off x="0" y="0"/>
                      <a:ext cx="5940000" cy="2970000"/>
                    </a:xfrm>
                    <a:prstGeom prst="rect">
                      <a:avLst/>
                    </a:prstGeom>
                  </pic:spPr>
                </pic:pic>
              </a:graphicData>
            </a:graphic>
          </wp:inline>
        </w:drawing>
      </w:r>
      <w:bookmarkEnd w:id="772"/>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Heading2"/>
      </w:pPr>
      <w:bookmarkStart w:id="774" w:name="_Toc00252"/>
      <w:bookmarkStart w:id="773" w:name="_Ref0164"/>
      <w:r>
        <w:t xml:space="preserve">13.1</w:t>
      </w:r>
      <w:bookmarkEnd w:id="773"/>
      <w:r>
        <w:tab/>
      </w:r>
      <w:r>
        <w:t xml:space="preserve">Kesimpulan</w:t>
      </w:r>
      <w:bookmarkEnd w:id="774"/>
    </w:p>
    <w:p>
      <w:pPr>
        <w:pStyle w:val="Isi"/>
      </w:pPr>
      <w:r>
        <w:t xml:space="preserve">Tesis kajian ini bertumpu pada DIBI BNPB dan sumber resmi lain. </w:t>
      </w:r>
      <w:r>
        <w:t xml:space="preserve">Pada 2025 DIBI mencatat 1.735 korban meninggal dan 221 hilang akibat bencana alam, tertinggi sejak 2018, dengan 1.202 meninggal dan 140 hilang dalam satu rangkaian banjir dan longsor di Aceh, Sumatera Utara, dan Sumatera Barat pada akhir November 2025; Grand Design 2026–2030 menetapkan indikator korban Renas PB 1.a dan 1.b, yang langsung terukur dari DIBI, sebagai sasaran utama sampai catatan metode IRBI 2025 diterbitkan.</w:t>
      </w:r>
    </w:p>
    <w:p>
      <w:pPr>
        <w:pStyle w:val="IsiTemuan"/>
      </w:pPr>
      <w:r>
        <w:rPr>
          <w:b/>
          <w:bCs/>
          <w:color w:val="051C2C"/>
        </w:rPr>
        <w:t xml:space="preserve">Delapan kesimpulan berangka tentang bencana Indonesia 2015–2026 menopang tesis itu, dan masing-masing berujung pada satu keputusan atau rekomendasi (</w:t>
      </w:r>
      <w:r>
        <w:rPr>
          <w:b/>
          <w:bCs/>
          <w:color w:val="051C2C"/>
        </w:rPr>
        <w:fldChar w:fldCharType="begin"/>
      </w:r>
      <w:r>
        <w:rPr>
          <w:b/>
          <w:bCs/>
          <w:color w:val="051C2C"/>
        </w:rPr>
        <w:instrText xml:space="preserve"> REF _Ref0303 \h \* CHARFORMAT </w:instrText>
      </w:r>
      <w:r>
        <w:rPr>
          <w:b/>
          <w:bCs/>
          <w:color w:val="051C2C"/>
        </w:rPr>
        <w:fldChar w:fldCharType="separate"/>
      </w:r>
      <w:r>
        <w:rPr>
          <w:b/>
          <w:bCs/>
          <w:color w:val="051C2C"/>
        </w:rPr>
        <w:t xml:space="preserve">Tabel 13.1</w:t>
      </w:r>
      <w:r>
        <w:rPr>
          <w:b/>
          <w:bCs/>
          <w:color w:val="051C2C"/>
        </w:rPr>
        <w:fldChar w:fldCharType="end"/>
      </w:r>
      <w:r>
        <w:rPr>
          <w:b/>
          <w:bCs/>
          <w:color w:val="051C2C"/>
        </w:rPr>
        <w:t xml:space="preserve">).</w:t>
      </w:r>
      <w:r>
        <w:t xml:space="preserve"> Angka DIBI ditarik 23 Oktober 2026 dan angka 2026 masih sementara </w:t>
      </w:r>
      <w:r>
        <w:t xml:space="preserve">(BNPB, t.t.-a)</w:t>
      </w:r>
      <w:r>
        <w:t xml:space="preserve">. LKIP BNPB 2025, yang terbit Februari 2026 dari data terverifikasi, mencatat </w:t>
      </w:r>
      <w:r>
        <w:t xml:space="preserve">1.666</w:t>
      </w:r>
      <w:r>
        <w:t xml:space="preserve"> meninggal dan </w:t>
      </w:r>
      <w:r>
        <w:t xml:space="preserve">214</w:t>
      </w:r>
      <w:r>
        <w:t xml:space="preserve"> hilang untuk tahun yang sama </w:t>
      </w:r>
      <w:r>
        <w:t xml:space="preserve">(BNPB, 2026c)</w:t>
      </w:r>
      <w:r>
        <w:t xml:space="preserve">. Kedua angka resmi itu sama-sama tertinggi sejak 2018. Selisihnya belum dapat dijelaskan dari bahan kajian dan menjadi permintaan data kepada Pusat Data, Informasi, dan Komunikasi Kebencanaan (</w:t>
      </w:r>
      <w:r>
        <w:fldChar w:fldCharType="begin"/>
      </w:r>
      <w:r>
        <w:instrText xml:space="preserve"> REF _Ref0229 \h \* CHARFORMAT </w:instrText>
      </w:r>
      <w:r>
        <w:fldChar w:fldCharType="separate"/>
      </w:r>
      <w:r>
        <w:t xml:space="preserve">Tabel 13.7</w:t>
      </w:r>
      <w:r>
        <w:fldChar w:fldCharType="end"/>
      </w:r>
      <w:r>
        <w:t xml:space="preserve">).</w:t>
      </w:r>
    </w:p>
    <w:p>
      <w:pPr>
        <w:pStyle w:val="Caption"/>
      </w:pPr>
      <w:bookmarkStart w:id="776" w:name="_Toc00253"/>
      <w:bookmarkStart w:id="775" w:name="_Ref030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75"/>
      <w:r>
        <w:rPr>
          <w:b/>
          <w:bCs/>
          <w:color w:val="051C2C"/>
        </w:rPr>
        <w:t xml:space="preserve"> </w:t>
      </w:r>
      <w:r>
        <w:t xml:space="preserve">Kisi kesimpulan Grand Design Mitigasi Bencana Indonesia, 2015–2026</w:t>
      </w:r>
      <w:bookmarkEnd w:id="77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670"/>
        <w:gridCol w:w="1695"/>
        <w:gridCol w:w="3295"/>
        <w:gridCol w:w="1694"/>
      </w:tblGrid>
      <w:tr>
        <w:trPr>
          <w:cantSplit/>
          <w:tblHeader/>
        </w:trPr>
        <w:tc>
          <w:tcPr>
            <w:tcW w:w="2670" w:type="dxa"/>
            <w:shd w:val="clear" w:color="auto" w:fill="051C2C"/>
            <w:vAlign w:val="center"/>
          </w:tcPr>
          <w:p>
            <w:pPr>
              <w:pStyle w:val="KepalaTabel"/>
              <w:keepNext/>
              <w:suppressAutoHyphens/>
            </w:pPr>
            <w:r>
              <w:t xml:space="preserve">BENCANA, SKENARIO, DAN WILAYAH</w:t>
            </w:r>
          </w:p>
        </w:tc>
        <w:tc>
          <w:tcPr>
            <w:tcW w:w="1695" w:type="dxa"/>
            <w:shd w:val="clear" w:color="auto" w:fill="051C2C"/>
            <w:vAlign w:val="center"/>
          </w:tcPr>
          <w:p>
            <w:pPr>
              <w:pStyle w:val="KepalaTabel"/>
              <w:keepNext/>
              <w:suppressAutoHyphens/>
            </w:pPr>
            <w:r>
              <w:t xml:space="preserve">KEYAKINAN</w:t>
            </w:r>
          </w:p>
        </w:tc>
        <w:tc>
          <w:tcPr>
            <w:tcW w:w="3295" w:type="dxa"/>
            <w:shd w:val="clear" w:color="auto" w:fill="051C2C"/>
            <w:vAlign w:val="center"/>
          </w:tcPr>
          <w:p>
            <w:pPr>
              <w:pStyle w:val="KepalaTabel"/>
              <w:keepNext/>
              <w:suppressAutoHyphens/>
            </w:pPr>
            <w:r>
              <w:t xml:space="preserve">KAPASITAS, TARGET, NORMA, DAN BUKTI</w:t>
            </w:r>
          </w:p>
        </w:tc>
        <w:tc>
          <w:tcPr>
            <w:tcW w:w="1694" w:type="dxa"/>
            <w:shd w:val="clear" w:color="auto" w:fill="051C2C"/>
            <w:vAlign w:val="center"/>
          </w:tcPr>
          <w:p>
            <w:pPr>
              <w:pStyle w:val="KepalaTabel"/>
              <w:keepNext/>
              <w:suppressAutoHyphens/>
            </w:pPr>
            <w:r>
              <w:t xml:space="preserve">KEYAKINAN</w:t>
            </w:r>
          </w:p>
        </w:tc>
      </w:tr>
      <w:tr>
        <w:trPr>
          <w:cantSplit/>
        </w:trPr>
        <w:tc>
          <w:tcPr>
            <w:tcW w:w="2670" w:type="dxa"/>
          </w:tcPr>
          <w:p>
            <w:pPr>
              <w:pStyle w:val="IsiTabel"/>
              <w:keepNext/>
              <w:suppressAutoHyphens/>
              <w:jc w:val="left"/>
            </w:pPr>
            <w:bookmarkStart w:id="777" w:name="_Ekor089a"/>
            <w:bookmarkEnd w:id="777"/>
            <w:r>
              <w:t xml:space="preserve">1.735</w:t>
            </w:r>
            <w:r>
              <w:t xml:space="preserve"> meninggal dan </w:t>
            </w:r>
            <w:r>
              <w:t xml:space="preserve">221</w:t>
            </w:r>
            <w:r>
              <w:t xml:space="preserve"> hilang akibat bencana alam pada 2025 (LKIP BNPB 2025: </w:t>
            </w:r>
            <w:r>
              <w:t xml:space="preserve">1.666</w:t>
            </w:r>
            <w:r>
              <w:t xml:space="preserve"> dan </w:t>
            </w:r>
            <w:r>
              <w:t xml:space="preserve">214</w:t>
            </w:r>
            <w:r>
              <w:t xml:space="preserve">), </w:t>
            </w:r>
            <w:r>
              <w:t xml:space="preserve">3,1</w:t>
            </w:r>
            <w:r>
              <w:t xml:space="preserve"> kali proyeksi Renas PB 1.a untuk bencana alam dan </w:t>
            </w:r>
            <w:r>
              <w:t xml:space="preserve">3,6</w:t>
            </w:r>
            <w:r>
              <w:t xml:space="preserve"> kali untuk semua klasifikasi. IRB nasional </w:t>
            </w:r>
            <w:r>
              <w:t xml:space="preserve">turun 10,76%</w:t>
            </w:r>
            <w:r>
              <w:t xml:space="preserve"> pada 2019–2024, dan IRB 2025 turun </w:t>
            </w:r>
            <w:r>
              <w:t xml:space="preserve">1,03%</w:t>
            </w:r>
            <w:r>
              <w:t xml:space="preserve"> terhadap target </w:t>
            </w:r>
            <w:r>
              <w:t xml:space="preserve">1,2%</w:t>
            </w:r>
            <w:r>
              <w:t xml:space="preserve">. Capaian indeks tidak memberi tahu apakah korban turun, sehingga sasaran utama 2026–2029 adalah indikator korban Renas PB 1.a dan Renas PB 1.b yang terukur dari DIBI (Temuan A.1; Bab 1, Bab 4, dan Bab 5).</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295" w:type="dxa"/>
          </w:tcPr>
          <w:p>
            <w:pPr>
              <w:pStyle w:val="IsiTabel"/>
              <w:keepNext/>
              <w:suppressAutoHyphens/>
              <w:jc w:val="left"/>
            </w:pPr>
            <w:r>
              <w:t xml:space="preserve">50%</w:t>
            </w:r>
            <w:r>
              <w:t xml:space="preserve"> provinsi berkapasitas minimal sedang pada 2025 menurut Manual Indikator Kinerja Utama (IKU), terhadap target </w:t>
            </w:r>
            <w:r>
              <w:t xml:space="preserve">67%</w:t>
            </w:r>
            <w:r>
              <w:t xml:space="preserve"> dan baseline RPJMN </w:t>
            </w:r>
            <w:r>
              <w:t xml:space="preserve">62%</w:t>
            </w:r>
            <w:r>
              <w:t xml:space="preserve"> (2023). Penyebut kab/kota memberi </w:t>
            </w:r>
            <w:r>
              <w:t xml:space="preserve">56,2%</w:t>
            </w:r>
            <w:r>
              <w:t xml:space="preserve"> menurut Indeks Ketahanan Daerah (IKD) 2025 dan </w:t>
            </w:r>
            <w:r>
              <w:t xml:space="preserve">38,0%</w:t>
            </w:r>
            <w:r>
              <w:t xml:space="preserve"> menurut kelas kapasitas Kajian Risiko Bencana (KRB) 2022–2026. Jarak ke sasaran </w:t>
            </w:r>
            <w:r>
              <w:t xml:space="preserve">90%</w:t>
            </w:r>
            <w:r>
              <w:t xml:space="preserve"> pada 2029 bergantung pada penyebut yang dipilih Kepala BNPB (Temuan B.2; Bab 5, Bab 10, dan Bab 11).</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670" w:type="dxa"/>
          </w:tcPr>
          <w:p>
            <w:pPr>
              <w:pStyle w:val="IsiTabel"/>
              <w:keepNext/>
              <w:suppressAutoHyphens/>
              <w:jc w:val="left"/>
            </w:pPr>
            <w:r>
              <w:t xml:space="preserve">1.692</w:t>
            </w:r>
            <w:r>
              <w:t xml:space="preserve"> meninggal dan hilang pada musim hujan 2025/2026, lantai nasional; pita model La Niña </w:t>
            </w:r>
            <w:r>
              <w:t xml:space="preserve">520–1.200 jiwa</w:t>
            </w:r>
            <w:r>
              <w:t xml:space="preserve"> (estimasi model, belum diuji balik). Awal musim 2026/2027 mundur di </w:t>
            </w:r>
            <w:r>
              <w:t xml:space="preserve">529 ZOM</w:t>
            </w:r>
            <w:r>
              <w:t xml:space="preserve"> (</w:t>
            </w:r>
            <w:r>
              <w:t xml:space="preserve">61,08%</w:t>
            </w:r>
            <w:r>
              <w:t xml:space="preserve"> luas daratan). Rencana Aksi Musim Hujan 2026/2027 tidak memakai skenario di bawah lantai; tiga musim selama El Niño kuat (</w:t>
            </w:r>
            <w:r>
              <w:t xml:space="preserve">199</w:t>
            </w:r>
            <w:r>
              <w:t xml:space="preserve"> sampai </w:t>
            </w:r>
            <w:r>
              <w:t xml:space="preserve">373</w:t>
            </w:r>
            <w:r>
              <w:t xml:space="preserve"> meninggal dan hilang) adalah ekspektasi, bukan skenario terburuk (Temuan A.2; Bab 7 dan Bab 11).</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295" w:type="dxa"/>
          </w:tcPr>
          <w:p>
            <w:pPr>
              <w:pStyle w:val="IsiTabel"/>
              <w:keepNext/>
              <w:suppressAutoHyphens/>
              <w:jc w:val="left"/>
            </w:pPr>
            <w:r>
              <w:t xml:space="preserve">Target IKP peringatan dini Rencana Strategis (Renstra) BNPB naik </w:t>
            </w:r>
            <w:r>
              <w:t xml:space="preserve">0,22</w:t>
            </w:r>
            <w:r>
              <w:t xml:space="preserve"> poin persen ke </w:t>
            </w:r>
            <w:r>
              <w:t xml:space="preserve">6,32%</w:t>
            </w:r>
            <w:r>
              <w:t xml:space="preserve">, sedangkan Renas PB 1.c naik </w:t>
            </w:r>
            <w:r>
              <w:t xml:space="preserve">4,7</w:t>
            </w:r>
            <w:r>
              <w:t xml:space="preserve"> kali ke </w:t>
            </w:r>
            <w:r>
              <w:t xml:space="preserve">52.000 per 100.000 penduduk</w:t>
            </w:r>
            <w:r>
              <w:t xml:space="preserve">. IKP </w:t>
            </w:r>
            <w:r>
              <w:t xml:space="preserve">6,10%</w:t>
            </w:r>
            <w:r>
              <w:t xml:space="preserve"> adalah rerata cakupan tsunami dan banjir, sehingga target 2029 dapat tercapai tanpa kemajuan cakupan banjir; penyelarasan hanya lewat jalur berkala Renas PB dan evaluasi tahun ketiga Renstra (Temuan C.1; Bab 10 dan Bab 11).</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670" w:type="dxa"/>
          </w:tcPr>
          <w:p>
            <w:pPr>
              <w:pStyle w:val="IsiTabel"/>
              <w:keepNext/>
              <w:suppressAutoHyphens/>
              <w:jc w:val="left"/>
            </w:pPr>
            <w:r>
              <w:t xml:space="preserve">5</w:t>
            </w:r>
            <w:r>
              <w:t xml:space="preserve"> dari </w:t>
            </w:r>
            <w:r>
              <w:t xml:space="preserve">15</w:t>
            </w:r>
            <w:r>
              <w:t xml:space="preserve"> jenis bencana berkelas dampak tertinggi pada aspek kependudukan, dan lima kejadian menyumbang </w:t>
            </w:r>
            <w:r>
              <w:t xml:space="preserve">60,6%</w:t>
            </w:r>
            <w:r>
              <w:t xml:space="preserve"> korban meninggal bencana alam 2015–2025. Megathrust Jawa Mw </w:t>
            </w:r>
            <w:r>
              <w:t xml:space="preserve">9,1</w:t>
            </w:r>
            <w:r>
              <w:t xml:space="preserve"> berpeluang lima tahun </w:t>
            </w:r>
            <w:r>
              <w:t xml:space="preserve">0,83%</w:t>
            </w:r>
            <w:r>
              <w:t xml:space="preserve">, di atas ambang penyisihan, tetapi rencana kontinjensi megathrust nasional tidak ditemukan dan korban tsunami belum dapat dihitung dari genangan resmi (Temuan A.3; Bab 5, Bab 6, Bab 8, dan Bab 9).</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295" w:type="dxa"/>
          </w:tcPr>
          <w:p>
            <w:pPr>
              <w:pStyle w:val="IsiTabel"/>
              <w:keepNext/>
              <w:suppressAutoHyphens/>
              <w:jc w:val="left"/>
            </w:pPr>
            <w:r>
              <w:t xml:space="preserve">Peraturan Presiden tentang penetapan status dan tingkatan bencana belum ada menurut BPK, pertimbangan Putusan Mahkamah Konstitusi (MK) 261/PUU-XXIII/2025, dan keterangan Pemerintah, padahal MK menempatkan jumlah korban sebagai indikator yang wajib dipenuhi. BPK mencatat </w:t>
            </w:r>
            <w:r>
              <w:t xml:space="preserve">6</w:t>
            </w:r>
            <w:r>
              <w:t xml:space="preserve"> peraturan pelaksana belum disahkan dan </w:t>
            </w:r>
            <w:r>
              <w:t xml:space="preserve">11</w:t>
            </w:r>
            <w:r>
              <w:t xml:space="preserve"> belum diinisiasi. Pedoman Perpres 46/2026 dan perubahan Renas PB tidak ada di Program Penyusunan Peraturan (Progsun) 2026, sehingga izin prakarsa Kepala BNPB menjadi jalur tercepat (Temuan C.2; Bab 10 dan Bab 12).</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670" w:type="dxa"/>
          </w:tcPr>
          <w:p>
            <w:pPr>
              <w:pStyle w:val="IsiTabel"/>
              <w:keepNext/>
              <w:suppressAutoHyphens/>
              <w:jc w:val="left"/>
            </w:pPr>
            <w:bookmarkStart w:id="778" w:name="_Ekor089z"/>
            <w:bookmarkEnd w:id="778"/>
            <w:r>
              <w:t xml:space="preserve">169</w:t>
            </w:r>
            <w:r>
              <w:t xml:space="preserve"> kab/kota berstatus Tinggi pada IRBI 2025, </w:t>
            </w:r>
            <w:r>
              <w:t xml:space="preserve">37</w:t>
            </w:r>
            <w:r>
              <w:t xml:space="preserve"> di Papua dan </w:t>
            </w:r>
            <w:r>
              <w:t xml:space="preserve">19</w:t>
            </w:r>
            <w:r>
              <w:t xml:space="preserve"> di Maluku, sedangkan </w:t>
            </w:r>
            <w:r>
              <w:t xml:space="preserve">47,2%</w:t>
            </w:r>
            <w:r>
              <w:t xml:space="preserve"> kejadian tercatat 2015–2025 berada di Jawa; korelasi peringkat keduanya </w:t>
            </w:r>
            <w:r>
              <w:t xml:space="preserve">-0,38</w:t>
            </w:r>
            <w:r>
              <w:t xml:space="preserve">. Lokus prioritas Renas PB hanya memuat kab/kota tempat </w:t>
            </w:r>
            <w:r>
              <w:t xml:space="preserve">32,0%</w:t>
            </w:r>
            <w:r>
              <w:t xml:space="preserve"> korban Sumatra 2025 tercatat. Penempatan program memakai dua ukuran berdampingan dan aturan syarat, dan lokus dapat dilengkapi lewat jalur pengendalian Renas PB (Temuan B.1; Bab 5 dan Bab 12).</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295" w:type="dxa"/>
          </w:tcPr>
          <w:p>
            <w:pPr>
              <w:pStyle w:val="IsiTabel"/>
              <w:keepNext/>
              <w:suppressAutoHyphens/>
              <w:jc w:val="left"/>
            </w:pPr>
            <w:r>
              <w:t xml:space="preserve">24</w:t>
            </w:r>
            <w:r>
              <w:t xml:space="preserve"> dari </w:t>
            </w:r>
            <w:r>
              <w:t xml:space="preserve">39</w:t>
            </w:r>
            <w:r>
              <w:t xml:space="preserve"> sel fase dan jenis tanpa program berbukti kuat atau sedang, termasuk </w:t>
            </w:r>
            <w:r>
              <w:t xml:space="preserve">12</w:t>
            </w:r>
            <w:r>
              <w:t xml:space="preserve"> sel nonalam dan sosial tanpa program; bila program luar negeri tidak dihitung, </w:t>
            </w:r>
            <w:r>
              <w:t xml:space="preserve">28</w:t>
            </w:r>
            <w:r>
              <w:t xml:space="preserve"> sel hanya berisi aksi wajib menurut peraturan. Tidak satu pun program dalam negeri berbukti kuat, sehingga Desa Tangguh Bencana (Destana), Satuan Pendidikan Aman Bencana (SPAB), dan InaTEWS diberi evaluasi dampak, bukan klaim keberhasilan (Temuan C.3; Bab 10 dan Bab 11).</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LKIP BNPB 2025; IRBI BNPB; Renas PB 2025–2029; Renstra BNPB 2025–2029; RPJMN 2025–2029; KRB 2022–2026; BMKG; PuSGeN 2024; BPK IHPS II 2024; paket program-terbukti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Angka tercatat ditulis lebih dulu; pita model La Niña berlabel estimasi model dan hanya tampil di samping lantai tercatat; kelas dampak dan peluang lima tahun berlabel asumsi kebijakan karena ambangnya belum dikunci; angka 2026 sementara.</w:t>
      </w:r>
    </w:p>
    <w:p>
      <w:pPr>
        <w:pStyle w:val="Heading2"/>
      </w:pPr>
      <w:bookmarkStart w:id="780" w:name="_Toc00254"/>
      <w:bookmarkStart w:id="779" w:name="_Ref0159"/>
      <w:r>
        <w:t xml:space="preserve">13.2</w:t>
      </w:r>
      <w:bookmarkEnd w:id="779"/>
      <w:r>
        <w:tab/>
      </w:r>
      <w:r>
        <w:t xml:space="preserve">Keputusan yang Diminta dari Kepala BNPB</w:t>
      </w:r>
      <w:bookmarkEnd w:id="780"/>
    </w:p>
    <w:p>
      <w:pPr>
        <w:pStyle w:val="Isi"/>
      </w:pPr>
      <w:r>
        <w:t xml:space="preserve">Tiga keputusan yang diminta (KD) menyangkut dokumen yang ditetapkan Kepala BNPB sendiri atau jalur yang hanya dapat diwakilinya. Renas PB ditetapkan Kepala BNPB menurut Perpres 87/2020 Pasal 4 ayat (2) sebagai Perban BNPB 1/2025, ditinjau berkala tiap dua tahun dan sewaktu-waktu bila terjadi bencana (Pasal 7 ayat (1) dan ayat (2)) </w:t>
      </w:r>
      <w:r>
        <w:t xml:space="preserve">(Republik Indonesia, 2020f; BNPB, 2025c)</w:t>
      </w:r>
      <w:r>
        <w:t xml:space="preserve">. Perubahan Rencana Strategis (Renstra) BNPB (Perban BNPB 5/2025) wajib konsisten dengan Rencana Pembangunan Jangka Menengah Nasional (RPJMN) dan disetujui Kementerian PPN/Bappenas setelah Pertemuan Dua Pihak </w:t>
      </w:r>
      <w:r>
        <w:t xml:space="preserve">(Republik Indonesia, 2025d, Pasal 22 dan Pasal 26–29)</w:t>
      </w:r>
      <w:r>
        <w:t xml:space="preserve">. Rancangan peraturan di luar Program Penyusunan Peraturan (Progsun) dapat disusun setelah izin prakarsa Kepala BNPB (Perka BNPB 6/2014 Pasal 8 ayat (2)); Perka itu sendiri dijadwalkan diubah dalam Progsun 2026, sehingga jalur ini berlaku sampai perubahannya ditetapkan </w:t>
      </w:r>
      <w:r>
        <w:t xml:space="preserve">(BNPB, 2014b, 2025b)</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KD-1. Menetapkan kajian ini sebagai masukan peninjauan Renas PB 2025–2029 dan menetapkan hari ke-0 peta jalan.</w:t>
            </w:r>
          </w:p>
          <w:p>
            <w:pPr>
              <w:pStyle w:val="DaftarKotak"/>
              <w:numPr>
                <w:ilvl w:val="1"/>
                <w:numId w:val="1"/>
              </w:numPr>
            </w:pPr>
            <w:r>
              <w:t xml:space="preserve">Bila ditetapkan dalam November 2026, kaji ulang rencana kontinjensi banjir dan longsor berjalan sebelum puncak Januari–Februari 2027 di Jawa, Bali, Nusa Tenggara, dan Papua. Wilayah yang memuncak Desember 2026 di </w:t>
            </w:r>
            <w:r>
              <w:t xml:space="preserve">155 ZOM</w:t>
            </w:r>
            <w:r>
              <w:t xml:space="preserve">, terutama sebagian besar Sumatera dan Kalimantan, didahulukan. Hari ke-100 jatuh antara </w:t>
            </w:r>
            <w:r>
              <w:t xml:space="preserve">9 Februari 2027</w:t>
            </w:r>
            <w:r>
              <w:t xml:space="preserve"> dan </w:t>
            </w:r>
            <w:r>
              <w:t xml:space="preserve">10 Maret 2027</w:t>
            </w:r>
            <w:r>
              <w:t xml:space="preserve">. Usulan perubahan target Renas PB tiba untuk evaluasi tahunan 2026 dan perubahan berkala yang paling lambat </w:t>
            </w:r>
            <w:r>
              <w:t xml:space="preserve">2027</w:t>
            </w:r>
            <w:r>
              <w:t xml:space="preserve">.</w:t>
            </w:r>
          </w:p>
          <w:p>
            <w:pPr>
              <w:pStyle w:val="DaftarKotak"/>
              <w:numPr>
                <w:ilvl w:val="1"/>
                <w:numId w:val="1"/>
              </w:numPr>
            </w:pPr>
            <w:r>
              <w:t xml:space="preserve">Bila ditunda, hari ke-0 makin dekat atau melewati puncak Desember di Sumatera dan Kalimantan, sehingga kaji ulang rencana kontinjensi di sana jatuh di tengah musim. Sesudah </w:t>
            </w:r>
            <w:r>
              <w:t xml:space="preserve">2027</w:t>
            </w:r>
            <w:r>
              <w:t xml:space="preserve"> perubahan Renas PB hanya lewat jalur bencana sampai </w:t>
            </w:r>
            <w:r>
              <w:t xml:space="preserve">2028</w:t>
            </w:r>
            <w:r>
              <w:t xml:space="preserve"> dan terbatas pada program dan kegiatan, sehingga perubahan target peringatan dini dan baseline IRB tidak lagi dapat masuk Renas PB periode ini. Jalur pengendalian untuk saran perubahan lokasi tetap terbuka.</w:t>
            </w:r>
          </w:p>
          <w:p>
            <w:pPr>
              <w:pStyle w:val="DaftarKotak"/>
              <w:numPr>
                <w:ilvl w:val="0"/>
                <w:numId w:val="1"/>
              </w:numPr>
            </w:pPr>
            <w:r>
              <w:t xml:space="preserve">KD-2. Menyelaraskan target cakupan peringatan dini antara Renstra BNPB dan Renas PB.</w:t>
            </w:r>
          </w:p>
          <w:p>
            <w:pPr>
              <w:pStyle w:val="DaftarKotak"/>
              <w:numPr>
                <w:ilvl w:val="1"/>
                <w:numId w:val="1"/>
              </w:numPr>
            </w:pPr>
            <w:r>
              <w:t xml:space="preserve">Bila rumus dan target IKP Renstra direvisi menjadi porsi penduduk terpapar yang tercakup untuk lebih dari dua jenis, mendekati lintasan Renas PB 1.c, capaian 2025 yang dihitung tertimbang untuk dua jenis yang sama turun dari </w:t>
            </w:r>
            <w:r>
              <w:t xml:space="preserve">6,10%</w:t>
            </w:r>
            <w:r>
              <w:t xml:space="preserve"> ke </w:t>
            </w:r>
            <w:r>
              <w:t xml:space="preserve">0,56%</w:t>
            </w:r>
            <w:r>
              <w:t xml:space="preserve">. Karena itu angka target ditetapkan ulang dari rumus baru. Usulan diajukan atas evaluasi tahun ketiga Renstra (</w:t>
            </w:r>
            <w:r>
              <w:t xml:space="preserve">2027</w:t>
            </w:r>
            <w:r>
              <w:t xml:space="preserve">) dan wajib konsisten dengan RPJMN </w:t>
            </w:r>
            <w:r>
              <w:t xml:space="preserve">6,32%</w:t>
            </w:r>
            <w:r>
              <w:t xml:space="preserve"> pada 2029; definisi tercakup dan baseline per daerah belum ada.</w:t>
            </w:r>
          </w:p>
          <w:p>
            <w:pPr>
              <w:pStyle w:val="DaftarKotak"/>
              <w:numPr>
                <w:ilvl w:val="1"/>
                <w:numId w:val="1"/>
              </w:numPr>
            </w:pPr>
            <w:r>
              <w:t xml:space="preserve">Bila IKP Renstra dipertahankan, target naik </w:t>
            </w:r>
            <w:r>
              <w:t xml:space="preserve">0,22</w:t>
            </w:r>
            <w:r>
              <w:t xml:space="preserve"> poin persen dan dapat tercapai lewat sekitar </w:t>
            </w:r>
            <w:r>
              <w:t xml:space="preserve">23.600</w:t>
            </w:r>
            <w:r>
              <w:t xml:space="preserve"> jiwa tambahan di cakupan tsunami tanpa kemajuan cakupan banjir (</w:t>
            </w:r>
            <w:r>
              <w:t xml:space="preserve">10.800</w:t>
            </w:r>
            <w:r>
              <w:t xml:space="preserve"> dari </w:t>
            </w:r>
            <w:r>
              <w:t xml:space="preserve">113,8 juta</w:t>
            </w:r>
            <w:r>
              <w:t xml:space="preserve"> jiwa terpapar), pembacaan rumus berlabel asumsi kebijakan. Renas PB 1.c (</w:t>
            </w:r>
            <w:r>
              <w:t xml:space="preserve">4,7</w:t>
            </w:r>
            <w:r>
              <w:t xml:space="preserve"> kali) dinyatakan sebagai target lintas K/L yang capaian hilirnya bergantung pada sebelas K/L pemegang aksi sarana diseminasi di desa.</w:t>
            </w:r>
          </w:p>
          <w:p>
            <w:pPr>
              <w:pStyle w:val="DaftarKotak"/>
              <w:numPr>
                <w:ilvl w:val="0"/>
                <w:numId w:val="1"/>
              </w:numPr>
            </w:pPr>
            <w:r>
              <w:t xml:space="preserve">KD-3. Memilih penyebut alat ukur kapasitas daerah untuk sasaran </w:t>
            </w:r>
            <w:r>
              <w:t xml:space="preserve">90%</w:t>
            </w:r>
            <w:r>
              <w:t xml:space="preserve"> pada 2029.</w:t>
            </w:r>
          </w:p>
          <w:p>
            <w:pPr>
              <w:pStyle w:val="DaftarKotak"/>
              <w:numPr>
                <w:ilvl w:val="1"/>
                <w:numId w:val="1"/>
              </w:numPr>
            </w:pPr>
            <w:r>
              <w:t xml:space="preserve">Bila Manual Indikator Kinerja Utama (IKU) dalam Kepka BNPB 318/2025 dipertahankan, ukurannya porsi provinsi berkategori Indeks Ketahanan Daerah (IKD) minimal sedang: </w:t>
            </w:r>
            <w:r>
              <w:t xml:space="preserve">50%</w:t>
            </w:r>
            <w:r>
              <w:t xml:space="preserve"> pada 2025 (</w:t>
            </w:r>
            <w:r>
              <w:t xml:space="preserve">19</w:t>
            </w:r>
            <w:r>
              <w:t xml:space="preserve"> provinsi), target </w:t>
            </w:r>
            <w:r>
              <w:t xml:space="preserve">67%</w:t>
            </w:r>
            <w:r>
              <w:t xml:space="preserve"> tidak tercapai, dan jaraknya ke </w:t>
            </w:r>
            <w:r>
              <w:t xml:space="preserve">90%</w:t>
            </w:r>
            <w:r>
              <w:t xml:space="preserve"> sebesar </w:t>
            </w:r>
            <w:r>
              <w:t xml:space="preserve">40 poin persen</w:t>
            </w:r>
            <w:r>
              <w:t xml:space="preserve">. Ukuran ini sederhana diukur tiap tahun, tetapi rerata provinsi dapat menutupi kab/kota berkapasitas rendah, sebagaimana diakui LKIP sendiri.</w:t>
            </w:r>
          </w:p>
          <w:p>
            <w:pPr>
              <w:pStyle w:val="DaftarKotak"/>
              <w:numPr>
                <w:ilvl w:val="1"/>
                <w:numId w:val="1"/>
              </w:numPr>
            </w:pPr>
            <w:r>
              <w:t xml:space="preserve">Bila penyebut diganti ke kab/kota, capaian menjadi </w:t>
            </w:r>
            <w:r>
              <w:t xml:space="preserve">56,2%</w:t>
            </w:r>
            <w:r>
              <w:t xml:space="preserve"> menurut IKD 2025 (kurang </w:t>
            </w:r>
            <w:r>
              <w:t xml:space="preserve">174 kab/kota</w:t>
            </w:r>
            <w:r>
              <w:t xml:space="preserve">) atau </w:t>
            </w:r>
            <w:r>
              <w:t xml:space="preserve">38,0%</w:t>
            </w:r>
            <w:r>
              <w:t xml:space="preserve"> menurut kelas kapasitas Kajian Risiko Bencana (KRB) (kurang </w:t>
            </w:r>
            <w:r>
              <w:t xml:space="preserve">265 kab/kota</w:t>
            </w:r>
            <w:r>
              <w:t xml:space="preserve">). Ukuran ini lebih dekat ke lokasi korban, tetapi baru </w:t>
            </w:r>
            <w:r>
              <w:t xml:space="preserve">469</w:t>
            </w:r>
            <w:r>
              <w:t xml:space="preserve"> dari </w:t>
            </w:r>
            <w:r>
              <w:t xml:space="preserve">514</w:t>
            </w:r>
            <w:r>
              <w:t xml:space="preserve"> kab/kota yang menilai IKD 2025. Penyebut dan alat ukur dapat diubah Kepala BNPB dengan perubahan Kepka kapan saja, sedangkan angka target </w:t>
            </w:r>
            <w:r>
              <w:t xml:space="preserve">67%</w:t>
            </w:r>
            <w:r>
              <w:t xml:space="preserve"> sampai </w:t>
            </w:r>
            <w:r>
              <w:t xml:space="preserve">90%</w:t>
            </w:r>
            <w:r>
              <w:t xml:space="preserve"> ikut evaluasi tahun ketiga Renstra dan wajib konsisten dengan RPJMN; baseline RPJMN </w:t>
            </w:r>
            <w:r>
              <w:t xml:space="preserve">62%</w:t>
            </w:r>
            <w:r>
              <w:t xml:space="preserve"> (2023) tidak menyebut penyebutnya di halaman yang dibuka.</w:t>
            </w:r>
          </w:p>
        </w:tc>
      </w:tr>
    </w:tbl>
    <w:p>
      <w:pPr>
        <w:pStyle w:val="Jarak"/>
      </w:pPr>
    </w:p>
    <w:p>
      <w:pPr>
        <w:pStyle w:val="IsiTemuan"/>
      </w:pPr>
      <w:r>
        <w:rPr>
          <w:b/>
          <w:bCs/>
          <w:color w:val="051C2C"/>
        </w:rPr>
        <w:t xml:space="preserve">Catatan metode Indeks Risiko Bencana Indonesia (IRBI) 2025 (KD-4) diajukan sebagai rekomendasi 100 hari, bukan keputusan di pita, karena nilai baseline </w:t>
      </w:r>
      <w:r>
        <w:rPr>
          <w:b/>
          <w:bCs/>
          <w:color w:val="051C2C"/>
        </w:rPr>
        <w:t xml:space="preserve">147,95</w:t>
      </w:r>
      <w:r>
        <w:rPr>
          <w:b/>
          <w:bCs/>
          <w:color w:val="051C2C"/>
        </w:rPr>
        <w:t xml:space="preserve"> sudah dinyatakan BNPB untuk 2026–2029 </w:t>
      </w:r>
      <w:r>
        <w:rPr>
          <w:b/>
          <w:bCs/>
          <w:color w:val="051C2C"/>
        </w:rPr>
        <w:t xml:space="preserve">(BNPB, 2026c)</w:t>
      </w:r>
      <w:r>
        <w:rPr>
          <w:b/>
          <w:bCs/>
          <w:color w:val="051C2C"/>
        </w:rPr>
        <w:t xml:space="preserve">.</w:t>
      </w:r>
      <w:r>
        <w:t xml:space="preserve"> Yang belum ada adalah catatan metode yang dapat diulang per kab/kota dan rekonsiliasi IRB 2024, yang tercatat </w:t>
      </w:r>
      <w:r>
        <w:t xml:space="preserve">128,52</w:t>
      </w:r>
      <w:r>
        <w:t xml:space="preserve"> pada seri IRBI 2015–2024 dan </w:t>
      </w:r>
      <w:r>
        <w:t xml:space="preserve">171,95</w:t>
      </w:r>
      <w:r>
        <w:t xml:space="preserve"> pada perhitungan LKIP dengan komponen KRB 2021 (</w:t>
      </w:r>
      <w:r>
        <w:fldChar w:fldCharType="begin"/>
      </w:r>
      <w:r>
        <w:instrText xml:space="preserve"> REF _Ref0086 \h \* CHARFORMAT </w:instrText>
      </w:r>
      <w:r>
        <w:fldChar w:fldCharType="separate"/>
      </w:r>
      <w:r>
        <w:t xml:space="preserve">10</w:t>
      </w:r>
      <w:r>
        <w:fldChar w:fldCharType="end"/>
      </w:r>
      <w:r>
        <w:t xml:space="preserve">). Dua perhitungan itu memakai komponen berbeda untuk tahun yang sama, sehingga keduanya tidak dapat dirata-rata. Keputusan lain milik Kepala BNPB berjalan kasus per kasus dengan instrumen yang ada: penetapan risiko berdampak luas sebagai dasar Dana Siap Pakai (DSP) </w:t>
      </w:r>
      <w:r>
        <w:t xml:space="preserve">(BNPB, 2020a, Pasal 2 ayat (1) dan Pasal 20 ayat (1))</w:t>
      </w:r>
      <w:r>
        <w:t xml:space="preserve">, rekomendasi penyaluran Dana Bersama kepada Menteri Keuangan </w:t>
      </w:r>
      <w:r>
        <w:t xml:space="preserve">(Republik Indonesia, 2021b, Pasal 8)</w:t>
      </w:r>
      <w:r>
        <w:t xml:space="preserve">, dan pedoman keadaan tertentu </w:t>
      </w:r>
      <w:r>
        <w:t xml:space="preserve">(Republik Indonesia, 2026a, Pasal 3 ayat (4))</w:t>
      </w:r>
      <w:r>
        <w:t xml:space="preserve">.</w:t>
      </w:r>
    </w:p>
    <w:p>
      <w:pPr>
        <w:pStyle w:val="Isi"/>
      </w:pPr>
      <w:r>
        <w:t xml:space="preserve">Keputusan empat belas hari pertama hanya memakai instrumen yang berlaku dan menjadi satu daftar untuk kedua kajian (</w:t>
      </w:r>
      <w:r>
        <w:fldChar w:fldCharType="begin"/>
      </w:r>
      <w:r>
        <w:instrText xml:space="preserve"> REF _Ref0299 \h \* CHARFORMAT </w:instrText>
      </w:r>
      <w:r>
        <w:fldChar w:fldCharType="separate"/>
      </w:r>
      <w:r>
        <w:t xml:space="preserve">Tabel 13.2</w:t>
      </w:r>
      <w:r>
        <w:fldChar w:fldCharType="end"/>
      </w:r>
      <w:r>
        <w:t xml:space="preserve">).</w:t>
      </w:r>
    </w:p>
    <w:p>
      <w:pPr>
        <w:pStyle w:val="Caption"/>
      </w:pPr>
      <w:bookmarkStart w:id="782" w:name="_Toc00255"/>
      <w:bookmarkStart w:id="781" w:name="_Ref029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81"/>
      <w:r>
        <w:rPr>
          <w:b/>
          <w:bCs/>
          <w:color w:val="051C2C"/>
        </w:rPr>
        <w:t xml:space="preserve"> </w:t>
      </w:r>
      <w:r>
        <w:t xml:space="preserve">Keputusan empat belas hari pertama sesudah hari ke-0 menurut rekomendasi dan unit pemimpin, 2026</w:t>
      </w:r>
      <w:bookmarkEnd w:id="7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4092"/>
        <w:gridCol w:w="4702"/>
      </w:tblGrid>
      <w:tr>
        <w:trPr>
          <w:cantSplit/>
          <w:tblHeader/>
        </w:trPr>
        <w:tc>
          <w:tcPr>
            <w:tcW w:w="560" w:type="dxa"/>
            <w:shd w:val="clear" w:color="auto" w:fill="051C2C"/>
            <w:vAlign w:val="center"/>
          </w:tcPr>
          <w:p>
            <w:pPr>
              <w:pStyle w:val="KepalaTabel"/>
              <w:suppressAutoHyphens/>
            </w:pPr>
            <w:r>
              <w:t xml:space="preserve">REK</w:t>
            </w:r>
          </w:p>
        </w:tc>
        <w:tc>
          <w:tcPr>
            <w:tcW w:w="4092" w:type="dxa"/>
            <w:shd w:val="clear" w:color="auto" w:fill="051C2C"/>
            <w:vAlign w:val="center"/>
          </w:tcPr>
          <w:p>
            <w:pPr>
              <w:pStyle w:val="KepalaTabel"/>
              <w:suppressAutoHyphens/>
            </w:pPr>
            <w:r>
              <w:t xml:space="preserve">KEPUTUSAN</w:t>
            </w:r>
          </w:p>
        </w:tc>
        <w:tc>
          <w:tcPr>
            <w:tcW w:w="4702" w:type="dxa"/>
            <w:shd w:val="clear" w:color="auto" w:fill="051C2C"/>
            <w:vAlign w:val="center"/>
          </w:tcPr>
          <w:p>
            <w:pPr>
              <w:pStyle w:val="KepalaTabel"/>
              <w:suppressAutoHyphens/>
            </w:pPr>
            <w:r>
              <w:t xml:space="preserve">UNIT PEMIMPIN</w:t>
            </w:r>
          </w:p>
        </w:tc>
      </w:tr>
      <w:tr>
        <w:trPr>
          <w:cantSplit/>
        </w:trPr>
        <w:tc>
          <w:tcPr>
            <w:tcW w:w="560" w:type="dxa"/>
          </w:tcPr>
          <w:p>
            <w:pPr>
              <w:pStyle w:val="IsiTabel"/>
              <w:suppressAutoHyphens/>
              <w:jc w:val="left"/>
            </w:pPr>
            <w:r>
              <w:fldChar w:fldCharType="begin"/>
            </w:r>
            <w:r>
              <w:instrText xml:space="preserve"> REF _Ref0073 \h \* CHARFORMAT </w:instrText>
            </w:r>
            <w:r>
              <w:fldChar w:fldCharType="separate"/>
            </w:r>
            <w:r>
              <w:t xml:space="preserve">05</w:t>
            </w:r>
            <w:r>
              <w:fldChar w:fldCharType="end"/>
            </w:r>
          </w:p>
        </w:tc>
        <w:tc>
          <w:tcPr>
            <w:tcW w:w="4092" w:type="dxa"/>
          </w:tcPr>
          <w:p>
            <w:pPr>
              <w:pStyle w:val="IsiTabel"/>
              <w:suppressAutoHyphens/>
              <w:jc w:val="left"/>
            </w:pPr>
            <w:r>
              <w:t xml:space="preserve">Penetapan hari ke-0 dan penugasan unit Rencana Aksi Musim Hujan 2026/2027</w:t>
            </w:r>
          </w:p>
        </w:tc>
        <w:tc>
          <w:tcPr>
            <w:tcW w:w="4702" w:type="dxa"/>
          </w:tcPr>
          <w:p>
            <w:pPr>
              <w:pStyle w:val="IsiTabel"/>
              <w:suppressAutoHyphens/>
              <w:jc w:val="left"/>
            </w:pPr>
            <w:r>
              <w:t xml:space="preserve">Kepala BNPB</w:t>
            </w:r>
          </w:p>
        </w:tc>
      </w:tr>
      <w:tr>
        <w:trPr>
          <w:cantSplit/>
        </w:trPr>
        <w:tc>
          <w:tcPr>
            <w:tcW w:w="560" w:type="dxa"/>
          </w:tcPr>
          <w:p>
            <w:pPr>
              <w:pStyle w:val="IsiTabel"/>
              <w:suppressAutoHyphens/>
              <w:jc w:val="left"/>
            </w:pPr>
            <w:r>
              <w:fldChar w:fldCharType="begin"/>
            </w:r>
            <w:r>
              <w:instrText xml:space="preserve"> REF _Ref0074 \h \* CHARFORMAT </w:instrText>
            </w:r>
            <w:r>
              <w:fldChar w:fldCharType="separate"/>
            </w:r>
            <w:r>
              <w:t xml:space="preserve">06</w:t>
            </w:r>
            <w:r>
              <w:fldChar w:fldCharType="end"/>
            </w:r>
          </w:p>
        </w:tc>
        <w:tc>
          <w:tcPr>
            <w:tcW w:w="4092" w:type="dxa"/>
          </w:tcPr>
          <w:p>
            <w:pPr>
              <w:pStyle w:val="IsiTabel"/>
              <w:suppressAutoHyphens/>
              <w:jc w:val="left"/>
            </w:pPr>
            <w:r>
              <w:t xml:space="preserve">Penyampaian prakiraan awal musim BMKG ke BPBD dengan permintaan kaji ulang rencana kontinjensi</w:t>
            </w:r>
          </w:p>
        </w:tc>
        <w:tc>
          <w:tcPr>
            <w:tcW w:w="4702" w:type="dxa"/>
          </w:tcPr>
          <w:p>
            <w:pPr>
              <w:pStyle w:val="IsiTabel"/>
              <w:suppressAutoHyphens/>
              <w:jc w:val="left"/>
            </w:pPr>
            <w:r>
              <w:t xml:space="preserve">Direktorat Kesiapsiagaan</w:t>
            </w:r>
          </w:p>
        </w:tc>
      </w:tr>
      <w:tr>
        <w:trPr>
          <w:cantSplit/>
        </w:trPr>
        <w:tc>
          <w:tcPr>
            <w:tcW w:w="560" w:type="dxa"/>
          </w:tcPr>
          <w:p>
            <w:pPr>
              <w:pStyle w:val="IsiTabel"/>
              <w:suppressAutoHyphens/>
              <w:jc w:val="left"/>
            </w:pPr>
            <w:r>
              <w:fldChar w:fldCharType="begin"/>
            </w:r>
            <w:r>
              <w:instrText xml:space="preserve"> REF _Ref0075 \h \* CHARFORMAT </w:instrText>
            </w:r>
            <w:r>
              <w:fldChar w:fldCharType="separate"/>
            </w:r>
            <w:r>
              <w:t xml:space="preserve">07</w:t>
            </w:r>
            <w:r>
              <w:fldChar w:fldCharType="end"/>
            </w:r>
          </w:p>
        </w:tc>
        <w:tc>
          <w:tcPr>
            <w:tcW w:w="4092" w:type="dxa"/>
          </w:tcPr>
          <w:p>
            <w:pPr>
              <w:pStyle w:val="IsiTabel"/>
              <w:suppressAutoHyphens/>
              <w:jc w:val="left"/>
            </w:pPr>
            <w:r>
              <w:t xml:space="preserve">Permintaan data operasional kemarau 2026 ke BPBD provinsi</w:t>
            </w:r>
          </w:p>
        </w:tc>
        <w:tc>
          <w:tcPr>
            <w:tcW w:w="4702" w:type="dxa"/>
          </w:tcPr>
          <w:p>
            <w:pPr>
              <w:pStyle w:val="IsiTabel"/>
              <w:suppressAutoHyphens/>
              <w:jc w:val="left"/>
            </w:pPr>
            <w:r>
              <w:t xml:space="preserve">Pusat Data, Informasi, dan Komunikasi Kebencanaan</w:t>
            </w:r>
          </w:p>
        </w:tc>
      </w:tr>
      <w:tr>
        <w:trPr>
          <w:cantSplit/>
        </w:trPr>
        <w:tc>
          <w:tcPr>
            <w:tcW w:w="560" w:type="dxa"/>
          </w:tcPr>
          <w:p>
            <w:pPr>
              <w:pStyle w:val="IsiTabel"/>
              <w:suppressAutoHyphens/>
              <w:jc w:val="left"/>
            </w:pPr>
            <w:r>
              <w:fldChar w:fldCharType="begin"/>
            </w:r>
            <w:r>
              <w:instrText xml:space="preserve"> REF _Ref0076 \h \* CHARFORMAT </w:instrText>
            </w:r>
            <w:r>
              <w:fldChar w:fldCharType="separate"/>
            </w:r>
            <w:r>
              <w:t xml:space="preserve">08</w:t>
            </w:r>
            <w:r>
              <w:fldChar w:fldCharType="end"/>
            </w:r>
          </w:p>
        </w:tc>
        <w:tc>
          <w:tcPr>
            <w:tcW w:w="4092" w:type="dxa"/>
          </w:tcPr>
          <w:p>
            <w:pPr>
              <w:pStyle w:val="IsiTabel"/>
              <w:suppressAutoHyphens/>
              <w:jc w:val="left"/>
            </w:pPr>
            <w:r>
              <w:t xml:space="preserve">Inventarisasi cadangan logistik dan peralatan terhadap lantai musim hujan</w:t>
            </w:r>
          </w:p>
        </w:tc>
        <w:tc>
          <w:tcPr>
            <w:tcW w:w="4702" w:type="dxa"/>
          </w:tcPr>
          <w:p>
            <w:pPr>
              <w:pStyle w:val="IsiTabel"/>
              <w:suppressAutoHyphens/>
              <w:jc w:val="left"/>
            </w:pPr>
            <w:r>
              <w:t xml:space="preserve">Deputi Bidang Logistik dan Peralatan</w:t>
            </w:r>
          </w:p>
        </w:tc>
      </w:tr>
      <w:tr>
        <w:trPr>
          <w:cantSplit/>
        </w:trPr>
        <w:tc>
          <w:tcPr>
            <w:tcW w:w="560" w:type="dxa"/>
          </w:tcPr>
          <w:p>
            <w:pPr>
              <w:pStyle w:val="IsiTabel"/>
              <w:keepNext/>
              <w:suppressAutoHyphens/>
              <w:jc w:val="left"/>
            </w:pPr>
            <w:bookmarkStart w:id="783" w:name="_Ekor090a"/>
            <w:bookmarkEnd w:id="783"/>
            <w:r>
              <w:fldChar w:fldCharType="begin"/>
            </w:r>
            <w:r>
              <w:instrText xml:space="preserve"> REF _Ref0077 \h \* CHARFORMAT </w:instrText>
            </w:r>
            <w:r>
              <w:fldChar w:fldCharType="separate"/>
            </w:r>
            <w:r>
              <w:t xml:space="preserve">09</w:t>
            </w:r>
            <w:r>
              <w:fldChar w:fldCharType="end"/>
            </w:r>
          </w:p>
        </w:tc>
        <w:tc>
          <w:tcPr>
            <w:tcW w:w="4092" w:type="dxa"/>
          </w:tcPr>
          <w:p>
            <w:pPr>
              <w:pStyle w:val="IsiTabel"/>
              <w:keepNext/>
              <w:suppressAutoHyphens/>
              <w:jc w:val="left"/>
            </w:pPr>
            <w:r>
              <w:t xml:space="preserve">Surat ke Kemenko PMK untuk rakor peninjauan Renas PB</w:t>
            </w:r>
          </w:p>
        </w:tc>
        <w:tc>
          <w:tcPr>
            <w:tcW w:w="4702" w:type="dxa"/>
          </w:tcPr>
          <w:p>
            <w:pPr>
              <w:pStyle w:val="IsiTabel"/>
              <w:keepNext/>
              <w:suppressAutoHyphens/>
              <w:jc w:val="left"/>
            </w:pPr>
            <w:r>
              <w:t xml:space="preserve">Biro Perencanaan</w:t>
            </w:r>
          </w:p>
        </w:tc>
      </w:tr>
      <w:tr>
        <w:trPr>
          <w:cantSplit/>
        </w:trPr>
        <w:tc>
          <w:tcPr>
            <w:tcW w:w="560" w:type="dxa"/>
          </w:tcPr>
          <w:p>
            <w:pPr>
              <w:pStyle w:val="IsiTabel"/>
              <w:keepNext/>
              <w:suppressAutoHyphens/>
              <w:jc w:val="left"/>
            </w:pPr>
            <w:r>
              <w:fldChar w:fldCharType="begin"/>
            </w:r>
            <w:r>
              <w:instrText xml:space="preserve"> REF _Ref0086 \h \* CHARFORMAT </w:instrText>
            </w:r>
            <w:r>
              <w:fldChar w:fldCharType="separate"/>
            </w:r>
            <w:r>
              <w:t xml:space="preserve">10</w:t>
            </w:r>
            <w:r>
              <w:fldChar w:fldCharType="end"/>
            </w:r>
          </w:p>
        </w:tc>
        <w:tc>
          <w:tcPr>
            <w:tcW w:w="4092" w:type="dxa"/>
          </w:tcPr>
          <w:p>
            <w:pPr>
              <w:pStyle w:val="IsiTabel"/>
              <w:keepNext/>
              <w:suppressAutoHyphens/>
              <w:jc w:val="left"/>
            </w:pPr>
            <w:r>
              <w:t xml:space="preserve">Penugasan catatan metode IRBI 2025</w:t>
            </w:r>
          </w:p>
        </w:tc>
        <w:tc>
          <w:tcPr>
            <w:tcW w:w="4702" w:type="dxa"/>
          </w:tcPr>
          <w:p>
            <w:pPr>
              <w:pStyle w:val="IsiTabel"/>
              <w:keepNext/>
              <w:suppressAutoHyphens/>
              <w:jc w:val="left"/>
            </w:pPr>
            <w:r>
              <w:t xml:space="preserve">Direktorat Pemetaan dan Evaluasi Risiko Bencana</w:t>
            </w:r>
          </w:p>
        </w:tc>
      </w:tr>
      <w:tr>
        <w:trPr>
          <w:cantSplit/>
        </w:trPr>
        <w:tc>
          <w:tcPr>
            <w:tcW w:w="560" w:type="dxa"/>
          </w:tcPr>
          <w:p>
            <w:pPr>
              <w:pStyle w:val="IsiTabel"/>
              <w:keepNext/>
              <w:suppressAutoHyphens/>
              <w:jc w:val="left"/>
            </w:pPr>
            <w:r>
              <w:fldChar w:fldCharType="begin"/>
            </w:r>
            <w:r>
              <w:instrText xml:space="preserve"> REF _Ref0087 \h \* CHARFORMAT </w:instrText>
            </w:r>
            <w:r>
              <w:fldChar w:fldCharType="separate"/>
            </w:r>
            <w:r>
              <w:t xml:space="preserve">11</w:t>
            </w:r>
            <w:r>
              <w:fldChar w:fldCharType="end"/>
            </w:r>
          </w:p>
        </w:tc>
        <w:tc>
          <w:tcPr>
            <w:tcW w:w="4092" w:type="dxa"/>
          </w:tcPr>
          <w:p>
            <w:pPr>
              <w:pStyle w:val="IsiTabel"/>
              <w:keepNext/>
              <w:suppressAutoHyphens/>
              <w:jc w:val="left"/>
            </w:pPr>
            <w:r>
              <w:t xml:space="preserve">Permohonan izin prakarsa peraturan di luar Progsun 2026</w:t>
            </w:r>
          </w:p>
        </w:tc>
        <w:tc>
          <w:tcPr>
            <w:tcW w:w="4702" w:type="dxa"/>
          </w:tcPr>
          <w:p>
            <w:pPr>
              <w:pStyle w:val="IsiTabel"/>
              <w:keepNext/>
              <w:suppressAutoHyphens/>
              <w:jc w:val="left"/>
            </w:pPr>
            <w:r>
              <w:t xml:space="preserve">Biro Hukum, Organisasi, dan Kerja Sama</w:t>
            </w:r>
          </w:p>
        </w:tc>
      </w:tr>
      <w:tr>
        <w:trPr>
          <w:cantSplit/>
        </w:trPr>
        <w:tc>
          <w:tcPr>
            <w:tcW w:w="560" w:type="dxa"/>
          </w:tcPr>
          <w:p>
            <w:pPr>
              <w:pStyle w:val="IsiTabel"/>
              <w:suppressAutoHyphens/>
              <w:jc w:val="left"/>
            </w:pPr>
            <w:bookmarkStart w:id="784" w:name="_Ekor090z"/>
            <w:bookmarkEnd w:id="784"/>
            <w:r>
              <w:fldChar w:fldCharType="begin"/>
            </w:r>
            <w:r>
              <w:instrText xml:space="preserve"> REF _Ref0077 \h \* CHARFORMAT </w:instrText>
            </w:r>
            <w:r>
              <w:fldChar w:fldCharType="separate"/>
            </w:r>
            <w:r>
              <w:t xml:space="preserve">09</w:t>
            </w:r>
            <w:r>
              <w:fldChar w:fldCharType="end"/>
            </w:r>
          </w:p>
        </w:tc>
        <w:tc>
          <w:tcPr>
            <w:tcW w:w="4092" w:type="dxa"/>
          </w:tcPr>
          <w:p>
            <w:pPr>
              <w:pStyle w:val="IsiTabel"/>
              <w:suppressAutoHyphens/>
              <w:jc w:val="left"/>
            </w:pPr>
            <w:r>
              <w:t xml:space="preserve">Penugasan memuat rekomendasi kedua kajian, dipisah jalur berkala dan jalur bencana, ke evaluasi tahunan Renas PB 2026</w:t>
            </w:r>
          </w:p>
        </w:tc>
        <w:tc>
          <w:tcPr>
            <w:tcW w:w="4702" w:type="dxa"/>
          </w:tcPr>
          <w:p>
            <w:pPr>
              <w:pStyle w:val="IsiTabel"/>
              <w:suppressAutoHyphens/>
              <w:jc w:val="left"/>
            </w:pPr>
            <w:r>
              <w:t xml:space="preserve">Direktorat Pengembangan Strategi Penanggulangan Bencana; Biro Perencanaan</w:t>
            </w:r>
          </w:p>
        </w:tc>
      </w:tr>
    </w:tbl>
    <w:p>
      <w:pPr>
        <w:pStyle w:val="Sumber"/>
      </w:pPr>
      <w:r>
        <w:rPr>
          <w:b/>
          <w:bCs/>
          <w:color w:val="6B7280"/>
          <w:sz w:val="17"/>
          <w:szCs w:val="17"/>
        </w:rPr>
        <w:t xml:space="preserve">Sumber: </w:t>
      </w:r>
      <w:r>
        <w:rPr>
          <w:color w:val="6B7280"/>
          <w:sz w:val="17"/>
          <w:szCs w:val="17"/>
        </w:rPr>
        <w:t xml:space="preserve">Register rekomendasi kajian ini;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786" w:name="_Toc00256"/>
      <w:bookmarkStart w:id="785" w:name="_Ref0203"/>
      <w:r>
        <w:t xml:space="preserve">13.3</w:t>
      </w:r>
      <w:bookmarkEnd w:id="785"/>
      <w:r>
        <w:tab/>
      </w:r>
      <w:r>
        <w:t xml:space="preserve">Rekomendasi Internal BNPB</w:t>
      </w:r>
      <w:bookmarkEnd w:id="786"/>
    </w:p>
    <w:p>
      <w:pPr>
        <w:pStyle w:val="IsiTemuan"/>
      </w:pPr>
      <w:r>
        <w:rPr>
          <w:b/>
          <w:bCs/>
          <w:color w:val="051C2C"/>
        </w:rPr>
        <w:t xml:space="preserve">Direktorat Kesiapsiagaan memimpin delapan dari tiga puluh enam rekomendasi, termasuk sebagai unit BNPB pada rekomendasi lintas K/L, dan tiga di antaranya (</w:t>
      </w:r>
      <w:r>
        <w:rPr>
          <w:b/>
          <w:bCs/>
          <w:color w:val="051C2C"/>
        </w:rPr>
        <w:fldChar w:fldCharType="begin"/>
      </w:r>
      <w:r>
        <w:rPr>
          <w:b/>
          <w:bCs/>
          <w:color w:val="051C2C"/>
        </w:rPr>
        <w:instrText xml:space="preserve"> REF _Ref0074 \h \* CHARFORMAT </w:instrText>
      </w:r>
      <w:r>
        <w:rPr>
          <w:b/>
          <w:bCs/>
          <w:color w:val="051C2C"/>
        </w:rPr>
        <w:fldChar w:fldCharType="separate"/>
      </w:r>
      <w:r>
        <w:rPr>
          <w:b/>
          <w:bCs/>
          <w:color w:val="051C2C"/>
        </w:rPr>
        <w:t xml:space="preserve">06</w:t>
      </w:r>
      <w:r>
        <w:rPr>
          <w:b/>
          <w:bCs/>
          <w:color w:val="051C2C"/>
        </w:rPr>
        <w:fldChar w:fldCharType="end"/>
      </w:r>
      <w:r>
        <w:rPr>
          <w:b/>
          <w:bCs/>
          <w:color w:val="051C2C"/>
        </w:rPr>
        <w:t xml:space="preserve">, </w:t>
      </w:r>
      <w:r>
        <w:rPr>
          <w:b/>
          <w:bCs/>
          <w:color w:val="051C2C"/>
        </w:rPr>
        <w:fldChar w:fldCharType="begin"/>
      </w:r>
      <w:r>
        <w:rPr>
          <w:b/>
          <w:bCs/>
          <w:color w:val="051C2C"/>
        </w:rPr>
        <w:instrText xml:space="preserve"> REF _Ref0079 \h \* CHARFORMAT </w:instrText>
      </w:r>
      <w:r>
        <w:rPr>
          <w:b/>
          <w:bCs/>
          <w:color w:val="051C2C"/>
        </w:rPr>
        <w:fldChar w:fldCharType="separate"/>
      </w:r>
      <w:r>
        <w:rPr>
          <w:b/>
          <w:bCs/>
          <w:color w:val="051C2C"/>
        </w:rPr>
        <w:t xml:space="preserve">13</w:t>
      </w:r>
      <w:r>
        <w:rPr>
          <w:b/>
          <w:bCs/>
          <w:color w:val="051C2C"/>
        </w:rPr>
        <w:fldChar w:fldCharType="end"/>
      </w:r>
      <w:r>
        <w:rPr>
          <w:b/>
          <w:bCs/>
          <w:color w:val="051C2C"/>
        </w:rPr>
        <w:t xml:space="preserve">, </w:t>
      </w:r>
      <w:r>
        <w:rPr>
          <w:b/>
          <w:bCs/>
          <w:color w:val="051C2C"/>
        </w:rPr>
        <w:fldChar w:fldCharType="begin"/>
      </w:r>
      <w:r>
        <w:rPr>
          <w:b/>
          <w:bCs/>
          <w:color w:val="051C2C"/>
        </w:rPr>
        <w:instrText xml:space="preserve"> REF _Ref0080 \h \* CHARFORMAT </w:instrText>
      </w:r>
      <w:r>
        <w:rPr>
          <w:b/>
          <w:bCs/>
          <w:color w:val="051C2C"/>
        </w:rPr>
        <w:fldChar w:fldCharType="separate"/>
      </w:r>
      <w:r>
        <w:rPr>
          <w:b/>
          <w:bCs/>
          <w:color w:val="051C2C"/>
        </w:rPr>
        <w:t xml:space="preserve">32</w:t>
      </w:r>
      <w:r>
        <w:rPr>
          <w:b/>
          <w:bCs/>
          <w:color w:val="051C2C"/>
        </w:rPr>
        <w:fldChar w:fldCharType="end"/>
      </w:r>
      <w:r>
        <w:rPr>
          <w:b/>
          <w:bCs/>
          <w:color w:val="051C2C"/>
        </w:rPr>
        <w:t xml:space="preserve">) jatuh dalam 100 hari pertama yang bertepatan dengan puncak musim hujan.</w:t>
      </w:r>
      <w:r>
        <w:t xml:space="preserve"> Nama unit mengikuti Perban BNPB 6/2025 jo. 11/2025 </w:t>
      </w:r>
      <w:r>
        <w:t xml:space="preserve">(BNPB, 2025f, 2025d)</w:t>
      </w:r>
      <w:r>
        <w:t xml:space="preserve">. Dua puluh tujuh rekomendasi masuk kelompok internal karena instrumennya ditetapkan atau dijalankan BNPB, dan sembilan masuk kelompok lintas K/L karena pemimpin programnya bukan BNPB. Kode rekomendasi disusun menurut horizon dan kelas dampak pada </w:t>
      </w:r>
      <w:r>
        <w:fldChar w:fldCharType="begin"/>
      </w:r>
      <w:r>
        <w:instrText xml:space="preserve"> REF _Ref0304 \h \* CHARFORMAT </w:instrText>
      </w:r>
      <w:r>
        <w:fldChar w:fldCharType="separate"/>
      </w:r>
      <w:r>
        <w:t xml:space="preserve">Tabel 13.3</w:t>
      </w:r>
      <w:r>
        <w:fldChar w:fldCharType="end"/>
      </w:r>
      <w:r>
        <w:t xml:space="preserve">; kisi itu masih sementara karena tiga puluh dua dari tiga puluh enam rekomendasi menyasar jenis berkelas dampak tertinggi atau bersifat lintas jenis.</w:t>
      </w:r>
    </w:p>
    <w:p>
      <w:pPr>
        <w:pStyle w:val="Caption"/>
      </w:pPr>
      <w:bookmarkStart w:id="788" w:name="_Toc00257"/>
      <w:bookmarkStart w:id="787" w:name="_Ref030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787"/>
      <w:r>
        <w:rPr>
          <w:b/>
          <w:bCs/>
          <w:color w:val="051C2C"/>
        </w:rPr>
        <w:t xml:space="preserve"> </w:t>
      </w:r>
      <w:r>
        <w:t xml:space="preserve">Kisi prioritas rekomendasi menurut horizon dan kelas dampak, 2026–2030</w:t>
      </w:r>
      <w:bookmarkEnd w:id="78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54"/>
        <w:gridCol w:w="2941"/>
        <w:gridCol w:w="3629"/>
        <w:gridCol w:w="1530"/>
      </w:tblGrid>
      <w:tr>
        <w:trPr>
          <w:cantSplit/>
          <w:tblHeader/>
        </w:trPr>
        <w:tc>
          <w:tcPr>
            <w:tcW w:w="1254" w:type="dxa"/>
            <w:shd w:val="clear" w:color="auto" w:fill="051C2C"/>
            <w:vAlign w:val="center"/>
          </w:tcPr>
          <w:p>
            <w:pPr>
              <w:pStyle w:val="KepalaTabel"/>
              <w:keepNext/>
              <w:suppressAutoHyphens/>
            </w:pPr>
            <w:r>
              <w:t xml:space="preserve">DAMPAK</w:t>
            </w:r>
          </w:p>
        </w:tc>
        <w:tc>
          <w:tcPr>
            <w:tcW w:w="2941" w:type="dxa"/>
            <w:shd w:val="clear" w:color="auto" w:fill="051C2C"/>
            <w:vAlign w:val="center"/>
          </w:tcPr>
          <w:p>
            <w:pPr>
              <w:pStyle w:val="KepalaTabel"/>
              <w:keepNext/>
              <w:suppressAutoHyphens/>
            </w:pPr>
            <w:r>
              <w:t xml:space="preserve">100 HARI</w:t>
            </w:r>
          </w:p>
        </w:tc>
        <w:tc>
          <w:tcPr>
            <w:tcW w:w="3629" w:type="dxa"/>
            <w:shd w:val="clear" w:color="auto" w:fill="051C2C"/>
            <w:vAlign w:val="center"/>
          </w:tcPr>
          <w:p>
            <w:pPr>
              <w:pStyle w:val="KepalaTabel"/>
              <w:keepNext/>
              <w:suppressAutoHyphens/>
            </w:pPr>
            <w:r>
              <w:t xml:space="preserve">2026–2027</w:t>
            </w:r>
          </w:p>
        </w:tc>
        <w:tc>
          <w:tcPr>
            <w:tcW w:w="1530" w:type="dxa"/>
            <w:shd w:val="clear" w:color="auto" w:fill="051C2C"/>
            <w:vAlign w:val="center"/>
          </w:tcPr>
          <w:p>
            <w:pPr>
              <w:pStyle w:val="KepalaTabel"/>
              <w:keepNext/>
              <w:suppressAutoHyphens/>
            </w:pPr>
            <w:r>
              <w:t xml:space="preserve">2028–2030</w:t>
            </w:r>
          </w:p>
        </w:tc>
      </w:tr>
      <w:tr>
        <w:trPr>
          <w:cantSplit/>
        </w:trPr>
        <w:tc>
          <w:tcPr>
            <w:tcW w:w="1254" w:type="dxa"/>
          </w:tcPr>
          <w:p>
            <w:pPr>
              <w:pStyle w:val="IsiTabel"/>
              <w:keepNext/>
              <w:suppressAutoHyphens/>
              <w:jc w:val="left"/>
            </w:pPr>
            <w:bookmarkStart w:id="789" w:name="_Ekor091a"/>
            <w:bookmarkEnd w:id="789"/>
            <w:r>
              <w:t xml:space="preserve">Sangat tinggi</w:t>
            </w:r>
          </w:p>
        </w:tc>
        <w:tc>
          <w:tcPr>
            <w:tcW w:w="2941" w:type="dxa"/>
          </w:tcPr>
          <w:p>
            <w:pPr>
              <w:pStyle w:val="IsiTabel"/>
              <w:keepNext/>
              <w:suppressAutoHyphens/>
              <w:jc w:val="left"/>
            </w:pPr>
            <w:r>
              <w:fldChar w:fldCharType="begin"/>
            </w:r>
            <w:r>
              <w:instrText xml:space="preserve"> REF _Ref0073 \h \* CHARFORMAT </w:instrText>
            </w:r>
            <w:r>
              <w:fldChar w:fldCharType="separate"/>
            </w:r>
            <w:r>
              <w:t xml:space="preserve">05</w:t>
            </w:r>
            <w:r>
              <w:fldChar w:fldCharType="end"/>
            </w:r>
            <w:r>
              <w:t xml:space="preserve">, </w:t>
            </w:r>
            <w:r>
              <w:fldChar w:fldCharType="begin"/>
            </w:r>
            <w:r>
              <w:instrText xml:space="preserve"> REF _Ref0074 \h \* CHARFORMAT </w:instrText>
            </w:r>
            <w:r>
              <w:fldChar w:fldCharType="separate"/>
            </w:r>
            <w:r>
              <w:t xml:space="preserve">06</w:t>
            </w:r>
            <w:r>
              <w:fldChar w:fldCharType="end"/>
            </w:r>
            <w:r>
              <w:t xml:space="preserve">, </w:t>
            </w:r>
            <w:r>
              <w:fldChar w:fldCharType="begin"/>
            </w:r>
            <w:r>
              <w:instrText xml:space="preserve"> REF _Ref0076 \h \* CHARFORMAT </w:instrText>
            </w:r>
            <w:r>
              <w:fldChar w:fldCharType="separate"/>
            </w:r>
            <w:r>
              <w:t xml:space="preserve">08</w:t>
            </w:r>
            <w:r>
              <w:fldChar w:fldCharType="end"/>
            </w:r>
            <w:r>
              <w:t xml:space="preserve">, </w:t>
            </w:r>
            <w:r>
              <w:fldChar w:fldCharType="begin"/>
            </w:r>
            <w:r>
              <w:instrText xml:space="preserve"> REF _Ref0077 \h \* CHARFORMAT </w:instrText>
            </w:r>
            <w:r>
              <w:fldChar w:fldCharType="separate"/>
            </w:r>
            <w:r>
              <w:t xml:space="preserve">09</w:t>
            </w:r>
            <w:r>
              <w:fldChar w:fldCharType="end"/>
            </w:r>
            <w:r>
              <w:t xml:space="preserve">, </w:t>
            </w:r>
            <w:r>
              <w:fldChar w:fldCharType="begin"/>
            </w:r>
            <w:r>
              <w:instrText xml:space="preserve"> REF _Ref0078 \h \* CHARFORMAT </w:instrText>
            </w:r>
            <w:r>
              <w:fldChar w:fldCharType="separate"/>
            </w:r>
            <w:r>
              <w:t xml:space="preserve">12</w:t>
            </w:r>
            <w:r>
              <w:fldChar w:fldCharType="end"/>
            </w:r>
            <w:r>
              <w:t xml:space="preserve">, </w:t>
            </w:r>
            <w:r>
              <w:fldChar w:fldCharType="begin"/>
            </w:r>
            <w:r>
              <w:instrText xml:space="preserve"> REF _Ref0079 \h \* CHARFORMAT </w:instrText>
            </w:r>
            <w:r>
              <w:fldChar w:fldCharType="separate"/>
            </w:r>
            <w:r>
              <w:t xml:space="preserve">13</w:t>
            </w:r>
            <w:r>
              <w:fldChar w:fldCharType="end"/>
            </w:r>
            <w:r>
              <w:t xml:space="preserve">, </w:t>
            </w:r>
            <w:r>
              <w:fldChar w:fldCharType="begin"/>
            </w:r>
            <w:r>
              <w:instrText xml:space="preserve"> REF _Ref0086 \h \* CHARFORMAT </w:instrText>
            </w:r>
            <w:r>
              <w:fldChar w:fldCharType="separate"/>
            </w:r>
            <w:r>
              <w:t xml:space="preserve">10</w:t>
            </w:r>
            <w:r>
              <w:fldChar w:fldCharType="end"/>
            </w:r>
            <w:r>
              <w:t xml:space="preserve">, </w:t>
            </w:r>
            <w:r>
              <w:fldChar w:fldCharType="begin"/>
            </w:r>
            <w:r>
              <w:instrText xml:space="preserve"> REF _Ref0087 \h \* CHARFORMAT </w:instrText>
            </w:r>
            <w:r>
              <w:fldChar w:fldCharType="separate"/>
            </w:r>
            <w:r>
              <w:t xml:space="preserve">11</w:t>
            </w:r>
            <w:r>
              <w:fldChar w:fldCharType="end"/>
            </w:r>
            <w:r>
              <w:t xml:space="preserve">, </w:t>
            </w:r>
            <w:r>
              <w:fldChar w:fldCharType="begin"/>
            </w:r>
            <w:r>
              <w:instrText xml:space="preserve"> REF _Ref0088 \h \* CHARFORMAT </w:instrText>
            </w:r>
            <w:r>
              <w:fldChar w:fldCharType="separate"/>
            </w:r>
            <w:r>
              <w:t xml:space="preserve">14</w:t>
            </w:r>
            <w:r>
              <w:fldChar w:fldCharType="end"/>
            </w:r>
            <w:r>
              <w:t xml:space="preserve">, </w:t>
            </w:r>
            <w:r>
              <w:fldChar w:fldCharType="begin"/>
            </w:r>
            <w:r>
              <w:instrText xml:space="preserve"> REF _Ref0107 \h \* CHARFORMAT </w:instrText>
            </w:r>
            <w:r>
              <w:fldChar w:fldCharType="separate"/>
            </w:r>
            <w:r>
              <w:t xml:space="preserve">15</w:t>
            </w:r>
            <w:r>
              <w:fldChar w:fldCharType="end"/>
            </w:r>
          </w:p>
        </w:tc>
        <w:tc>
          <w:tcPr>
            <w:tcW w:w="3629" w:type="dxa"/>
          </w:tcPr>
          <w:p>
            <w:pPr>
              <w:pStyle w:val="IsiTabel"/>
              <w:keepNext/>
              <w:suppressAutoHyphens/>
              <w:jc w:val="left"/>
            </w:pPr>
            <w:r>
              <w:fldChar w:fldCharType="begin"/>
            </w:r>
            <w:r>
              <w:instrText xml:space="preserve"> REF _Ref0081 \h \* CHARFORMAT </w:instrText>
            </w:r>
            <w:r>
              <w:fldChar w:fldCharType="separate"/>
            </w:r>
            <w:r>
              <w:t xml:space="preserve">33</w:t>
            </w:r>
            <w:r>
              <w:fldChar w:fldCharType="end"/>
            </w:r>
            <w:r>
              <w:t xml:space="preserve">, </w:t>
            </w:r>
            <w:r>
              <w:fldChar w:fldCharType="begin"/>
            </w:r>
            <w:r>
              <w:instrText xml:space="preserve"> REF _Ref0082 \h \* CHARFORMAT </w:instrText>
            </w:r>
            <w:r>
              <w:fldChar w:fldCharType="separate"/>
            </w:r>
            <w:r>
              <w:t xml:space="preserve">16</w:t>
            </w:r>
            <w:r>
              <w:fldChar w:fldCharType="end"/>
            </w:r>
            <w:r>
              <w:t xml:space="preserve">, </w:t>
            </w:r>
            <w:r>
              <w:fldChar w:fldCharType="begin"/>
            </w:r>
            <w:r>
              <w:instrText xml:space="preserve"> REF _Ref0083 \h \* CHARFORMAT </w:instrText>
            </w:r>
            <w:r>
              <w:fldChar w:fldCharType="separate"/>
            </w:r>
            <w:r>
              <w:t xml:space="preserve">34</w:t>
            </w:r>
            <w:r>
              <w:fldChar w:fldCharType="end"/>
            </w:r>
            <w:r>
              <w:t xml:space="preserve">, </w:t>
            </w:r>
            <w:r>
              <w:fldChar w:fldCharType="begin"/>
            </w:r>
            <w:r>
              <w:instrText xml:space="preserve"> REF _Ref0084 \h \* CHARFORMAT </w:instrText>
            </w:r>
            <w:r>
              <w:fldChar w:fldCharType="separate"/>
            </w:r>
            <w:r>
              <w:t xml:space="preserve">17</w:t>
            </w:r>
            <w:r>
              <w:fldChar w:fldCharType="end"/>
            </w:r>
            <w:r>
              <w:t xml:space="preserve">, </w:t>
            </w:r>
            <w:r>
              <w:fldChar w:fldCharType="begin"/>
            </w:r>
            <w:r>
              <w:instrText xml:space="preserve"> REF _Ref0089 \h \* CHARFORMAT </w:instrText>
            </w:r>
            <w:r>
              <w:fldChar w:fldCharType="separate"/>
            </w:r>
            <w:r>
              <w:t xml:space="preserve">35</w:t>
            </w:r>
            <w:r>
              <w:fldChar w:fldCharType="end"/>
            </w:r>
            <w:r>
              <w:t xml:space="preserve">, </w:t>
            </w:r>
            <w:r>
              <w:fldChar w:fldCharType="begin"/>
            </w:r>
            <w:r>
              <w:instrText xml:space="preserve"> REF _Ref0090 \h \* CHARFORMAT </w:instrText>
            </w:r>
            <w:r>
              <w:fldChar w:fldCharType="separate"/>
            </w:r>
            <w:r>
              <w:t xml:space="preserve">18</w:t>
            </w:r>
            <w:r>
              <w:fldChar w:fldCharType="end"/>
            </w:r>
            <w:r>
              <w:t xml:space="preserve">, </w:t>
            </w:r>
            <w:r>
              <w:fldChar w:fldCharType="begin"/>
            </w:r>
            <w:r>
              <w:instrText xml:space="preserve"> REF _Ref0091 \h \* CHARFORMAT </w:instrText>
            </w:r>
            <w:r>
              <w:fldChar w:fldCharType="separate"/>
            </w:r>
            <w:r>
              <w:t xml:space="preserve">19</w:t>
            </w:r>
            <w:r>
              <w:fldChar w:fldCharType="end"/>
            </w:r>
            <w:r>
              <w:t xml:space="preserve">, </w:t>
            </w:r>
            <w:r>
              <w:fldChar w:fldCharType="begin"/>
            </w:r>
            <w:r>
              <w:instrText xml:space="preserve"> REF _Ref0092 \h \* CHARFORMAT </w:instrText>
            </w:r>
            <w:r>
              <w:fldChar w:fldCharType="separate"/>
            </w:r>
            <w:r>
              <w:t xml:space="preserve">36</w:t>
            </w:r>
            <w:r>
              <w:fldChar w:fldCharType="end"/>
            </w:r>
            <w:r>
              <w:t xml:space="preserve">, </w:t>
            </w:r>
            <w:r>
              <w:fldChar w:fldCharType="begin"/>
            </w:r>
            <w:r>
              <w:instrText xml:space="preserve"> REF _Ref0093 \h \* CHARFORMAT </w:instrText>
            </w:r>
            <w:r>
              <w:fldChar w:fldCharType="separate"/>
            </w:r>
            <w:r>
              <w:t xml:space="preserve">20</w:t>
            </w:r>
            <w:r>
              <w:fldChar w:fldCharType="end"/>
            </w:r>
            <w:r>
              <w:t xml:space="preserve">, </w:t>
            </w:r>
            <w:r>
              <w:fldChar w:fldCharType="begin"/>
            </w:r>
            <w:r>
              <w:instrText xml:space="preserve"> REF _Ref0094 \h \* CHARFORMAT </w:instrText>
            </w:r>
            <w:r>
              <w:fldChar w:fldCharType="separate"/>
            </w:r>
            <w:r>
              <w:t xml:space="preserve">21</w:t>
            </w:r>
            <w:r>
              <w:fldChar w:fldCharType="end"/>
            </w:r>
            <w:r>
              <w:t xml:space="preserve">, </w:t>
            </w:r>
            <w:r>
              <w:fldChar w:fldCharType="begin"/>
            </w:r>
            <w:r>
              <w:instrText xml:space="preserve"> REF _Ref0095 \h \* CHARFORMAT </w:instrText>
            </w:r>
            <w:r>
              <w:fldChar w:fldCharType="separate"/>
            </w:r>
            <w:r>
              <w:t xml:space="preserve">22</w:t>
            </w:r>
            <w:r>
              <w:fldChar w:fldCharType="end"/>
            </w:r>
            <w:r>
              <w:t xml:space="preserve">, </w:t>
            </w:r>
            <w:r>
              <w:fldChar w:fldCharType="begin"/>
            </w:r>
            <w:r>
              <w:instrText xml:space="preserve"> REF _Ref0097 \h \* CHARFORMAT </w:instrText>
            </w:r>
            <w:r>
              <w:fldChar w:fldCharType="separate"/>
            </w:r>
            <w:r>
              <w:t xml:space="preserve">24</w:t>
            </w:r>
            <w:r>
              <w:fldChar w:fldCharType="end"/>
            </w:r>
            <w:r>
              <w:t xml:space="preserve">, </w:t>
            </w:r>
            <w:r>
              <w:fldChar w:fldCharType="begin"/>
            </w:r>
            <w:r>
              <w:instrText xml:space="preserve"> REF _Ref0098 \h \* CHARFORMAT </w:instrText>
            </w:r>
            <w:r>
              <w:fldChar w:fldCharType="separate"/>
            </w:r>
            <w:r>
              <w:t xml:space="preserve">25</w:t>
            </w:r>
            <w:r>
              <w:fldChar w:fldCharType="end"/>
            </w:r>
            <w:r>
              <w:t xml:space="preserve">, </w:t>
            </w:r>
            <w:r>
              <w:fldChar w:fldCharType="begin"/>
            </w:r>
            <w:r>
              <w:instrText xml:space="preserve"> REF _Ref0099 \h \* CHARFORMAT </w:instrText>
            </w:r>
            <w:r>
              <w:fldChar w:fldCharType="separate"/>
            </w:r>
            <w:r>
              <w:t xml:space="preserve">37</w:t>
            </w:r>
            <w:r>
              <w:fldChar w:fldCharType="end"/>
            </w:r>
            <w:r>
              <w:t xml:space="preserve">, </w:t>
            </w:r>
            <w:r>
              <w:fldChar w:fldCharType="begin"/>
            </w:r>
            <w:r>
              <w:instrText xml:space="preserve"> REF _Ref0101 \h \* CHARFORMAT </w:instrText>
            </w:r>
            <w:r>
              <w:fldChar w:fldCharType="separate"/>
            </w:r>
            <w:r>
              <w:t xml:space="preserve">26</w:t>
            </w:r>
            <w:r>
              <w:fldChar w:fldCharType="end"/>
            </w:r>
            <w:r>
              <w:t xml:space="preserve">, </w:t>
            </w:r>
            <w:r>
              <w:fldChar w:fldCharType="begin"/>
            </w:r>
            <w:r>
              <w:instrText xml:space="preserve"> REF _Ref0102 \h \* CHARFORMAT </w:instrText>
            </w:r>
            <w:r>
              <w:fldChar w:fldCharType="separate"/>
            </w:r>
            <w:r>
              <w:t xml:space="preserve">27</w:t>
            </w:r>
            <w:r>
              <w:fldChar w:fldCharType="end"/>
            </w:r>
            <w:r>
              <w:t xml:space="preserve">, </w:t>
            </w:r>
            <w:r>
              <w:fldChar w:fldCharType="begin"/>
            </w:r>
            <w:r>
              <w:instrText xml:space="preserve"> REF _Ref0108 \h \* CHARFORMAT </w:instrText>
            </w:r>
            <w:r>
              <w:fldChar w:fldCharType="separate"/>
            </w:r>
            <w:r>
              <w:t xml:space="preserve">39</w:t>
            </w:r>
            <w:r>
              <w:fldChar w:fldCharType="end"/>
            </w:r>
          </w:p>
        </w:tc>
        <w:tc>
          <w:tcPr>
            <w:tcW w:w="1530" w:type="dxa"/>
          </w:tcPr>
          <w:p>
            <w:pPr>
              <w:pStyle w:val="IsiTabel"/>
              <w:keepNext/>
              <w:suppressAutoHyphens/>
              <w:jc w:val="left"/>
            </w:pPr>
            <w:r>
              <w:fldChar w:fldCharType="begin"/>
            </w:r>
            <w:r>
              <w:instrText xml:space="preserve"> REF _Ref0085 \h \* CHARFORMAT </w:instrText>
            </w:r>
            <w:r>
              <w:fldChar w:fldCharType="separate"/>
            </w:r>
            <w:r>
              <w:t xml:space="preserve">28</w:t>
            </w:r>
            <w:r>
              <w:fldChar w:fldCharType="end"/>
            </w:r>
            <w:r>
              <w:t xml:space="preserve">, </w:t>
            </w:r>
            <w:r>
              <w:fldChar w:fldCharType="begin"/>
            </w:r>
            <w:r>
              <w:instrText xml:space="preserve"> REF _Ref0103 \h \* CHARFORMAT </w:instrText>
            </w:r>
            <w:r>
              <w:fldChar w:fldCharType="separate"/>
            </w:r>
            <w:r>
              <w:t xml:space="preserve">29</w:t>
            </w:r>
            <w:r>
              <w:fldChar w:fldCharType="end"/>
            </w:r>
            <w:r>
              <w:t xml:space="preserve">, </w:t>
            </w:r>
            <w:r>
              <w:fldChar w:fldCharType="begin"/>
            </w:r>
            <w:r>
              <w:instrText xml:space="preserve"> REF _Ref0104 \h \* CHARFORMAT </w:instrText>
            </w:r>
            <w:r>
              <w:fldChar w:fldCharType="separate"/>
            </w:r>
            <w:r>
              <w:t xml:space="preserve">40</w:t>
            </w:r>
            <w:r>
              <w:fldChar w:fldCharType="end"/>
            </w:r>
            <w:r>
              <w:t xml:space="preserve">, </w:t>
            </w:r>
            <w:r>
              <w:fldChar w:fldCharType="begin"/>
            </w:r>
            <w:r>
              <w:instrText xml:space="preserve"> REF _Ref0105 \h \* CHARFORMAT </w:instrText>
            </w:r>
            <w:r>
              <w:fldChar w:fldCharType="separate"/>
            </w:r>
            <w:r>
              <w:t xml:space="preserve">30</w:t>
            </w:r>
            <w:r>
              <w:fldChar w:fldCharType="end"/>
            </w:r>
            <w:r>
              <w:t xml:space="preserve">, </w:t>
            </w:r>
            <w:r>
              <w:fldChar w:fldCharType="begin"/>
            </w:r>
            <w:r>
              <w:instrText xml:space="preserve"> REF _Ref0106 \h \* CHARFORMAT </w:instrText>
            </w:r>
            <w:r>
              <w:fldChar w:fldCharType="separate"/>
            </w:r>
            <w:r>
              <w:t xml:space="preserve">31</w:t>
            </w:r>
            <w:r>
              <w:fldChar w:fldCharType="end"/>
            </w:r>
          </w:p>
        </w:tc>
      </w:tr>
      <w:tr>
        <w:trPr>
          <w:cantSplit/>
        </w:trPr>
        <w:tc>
          <w:tcPr>
            <w:tcW w:w="1254" w:type="dxa"/>
          </w:tcPr>
          <w:p>
            <w:pPr>
              <w:pStyle w:val="IsiTabel"/>
              <w:keepNext/>
              <w:suppressAutoHyphens/>
              <w:jc w:val="left"/>
            </w:pPr>
            <w:r>
              <w:t xml:space="preserve">Tinggi</w:t>
            </w:r>
          </w:p>
        </w:tc>
        <w:tc>
          <w:tcPr>
            <w:tcW w:w="2941" w:type="dxa"/>
          </w:tcPr>
          <w:p>
            <w:pPr>
              <w:pStyle w:val="IsiTabel"/>
              <w:keepNext/>
              <w:suppressAutoHyphens/>
              <w:jc w:val="left"/>
            </w:pPr>
            <w:r>
              <w:t xml:space="preserve">–</w:t>
            </w:r>
          </w:p>
        </w:tc>
        <w:tc>
          <w:tcPr>
            <w:tcW w:w="3629" w:type="dxa"/>
          </w:tcPr>
          <w:p>
            <w:pPr>
              <w:pStyle w:val="IsiTabel"/>
              <w:keepNext/>
              <w:suppressAutoHyphens/>
              <w:jc w:val="left"/>
            </w:pPr>
            <w:r>
              <w:t xml:space="preserve">–</w:t>
            </w:r>
          </w:p>
        </w:tc>
        <w:tc>
          <w:tcPr>
            <w:tcW w:w="1530" w:type="dxa"/>
          </w:tcPr>
          <w:p>
            <w:pPr>
              <w:pStyle w:val="IsiTabel"/>
              <w:keepNext/>
              <w:suppressAutoHyphens/>
              <w:jc w:val="left"/>
            </w:pPr>
            <w:r>
              <w:t xml:space="preserve">–</w:t>
            </w:r>
          </w:p>
        </w:tc>
      </w:tr>
      <w:tr>
        <w:trPr>
          <w:cantSplit/>
        </w:trPr>
        <w:tc>
          <w:tcPr>
            <w:tcW w:w="1254" w:type="dxa"/>
          </w:tcPr>
          <w:p>
            <w:pPr>
              <w:pStyle w:val="IsiTabel"/>
              <w:suppressAutoHyphens/>
              <w:jc w:val="left"/>
            </w:pPr>
            <w:bookmarkStart w:id="790" w:name="_Ekor091z"/>
            <w:bookmarkEnd w:id="790"/>
            <w:r>
              <w:t xml:space="preserve">Sedang</w:t>
            </w:r>
          </w:p>
        </w:tc>
        <w:tc>
          <w:tcPr>
            <w:tcW w:w="2941" w:type="dxa"/>
          </w:tcPr>
          <w:p>
            <w:pPr>
              <w:pStyle w:val="IsiTabel"/>
              <w:suppressAutoHyphens/>
              <w:jc w:val="left"/>
            </w:pPr>
            <w:r>
              <w:fldChar w:fldCharType="begin"/>
            </w:r>
            <w:r>
              <w:instrText xml:space="preserve"> REF _Ref0075 \h \* CHARFORMAT </w:instrText>
            </w:r>
            <w:r>
              <w:fldChar w:fldCharType="separate"/>
            </w:r>
            <w:r>
              <w:t xml:space="preserve">07</w:t>
            </w:r>
            <w:r>
              <w:fldChar w:fldCharType="end"/>
            </w:r>
            <w:r>
              <w:t xml:space="preserve">, </w:t>
            </w:r>
            <w:r>
              <w:fldChar w:fldCharType="begin"/>
            </w:r>
            <w:r>
              <w:instrText xml:space="preserve"> REF _Ref0080 \h \* CHARFORMAT </w:instrText>
            </w:r>
            <w:r>
              <w:fldChar w:fldCharType="separate"/>
            </w:r>
            <w:r>
              <w:t xml:space="preserve">32</w:t>
            </w:r>
            <w:r>
              <w:fldChar w:fldCharType="end"/>
            </w:r>
          </w:p>
        </w:tc>
        <w:tc>
          <w:tcPr>
            <w:tcW w:w="3629" w:type="dxa"/>
          </w:tcPr>
          <w:p>
            <w:pPr>
              <w:pStyle w:val="IsiTabel"/>
              <w:suppressAutoHyphens/>
              <w:jc w:val="left"/>
            </w:pPr>
            <w:r>
              <w:fldChar w:fldCharType="begin"/>
            </w:r>
            <w:r>
              <w:instrText xml:space="preserve"> REF _Ref0096 \h \* CHARFORMAT </w:instrText>
            </w:r>
            <w:r>
              <w:fldChar w:fldCharType="separate"/>
            </w:r>
            <w:r>
              <w:t xml:space="preserve">23</w:t>
            </w:r>
            <w:r>
              <w:fldChar w:fldCharType="end"/>
            </w:r>
            <w:r>
              <w:t xml:space="preserve">, </w:t>
            </w:r>
            <w:r>
              <w:fldChar w:fldCharType="begin"/>
            </w:r>
            <w:r>
              <w:instrText xml:space="preserve"> REF _Ref0100 \h \* CHARFORMAT </w:instrText>
            </w:r>
            <w:r>
              <w:fldChar w:fldCharType="separate"/>
            </w:r>
            <w:r>
              <w:t xml:space="preserve">38</w:t>
            </w:r>
            <w:r>
              <w:fldChar w:fldCharType="end"/>
            </w:r>
          </w:p>
        </w:tc>
        <w:tc>
          <w:tcPr>
            <w:tcW w:w="1530"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Register rekomendasi kajian ini; kelas dampak per jenis Bab 5</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Kunci dampak = kelas tertinggi di antara jenis yang disasar (kelas satu sampai tiga sedang, kelas empat tinggi, kelas lima sangat tinggi), dengan kelas Bab 5 yang belum dikunci; kisi jenuh karena rekomendasi lintas jenis selalu jatuh di kelas tertinggi; kematian asap model tidak dipakai untuk menaikkan kelas karhutla. Keputusan empat belas hari pertama masuk kolom 100 hari.</w:t>
      </w:r>
    </w:p>
    <w:p>
      <w:pPr>
        <w:pStyle w:val="IsiTemuan"/>
      </w:pPr>
      <w:r>
        <w:rPr>
          <w:b/>
          <w:bCs/>
          <w:color w:val="051C2C"/>
        </w:rPr>
        <w:t xml:space="preserve">Kedua program berbukti kuat di antara </w:t>
      </w:r>
      <w:r>
        <w:rPr>
          <w:b/>
          <w:bCs/>
          <w:color w:val="051C2C"/>
        </w:rPr>
        <w:t xml:space="preserve">25</w:t>
      </w:r>
      <w:r>
        <w:rPr>
          <w:b/>
          <w:bCs/>
          <w:color w:val="051C2C"/>
        </w:rPr>
        <w:t xml:space="preserve"> program dalam kompendium berasal dari luar negeri, sehingga tidak ada program dalam negeri yang diusulkan diperluas sebagai program terbukti </w:t>
      </w:r>
      <w:r>
        <w:rPr>
          <w:b/>
          <w:bCs/>
          <w:color w:val="051C2C"/>
        </w:rPr>
        <w:t xml:space="preserve">(Pantau Bencana, 2026d)</w:t>
      </w:r>
      <w:r>
        <w:rPr>
          <w:b/>
          <w:bCs/>
          <w:color w:val="051C2C"/>
        </w:rPr>
        <w:t xml:space="preserve">.</w:t>
      </w:r>
      <w:r>
        <w:t xml:space="preserve"> Bukti dampak Desa Tangguh Bencana (Destana) dan Satuan Pendidikan Aman Bencana (SPAB) belum ditemukan meski keduanya berjalan lebih dari sepuluh tahun. </w:t>
      </w:r>
      <w:r>
        <w:rPr>
          <w:i/>
          <w:iCs/>
        </w:rPr>
        <w:t xml:space="preserve">Indonesia Tsunami Early Warning System</w:t>
      </w:r>
      <w:r>
        <w:t xml:space="preserve"> (InaTEWS) berbukti sedang dari kronologi satu kejadian. Ketiganya masuk sebagai garis dasar dan agenda evaluasi dampak (</w:t>
      </w:r>
      <w:r>
        <w:fldChar w:fldCharType="begin"/>
      </w:r>
      <w:r>
        <w:instrText xml:space="preserve"> REF _Ref0083 \h \* CHARFORMAT </w:instrText>
      </w:r>
      <w:r>
        <w:fldChar w:fldCharType="separate"/>
      </w:r>
      <w:r>
        <w:t xml:space="preserve">34</w:t>
      </w:r>
      <w:r>
        <w:fldChar w:fldCharType="end"/>
      </w:r>
      <w:r>
        <w:t xml:space="preserve"> dan </w:t>
      </w:r>
      <w:r>
        <w:fldChar w:fldCharType="begin"/>
      </w:r>
      <w:r>
        <w:instrText xml:space="preserve"> REF _Ref0104 \h \* CHARFORMAT </w:instrText>
      </w:r>
      <w:r>
        <w:fldChar w:fldCharType="separate"/>
      </w:r>
      <w:r>
        <w:t xml:space="preserve">40</w:t>
      </w:r>
      <w:r>
        <w:fldChar w:fldCharType="end"/>
      </w:r>
      <w:r>
        <w:t xml:space="preserve">). Paket kesiapsiagaan siklon Bangladesh, satu dari dua program berbukti kuat, hanya masuk lewat padanannya di Indonesia, yaitu Destana dan sistem peringatan dini tsunami beserta relawannya.</w:t>
      </w:r>
    </w:p>
    <w:p>
      <w:pPr>
        <w:pStyle w:val="Isi"/>
      </w:pPr>
      <w:r>
        <w:t xml:space="preserve">Kode peran BNPB dalam kurung di akhir tiap rekomendasi mengikuti paket lembaga </w:t>
      </w:r>
      <w:r>
        <w:t xml:space="preserve">(Pantau Bencana, 2026b)</w:t>
      </w:r>
      <w:r>
        <w:t xml:space="preserve">. Huruf K menandai peran koordinator dan P peran pelaksana atau pendukung; R menandai penetap norma atau status, sedangkan I menandai penyedia informasi. Kata sesudah huruf menyebut fungsi, misalnya norma, standar, prosedur, dan kriteria (NSPK), dan keterangan sesudah titik koma menyebut jalur daerah atau hanya pusat.</w:t>
      </w:r>
    </w:p>
    <w:p>
      <w:pPr>
        <w:pStyle w:val="Caption"/>
      </w:pPr>
      <w:bookmarkStart w:id="819" w:name="_Toc00258"/>
      <w:bookmarkStart w:id="818" w:name="_Ref032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818"/>
      <w:r>
        <w:rPr>
          <w:b/>
          <w:bCs/>
          <w:color w:val="051C2C"/>
        </w:rPr>
        <w:t xml:space="preserve"> </w:t>
      </w:r>
      <w:r>
        <w:t xml:space="preserve">Rekomendasi internal BNPB untuk Grand Design Mitigasi Bencana Indonesia, 2026–2030</w:t>
      </w:r>
      <w:bookmarkEnd w:id="819"/>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1" w:name="_Ref0073"/>
            <w:r>
              <w:rPr>
                <w:b/>
                <w:bCs/>
                <w:color w:val="FFFFFF"/>
                <w:sz w:val="16"/>
                <w:szCs w:val="16"/>
                <w:shd w:val="clear" w:color="auto" w:fill="051C2C"/>
              </w:rPr>
              <w:t xml:space="preserve">05</w:t>
            </w:r>
            <w:bookmarkEnd w:id="79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18" name="Gambar 218"/>
                  <wp:cNvGraphicFramePr>
                    <a:graphicFrameLocks noChangeAspect="1"/>
                  </wp:cNvGraphicFramePr>
                  <a:graphic>
                    <a:graphicData uri="http://schemas.openxmlformats.org/drawingml/2006/picture">
                      <pic:pic>
                        <pic:nvPicPr>
                          <pic:cNvPr id="218"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hari ke-0 dan tugaskan unit</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19" name="Gambar 219"/>
                  <wp:cNvGraphicFramePr>
                    <a:graphicFrameLocks noChangeAspect="1"/>
                  </wp:cNvGraphicFramePr>
                  <a:graphic>
                    <a:graphicData uri="http://schemas.openxmlformats.org/drawingml/2006/picture">
                      <pic:pic>
                        <pic:nvPicPr>
                          <pic:cNvPr id="21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Kepala BNPB</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20" name="Gambar 220"/>
                  <wp:cNvGraphicFramePr>
                    <a:graphicFrameLocks noChangeAspect="1"/>
                  </wp:cNvGraphicFramePr>
                  <a:graphic>
                    <a:graphicData uri="http://schemas.openxmlformats.org/drawingml/2006/picture">
                      <pic:pic>
                        <pic:nvPicPr>
                          <pic:cNvPr id="22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Pencegahan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1" name="Gambar 221"/>
                  <wp:cNvGraphicFramePr>
                    <a:graphicFrameLocks noChangeAspect="1"/>
                  </wp:cNvGraphicFramePr>
                  <a:graphic>
                    <a:graphicData uri="http://schemas.openxmlformats.org/drawingml/2006/picture">
                      <pic:pic>
                        <pic:nvPicPr>
                          <pic:cNvPr id="22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2" name="Gambar 222"/>
                  <wp:cNvGraphicFramePr>
                    <a:graphicFrameLocks noChangeAspect="1"/>
                  </wp:cNvGraphicFramePr>
                  <a:graphic>
                    <a:graphicData uri="http://schemas.openxmlformats.org/drawingml/2006/picture">
                      <pic:pic>
                        <pic:nvPicPr>
                          <pic:cNvPr id="22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3" name="Gambar 223"/>
                  <wp:cNvGraphicFramePr>
                    <a:graphicFrameLocks noChangeAspect="1"/>
                  </wp:cNvGraphicFramePr>
                  <a:graphic>
                    <a:graphicData uri="http://schemas.openxmlformats.org/drawingml/2006/picture">
                      <pic:pic>
                        <pic:nvPicPr>
                          <pic:cNvPr id="22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Hari ke-0 pada 1 November, 15 November, atau 30 November 2026 menempatkan hari ke-100 pada </w:t>
            </w:r>
            <w:r>
              <w:t xml:space="preserve">9 Februari 2027</w:t>
            </w:r>
            <w:r>
              <w:t xml:space="preserve">, </w:t>
            </w:r>
            <w:r>
              <w:t xml:space="preserve">23 Februari 2027</w:t>
            </w:r>
            <w:r>
              <w:t xml:space="preserve">, atau </w:t>
            </w:r>
            <w:r>
              <w:t xml:space="preserve">10 Maret 2027</w:t>
            </w:r>
            <w:r>
              <w:t xml:space="preserve"> (K koordinasi; hanya pusat).</w:t>
            </w:r>
          </w:p>
          <w:p>
            <w:pPr>
              <w:pStyle w:val="IsiTabel"/>
              <w:suppressAutoHyphens/>
              <w:spacing w:after="40"/>
            </w:pPr>
            <w:r>
              <w:rPr>
                <w:b/>
                <w:bCs/>
              </w:rPr>
              <w:t xml:space="preserve">Indikator selesai: </w:t>
            </w:r>
            <w:r>
              <w:t xml:space="preserve">keputusan Kepala BNPB bertanggal yang memuat unit Rencana Aksi Musim Hujan 2026/2027 nasional, termasuk Direktorat Penanganan Darurat Wilayah I, II, dan III untuk seluruh provinsi, terbit dalam empat belas hari pertama</w:t>
            </w:r>
            <w:r>
              <w:t xml:space="preserve">. </w:t>
            </w:r>
            <w:r>
              <w:rPr>
                <w:b/>
                <w:bCs/>
              </w:rPr>
              <w:t xml:space="preserve">Dasar: </w:t>
            </w:r>
            <w:r>
              <w:t xml:space="preserve">Temuan A.2; KD-1; Perban BNPB 1/2025 Pasal 7 </w:t>
            </w:r>
            <w:r>
              <w:t xml:space="preserve">(BNPB, 2025c)</w:t>
            </w:r>
            <w:r>
              <w:t xml:space="preserve">; Perpres 87/2020 Pasal 4 ayat (2) </w:t>
            </w:r>
            <w:r>
              <w:t xml:space="preserve">(Republik Indonesia, 2020f)</w:t>
            </w:r>
            <w:r>
              <w:rPr>
                <w:b/>
                <w:bCs/>
              </w:rPr>
              <w:t xml:space="preserve">. Membuka </w:t>
            </w:r>
            <w:r>
              <w:t xml:space="preserve">06, 07, 08, 12, 13, 10</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2" w:name="_Ref0074"/>
            <w:r>
              <w:rPr>
                <w:b/>
                <w:bCs/>
                <w:color w:val="FFFFFF"/>
                <w:sz w:val="16"/>
                <w:szCs w:val="16"/>
                <w:shd w:val="clear" w:color="auto" w:fill="051C2C"/>
              </w:rPr>
              <w:t xml:space="preserve">06</w:t>
            </w:r>
            <w:bookmarkEnd w:id="79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24" name="Gambar 224"/>
                  <wp:cNvGraphicFramePr>
                    <a:graphicFrameLocks noChangeAspect="1"/>
                  </wp:cNvGraphicFramePr>
                  <a:graphic>
                    <a:graphicData uri="http://schemas.openxmlformats.org/drawingml/2006/picture">
                      <pic:pic>
                        <pic:nvPicPr>
                          <pic:cNvPr id="224"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Kirim prakiraan, minta kaji ulang rencana kontinjensi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25" name="Gambar 225"/>
                  <wp:cNvGraphicFramePr>
                    <a:graphicFrameLocks noChangeAspect="1"/>
                  </wp:cNvGraphicFramePr>
                  <a:graphic>
                    <a:graphicData uri="http://schemas.openxmlformats.org/drawingml/2006/picture">
                      <pic:pic>
                        <pic:nvPicPr>
                          <pic:cNvPr id="22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26" name="Gambar 226"/>
                  <wp:cNvGraphicFramePr>
                    <a:graphicFrameLocks noChangeAspect="1"/>
                  </wp:cNvGraphicFramePr>
                  <a:graphic>
                    <a:graphicData uri="http://schemas.openxmlformats.org/drawingml/2006/picture">
                      <pic:pic>
                        <pic:nvPicPr>
                          <pic:cNvPr id="22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7" name="Gambar 227"/>
                  <wp:cNvGraphicFramePr>
                    <a:graphicFrameLocks noChangeAspect="1"/>
                  </wp:cNvGraphicFramePr>
                  <a:graphic>
                    <a:graphicData uri="http://schemas.openxmlformats.org/drawingml/2006/picture">
                      <pic:pic>
                        <pic:nvPicPr>
                          <pic:cNvPr id="22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6B7280"/>
              </w:rPr>
              <w:t xml:space="preserve">  Sudah ada  </w:t>
            </w:r>
          </w:p>
          <w:p>
            <w:pPr>
              <w:pStyle w:val="IsiTabel"/>
              <w:suppressAutoHyphens/>
              <w:spacing w:after="40"/>
              <w:jc w:val="both"/>
            </w:pPr>
            <w:r>
              <w:t xml:space="preserve">Rencana kontinjensi dikaji ulang paling sedikit tiap </w:t>
            </w:r>
            <w:r>
              <w:t xml:space="preserve">6 bulan</w:t>
            </w:r>
            <w:r>
              <w:t xml:space="preserve">, sehingga Badan Penanggulangan Bencana Daerah (BPBD) perlu diminta sebelum awal musim (K NSPK dan I informasi; BPBD provinsi dan kab/kota).</w:t>
            </w:r>
          </w:p>
          <w:p>
            <w:pPr>
              <w:pStyle w:val="IsiTabel"/>
              <w:suppressAutoHyphens/>
              <w:spacing w:after="40"/>
            </w:pPr>
            <w:r>
              <w:rPr>
                <w:b/>
                <w:bCs/>
              </w:rPr>
              <w:t xml:space="preserve">Indikator selesai: </w:t>
            </w:r>
            <w:r>
              <w:t xml:space="preserve">surat terkirim dalam empat belas hari pertama ke BPBD provinsi dengan zona musim berawal musim November (</w:t>
            </w:r>
            <w:r>
              <w:t xml:space="preserve">185 ZOM</w:t>
            </w:r>
            <w:r>
              <w:t xml:space="preserve">) dan Desember (</w:t>
            </w:r>
            <w:r>
              <w:t xml:space="preserve">266 ZOM</w:t>
            </w:r>
            <w:r>
              <w:t xml:space="preserve">); jumlah rencana kontinjensi banjir dan longsor yang dikaji ulang sebelum puncak musim</w:t>
            </w:r>
            <w:r>
              <w:t xml:space="preserve">. </w:t>
            </w:r>
            <w:r>
              <w:rPr>
                <w:b/>
                <w:bCs/>
              </w:rPr>
              <w:t xml:space="preserve">Dasar: </w:t>
            </w:r>
            <w:r>
              <w:t xml:space="preserve">Temuan A.2; Perban BNPB 2/2023 Pasal 21 </w:t>
            </w:r>
            <w:r>
              <w:t xml:space="preserve">(BNPB, 2023c)</w:t>
            </w:r>
            <w:r>
              <w:t xml:space="preserve">; prakiraan musim hujan BMKG </w:t>
            </w:r>
            <w:r>
              <w:t xml:space="preserve">(BMKG, 2026c)</w:t>
            </w:r>
            <w:r>
              <w:rPr>
                <w:b/>
                <w:bCs/>
              </w:rPr>
              <w:t xml:space="preserve">. Butuh </w:t>
            </w:r>
            <w:r>
              <w:t xml:space="preserve">05</w:t>
            </w:r>
          </w:p>
          <w:p>
            <w:pPr>
              <w:pStyle w:val="IsiTabel"/>
              <w:suppressAutoHyphens/>
            </w:pPr>
            <w:r>
              <w:rPr>
                <w:b/>
                <w:bCs/>
                <w:color w:val="1A1A1A"/>
              </w:rPr>
              <w:t xml:space="preserve">Langkah pelaksanaan: </w:t>
            </w:r>
            <w:r>
              <w:t xml:space="preserve">Direktorat Peringatan Dini meneruskan prakiraan awal dan puncak musim dari Badan Meteorologi, Klimatologi, dan Geofisika (BMKG) per provinsi; Direktorat Kesiapsiagaan meminta kaji ulang ke BPBD provinsi dalam empat belas hari pertama, mendahulukan wilayah yang memuncak Desember, dan mencatat hasilnya per provinsi.</w:t>
            </w:r>
          </w:p>
          <w:p>
            <w:pPr>
              <w:pStyle w:val="IsiTabel"/>
              <w:suppressAutoHyphens/>
            </w:pPr>
            <w:r>
              <w:rPr>
                <w:b/>
                <w:bCs/>
                <w:color w:val="1A1A1A"/>
              </w:rPr>
              <w:t xml:space="preserve">Risiko pelaksanaan: </w:t>
            </w:r>
            <w:r>
              <w:t xml:space="preserve">BPK menemukan pemda tanpa rencana kontinjensi per jenis, dan </w:t>
            </w:r>
            <w:r>
              <w:t xml:space="preserve">63</w:t>
            </w:r>
            <w:r>
              <w:t xml:space="preserve"> daerah belum menuntaskan Standar Pelayanan Minimal (SPM) sub-urusan bencana </w:t>
            </w:r>
            <w:r>
              <w:t xml:space="preserve">(BPK, 2025; Kemenko PMK, 2025a)</w:t>
            </w:r>
            <w:r>
              <w:t xml:space="preserve">, sehingga dokumen yang akan dikaji ulang bisa belum ada; indikator diukur dari nol.</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3" w:name="_Ref0075"/>
            <w:r>
              <w:rPr>
                <w:b/>
                <w:bCs/>
                <w:color w:val="FFFFFF"/>
                <w:sz w:val="16"/>
                <w:szCs w:val="16"/>
                <w:shd w:val="clear" w:color="auto" w:fill="051C2C"/>
              </w:rPr>
              <w:t xml:space="preserve">07</w:t>
            </w:r>
            <w:bookmarkEnd w:id="79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28" name="Gambar 228"/>
                  <wp:cNvGraphicFramePr>
                    <a:graphicFrameLocks noChangeAspect="1"/>
                  </wp:cNvGraphicFramePr>
                  <a:graphic>
                    <a:graphicData uri="http://schemas.openxmlformats.org/drawingml/2006/picture">
                      <pic:pic>
                        <pic:nvPicPr>
                          <pic:cNvPr id="228"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data operasional kemarau 2026</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29" name="Gambar 229"/>
                  <wp:cNvGraphicFramePr>
                    <a:graphicFrameLocks noChangeAspect="1"/>
                  </wp:cNvGraphicFramePr>
                  <a:graphic>
                    <a:graphicData uri="http://schemas.openxmlformats.org/drawingml/2006/picture">
                      <pic:pic>
                        <pic:nvPicPr>
                          <pic:cNvPr id="22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30" name="Gambar 230"/>
                  <wp:cNvGraphicFramePr>
                    <a:graphicFrameLocks noChangeAspect="1"/>
                  </wp:cNvGraphicFramePr>
                  <a:graphic>
                    <a:graphicData uri="http://schemas.openxmlformats.org/drawingml/2006/picture">
                      <pic:pic>
                        <pic:nvPicPr>
                          <pic:cNvPr id="23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Penanganan Darurat Wilayah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31" name="Gambar 231"/>
                  <wp:cNvGraphicFramePr>
                    <a:graphicFrameLocks noChangeAspect="1"/>
                  </wp:cNvGraphicFramePr>
                  <a:graphic>
                    <a:graphicData uri="http://schemas.openxmlformats.org/drawingml/2006/picture">
                      <pic:pic>
                        <pic:nvPicPr>
                          <pic:cNvPr id="23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32" name="Gambar 232"/>
                  <wp:cNvGraphicFramePr>
                    <a:graphicFrameLocks noChangeAspect="1"/>
                  </wp:cNvGraphicFramePr>
                  <a:graphic>
                    <a:graphicData uri="http://schemas.openxmlformats.org/drawingml/2006/picture">
                      <pic:pic>
                        <pic:nvPicPr>
                          <pic:cNvPr id="23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Kemarau 2026 sementara mencatat </w:t>
            </w:r>
            <w:r>
              <w:t xml:space="preserve">122</w:t>
            </w:r>
            <w:r>
              <w:t xml:space="preserve"> kejadian kekeringan dengan </w:t>
            </w:r>
            <w:r>
              <w:t xml:space="preserve">1.949.544</w:t>
            </w:r>
            <w:r>
              <w:t xml:space="preserve"> jiwa terdampak dan </w:t>
            </w:r>
            <w:r>
              <w:t xml:space="preserve">1.024</w:t>
            </w:r>
            <w:r>
              <w:t xml:space="preserve"> kejadian karhutla, tetapi volume air tersalur dan desa terdampak tidak tercatat (I data; BPBD provinsi).</w:t>
            </w:r>
          </w:p>
          <w:p>
            <w:pPr>
              <w:pStyle w:val="IsiTabel"/>
              <w:suppressAutoHyphens/>
              <w:spacing w:after="40"/>
            </w:pPr>
            <w:r>
              <w:rPr>
                <w:b/>
                <w:bCs/>
              </w:rPr>
              <w:t xml:space="preserve">Indikator selesai: </w:t>
            </w:r>
            <w:r>
              <w:t xml:space="preserve">status darurat, volume distribusi air, dan desa terdampak per kab/kota dari semua BPBD provinsi diterima</w:t>
            </w:r>
            <w:r>
              <w:t xml:space="preserve">. </w:t>
            </w:r>
            <w:r>
              <w:rPr>
                <w:b/>
                <w:bCs/>
              </w:rPr>
              <w:t xml:space="preserve">Dasar: </w:t>
            </w:r>
            <w:r>
              <w:t xml:space="preserve">Temuan A.2;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4" w:name="_Ref0076"/>
            <w:r>
              <w:rPr>
                <w:b/>
                <w:bCs/>
                <w:color w:val="FFFFFF"/>
                <w:sz w:val="16"/>
                <w:szCs w:val="16"/>
                <w:shd w:val="clear" w:color="auto" w:fill="051C2C"/>
              </w:rPr>
              <w:t xml:space="preserve">08</w:t>
            </w:r>
            <w:bookmarkEnd w:id="79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33" name="Gambar 233"/>
                  <wp:cNvGraphicFramePr>
                    <a:graphicFrameLocks noChangeAspect="1"/>
                  </wp:cNvGraphicFramePr>
                  <a:graphic>
                    <a:graphicData uri="http://schemas.openxmlformats.org/drawingml/2006/picture">
                      <pic:pic>
                        <pic:nvPicPr>
                          <pic:cNvPr id="233"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Inventarisasi logistik terhadap lantai musim hujan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34" name="Gambar 234"/>
                  <wp:cNvGraphicFramePr>
                    <a:graphicFrameLocks noChangeAspect="1"/>
                  </wp:cNvGraphicFramePr>
                  <a:graphic>
                    <a:graphicData uri="http://schemas.openxmlformats.org/drawingml/2006/picture">
                      <pic:pic>
                        <pic:nvPicPr>
                          <pic:cNvPr id="23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Logistik dan Peralatan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35" name="Gambar 235"/>
                  <wp:cNvGraphicFramePr>
                    <a:graphicFrameLocks noChangeAspect="1"/>
                  </wp:cNvGraphicFramePr>
                  <a:graphic>
                    <a:graphicData uri="http://schemas.openxmlformats.org/drawingml/2006/picture">
                      <pic:pic>
                        <pic:nvPicPr>
                          <pic:cNvPr id="23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Penanganan Darurat Wilayah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36" name="Gambar 236"/>
                  <wp:cNvGraphicFramePr>
                    <a:graphicFrameLocks noChangeAspect="1"/>
                  </wp:cNvGraphicFramePr>
                  <a:graphic>
                    <a:graphicData uri="http://schemas.openxmlformats.org/drawingml/2006/picture">
                      <pic:pic>
                        <pic:nvPicPr>
                          <pic:cNvPr id="23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37" name="Gambar 237"/>
                  <wp:cNvGraphicFramePr>
                    <a:graphicFrameLocks noChangeAspect="1"/>
                  </wp:cNvGraphicFramePr>
                  <a:graphic>
                    <a:graphicData uri="http://schemas.openxmlformats.org/drawingml/2006/picture">
                      <pic:pic>
                        <pic:nvPicPr>
                          <pic:cNvPr id="23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Lantai pengungsi Wilayah I adalah </w:t>
            </w:r>
            <w:r>
              <w:t xml:space="preserve">954.305</w:t>
            </w:r>
            <w:r>
              <w:t xml:space="preserve"> jiwa dalam tiga puluh hari (Aceh, November 2025), setara </w:t>
            </w:r>
            <w:r>
              <w:t xml:space="preserve">381,7 ton per hari</w:t>
            </w:r>
            <w:r>
              <w:t xml:space="preserve"> beras menurut Perka BNPB 7/2008, sedangkan cadangan belum dibandingkan dengan lantai itu (P komando darurat; cadangan BPBD).</w:t>
            </w:r>
          </w:p>
          <w:p>
            <w:pPr>
              <w:pStyle w:val="IsiTabel"/>
              <w:suppressAutoHyphens/>
              <w:spacing w:after="40"/>
            </w:pPr>
            <w:r>
              <w:rPr>
                <w:b/>
                <w:bCs/>
              </w:rPr>
              <w:t xml:space="preserve">Indikator selesai: </w:t>
            </w:r>
            <w:r>
              <w:t xml:space="preserve">daftar cadangan per Direktorat Penanganan Darurat Wilayah dibandingkan kebutuhan respons skenario yang tidak lebih ringan dari </w:t>
            </w:r>
            <w:r>
              <w:t xml:space="preserve">1.692</w:t>
            </w:r>
            <w:r>
              <w:t xml:space="preserve"> meninggal dan hilang serta </w:t>
            </w:r>
            <w:r>
              <w:t xml:space="preserve">1.043.740</w:t>
            </w:r>
            <w:r>
              <w:t xml:space="preserve"> jiwa mengungsi</w:t>
            </w:r>
            <w:r>
              <w:t xml:space="preserve">. </w:t>
            </w:r>
            <w:r>
              <w:rPr>
                <w:b/>
                <w:bCs/>
              </w:rPr>
              <w:t xml:space="preserve">Dasar: </w:t>
            </w:r>
            <w:r>
              <w:t xml:space="preserve">Temuan A.2; Perka BNPB 7/2008 </w:t>
            </w:r>
            <w:r>
              <w:t xml:space="preserve">(BNPB, 2008b)</w:t>
            </w:r>
            <w:r>
              <w:t xml:space="preserve">; Perban BNPB 3/2018 </w:t>
            </w:r>
            <w:r>
              <w:t xml:space="preserve">(BNPB, 2018d)</w:t>
            </w:r>
            <w:r>
              <w:rPr>
                <w:b/>
                <w:bCs/>
              </w:rPr>
              <w:t xml:space="preserve">. Butuh </w:t>
            </w:r>
            <w:r>
              <w:t xml:space="preserve">05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5" w:name="_Ref0077"/>
            <w:r>
              <w:rPr>
                <w:b/>
                <w:bCs/>
                <w:color w:val="FFFFFF"/>
                <w:sz w:val="16"/>
                <w:szCs w:val="16"/>
                <w:shd w:val="clear" w:color="auto" w:fill="051C2C"/>
              </w:rPr>
              <w:t xml:space="preserve">09</w:t>
            </w:r>
            <w:bookmarkEnd w:id="79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38" name="Gambar 238"/>
                  <wp:cNvGraphicFramePr>
                    <a:graphicFrameLocks noChangeAspect="1"/>
                  </wp:cNvGraphicFramePr>
                  <a:graphic>
                    <a:graphicData uri="http://schemas.openxmlformats.org/drawingml/2006/picture">
                      <pic:pic>
                        <pic:nvPicPr>
                          <pic:cNvPr id="238"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Ajukan rakor peninjauan Renas 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39" name="Gambar 239"/>
                  <wp:cNvGraphicFramePr>
                    <a:graphicFrameLocks noChangeAspect="1"/>
                  </wp:cNvGraphicFramePr>
                  <a:graphic>
                    <a:graphicData uri="http://schemas.openxmlformats.org/drawingml/2006/picture">
                      <pic:pic>
                        <pic:nvPicPr>
                          <pic:cNvPr id="23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40" name="Gambar 240"/>
                  <wp:cNvGraphicFramePr>
                    <a:graphicFrameLocks noChangeAspect="1"/>
                  </wp:cNvGraphicFramePr>
                  <a:graphic>
                    <a:graphicData uri="http://schemas.openxmlformats.org/drawingml/2006/picture">
                      <pic:pic>
                        <pic:nvPicPr>
                          <pic:cNvPr id="24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Pengembangan Strategi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41" name="Gambar 241"/>
                  <wp:cNvGraphicFramePr>
                    <a:graphicFrameLocks noChangeAspect="1"/>
                  </wp:cNvGraphicFramePr>
                  <a:graphic>
                    <a:graphicData uri="http://schemas.openxmlformats.org/drawingml/2006/picture">
                      <pic:pic>
                        <pic:nvPicPr>
                          <pic:cNvPr id="24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Progsun 2026 memuat </w:t>
            </w:r>
            <w:r>
              <w:t xml:space="preserve">11</w:t>
            </w:r>
            <w:r>
              <w:t xml:space="preserve"> rancangan tanpa perubahan Perban BNPB 1/2025 </w:t>
            </w:r>
            <w:r>
              <w:t xml:space="preserve">(BNPB, 2025b)</w:t>
            </w:r>
            <w:r>
              <w:t xml:space="preserve">, sehingga peninjauan Renas PB dibuka lewat rakor; alat ukur kapasitas (KD-3) diubah lewat Kepka, bukan Renas PB (K koordinasi; hanya pusat).</w:t>
            </w:r>
          </w:p>
          <w:p>
            <w:pPr>
              <w:pStyle w:val="IsiTabel"/>
              <w:suppressAutoHyphens/>
              <w:spacing w:after="40"/>
            </w:pPr>
            <w:r>
              <w:rPr>
                <w:b/>
                <w:bCs/>
              </w:rPr>
              <w:t xml:space="preserve">Indikator selesai: </w:t>
            </w:r>
            <w:r>
              <w:t xml:space="preserve">rakor terjadwal dan notula rapat memuat usulan perubahan target peringatan dini (KD-2) dan baseline IRB (KD-4); penugasan tertulis memuat rekomendasi kedua kajian, dipisah jalur berkala dan jalur bencana, ke evaluasi tahunan Renas PB 2026</w:t>
            </w:r>
            <w:r>
              <w:t xml:space="preserve">. </w:t>
            </w:r>
            <w:r>
              <w:rPr>
                <w:b/>
                <w:bCs/>
              </w:rPr>
              <w:t xml:space="preserve">Dasar: </w:t>
            </w:r>
            <w:r>
              <w:t xml:space="preserve">Temuan C.1; KD-1; Perban BNPB 1/2025 Pasal 7 </w:t>
            </w:r>
            <w:r>
              <w:t xml:space="preserve">(BNPB, 2025c)</w:t>
            </w:r>
            <w:r>
              <w:t xml:space="preserve">; Perpres 1/2019 Pasal 6 </w:t>
            </w:r>
            <w:r>
              <w:t xml:space="preserve">(Republik Indonesia, 2019a)</w:t>
            </w:r>
            <w:r>
              <w:rPr>
                <w:b/>
                <w:bCs/>
              </w:rPr>
              <w:t xml:space="preserve">. Membuka </w:t>
            </w:r>
            <w:r>
              <w:t xml:space="preserve">33, 35, 21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6" w:name="_Ref0086"/>
            <w:r>
              <w:rPr>
                <w:b/>
                <w:bCs/>
                <w:color w:val="FFFFFF"/>
                <w:sz w:val="16"/>
                <w:szCs w:val="16"/>
                <w:shd w:val="clear" w:color="auto" w:fill="051C2C"/>
              </w:rPr>
              <w:t xml:space="preserve">10</w:t>
            </w:r>
            <w:bookmarkEnd w:id="79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42" name="Gambar 242"/>
                  <wp:cNvGraphicFramePr>
                    <a:graphicFrameLocks noChangeAspect="1"/>
                  </wp:cNvGraphicFramePr>
                  <a:graphic>
                    <a:graphicData uri="http://schemas.openxmlformats.org/drawingml/2006/picture">
                      <pic:pic>
                        <pic:nvPicPr>
                          <pic:cNvPr id="242"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Tugaskan catatan metode IRBI 2025</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43" name="Gambar 243"/>
                  <wp:cNvGraphicFramePr>
                    <a:graphicFrameLocks noChangeAspect="1"/>
                  </wp:cNvGraphicFramePr>
                  <a:graphic>
                    <a:graphicData uri="http://schemas.openxmlformats.org/drawingml/2006/picture">
                      <pic:pic>
                        <pic:nvPicPr>
                          <pic:cNvPr id="24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Pemetaan dan Evaluasi Risiko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44" name="Gambar 244"/>
                  <wp:cNvGraphicFramePr>
                    <a:graphicFrameLocks noChangeAspect="1"/>
                  </wp:cNvGraphicFramePr>
                  <a:graphic>
                    <a:graphicData uri="http://schemas.openxmlformats.org/drawingml/2006/picture">
                      <pic:pic>
                        <pic:nvPicPr>
                          <pic:cNvPr id="24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Baseline sudah dinyatakan di LKIP BNPB 2025, tetapi bobot komponen dan cara agregasi kab/kota belum terbit, sehingga capaian 2026–2029 belum dapat diperiksa pihak lain (K data/KRB; hanya pusat).</w:t>
            </w:r>
          </w:p>
          <w:p>
            <w:pPr>
              <w:pStyle w:val="IsiTabel"/>
              <w:suppressAutoHyphens/>
              <w:spacing w:after="40"/>
            </w:pPr>
            <w:r>
              <w:rPr>
                <w:b/>
                <w:bCs/>
              </w:rPr>
              <w:t xml:space="preserve">Indikator selesai: </w:t>
            </w:r>
            <w:r>
              <w:t xml:space="preserve">penugasan tertulis dalam empat belas hari; paling lambat hari ke-100 terbit catatan metode yang dapat diulang untuk baseline </w:t>
            </w:r>
            <w:r>
              <w:t xml:space="preserve">147,95</w:t>
            </w:r>
            <w:r>
              <w:t xml:space="preserve">, nilai per kab/kota dan provinsi 2025, dan rekonsiliasi IRB 2024 (</w:t>
            </w:r>
            <w:r>
              <w:t xml:space="preserve">128,52</w:t>
            </w:r>
            <w:r>
              <w:t xml:space="preserve"> lawan </w:t>
            </w:r>
            <w:r>
              <w:t xml:space="preserve">171,95</w:t>
            </w:r>
            <w:r>
              <w:t xml:space="preserve">)</w:t>
            </w:r>
            <w:r>
              <w:t xml:space="preserve">. </w:t>
            </w:r>
            <w:r>
              <w:rPr>
                <w:b/>
                <w:bCs/>
              </w:rPr>
              <w:t xml:space="preserve">Dasar: </w:t>
            </w:r>
            <w:r>
              <w:t xml:space="preserve">Temuan A.1; KD-4; RPJMN PP 08.04 </w:t>
            </w:r>
            <w:r>
              <w:t xml:space="preserve">(Republik Indonesia, 2025b)</w:t>
            </w:r>
            <w:r>
              <w:t xml:space="preserve">; LKIP BNPB 2025 </w:t>
            </w:r>
            <w:r>
              <w:t xml:space="preserve">(BNPB, 2026c)</w:t>
            </w:r>
            <w:r>
              <w:rPr>
                <w:b/>
                <w:bCs/>
              </w:rPr>
              <w:t xml:space="preserve">. Butuh </w:t>
            </w:r>
            <w:r>
              <w:t xml:space="preserve">05</w:t>
            </w:r>
            <w:r>
              <w:rPr>
                <w:b/>
                <w:bCs/>
              </w:rPr>
              <w:t xml:space="preserve">. Membuka </w:t>
            </w:r>
            <w:r>
              <w:t xml:space="preserve">30, 31</w:t>
            </w:r>
          </w:p>
          <w:p>
            <w:pPr>
              <w:pStyle w:val="IsiTabel"/>
              <w:suppressAutoHyphens/>
            </w:pPr>
            <w:r>
              <w:rPr>
                <w:b/>
                <w:bCs/>
                <w:color w:val="1A1A1A"/>
              </w:rPr>
              <w:t xml:space="preserve">Langkah pelaksanaan: </w:t>
            </w:r>
            <w:r>
              <w:t xml:space="preserve">Kedeputian Bidang Sistem dan Strategi, pengampu IKU penurunan IRB, menugaskan Direktorat Pemetaan dan Evaluasi Risiko Bencana; catatan metode memuat sumber dan bobot komponen bahaya, kerentanan, dan kapasitas serta tabel rekonsiliasi kedua seri.</w:t>
            </w:r>
          </w:p>
          <w:p>
            <w:pPr>
              <w:pStyle w:val="IsiTabel"/>
              <w:suppressAutoHyphens/>
            </w:pPr>
            <w:r>
              <w:rPr>
                <w:b/>
                <w:bCs/>
                <w:color w:val="1A1A1A"/>
              </w:rPr>
              <w:t xml:space="preserve">Risiko pelaksanaan: </w:t>
            </w:r>
            <w:r>
              <w:t xml:space="preserve">Karena baseline sudah dinyatakan, catatan metode dapat dianggap tidak perlu, padahal nilai per kab/kota di paket IRBI dan nilai 2024 belum terekonsiliasi.</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7" w:name="_Ref0087"/>
            <w:r>
              <w:rPr>
                <w:b/>
                <w:bCs/>
                <w:color w:val="FFFFFF"/>
                <w:sz w:val="16"/>
                <w:szCs w:val="16"/>
                <w:shd w:val="clear" w:color="auto" w:fill="051C2C"/>
              </w:rPr>
              <w:t xml:space="preserve">11</w:t>
            </w:r>
            <w:bookmarkEnd w:id="79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45" name="Gambar 245"/>
                  <wp:cNvGraphicFramePr>
                    <a:graphicFrameLocks noChangeAspect="1"/>
                  </wp:cNvGraphicFramePr>
                  <a:graphic>
                    <a:graphicData uri="http://schemas.openxmlformats.org/drawingml/2006/picture">
                      <pic:pic>
                        <pic:nvPicPr>
                          <pic:cNvPr id="245"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Ajukan izin prakarsa peraturan di luar Progsun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46" name="Gambar 246"/>
                  <wp:cNvGraphicFramePr>
                    <a:graphicFrameLocks noChangeAspect="1"/>
                  </wp:cNvGraphicFramePr>
                  <a:graphic>
                    <a:graphicData uri="http://schemas.openxmlformats.org/drawingml/2006/picture">
                      <pic:pic>
                        <pic:nvPicPr>
                          <pic:cNvPr id="24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Biro Hukum, Organisasi, dan Kerja Sama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47" name="Gambar 247"/>
                  <wp:cNvGraphicFramePr>
                    <a:graphicFrameLocks noChangeAspect="1"/>
                  </wp:cNvGraphicFramePr>
                  <a:graphic>
                    <a:graphicData uri="http://schemas.openxmlformats.org/drawingml/2006/picture">
                      <pic:pic>
                        <pic:nvPicPr>
                          <pic:cNvPr id="24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Sistem dan Strategi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48" name="Gambar 248"/>
                  <wp:cNvGraphicFramePr>
                    <a:graphicFrameLocks noChangeAspect="1"/>
                  </wp:cNvGraphicFramePr>
                  <a:graphic>
                    <a:graphicData uri="http://schemas.openxmlformats.org/drawingml/2006/picture">
                      <pic:pic>
                        <pic:nvPicPr>
                          <pic:cNvPr id="24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Progsun disusun untuk jangka </w:t>
            </w:r>
            <w:r>
              <w:t xml:space="preserve">1 tahun</w:t>
            </w:r>
            <w:r>
              <w:t xml:space="preserve"> dan tidak memuat kedua rancangan; jalur ini berlaku sampai perubahan Perka BNPB 6/2014 yang dijadwalkan di Progsun 2026 ditetapkan (R NSPK; hanya pusat).</w:t>
            </w:r>
          </w:p>
          <w:p>
            <w:pPr>
              <w:pStyle w:val="IsiTabel"/>
              <w:suppressAutoHyphens/>
              <w:spacing w:after="40"/>
            </w:pPr>
            <w:r>
              <w:rPr>
                <w:b/>
                <w:bCs/>
              </w:rPr>
              <w:t xml:space="preserve">Indikator selesai: </w:t>
            </w:r>
            <w:r>
              <w:t xml:space="preserve">izin prakarsa Kepala BNPB untuk perubahan Renas PB dan pedoman Perpres 46/2026 Pasal 3 ayat (4) terbit dan Tim Teknis terbentuk dalam empat belas hari pertama</w:t>
            </w:r>
            <w:r>
              <w:t xml:space="preserve">. </w:t>
            </w:r>
            <w:r>
              <w:rPr>
                <w:b/>
                <w:bCs/>
              </w:rPr>
              <w:t xml:space="preserve">Dasar: </w:t>
            </w:r>
            <w:r>
              <w:t xml:space="preserve">Temuan C.2; Perka BNPB 6/2014 Pasal 8 ayat (2) </w:t>
            </w:r>
            <w:r>
              <w:t xml:space="preserve">(BNPB, 2014b)</w:t>
            </w:r>
            <w:r>
              <w:t xml:space="preserve">; Kepka BNPB 327/2025 </w:t>
            </w:r>
            <w:r>
              <w:t xml:space="preserve">(BNPB, 2025b)</w:t>
            </w:r>
            <w:r>
              <w:rPr>
                <w:b/>
                <w:bCs/>
              </w:rPr>
              <w:t xml:space="preserve">. Membuka </w:t>
            </w:r>
            <w:r>
              <w:t xml:space="preserve">14</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8" w:name="_Ref0078"/>
            <w:r>
              <w:rPr>
                <w:b/>
                <w:bCs/>
                <w:color w:val="FFFFFF"/>
                <w:sz w:val="16"/>
                <w:szCs w:val="16"/>
                <w:shd w:val="clear" w:color="auto" w:fill="051C2C"/>
              </w:rPr>
              <w:t xml:space="preserve">12</w:t>
            </w:r>
            <w:bookmarkEnd w:id="79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49" name="Gambar 249"/>
                  <wp:cNvGraphicFramePr>
                    <a:graphicFrameLocks noChangeAspect="1"/>
                  </wp:cNvGraphicFramePr>
                  <a:graphic>
                    <a:graphicData uri="http://schemas.openxmlformats.org/drawingml/2006/picture">
                      <pic:pic>
                        <pic:nvPicPr>
                          <pic:cNvPr id="249"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Uji rantai peringatan dini banjir dan longsor</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50" name="Gambar 250"/>
                  <wp:cNvGraphicFramePr>
                    <a:graphicFrameLocks noChangeAspect="1"/>
                  </wp:cNvGraphicFramePr>
                  <a:graphic>
                    <a:graphicData uri="http://schemas.openxmlformats.org/drawingml/2006/picture">
                      <pic:pic>
                        <pic:nvPicPr>
                          <pic:cNvPr id="25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51" name="Gambar 251"/>
                  <wp:cNvGraphicFramePr>
                    <a:graphicFrameLocks noChangeAspect="1"/>
                  </wp:cNvGraphicFramePr>
                  <a:graphic>
                    <a:graphicData uri="http://schemas.openxmlformats.org/drawingml/2006/picture">
                      <pic:pic>
                        <pic:nvPicPr>
                          <pic:cNvPr id="25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52" name="Gambar 252"/>
                  <wp:cNvGraphicFramePr>
                    <a:graphicFrameLocks noChangeAspect="1"/>
                  </wp:cNvGraphicFramePr>
                  <a:graphic>
                    <a:graphicData uri="http://schemas.openxmlformats.org/drawingml/2006/picture">
                      <pic:pic>
                        <pic:nvPicPr>
                          <pic:cNvPr id="25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53" name="Gambar 253"/>
                  <wp:cNvGraphicFramePr>
                    <a:graphicFrameLocks noChangeAspect="1"/>
                  </wp:cNvGraphicFramePr>
                  <a:graphic>
                    <a:graphicData uri="http://schemas.openxmlformats.org/drawingml/2006/picture">
                      <pic:pic>
                        <pic:nvPicPr>
                          <pic:cNvPr id="25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Hanya </w:t>
            </w:r>
            <w:r>
              <w:t xml:space="preserve">19,68%</w:t>
            </w:r>
            <w:r>
              <w:t xml:space="preserve"> kejadian banjir mendapat peringatan berbasis dampak menurut ringkasan Badan Keahlian DPR atas pemeriksaan BPK 2022 </w:t>
            </w:r>
            <w:r>
              <w:t xml:space="preserve">(Pusat Kajian Akuntabilitas Keuangan Negara, Badan Keahlian DPR RI, 2022)</w:t>
            </w:r>
            <w:r>
              <w:t xml:space="preserve">, dan sistem peringatan dini dievaluasi paling sedikit sekali dalam empat bulan (K informasi dan NSPK; BPBD daftar perhatian).</w:t>
            </w:r>
          </w:p>
          <w:p>
            <w:pPr>
              <w:pStyle w:val="IsiTabel"/>
              <w:suppressAutoHyphens/>
              <w:spacing w:after="40"/>
            </w:pPr>
            <w:r>
              <w:rPr>
                <w:b/>
                <w:bCs/>
              </w:rPr>
              <w:t xml:space="preserve">Indikator selesai: </w:t>
            </w:r>
            <w:r>
              <w:t xml:space="preserve">jumlah kab/kota daftar perhatian banjir (</w:t>
            </w:r>
            <w:r>
              <w:t xml:space="preserve">253</w:t>
            </w:r>
            <w:r>
              <w:t xml:space="preserve">) dan longsor (</w:t>
            </w:r>
            <w:r>
              <w:t xml:space="preserve">202</w:t>
            </w:r>
            <w:r>
              <w:t xml:space="preserve">) yang mencatat uji pesan sampai warga dan umpan balik BPBD</w:t>
            </w:r>
            <w:r>
              <w:t xml:space="preserve">. </w:t>
            </w:r>
            <w:r>
              <w:rPr>
                <w:b/>
                <w:bCs/>
              </w:rPr>
              <w:t xml:space="preserve">Dasar: </w:t>
            </w:r>
            <w:r>
              <w:t xml:space="preserve">Temuan C.1; Perban BNPB 2/2024 Pasal 29 </w:t>
            </w:r>
            <w:r>
              <w:t xml:space="preserve">(BNPB, 2024c)</w:t>
            </w:r>
            <w:r>
              <w:rPr>
                <w:b/>
                <w:bCs/>
              </w:rPr>
              <w:t xml:space="preserve">. Butuh </w:t>
            </w:r>
            <w:r>
              <w:t xml:space="preserve">05</w:t>
            </w:r>
            <w:r>
              <w:rPr>
                <w:b/>
                <w:bCs/>
              </w:rPr>
              <w:t xml:space="preserve">. Membuka </w:t>
            </w:r>
            <w:r>
              <w:t xml:space="preserve">16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99" w:name="_Ref0079"/>
            <w:r>
              <w:rPr>
                <w:b/>
                <w:bCs/>
                <w:color w:val="FFFFFF"/>
                <w:sz w:val="16"/>
                <w:szCs w:val="16"/>
                <w:shd w:val="clear" w:color="auto" w:fill="051C2C"/>
              </w:rPr>
              <w:t xml:space="preserve">13</w:t>
            </w:r>
            <w:bookmarkEnd w:id="79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54" name="Gambar 254"/>
                  <wp:cNvGraphicFramePr>
                    <a:graphicFrameLocks noChangeAspect="1"/>
                  </wp:cNvGraphicFramePr>
                  <a:graphic>
                    <a:graphicData uri="http://schemas.openxmlformats.org/drawingml/2006/picture">
                      <pic:pic>
                        <pic:nvPicPr>
                          <pic:cNvPr id="254"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lantai skenario ke rencana kontinjensi provinsi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55" name="Gambar 255"/>
                  <wp:cNvGraphicFramePr>
                    <a:graphicFrameLocks noChangeAspect="1"/>
                  </wp:cNvGraphicFramePr>
                  <a:graphic>
                    <a:graphicData uri="http://schemas.openxmlformats.org/drawingml/2006/picture">
                      <pic:pic>
                        <pic:nvPicPr>
                          <pic:cNvPr id="25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56" name="Gambar 256"/>
                  <wp:cNvGraphicFramePr>
                    <a:graphicFrameLocks noChangeAspect="1"/>
                  </wp:cNvGraphicFramePr>
                  <a:graphic>
                    <a:graphicData uri="http://schemas.openxmlformats.org/drawingml/2006/picture">
                      <pic:pic>
                        <pic:nvPicPr>
                          <pic:cNvPr id="25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Skenario dan asumsi dampak lima aspek adalah muatan rencana kontinjensi menurut Pasal 7, sedangkan lantai per jenis adalah aturan kajian ini (K NSPK; rencana kontinjensi provinsi dan kab/kota daftar perhatian).</w:t>
            </w:r>
          </w:p>
          <w:p>
            <w:pPr>
              <w:pStyle w:val="IsiTabel"/>
              <w:suppressAutoHyphens/>
              <w:spacing w:after="40"/>
            </w:pPr>
            <w:r>
              <w:rPr>
                <w:b/>
                <w:bCs/>
              </w:rPr>
              <w:t xml:space="preserve">Indikator selesai: </w:t>
            </w:r>
            <w:r>
              <w:t xml:space="preserve">rencana kontinjensi provinsi memuat skenario dan asumsi dampak lima aspek dengan lantai per jenis dari kartu Bab 6 sampai Bab 9 dan lantai nasional </w:t>
            </w:r>
            <w:r>
              <w:t xml:space="preserve">1.692</w:t>
            </w:r>
            <w:r>
              <w:t xml:space="preserve"> meninggal dan hilang untuk musim hujan</w:t>
            </w:r>
            <w:r>
              <w:t xml:space="preserve">. </w:t>
            </w:r>
            <w:r>
              <w:rPr>
                <w:b/>
                <w:bCs/>
              </w:rPr>
              <w:t xml:space="preserve">Dasar: </w:t>
            </w:r>
            <w:r>
              <w:t xml:space="preserve">Temuan A.2; Temuan A.3; Perban BNPB 2/2023 Pasal 7 </w:t>
            </w:r>
            <w:r>
              <w:t xml:space="preserve">(BNPB, 2023c)</w:t>
            </w:r>
            <w:r>
              <w:rPr>
                <w:b/>
                <w:bCs/>
              </w:rPr>
              <w:t xml:space="preserve">. Butuh </w:t>
            </w:r>
            <w:r>
              <w:t xml:space="preserve">05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0" w:name="_Ref0088"/>
            <w:r>
              <w:rPr>
                <w:b/>
                <w:bCs/>
                <w:color w:val="FFFFFF"/>
                <w:sz w:val="16"/>
                <w:szCs w:val="16"/>
                <w:shd w:val="clear" w:color="auto" w:fill="051C2C"/>
              </w:rPr>
              <w:t xml:space="preserve">14</w:t>
            </w:r>
            <w:bookmarkEnd w:id="80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57" name="Gambar 257"/>
                  <wp:cNvGraphicFramePr>
                    <a:graphicFrameLocks noChangeAspect="1"/>
                  </wp:cNvGraphicFramePr>
                  <a:graphic>
                    <a:graphicData uri="http://schemas.openxmlformats.org/drawingml/2006/picture">
                      <pic:pic>
                        <pic:nvPicPr>
                          <pic:cNvPr id="257"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Susun pedoman keadaan tertentu Perpres 46/2026</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58" name="Gambar 258"/>
                  <wp:cNvGraphicFramePr>
                    <a:graphicFrameLocks noChangeAspect="1"/>
                  </wp:cNvGraphicFramePr>
                  <a:graphic>
                    <a:graphicData uri="http://schemas.openxmlformats.org/drawingml/2006/picture">
                      <pic:pic>
                        <pic:nvPicPr>
                          <pic:cNvPr id="25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59" name="Gambar 259"/>
                  <wp:cNvGraphicFramePr>
                    <a:graphicFrameLocks noChangeAspect="1"/>
                  </wp:cNvGraphicFramePr>
                  <a:graphic>
                    <a:graphicData uri="http://schemas.openxmlformats.org/drawingml/2006/picture">
                      <pic:pic>
                        <pic:nvPicPr>
                          <pic:cNvPr id="25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0" name="Gambar 260"/>
                  <wp:cNvGraphicFramePr>
                    <a:graphicFrameLocks noChangeAspect="1"/>
                  </wp:cNvGraphicFramePr>
                  <a:graphic>
                    <a:graphicData uri="http://schemas.openxmlformats.org/drawingml/2006/picture">
                      <pic:pic>
                        <pic:nvPicPr>
                          <pic:cNvPr id="26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1" name="Gambar 261"/>
                  <wp:cNvGraphicFramePr>
                    <a:graphicFrameLocks noChangeAspect="1"/>
                  </wp:cNvGraphicFramePr>
                  <a:graphic>
                    <a:graphicData uri="http://schemas.openxmlformats.org/drawingml/2006/picture">
                      <pic:pic>
                        <pic:nvPicPr>
                          <pic:cNvPr id="26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2" name="Gambar 262"/>
                  <wp:cNvGraphicFramePr>
                    <a:graphicFrameLocks noChangeAspect="1"/>
                  </wp:cNvGraphicFramePr>
                  <a:graphic>
                    <a:graphicData uri="http://schemas.openxmlformats.org/drawingml/2006/picture">
                      <pic:pic>
                        <pic:nvPicPr>
                          <pic:cNvPr id="26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3" name="Gambar 263"/>
                  <wp:cNvGraphicFramePr>
                    <a:graphicFrameLocks noChangeAspect="1"/>
                  </wp:cNvGraphicFramePr>
                  <a:graphic>
                    <a:graphicData uri="http://schemas.openxmlformats.org/drawingml/2006/picture">
                      <pic:pic>
                        <pic:nvPicPr>
                          <pic:cNvPr id="26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4" name="Gambar 264"/>
                  <wp:cNvGraphicFramePr>
                    <a:graphicFrameLocks noChangeAspect="1"/>
                  </wp:cNvGraphicFramePr>
                  <a:graphic>
                    <a:graphicData uri="http://schemas.openxmlformats.org/drawingml/2006/picture">
                      <pic:pic>
                        <pic:nvPicPr>
                          <pic:cNvPr id="26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Keuangan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Perban BNPB 5/2018 hanya memuat </w:t>
            </w:r>
            <w:r>
              <w:t xml:space="preserve">10 jenis</w:t>
            </w:r>
            <w:r>
              <w:t xml:space="preserve"> ancaman alam dan nonalam, sedangkan Perpres 46/2026 memperluas keadaan tertentu ke faktor sosial dan daerah berkapasitas fiskal rendah dalam rekonsiliasi pascakonflik </w:t>
            </w:r>
            <w:r>
              <w:t xml:space="preserve">(BNPB, 2018f)</w:t>
            </w:r>
            <w:r>
              <w:t xml:space="preserve"> (R NSPK dan komando darurat; pemda dalam rekonsiliasi pascakonflik).</w:t>
            </w:r>
          </w:p>
          <w:p>
            <w:pPr>
              <w:pStyle w:val="IsiTabel"/>
              <w:suppressAutoHyphens/>
              <w:spacing w:after="40"/>
            </w:pPr>
            <w:r>
              <w:rPr>
                <w:b/>
                <w:bCs/>
              </w:rPr>
              <w:t xml:space="preserve">Indikator selesai: </w:t>
            </w:r>
            <w:r>
              <w:t xml:space="preserve">rancangan perubahan Perban BNPB 5/2018 selesai dibahas antarkedeputian dalam 100 hari dan ditetapkan 2027, memuat faktor alam, nonalam, sosial, dan kriteria daerah dalam rekonsiliasi pascakonflik</w:t>
            </w:r>
            <w:r>
              <w:t xml:space="preserve">. </w:t>
            </w:r>
            <w:r>
              <w:rPr>
                <w:b/>
                <w:bCs/>
              </w:rPr>
              <w:t xml:space="preserve">Dasar: </w:t>
            </w:r>
            <w:r>
              <w:t xml:space="preserve">Temuan C.2; Perpres 46/2026 Pasal 3 ayat (2) dan ayat (4) </w:t>
            </w:r>
            <w:r>
              <w:t xml:space="preserve">(Republik Indonesia, 2026a)</w:t>
            </w:r>
            <w:r>
              <w:t xml:space="preserve">; PMK 97/2025 </w:t>
            </w:r>
            <w:r>
              <w:t xml:space="preserve">(Kementerian Keuangan, 2025)</w:t>
            </w:r>
            <w:r>
              <w:rPr>
                <w:b/>
                <w:bCs/>
              </w:rPr>
              <w:t xml:space="preserve">. Butuh </w:t>
            </w:r>
            <w:r>
              <w:t xml:space="preserve">11</w:t>
            </w:r>
          </w:p>
          <w:p>
            <w:pPr>
              <w:pStyle w:val="IsiTabel"/>
              <w:suppressAutoHyphens/>
            </w:pPr>
            <w:r>
              <w:rPr>
                <w:b/>
                <w:bCs/>
                <w:color w:val="1A1A1A"/>
              </w:rPr>
              <w:t xml:space="preserve">Langkah pelaksanaan: </w:t>
            </w:r>
            <w:r>
              <w:t xml:space="preserve">Deputi Bidang Penanganan Darurat menyusun rancangan bersama Biro Hukum, Organisasi, dan Kerja Sama, lalu membahasnya dalam rakor Kementerian Koordinator Bidang Pembangunan Manusia dan Kebudayaan (Kemenko PMK) dengan Kementerian Dalam Negeri, Kementerian Sosial, dan Kementerian Keuangan untuk peta kapasitas fiskal.</w:t>
            </w:r>
          </w:p>
          <w:p>
            <w:pPr>
              <w:pStyle w:val="IsiTabel"/>
              <w:suppressAutoHyphens/>
            </w:pPr>
            <w:r>
              <w:rPr>
                <w:b/>
                <w:bCs/>
                <w:color w:val="1A1A1A"/>
              </w:rPr>
              <w:t xml:space="preserve">Risiko pelaksanaan: </w:t>
            </w:r>
            <w:r>
              <w:t xml:space="preserve">Rancangan tidak ada di Progsun 2026, sehingga bergantung pada izin prakarsa (</w:t>
            </w:r>
            <w:r>
              <w:fldChar w:fldCharType="begin"/>
            </w:r>
            <w:r>
              <w:instrText xml:space="preserve"> REF _Ref0087 \h \* CHARFORMAT </w:instrText>
            </w:r>
            <w:r>
              <w:fldChar w:fldCharType="separate"/>
            </w:r>
            <w:r>
              <w:t xml:space="preserve">11</w:t>
            </w:r>
            <w:r>
              <w:fldChar w:fldCharType="end"/>
            </w:r>
            <w:r>
              <w:t xml:space="preserve">) dan jadwal rakor Kemenko PMK.</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1" w:name="_Ref0107"/>
            <w:r>
              <w:rPr>
                <w:b/>
                <w:bCs/>
                <w:color w:val="FFFFFF"/>
                <w:sz w:val="16"/>
                <w:szCs w:val="16"/>
                <w:shd w:val="clear" w:color="auto" w:fill="051C2C"/>
              </w:rPr>
              <w:t xml:space="preserve">15</w:t>
            </w:r>
            <w:bookmarkEnd w:id="80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65" name="Gambar 265"/>
                  <wp:cNvGraphicFramePr>
                    <a:graphicFrameLocks noChangeAspect="1"/>
                  </wp:cNvGraphicFramePr>
                  <a:graphic>
                    <a:graphicData uri="http://schemas.openxmlformats.org/drawingml/2006/picture">
                      <pic:pic>
                        <pic:nvPicPr>
                          <pic:cNvPr id="265"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Sarankan perubahan lokasi lewat pengendalian Renas 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66" name="Gambar 266"/>
                  <wp:cNvGraphicFramePr>
                    <a:graphicFrameLocks noChangeAspect="1"/>
                  </wp:cNvGraphicFramePr>
                  <a:graphic>
                    <a:graphicData uri="http://schemas.openxmlformats.org/drawingml/2006/picture">
                      <pic:pic>
                        <pic:nvPicPr>
                          <pic:cNvPr id="26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67" name="Gambar 267"/>
                  <wp:cNvGraphicFramePr>
                    <a:graphicFrameLocks noChangeAspect="1"/>
                  </wp:cNvGraphicFramePr>
                  <a:graphic>
                    <a:graphicData uri="http://schemas.openxmlformats.org/drawingml/2006/picture">
                      <pic:pic>
                        <pic:nvPicPr>
                          <pic:cNvPr id="26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Perencanaan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8" name="Gambar 268"/>
                  <wp:cNvGraphicFramePr>
                    <a:graphicFrameLocks noChangeAspect="1"/>
                  </wp:cNvGraphicFramePr>
                  <a:graphic>
                    <a:graphicData uri="http://schemas.openxmlformats.org/drawingml/2006/picture">
                      <pic:pic>
                        <pic:nvPicPr>
                          <pic:cNvPr id="26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Renas PB memuat </w:t>
            </w:r>
            <w:r>
              <w:t xml:space="preserve">171</w:t>
            </w:r>
            <w:r>
              <w:t xml:space="preserve"> lokus prioritas unik, tetapi tujuh dari sepuluh kab/kota dengan korban terbanyak Sumatra 2025 bukan lokus (K monev; hanya pusat, lewat Rencana Kerja K/L 2027).</w:t>
            </w:r>
          </w:p>
          <w:p>
            <w:pPr>
              <w:pStyle w:val="IsiTabel"/>
              <w:suppressAutoHyphens/>
              <w:spacing w:after="40"/>
            </w:pPr>
            <w:r>
              <w:rPr>
                <w:b/>
                <w:bCs/>
              </w:rPr>
              <w:t xml:space="preserve">Indikator selesai: </w:t>
            </w:r>
            <w:r>
              <w:t xml:space="preserve">saran perubahan lokasi untuk kab/kota terdampak berat 2025 di luar lokus tersampaikan dalam pemantauan pra-pelaksanaan triwulan IV 2026; usulan penambahan lokus masuk jalur berkala </w:t>
            </w:r>
            <w:r>
              <w:t xml:space="preserve">2027</w:t>
            </w:r>
            <w:r>
              <w:t xml:space="preserve">. </w:t>
            </w:r>
            <w:r>
              <w:rPr>
                <w:b/>
                <w:bCs/>
              </w:rPr>
              <w:t xml:space="preserve">Dasar: </w:t>
            </w:r>
            <w:r>
              <w:t xml:space="preserve">Temuan B.1; Renas PB hlm. 47–48, 123 </w:t>
            </w:r>
            <w:r>
              <w:t xml:space="preserve">(BNPB, 2025c)</w:t>
            </w:r>
            <w:r>
              <w:rPr>
                <w:b/>
                <w:bCs/>
              </w:rPr>
              <w:t xml:space="preserve">. Butuh </w:t>
            </w:r>
            <w:r>
              <w:t xml:space="preserve">05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2" w:name="_Ref0082"/>
            <w:r>
              <w:rPr>
                <w:b/>
                <w:bCs/>
                <w:color w:val="FFFFFF"/>
                <w:sz w:val="16"/>
                <w:szCs w:val="16"/>
                <w:shd w:val="clear" w:color="auto" w:fill="051C2C"/>
              </w:rPr>
              <w:t xml:space="preserve">16</w:t>
            </w:r>
            <w:bookmarkEnd w:id="80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69" name="Gambar 269"/>
                  <wp:cNvGraphicFramePr>
                    <a:graphicFrameLocks noChangeAspect="1"/>
                  </wp:cNvGraphicFramePr>
                  <a:graphic>
                    <a:graphicData uri="http://schemas.openxmlformats.org/drawingml/2006/picture">
                      <pic:pic>
                        <pic:nvPicPr>
                          <pic:cNvPr id="269"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Bentuk garis dasar cakupan peringatan dini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70" name="Gambar 270"/>
                  <wp:cNvGraphicFramePr>
                    <a:graphicFrameLocks noChangeAspect="1"/>
                  </wp:cNvGraphicFramePr>
                  <a:graphic>
                    <a:graphicData uri="http://schemas.openxmlformats.org/drawingml/2006/picture">
                      <pic:pic>
                        <pic:nvPicPr>
                          <pic:cNvPr id="27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71" name="Gambar 271"/>
                  <wp:cNvGraphicFramePr>
                    <a:graphicFrameLocks noChangeAspect="1"/>
                  </wp:cNvGraphicFramePr>
                  <a:graphic>
                    <a:graphicData uri="http://schemas.openxmlformats.org/drawingml/2006/picture">
                      <pic:pic>
                        <pic:nvPicPr>
                          <pic:cNvPr id="27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72" name="Gambar 272"/>
                  <wp:cNvGraphicFramePr>
                    <a:graphicFrameLocks noChangeAspect="1"/>
                  </wp:cNvGraphicFramePr>
                  <a:graphic>
                    <a:graphicData uri="http://schemas.openxmlformats.org/drawingml/2006/picture">
                      <pic:pic>
                        <pic:nvPicPr>
                          <pic:cNvPr id="27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73" name="Gambar 273"/>
                  <wp:cNvGraphicFramePr>
                    <a:graphicFrameLocks noChangeAspect="1"/>
                  </wp:cNvGraphicFramePr>
                  <a:graphic>
                    <a:graphicData uri="http://schemas.openxmlformats.org/drawingml/2006/picture">
                      <pic:pic>
                        <pic:nvPicPr>
                          <pic:cNvPr id="27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Cakupan nasional hanya tersedia untuk tsunami (</w:t>
            </w:r>
            <w:r>
              <w:t xml:space="preserve">651.000</w:t>
            </w:r>
            <w:r>
              <w:t xml:space="preserve"> dari </w:t>
            </w:r>
            <w:r>
              <w:t xml:space="preserve">5.341.282</w:t>
            </w:r>
            <w:r>
              <w:t xml:space="preserve"> jiwa terpapar) dan banjir, sedangkan baseline Renas PB 1.c per daerah tidak ada (I data; BPBD kab/kota).</w:t>
            </w:r>
          </w:p>
          <w:p>
            <w:pPr>
              <w:pStyle w:val="IsiTabel"/>
              <w:suppressAutoHyphens/>
              <w:spacing w:after="40"/>
            </w:pPr>
            <w:r>
              <w:rPr>
                <w:b/>
                <w:bCs/>
              </w:rPr>
              <w:t xml:space="preserve">Indikator selesai: </w:t>
            </w:r>
            <w:r>
              <w:t xml:space="preserve">nilai cakupan per provinsi dan kab/kota per jenis bencana terbit pada 2027, dengan definisi tercakup LKIP BNPB 2025 (penduduk tercakup layanan per jiwa terpapar KRB) sebagai titik awal</w:t>
            </w:r>
            <w:r>
              <w:t xml:space="preserve">. </w:t>
            </w:r>
            <w:r>
              <w:rPr>
                <w:b/>
                <w:bCs/>
              </w:rPr>
              <w:t xml:space="preserve">Dasar: </w:t>
            </w:r>
            <w:r>
              <w:t xml:space="preserve">Temuan C.1; Perban BNPB 2/2024 Pasal 25 dan Pasal 29 </w:t>
            </w:r>
            <w:r>
              <w:t xml:space="preserve">(BNPB, 2024c)</w:t>
            </w:r>
            <w:r>
              <w:t xml:space="preserve">; LKIP BNPB 2025 </w:t>
            </w:r>
            <w:r>
              <w:t xml:space="preserve">(BNPB, 2026c)</w:t>
            </w:r>
            <w:r>
              <w:rPr>
                <w:b/>
                <w:bCs/>
              </w:rPr>
              <w:t xml:space="preserve">. Butuh </w:t>
            </w:r>
            <w:r>
              <w:t xml:space="preserve">12, 24</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3" w:name="_Ref0084"/>
            <w:r>
              <w:rPr>
                <w:b/>
                <w:bCs/>
                <w:color w:val="FFFFFF"/>
                <w:sz w:val="16"/>
                <w:szCs w:val="16"/>
                <w:shd w:val="clear" w:color="auto" w:fill="051C2C"/>
              </w:rPr>
              <w:t xml:space="preserve">17</w:t>
            </w:r>
            <w:bookmarkEnd w:id="80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74" name="Gambar 274"/>
                  <wp:cNvGraphicFramePr>
                    <a:graphicFrameLocks noChangeAspect="1"/>
                  </wp:cNvGraphicFramePr>
                  <a:graphic>
                    <a:graphicData uri="http://schemas.openxmlformats.org/drawingml/2006/picture">
                      <pic:pic>
                        <pic:nvPicPr>
                          <pic:cNvPr id="274"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Serahkan lampiran data kab/kota ke Walidata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75" name="Gambar 275"/>
                  <wp:cNvGraphicFramePr>
                    <a:graphicFrameLocks noChangeAspect="1"/>
                  </wp:cNvGraphicFramePr>
                  <a:graphic>
                    <a:graphicData uri="http://schemas.openxmlformats.org/drawingml/2006/picture">
                      <pic:pic>
                        <pic:nvPicPr>
                          <pic:cNvPr id="27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76" name="Gambar 276"/>
                  <wp:cNvGraphicFramePr>
                    <a:graphicFrameLocks noChangeAspect="1"/>
                  </wp:cNvGraphicFramePr>
                  <a:graphic>
                    <a:graphicData uri="http://schemas.openxmlformats.org/drawingml/2006/picture">
                      <pic:pic>
                        <pic:nvPicPr>
                          <pic:cNvPr id="27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Produsen Data Bencana menurut Perban BNPB 1/2023 hanya unit kerja BNPB, sehingga keluaran simulasi platform tidak berstatus Data Bencana dan lampiran per kab/kota diserahkan beserta pernyataan produsen (K data/KRB; hanya pusat).</w:t>
            </w:r>
          </w:p>
          <w:p>
            <w:pPr>
              <w:pStyle w:val="IsiTabel"/>
              <w:suppressAutoHyphens/>
              <w:spacing w:after="40"/>
            </w:pPr>
            <w:r>
              <w:rPr>
                <w:b/>
                <w:bCs/>
              </w:rPr>
              <w:t xml:space="preserve">Indikator selesai: </w:t>
            </w:r>
            <w:r>
              <w:t xml:space="preserve">lampiran data per kab/kota kajian diserahkan dengan pernyataan produsen untuk portal Satu Data Bencana</w:t>
            </w:r>
            <w:r>
              <w:t xml:space="preserve">. </w:t>
            </w:r>
            <w:r>
              <w:rPr>
                <w:b/>
                <w:bCs/>
              </w:rPr>
              <w:t xml:space="preserve">Dasar: </w:t>
            </w:r>
            <w:r>
              <w:t xml:space="preserve">Temuan C.3;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4" w:name="_Ref0090"/>
            <w:r>
              <w:rPr>
                <w:b/>
                <w:bCs/>
                <w:color w:val="FFFFFF"/>
                <w:sz w:val="16"/>
                <w:szCs w:val="16"/>
                <w:shd w:val="clear" w:color="auto" w:fill="051C2C"/>
              </w:rPr>
              <w:t xml:space="preserve">18</w:t>
            </w:r>
            <w:bookmarkEnd w:id="80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77" name="Gambar 277"/>
                  <wp:cNvGraphicFramePr>
                    <a:graphicFrameLocks noChangeAspect="1"/>
                  </wp:cNvGraphicFramePr>
                  <a:graphic>
                    <a:graphicData uri="http://schemas.openxmlformats.org/drawingml/2006/picture">
                      <pic:pic>
                        <pic:nvPicPr>
                          <pic:cNvPr id="277"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skenario megathrust ke rencana kontinjensi pesisir</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78" name="Gambar 278"/>
                  <wp:cNvGraphicFramePr>
                    <a:graphicFrameLocks noChangeAspect="1"/>
                  </wp:cNvGraphicFramePr>
                  <a:graphic>
                    <a:graphicData uri="http://schemas.openxmlformats.org/drawingml/2006/picture">
                      <pic:pic>
                        <pic:nvPicPr>
                          <pic:cNvPr id="27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79" name="Gambar 279"/>
                  <wp:cNvGraphicFramePr>
                    <a:graphicFrameLocks noChangeAspect="1"/>
                  </wp:cNvGraphicFramePr>
                  <a:graphic>
                    <a:graphicData uri="http://schemas.openxmlformats.org/drawingml/2006/picture">
                      <pic:pic>
                        <pic:nvPicPr>
                          <pic:cNvPr id="27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0" name="Gambar 280"/>
                  <wp:cNvGraphicFramePr>
                    <a:graphicFrameLocks noChangeAspect="1"/>
                  </wp:cNvGraphicFramePr>
                  <a:graphic>
                    <a:graphicData uri="http://schemas.openxmlformats.org/drawingml/2006/picture">
                      <pic:pic>
                        <pic:nvPicPr>
                          <pic:cNvPr id="28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1" name="Gambar 281"/>
                  <wp:cNvGraphicFramePr>
                    <a:graphicFrameLocks noChangeAspect="1"/>
                  </wp:cNvGraphicFramePr>
                  <a:graphic>
                    <a:graphicData uri="http://schemas.openxmlformats.org/drawingml/2006/picture">
                      <pic:pic>
                        <pic:nvPicPr>
                          <pic:cNvPr id="28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Lantai tercatat adalah Pangandaran 2006 dengan </w:t>
            </w:r>
            <w:r>
              <w:t xml:space="preserve">665</w:t>
            </w:r>
            <w:r>
              <w:t xml:space="preserve"> meninggal </w:t>
            </w:r>
            <w:r>
              <w:t xml:space="preserve">(USGS, 2006b)</w:t>
            </w:r>
            <w:r>
              <w:t xml:space="preserve"> dan Mentawai 2010 dengan </w:t>
            </w:r>
            <w:r>
              <w:t xml:space="preserve">447</w:t>
            </w:r>
            <w:r>
              <w:t xml:space="preserve"> meninggal; satu-satunya contoh resmi yang terbuka adalah rencana kontinjensi tsunami Jawa Timur 2021 di lampiran Perban BNPB 2/2023 (K NSPK; BPBD provinsi pesisir).</w:t>
            </w:r>
          </w:p>
          <w:p>
            <w:pPr>
              <w:pStyle w:val="IsiTabel"/>
              <w:suppressAutoHyphens/>
              <w:spacing w:after="40"/>
            </w:pPr>
            <w:r>
              <w:rPr>
                <w:b/>
                <w:bCs/>
              </w:rPr>
              <w:t xml:space="preserve">Indikator selesai: </w:t>
            </w:r>
            <w:r>
              <w:t xml:space="preserve">rencana kontinjensi tsunami provinsi pesisir selatan Jawa dan barat Sumatra memuat Mw </w:t>
            </w:r>
            <w:r>
              <w:t xml:space="preserve">9,1</w:t>
            </w:r>
            <w:r>
              <w:t xml:space="preserve"> dan </w:t>
            </w:r>
            <w:r>
              <w:t xml:space="preserve">8,9</w:t>
            </w:r>
            <w:r>
              <w:t xml:space="preserve"> dengan lantai tercatat dan paparan KRB; korban tsunami dihitung dari genangan resmi InaRISK, berlabel</w:t>
            </w:r>
            <w:r>
              <w:t xml:space="preserve">. </w:t>
            </w:r>
            <w:r>
              <w:rPr>
                <w:b/>
                <w:bCs/>
              </w:rPr>
              <w:t xml:space="preserve">Dasar: </w:t>
            </w:r>
            <w:r>
              <w:t xml:space="preserve">Temuan A.3; Perban BNPB 2/2023 Pasal 7 </w:t>
            </w:r>
            <w:r>
              <w:t xml:space="preserve">(BNPB, 2023c)</w:t>
            </w:r>
            <w:r>
              <w:t xml:space="preserve">; Peta Sumber dan Bahaya Gempa 2024 </w:t>
            </w:r>
            <w:r>
              <w:t xml:space="preserve">(PuSGeN, 2024)</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5" w:name="_Ref0091"/>
            <w:r>
              <w:rPr>
                <w:b/>
                <w:bCs/>
                <w:color w:val="FFFFFF"/>
                <w:sz w:val="16"/>
                <w:szCs w:val="16"/>
                <w:shd w:val="clear" w:color="auto" w:fill="051C2C"/>
              </w:rPr>
              <w:t xml:space="preserve">19</w:t>
            </w:r>
            <w:bookmarkEnd w:id="80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82" name="Gambar 282"/>
                  <wp:cNvGraphicFramePr>
                    <a:graphicFrameLocks noChangeAspect="1"/>
                  </wp:cNvGraphicFramePr>
                  <a:graphic>
                    <a:graphicData uri="http://schemas.openxmlformats.org/drawingml/2006/picture">
                      <pic:pic>
                        <pic:nvPicPr>
                          <pic:cNvPr id="282"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Usulkan inisiasi Perpres status dan tingkatan bencana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83" name="Gambar 283"/>
                  <wp:cNvGraphicFramePr>
                    <a:graphicFrameLocks noChangeAspect="1"/>
                  </wp:cNvGraphicFramePr>
                  <a:graphic>
                    <a:graphicData uri="http://schemas.openxmlformats.org/drawingml/2006/picture">
                      <pic:pic>
                        <pic:nvPicPr>
                          <pic:cNvPr id="28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Sistem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84" name="Gambar 284"/>
                  <wp:cNvGraphicFramePr>
                    <a:graphicFrameLocks noChangeAspect="1"/>
                  </wp:cNvGraphicFramePr>
                  <a:graphic>
                    <a:graphicData uri="http://schemas.openxmlformats.org/drawingml/2006/picture">
                      <pic:pic>
                        <pic:nvPicPr>
                          <pic:cNvPr id="28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5" name="Gambar 285"/>
                  <wp:cNvGraphicFramePr>
                    <a:graphicFrameLocks noChangeAspect="1"/>
                  </wp:cNvGraphicFramePr>
                  <a:graphic>
                    <a:graphicData uri="http://schemas.openxmlformats.org/drawingml/2006/picture">
                      <pic:pic>
                        <pic:nvPicPr>
                          <pic:cNvPr id="28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6" name="Gambar 286"/>
                  <wp:cNvGraphicFramePr>
                    <a:graphicFrameLocks noChangeAspect="1"/>
                  </wp:cNvGraphicFramePr>
                  <a:graphic>
                    <a:graphicData uri="http://schemas.openxmlformats.org/drawingml/2006/picture">
                      <pic:pic>
                        <pic:nvPicPr>
                          <pic:cNvPr id="28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Sekretariat Negara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BPK merekomendasikan Kepala BNPB menginisiasi Perpres ini, sedangkan Pemerintah berpendapat substansinya sudah dielaborasi dalam PP 21/2008 </w:t>
            </w:r>
            <w:r>
              <w:t xml:space="preserve">(Republik Indonesia, 2008a)</w:t>
            </w:r>
            <w:r>
              <w:t xml:space="preserve"> (R NSPK; hanya pusat, turunannya status oleh kepala daerah).</w:t>
            </w:r>
          </w:p>
          <w:p>
            <w:pPr>
              <w:pStyle w:val="IsiTabel"/>
              <w:suppressAutoHyphens/>
              <w:spacing w:after="40"/>
            </w:pPr>
            <w:r>
              <w:rPr>
                <w:b/>
                <w:bCs/>
              </w:rPr>
              <w:t xml:space="preserve">Indikator selesai: </w:t>
            </w:r>
            <w:r>
              <w:t xml:space="preserve">rancangan Perpres diajukan lewat Kemenko PMK, memuat indikator UU 24/2007 Pasal 7 ayat (2) menurut tafsir MK (sekurang-kurangnya </w:t>
            </w:r>
            <w:r>
              <w:t xml:space="preserve">3</w:t>
            </w:r>
            <w:r>
              <w:t xml:space="preserve"> dari </w:t>
            </w:r>
            <w:r>
              <w:t xml:space="preserve">5</w:t>
            </w:r>
            <w:r>
              <w:t xml:space="preserve">, jumlah korban wajib) dan DIBI sebagai sumber korban</w:t>
            </w:r>
            <w:r>
              <w:t xml:space="preserve">. </w:t>
            </w:r>
            <w:r>
              <w:rPr>
                <w:b/>
                <w:bCs/>
              </w:rPr>
              <w:t xml:space="preserve">Dasar: </w:t>
            </w:r>
            <w:r>
              <w:t xml:space="preserve">Temuan C.2; Temuan A.1; UU 24/2007 Pasal 7 ayat (3) </w:t>
            </w:r>
            <w:r>
              <w:t xml:space="preserve">(Republik Indonesia, 2007)</w:t>
            </w:r>
            <w:r>
              <w:t xml:space="preserve">; Putusan MK 261/PUU-XXIII/2025 </w:t>
            </w:r>
            <w:r>
              <w:t xml:space="preserve">(MK, 2026)</w:t>
            </w:r>
            <w:r>
              <w:t xml:space="preserve">; IHPS II 2024 </w:t>
            </w:r>
            <w:r>
              <w:t xml:space="preserve">(BPK, 2025)</w:t>
            </w:r>
            <w:r>
              <w:rPr>
                <w:b/>
                <w:bCs/>
              </w:rPr>
              <w:t xml:space="preserve">. Butuh </w:t>
            </w:r>
            <w:r>
              <w:t xml:space="preserve">20, 21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6" w:name="_Ref0093"/>
            <w:r>
              <w:rPr>
                <w:b/>
                <w:bCs/>
                <w:color w:val="FFFFFF"/>
                <w:sz w:val="16"/>
                <w:szCs w:val="16"/>
                <w:shd w:val="clear" w:color="auto" w:fill="051C2C"/>
              </w:rPr>
              <w:t xml:space="preserve">20</w:t>
            </w:r>
            <w:bookmarkEnd w:id="80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87" name="Gambar 287"/>
                  <wp:cNvGraphicFramePr>
                    <a:graphicFrameLocks noChangeAspect="1"/>
                  </wp:cNvGraphicFramePr>
                  <a:graphic>
                    <a:graphicData uri="http://schemas.openxmlformats.org/drawingml/2006/picture">
                      <pic:pic>
                        <pic:nvPicPr>
                          <pic:cNvPr id="287"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Rapikan pencatatan nonalam dan sosial di DIBI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88" name="Gambar 288"/>
                  <wp:cNvGraphicFramePr>
                    <a:graphicFrameLocks noChangeAspect="1"/>
                  </wp:cNvGraphicFramePr>
                  <a:graphic>
                    <a:graphicData uri="http://schemas.openxmlformats.org/drawingml/2006/picture">
                      <pic:pic>
                        <pic:nvPicPr>
                          <pic:cNvPr id="28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89" name="Gambar 289"/>
                  <wp:cNvGraphicFramePr>
                    <a:graphicFrameLocks noChangeAspect="1"/>
                  </wp:cNvGraphicFramePr>
                  <a:graphic>
                    <a:graphicData uri="http://schemas.openxmlformats.org/drawingml/2006/picture">
                      <pic:pic>
                        <pic:nvPicPr>
                          <pic:cNvPr id="28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Produsen Data Bencana hanya unit kerja BNPB, tetapi kejadian nonalam terbesar tidak punya baris DIBI, dan K/L sektor menjadi pemasok datanya lewat Forum Satu Data Indonesia (K data/KRB; BPBD pelapor DIBI).</w:t>
            </w:r>
          </w:p>
          <w:p>
            <w:pPr>
              <w:pStyle w:val="IsiTabel"/>
              <w:suppressAutoHyphens/>
              <w:spacing w:after="40"/>
            </w:pPr>
            <w:r>
              <w:rPr>
                <w:b/>
                <w:bCs/>
              </w:rPr>
              <w:t xml:space="preserve">Indikator selesai: </w:t>
            </w:r>
            <w:r>
              <w:t xml:space="preserve">kode jenis kebakaran TPA tersedia; baris kejadian besar nonalam (COVID-19, Plumpang, Balongan, Morowali) tercatat atau dirujuk; entri ganda epidemi dibersihkan; isi kode jenis lain-lain diuraikan</w:t>
            </w:r>
            <w:r>
              <w:t xml:space="preserve">. </w:t>
            </w:r>
            <w:r>
              <w:rPr>
                <w:b/>
                <w:bCs/>
              </w:rPr>
              <w:t xml:space="preserve">Dasar: </w:t>
            </w:r>
            <w:r>
              <w:t xml:space="preserve">Temuan A.3; Temuan C.3;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7" w:name="_Ref0094"/>
            <w:r>
              <w:rPr>
                <w:b/>
                <w:bCs/>
                <w:color w:val="FFFFFF"/>
                <w:sz w:val="16"/>
                <w:szCs w:val="16"/>
                <w:shd w:val="clear" w:color="auto" w:fill="051C2C"/>
              </w:rPr>
              <w:t xml:space="preserve">21</w:t>
            </w:r>
            <w:bookmarkEnd w:id="80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90" name="Gambar 290"/>
                  <wp:cNvGraphicFramePr>
                    <a:graphicFrameLocks noChangeAspect="1"/>
                  </wp:cNvGraphicFramePr>
                  <a:graphic>
                    <a:graphicData uri="http://schemas.openxmlformats.org/drawingml/2006/picture">
                      <pic:pic>
                        <pic:nvPicPr>
                          <pic:cNvPr id="290"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Laporkan realisasi indikator korban Renas PB tahunan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91" name="Gambar 291"/>
                  <wp:cNvGraphicFramePr>
                    <a:graphicFrameLocks noChangeAspect="1"/>
                  </wp:cNvGraphicFramePr>
                  <a:graphic>
                    <a:graphicData uri="http://schemas.openxmlformats.org/drawingml/2006/picture">
                      <pic:pic>
                        <pic:nvPicPr>
                          <pic:cNvPr id="29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92" name="Gambar 292"/>
                  <wp:cNvGraphicFramePr>
                    <a:graphicFrameLocks noChangeAspect="1"/>
                  </wp:cNvGraphicFramePr>
                  <a:graphic>
                    <a:graphicData uri="http://schemas.openxmlformats.org/drawingml/2006/picture">
                      <pic:pic>
                        <pic:nvPicPr>
                          <pic:cNvPr id="29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Realisasi 2025 adalah </w:t>
            </w:r>
            <w:r>
              <w:t xml:space="preserve">0,68 per 100.000 jiwa</w:t>
            </w:r>
            <w:r>
              <w:t xml:space="preserve"> untuk bencana alam terhadap proyeksi </w:t>
            </w:r>
            <w:r>
              <w:t xml:space="preserve">0,22</w:t>
            </w:r>
            <w:r>
              <w:t xml:space="preserve">, sedangkan cara Renas PB menghitung proyeksi itu tidak tertulis (K monev; hanya pusat).</w:t>
            </w:r>
          </w:p>
          <w:p>
            <w:pPr>
              <w:pStyle w:val="IsiTabel"/>
              <w:suppressAutoHyphens/>
              <w:spacing w:after="40"/>
            </w:pPr>
            <w:r>
              <w:rPr>
                <w:b/>
                <w:bCs/>
              </w:rPr>
              <w:t xml:space="preserve">Indikator selesai: </w:t>
            </w:r>
            <w:r>
              <w:t xml:space="preserve">evaluasi tahunan Renas PB 2026 memuat Renas PB 1.a versi bencana alam dan semua klasifikasi dengan penanda patahan seri 2024, definisi Renas PB 1.b tertulis, dan usulan target 2029 berangka untuk kedua indikator lewat jalur berkala, dan rekonsiliasi angka korban LKIP dengan DIBI menurut tanggal data</w:t>
            </w:r>
            <w:r>
              <w:t xml:space="preserve">. </w:t>
            </w:r>
            <w:r>
              <w:rPr>
                <w:b/>
                <w:bCs/>
              </w:rPr>
              <w:t xml:space="preserve">Dasar: </w:t>
            </w:r>
            <w:r>
              <w:t xml:space="preserve">Temuan A.1; Renas PB Tabel 2.8 </w:t>
            </w:r>
            <w:r>
              <w:t xml:space="preserve">(BNPB, 2025c)</w:t>
            </w:r>
            <w:r>
              <w:t xml:space="preserve">; LKIP BNPB 2025 </w:t>
            </w:r>
            <w:r>
              <w:t xml:space="preserve">(BNPB, 2026c)</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8" w:name="_Ref0095"/>
            <w:r>
              <w:rPr>
                <w:b/>
                <w:bCs/>
                <w:color w:val="FFFFFF"/>
                <w:sz w:val="16"/>
                <w:szCs w:val="16"/>
                <w:shd w:val="clear" w:color="auto" w:fill="051C2C"/>
              </w:rPr>
              <w:t xml:space="preserve">22</w:t>
            </w:r>
            <w:bookmarkEnd w:id="80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93" name="Gambar 293"/>
                  <wp:cNvGraphicFramePr>
                    <a:graphicFrameLocks noChangeAspect="1"/>
                  </wp:cNvGraphicFramePr>
                  <a:graphic>
                    <a:graphicData uri="http://schemas.openxmlformats.org/drawingml/2006/picture">
                      <pic:pic>
                        <pic:nvPicPr>
                          <pic:cNvPr id="293"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Selaraskan klaster dan dokumen ke organisasi berlaku</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94" name="Gambar 294"/>
                  <wp:cNvGraphicFramePr>
                    <a:graphicFrameLocks noChangeAspect="1"/>
                  </wp:cNvGraphicFramePr>
                  <a:graphic>
                    <a:graphicData uri="http://schemas.openxmlformats.org/drawingml/2006/picture">
                      <pic:pic>
                        <pic:nvPicPr>
                          <pic:cNvPr id="29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Biro Hukum, Organisasi, dan Kerja Sama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95" name="Gambar 295"/>
                  <wp:cNvGraphicFramePr>
                    <a:graphicFrameLocks noChangeAspect="1"/>
                  </wp:cNvGraphicFramePr>
                  <a:graphic>
                    <a:graphicData uri="http://schemas.openxmlformats.org/drawingml/2006/picture">
                      <pic:pic>
                        <pic:nvPicPr>
                          <pic:cNvPr id="29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96" name="Gambar 296"/>
                  <wp:cNvGraphicFramePr>
                    <a:graphicFrameLocks noChangeAspect="1"/>
                  </wp:cNvGraphicFramePr>
                  <a:graphic>
                    <a:graphicData uri="http://schemas.openxmlformats.org/drawingml/2006/picture">
                      <pic:pic>
                        <pic:nvPicPr>
                          <pic:cNvPr id="29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Perencanaan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Koordinator enam klaster nasional adalah Badan Nasional Pencarian dan Pertolongan (Basarnas), Kementerian Sosial, BNPB, Kementerian Kesehatan, Kementerian Pendidikan Dasar dan Menengah, dan Kementerian Dalam Negeri, sedangkan teks SK klaster belum dibuka (K koordinasi; hanya pusat, klaster daerah).</w:t>
            </w:r>
          </w:p>
          <w:p>
            <w:pPr>
              <w:pStyle w:val="IsiTabel"/>
              <w:suppressAutoHyphens/>
              <w:spacing w:after="40"/>
            </w:pPr>
            <w:r>
              <w:rPr>
                <w:b/>
                <w:bCs/>
              </w:rPr>
              <w:t xml:space="preserve">Indikator selesai: </w:t>
            </w:r>
            <w:r>
              <w:t xml:space="preserve">SK klaster nasional terbuka di JDIH dengan nomenklatur kementerian yang berlaku; Perban BNPB 2/2024, Renstra, dan Perban BNPB 5/2018 menyebut unit organisasi berlaku</w:t>
            </w:r>
            <w:r>
              <w:t xml:space="preserve">. </w:t>
            </w:r>
            <w:r>
              <w:rPr>
                <w:b/>
                <w:bCs/>
              </w:rPr>
              <w:t xml:space="preserve">Dasar: </w:t>
            </w:r>
            <w:r>
              <w:t xml:space="preserve">Temuan C.2; Perban BNPB 11/2025 </w:t>
            </w:r>
            <w:r>
              <w:t xml:space="preserve">(BNPB, 2025d)</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09" w:name="_Ref0096"/>
            <w:r>
              <w:rPr>
                <w:b/>
                <w:bCs/>
                <w:color w:val="FFFFFF"/>
                <w:sz w:val="16"/>
                <w:szCs w:val="16"/>
                <w:shd w:val="clear" w:color="auto" w:fill="051C2C"/>
              </w:rPr>
              <w:t xml:space="preserve">23</w:t>
            </w:r>
            <w:bookmarkEnd w:id="80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97" name="Gambar 297"/>
                  <wp:cNvGraphicFramePr>
                    <a:graphicFrameLocks noChangeAspect="1"/>
                  </wp:cNvGraphicFramePr>
                  <a:graphic>
                    <a:graphicData uri="http://schemas.openxmlformats.org/drawingml/2006/picture">
                      <pic:pic>
                        <pic:nvPicPr>
                          <pic:cNvPr id="297"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Perban analisis risiko pembangunan berisiko tinggi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98" name="Gambar 298"/>
                  <wp:cNvGraphicFramePr>
                    <a:graphicFrameLocks noChangeAspect="1"/>
                  </wp:cNvGraphicFramePr>
                  <a:graphic>
                    <a:graphicData uri="http://schemas.openxmlformats.org/drawingml/2006/picture">
                      <pic:pic>
                        <pic:nvPicPr>
                          <pic:cNvPr id="29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Pemetaan dan Evaluasi Risiko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99" name="Gambar 299"/>
                  <wp:cNvGraphicFramePr>
                    <a:graphicFrameLocks noChangeAspect="1"/>
                  </wp:cNvGraphicFramePr>
                  <a:graphic>
                    <a:graphicData uri="http://schemas.openxmlformats.org/drawingml/2006/picture">
                      <pic:pic>
                        <pic:nvPicPr>
                          <pic:cNvPr id="29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00" name="Gambar 300"/>
                  <wp:cNvGraphicFramePr>
                    <a:graphicFrameLocks noChangeAspect="1"/>
                  </wp:cNvGraphicFramePr>
                  <a:graphic>
                    <a:graphicData uri="http://schemas.openxmlformats.org/drawingml/2006/picture">
                      <pic:pic>
                        <pic:nvPicPr>
                          <pic:cNvPr id="30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ESDM</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01" name="Gambar 301"/>
                  <wp:cNvGraphicFramePr>
                    <a:graphicFrameLocks noChangeAspect="1"/>
                  </wp:cNvGraphicFramePr>
                  <a:graphic>
                    <a:graphicData uri="http://schemas.openxmlformats.org/drawingml/2006/picture">
                      <pic:pic>
                        <pic:nvPicPr>
                          <pic:cNvPr id="30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Perindustrian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BNPB menetapkan persyaratan analisis risiko, sedangkan keselamatan industri tetap menjadi mandat tertulis Menteri Energi dan Sumber Daya Mineral, Menteri Perindustrian, dan Menteri Ketenagakerjaan, bukan BNPB (R NSPK; pelaku usaha berisiko tinggi dan BPBD sebagai pemantau).</w:t>
            </w:r>
          </w:p>
          <w:p>
            <w:pPr>
              <w:pStyle w:val="IsiTabel"/>
              <w:suppressAutoHyphens/>
              <w:spacing w:after="40"/>
            </w:pPr>
            <w:r>
              <w:rPr>
                <w:b/>
                <w:bCs/>
              </w:rPr>
              <w:t xml:space="preserve">Indikator selesai: </w:t>
            </w:r>
            <w:r>
              <w:t xml:space="preserve">Perban ditetapkan dan memuat fasilitas minyak dan gas bumi serta industri yang berisiko kebakaran industri</w:t>
            </w:r>
            <w:r>
              <w:t xml:space="preserve">. </w:t>
            </w:r>
            <w:r>
              <w:rPr>
                <w:b/>
                <w:bCs/>
              </w:rPr>
              <w:t xml:space="preserve">Dasar: </w:t>
            </w:r>
            <w:r>
              <w:t xml:space="preserve">Temuan C.3; UU 24/2007 Pasal 40 ayat (3), Pasal 41, dan Pasal 75–76 </w:t>
            </w:r>
            <w:r>
              <w:t xml:space="preserve">(Republik Indonesia, 2007)</w:t>
            </w:r>
            <w:r>
              <w:t xml:space="preserve">; Progsun 2026 </w:t>
            </w:r>
            <w:r>
              <w:t xml:space="preserve">(BNPB, 2025b)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0" w:name="_Ref0097"/>
            <w:r>
              <w:rPr>
                <w:b/>
                <w:bCs/>
                <w:color w:val="FFFFFF"/>
                <w:sz w:val="16"/>
                <w:szCs w:val="16"/>
                <w:shd w:val="clear" w:color="auto" w:fill="051C2C"/>
              </w:rPr>
              <w:t xml:space="preserve">24</w:t>
            </w:r>
            <w:bookmarkEnd w:id="81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02" name="Gambar 302"/>
                  <wp:cNvGraphicFramePr>
                    <a:graphicFrameLocks noChangeAspect="1"/>
                  </wp:cNvGraphicFramePr>
                  <a:graphic>
                    <a:graphicData uri="http://schemas.openxmlformats.org/drawingml/2006/picture">
                      <pic:pic>
                        <pic:nvPicPr>
                          <pic:cNvPr id="302"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Susun rencana induk peringatan dini multiancaman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03" name="Gambar 303"/>
                  <wp:cNvGraphicFramePr>
                    <a:graphicFrameLocks noChangeAspect="1"/>
                  </wp:cNvGraphicFramePr>
                  <a:graphic>
                    <a:graphicData uri="http://schemas.openxmlformats.org/drawingml/2006/picture">
                      <pic:pic>
                        <pic:nvPicPr>
                          <pic:cNvPr id="30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04" name="Gambar 304"/>
                  <wp:cNvGraphicFramePr>
                    <a:graphicFrameLocks noChangeAspect="1"/>
                  </wp:cNvGraphicFramePr>
                  <a:graphic>
                    <a:graphicData uri="http://schemas.openxmlformats.org/drawingml/2006/picture">
                      <pic:pic>
                        <pic:nvPicPr>
                          <pic:cNvPr id="30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05" name="Gambar 305"/>
                  <wp:cNvGraphicFramePr>
                    <a:graphicFrameLocks noChangeAspect="1"/>
                  </wp:cNvGraphicFramePr>
                  <a:graphic>
                    <a:graphicData uri="http://schemas.openxmlformats.org/drawingml/2006/picture">
                      <pic:pic>
                        <pic:nvPicPr>
                          <pic:cNvPr id="30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06" name="Gambar 306"/>
                  <wp:cNvGraphicFramePr>
                    <a:graphicFrameLocks noChangeAspect="1"/>
                  </wp:cNvGraphicFramePr>
                  <a:graphic>
                    <a:graphicData uri="http://schemas.openxmlformats.org/drawingml/2006/picture">
                      <pic:pic>
                        <pic:nvPicPr>
                          <pic:cNvPr id="30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07" name="Gambar 307"/>
                  <wp:cNvGraphicFramePr>
                    <a:graphicFrameLocks noChangeAspect="1"/>
                  </wp:cNvGraphicFramePr>
                  <a:graphic>
                    <a:graphicData uri="http://schemas.openxmlformats.org/drawingml/2006/picture">
                      <pic:pic>
                        <pic:nvPicPr>
                          <pic:cNvPr id="30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BPK mencatat rencana induk sistem peringatan dini multiancaman belum disusun, dan Rancangan Perpres yang ditargetkan Renstra pada 2025 belum terbit per 24 Oktober 2026 (K informasi dan NSPK; BPBD).</w:t>
            </w:r>
          </w:p>
          <w:p>
            <w:pPr>
              <w:pStyle w:val="IsiTabel"/>
              <w:suppressAutoHyphens/>
              <w:spacing w:after="40"/>
            </w:pPr>
            <w:r>
              <w:rPr>
                <w:b/>
                <w:bCs/>
              </w:rPr>
              <w:t xml:space="preserve">Indikator selesai: </w:t>
            </w:r>
            <w:r>
              <w:t xml:space="preserve">rencana induk ditetapkan Kepala BNPB; Rancangan Perpres peringatan dini diajukan; definisi tercakup dimuat</w:t>
            </w:r>
            <w:r>
              <w:t xml:space="preserve">. </w:t>
            </w:r>
            <w:r>
              <w:rPr>
                <w:b/>
                <w:bCs/>
              </w:rPr>
              <w:t xml:space="preserve">Dasar: </w:t>
            </w:r>
            <w:r>
              <w:t xml:space="preserve">Temuan C.1; IHPS II 2024 hlm. 188–189 </w:t>
            </w:r>
            <w:r>
              <w:t xml:space="preserve">(BPK, 2025)</w:t>
            </w:r>
            <w:r>
              <w:t xml:space="preserve">; Renstra BNPB 2025–2029 </w:t>
            </w:r>
            <w:r>
              <w:t xml:space="preserve">(BNPB, 2025e)</w:t>
            </w:r>
            <w:r>
              <w:rPr>
                <w:b/>
                <w:bCs/>
              </w:rPr>
              <w:t xml:space="preserve">. Membuka </w:t>
            </w:r>
            <w:r>
              <w:t xml:space="preserve">16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1" w:name="_Ref0098"/>
            <w:r>
              <w:rPr>
                <w:b/>
                <w:bCs/>
                <w:color w:val="FFFFFF"/>
                <w:sz w:val="16"/>
                <w:szCs w:val="16"/>
                <w:shd w:val="clear" w:color="auto" w:fill="051C2C"/>
              </w:rPr>
              <w:t xml:space="preserve">25</w:t>
            </w:r>
            <w:bookmarkEnd w:id="81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08" name="Gambar 308"/>
                  <wp:cNvGraphicFramePr>
                    <a:graphicFrameLocks noChangeAspect="1"/>
                  </wp:cNvGraphicFramePr>
                  <a:graphic>
                    <a:graphicData uri="http://schemas.openxmlformats.org/drawingml/2006/picture">
                      <pic:pic>
                        <pic:nvPicPr>
                          <pic:cNvPr id="308"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Lengkapi dokumen dasar daerah berkapasitas rendah</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09" name="Gambar 309"/>
                  <wp:cNvGraphicFramePr>
                    <a:graphicFrameLocks noChangeAspect="1"/>
                  </wp:cNvGraphicFramePr>
                  <a:graphic>
                    <a:graphicData uri="http://schemas.openxmlformats.org/drawingml/2006/picture">
                      <pic:pic>
                        <pic:nvPicPr>
                          <pic:cNvPr id="30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10" name="Gambar 310"/>
                  <wp:cNvGraphicFramePr>
                    <a:graphicFrameLocks noChangeAspect="1"/>
                  </wp:cNvGraphicFramePr>
                  <a:graphic>
                    <a:graphicData uri="http://schemas.openxmlformats.org/drawingml/2006/picture">
                      <pic:pic>
                        <pic:nvPicPr>
                          <pic:cNvPr id="31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11" name="Gambar 311"/>
                  <wp:cNvGraphicFramePr>
                    <a:graphicFrameLocks noChangeAspect="1"/>
                  </wp:cNvGraphicFramePr>
                  <a:graphic>
                    <a:graphicData uri="http://schemas.openxmlformats.org/drawingml/2006/picture">
                      <pic:pic>
                        <pic:nvPicPr>
                          <pic:cNvPr id="31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Sebanyak </w:t>
            </w:r>
            <w:r>
              <w:t xml:space="preserve">87</w:t>
            </w:r>
            <w:r>
              <w:t xml:space="preserve"> daerah belum mengaktifkan KRB dan </w:t>
            </w:r>
            <w:r>
              <w:t xml:space="preserve">79</w:t>
            </w:r>
            <w:r>
              <w:t xml:space="preserve"> belum menyusun IKD 2024 </w:t>
            </w:r>
            <w:r>
              <w:t xml:space="preserve">(Kemenko PMK, 2025a)</w:t>
            </w:r>
            <w:r>
              <w:t xml:space="preserve">; status kapasitas sendiri ikut membentuk status IRBI, sehingga silang ini bukan dua bukti bebas (K NSPK; BPBD).</w:t>
            </w:r>
          </w:p>
          <w:p>
            <w:pPr>
              <w:pStyle w:val="IsiTabel"/>
              <w:suppressAutoHyphens/>
              <w:spacing w:after="40"/>
            </w:pPr>
            <w:r>
              <w:rPr>
                <w:b/>
                <w:bCs/>
              </w:rPr>
              <w:t xml:space="preserve">Indikator selesai: </w:t>
            </w:r>
            <w:r>
              <w:t xml:space="preserve">jumlah dari </w:t>
            </w:r>
            <w:r>
              <w:t xml:space="preserve">148</w:t>
            </w:r>
            <w:r>
              <w:t xml:space="preserve"> kab/kota berkapasitas KRB rendah dan berstatus IRBI Tinggi yang memiliki KRB mutakhir, RPBD ditetapkan, RPKB, dan rencana kontinjensi per jenis (baseline 2027)</w:t>
            </w:r>
            <w:r>
              <w:t xml:space="preserve">. </w:t>
            </w:r>
            <w:r>
              <w:rPr>
                <w:b/>
                <w:bCs/>
              </w:rPr>
              <w:t xml:space="preserve">Dasar: </w:t>
            </w:r>
            <w:r>
              <w:t xml:space="preserve">Temuan B.1; Temuan B.2; IHPS II 2024 </w:t>
            </w:r>
            <w:r>
              <w:t xml:space="preserve">(BPK, 2025)</w:t>
            </w:r>
            <w:r>
              <w:rPr>
                <w:b/>
                <w:bCs/>
              </w:rPr>
              <w:t xml:space="preserve">. Butuh </w:t>
            </w:r>
            <w:r>
              <w:t xml:space="preserve">35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2" w:name="_Ref0101"/>
            <w:r>
              <w:rPr>
                <w:b/>
                <w:bCs/>
                <w:color w:val="FFFFFF"/>
                <w:sz w:val="16"/>
                <w:szCs w:val="16"/>
                <w:shd w:val="clear" w:color="auto" w:fill="051C2C"/>
              </w:rPr>
              <w:t xml:space="preserve">26</w:t>
            </w:r>
            <w:bookmarkEnd w:id="81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12" name="Gambar 312"/>
                  <wp:cNvGraphicFramePr>
                    <a:graphicFrameLocks noChangeAspect="1"/>
                  </wp:cNvGraphicFramePr>
                  <a:graphic>
                    <a:graphicData uri="http://schemas.openxmlformats.org/drawingml/2006/picture">
                      <pic:pic>
                        <pic:nvPicPr>
                          <pic:cNvPr id="312"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Latih komando dengan skenario lantai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13" name="Gambar 313"/>
                  <wp:cNvGraphicFramePr>
                    <a:graphicFrameLocks noChangeAspect="1"/>
                  </wp:cNvGraphicFramePr>
                  <a:graphic>
                    <a:graphicData uri="http://schemas.openxmlformats.org/drawingml/2006/picture">
                      <pic:pic>
                        <pic:nvPicPr>
                          <pic:cNvPr id="31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Pusat Pendidikan dan Pelatihan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14" name="Gambar 314"/>
                  <wp:cNvGraphicFramePr>
                    <a:graphicFrameLocks noChangeAspect="1"/>
                  </wp:cNvGraphicFramePr>
                  <a:graphic>
                    <a:graphicData uri="http://schemas.openxmlformats.org/drawingml/2006/picture">
                      <pic:pic>
                        <pic:nvPicPr>
                          <pic:cNvPr id="31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15" name="Gambar 315"/>
                  <wp:cNvGraphicFramePr>
                    <a:graphicFrameLocks noChangeAspect="1"/>
                  </wp:cNvGraphicFramePr>
                  <a:graphic>
                    <a:graphicData uri="http://schemas.openxmlformats.org/drawingml/2006/picture">
                      <pic:pic>
                        <pic:nvPicPr>
                          <pic:cNvPr id="31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Gladi sudah diwajibkan untuk Rencana Penanggulangan Kedaruratan Bencana (RPKB) dan SPM, tetapi belum memakai skenario yang tidak lebih ringan dari kejadian tercatat terburuk (P NSPK dan komando darurat; BPBD provinsi).</w:t>
            </w:r>
          </w:p>
          <w:p>
            <w:pPr>
              <w:pStyle w:val="IsiTabel"/>
              <w:suppressAutoHyphens/>
              <w:spacing w:after="40"/>
            </w:pPr>
            <w:r>
              <w:rPr>
                <w:b/>
                <w:bCs/>
              </w:rPr>
              <w:t xml:space="preserve">Indikator selesai: </w:t>
            </w:r>
            <w:r>
              <w:t xml:space="preserve">gladi berbasis kartu skenario lantai di tiap wilayah Direktorat Penanganan Darurat tercatat tiap tahun</w:t>
            </w:r>
            <w:r>
              <w:t xml:space="preserve">. </w:t>
            </w:r>
            <w:r>
              <w:rPr>
                <w:b/>
                <w:bCs/>
              </w:rPr>
              <w:t xml:space="preserve">Dasar: </w:t>
            </w:r>
            <w:r>
              <w:t xml:space="preserve">Temuan A.2; Temuan A.3; Perban BNPB 9/2025 Pasal 27; Juklak SPM 2026 </w:t>
            </w:r>
            <w:r>
              <w:t xml:space="preserve">(BNPB, 2026f)</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3" w:name="_Ref0102"/>
            <w:r>
              <w:rPr>
                <w:b/>
                <w:bCs/>
                <w:color w:val="FFFFFF"/>
                <w:sz w:val="16"/>
                <w:szCs w:val="16"/>
                <w:shd w:val="clear" w:color="auto" w:fill="051C2C"/>
              </w:rPr>
              <w:t xml:space="preserve">27</w:t>
            </w:r>
            <w:bookmarkEnd w:id="81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16" name="Gambar 316"/>
                  <wp:cNvGraphicFramePr>
                    <a:graphicFrameLocks noChangeAspect="1"/>
                  </wp:cNvGraphicFramePr>
                  <a:graphic>
                    <a:graphicData uri="http://schemas.openxmlformats.org/drawingml/2006/picture">
                      <pic:pic>
                        <pic:nvPicPr>
                          <pic:cNvPr id="316"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Tarik data kerusakan R3P dan samakan instrumen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17" name="Gambar 317"/>
                  <wp:cNvGraphicFramePr>
                    <a:graphicFrameLocks noChangeAspect="1"/>
                  </wp:cNvGraphicFramePr>
                  <a:graphic>
                    <a:graphicData uri="http://schemas.openxmlformats.org/drawingml/2006/picture">
                      <pic:pic>
                        <pic:nvPicPr>
                          <pic:cNvPr id="31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18" name="Gambar 318"/>
                  <wp:cNvGraphicFramePr>
                    <a:graphicFrameLocks noChangeAspect="1"/>
                  </wp:cNvGraphicFramePr>
                  <a:graphic>
                    <a:graphicData uri="http://schemas.openxmlformats.org/drawingml/2006/picture">
                      <pic:pic>
                        <pic:nvPicPr>
                          <pic:cNvPr id="31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LKIP BNPB 2025 mencatat kerugian ekonomi langsung 2025 </w:t>
            </w:r>
            <w:r>
              <w:t xml:space="preserve">0,22 % PDB</w:t>
            </w:r>
            <w:r>
              <w:t xml:space="preserve"> tanpa Siklon Tropis Senyar. Metode hitungnya belum diuraikan, dan seri tahunannya belum terbit (K data/KRB; BPBD).</w:t>
            </w:r>
          </w:p>
          <w:p>
            <w:pPr>
              <w:pStyle w:val="IsiTabel"/>
              <w:suppressAutoHyphens/>
              <w:spacing w:after="40"/>
            </w:pPr>
            <w:r>
              <w:rPr>
                <w:b/>
                <w:bCs/>
              </w:rPr>
              <w:t xml:space="preserve">Indikator selesai: </w:t>
            </w:r>
            <w:r>
              <w:t xml:space="preserve">seri kerusakan dan kerugian R3P 2015–2024 terbuka; instrumen penilaian kerusakan rumah menjadi satu; bahan indikator Renas PB 2.a tersedia</w:t>
            </w:r>
            <w:r>
              <w:t xml:space="preserve">. </w:t>
            </w:r>
            <w:r>
              <w:rPr>
                <w:b/>
                <w:bCs/>
              </w:rPr>
              <w:t xml:space="preserve">Dasar: </w:t>
            </w:r>
            <w:r>
              <w:t xml:space="preserve">Temuan C.3; Renas PB hlm. 28 </w:t>
            </w:r>
            <w:r>
              <w:t xml:space="preserve">(BNPB, 2025c)</w:t>
            </w:r>
            <w:r>
              <w:t xml:space="preserve">; rekap kerusakan dan kerugian </w:t>
            </w:r>
            <w:r>
              <w:t xml:space="preserve">(Badan Nasional Penanggulangan Bencana, 2025k)</w:t>
            </w:r>
            <w:r>
              <w:rPr>
                <w:b/>
                <w:bCs/>
              </w:rPr>
              <w:t xml:space="preserve">. Membuka </w:t>
            </w:r>
            <w:r>
              <w:t xml:space="preserve">39</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4" w:name="_Ref0085"/>
            <w:r>
              <w:rPr>
                <w:b/>
                <w:bCs/>
                <w:color w:val="FFFFFF"/>
                <w:sz w:val="16"/>
                <w:szCs w:val="16"/>
                <w:shd w:val="clear" w:color="auto" w:fill="051C2C"/>
              </w:rPr>
              <w:t xml:space="preserve">28</w:t>
            </w:r>
            <w:bookmarkEnd w:id="81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19" name="Gambar 319"/>
                  <wp:cNvGraphicFramePr>
                    <a:graphicFrameLocks noChangeAspect="1"/>
                  </wp:cNvGraphicFramePr>
                  <a:graphic>
                    <a:graphicData uri="http://schemas.openxmlformats.org/drawingml/2006/picture">
                      <pic:pic>
                        <pic:nvPicPr>
                          <pic:cNvPr id="319"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Terbitkan kalender kesiapan musiman berpemicu ENSO</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20" name="Gambar 320"/>
                  <wp:cNvGraphicFramePr>
                    <a:graphicFrameLocks noChangeAspect="1"/>
                  </wp:cNvGraphicFramePr>
                  <a:graphic>
                    <a:graphicData uri="http://schemas.openxmlformats.org/drawingml/2006/picture">
                      <pic:pic>
                        <pic:nvPicPr>
                          <pic:cNvPr id="32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21" name="Gambar 321"/>
                  <wp:cNvGraphicFramePr>
                    <a:graphicFrameLocks noChangeAspect="1"/>
                  </wp:cNvGraphicFramePr>
                  <a:graphic>
                    <a:graphicData uri="http://schemas.openxmlformats.org/drawingml/2006/picture">
                      <pic:pic>
                        <pic:nvPicPr>
                          <pic:cNvPr id="32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22" name="Gambar 322"/>
                  <wp:cNvGraphicFramePr>
                    <a:graphicFrameLocks noChangeAspect="1"/>
                  </wp:cNvGraphicFramePr>
                  <a:graphic>
                    <a:graphicData uri="http://schemas.openxmlformats.org/drawingml/2006/picture">
                      <pic:pic>
                        <pic:nvPicPr>
                          <pic:cNvPr id="32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November menyumbang </w:t>
            </w:r>
            <w:r>
              <w:t xml:space="preserve">21,6%</w:t>
            </w:r>
            <w:r>
              <w:t xml:space="preserve"> korban musim hujan nasional dan </w:t>
            </w:r>
            <w:r>
              <w:t xml:space="preserve">84%</w:t>
            </w:r>
            <w:r>
              <w:t xml:space="preserve"> kejadian kekeringan jatuh pada Juni–September, sehingga kesiapan dapat dijadwalkan dari prakiraan El Niño-Southern Oscillation (ENSO) (K NSPK; rencana kontinjensi BPBD).</w:t>
            </w:r>
          </w:p>
          <w:p>
            <w:pPr>
              <w:pStyle w:val="IsiTabel"/>
              <w:suppressAutoHyphens/>
              <w:spacing w:after="40"/>
            </w:pPr>
            <w:r>
              <w:rPr>
                <w:b/>
                <w:bCs/>
              </w:rPr>
              <w:t xml:space="preserve">Indikator selesai: </w:t>
            </w:r>
            <w:r>
              <w:t xml:space="preserve">kalender bahaya bulanan per pulau terbit tiap tahun sebelum awal musim, dengan kalender tersendiri untuk Maluku yang memuncak Juni–Juli</w:t>
            </w:r>
            <w:r>
              <w:t xml:space="preserve">. </w:t>
            </w:r>
            <w:r>
              <w:rPr>
                <w:b/>
                <w:bCs/>
              </w:rPr>
              <w:t xml:space="preserve">Dasar: </w:t>
            </w:r>
            <w:r>
              <w:t xml:space="preserve">Temuan A.2; prakiraan musim BMKG </w:t>
            </w:r>
            <w:r>
              <w:t xml:space="preserve">(BMKG, 2026c)</w:t>
            </w:r>
            <w:r>
              <w:t xml:space="preserve">; DIBI </w:t>
            </w:r>
            <w:r>
              <w:t xml:space="preserve">(BNPB, t.t.-a)</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5" w:name="_Ref0103"/>
            <w:r>
              <w:rPr>
                <w:b/>
                <w:bCs/>
                <w:color w:val="FFFFFF"/>
                <w:sz w:val="16"/>
                <w:szCs w:val="16"/>
                <w:shd w:val="clear" w:color="auto" w:fill="051C2C"/>
              </w:rPr>
              <w:t xml:space="preserve">29</w:t>
            </w:r>
            <w:bookmarkEnd w:id="81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23" name="Gambar 323"/>
                  <wp:cNvGraphicFramePr>
                    <a:graphicFrameLocks noChangeAspect="1"/>
                  </wp:cNvGraphicFramePr>
                  <a:graphic>
                    <a:graphicData uri="http://schemas.openxmlformats.org/drawingml/2006/picture">
                      <pic:pic>
                        <pic:nvPicPr>
                          <pic:cNvPr id="323" name="pembiayaan-lucide-banknote-051C2C-E6EAF0.png"/>
                          <pic:cNvPicPr/>
                        </pic:nvPicPr>
                        <pic:blipFill>
                          <a:blip r:embed="rId102"/>
                          <a:stretch>
                            <a:fillRect/>
                          </a:stretch>
                        </pic:blipFill>
                        <pic:spPr>
                          <a:xfrm>
                            <a:off x="0" y="0"/>
                            <a:ext cx="162000" cy="162000"/>
                          </a:xfrm>
                          <a:prstGeom prst="rect">
                            <a:avLst/>
                          </a:prstGeom>
                        </pic:spPr>
                      </pic:pic>
                    </a:graphicData>
                  </a:graphic>
                </wp:inline>
              </w:drawing>
            </w:r>
            <w:r>
              <w:t xml:space="preserve"> </w:t>
            </w:r>
            <w:r>
              <w:rPr>
                <w:b/>
                <w:bCs/>
                <w:color w:val="1A1A1A"/>
              </w:rPr>
              <w:t xml:space="preserve">Tambahkan syarat manfaat-biaya Dana Bersama prabencana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24" name="Gambar 324"/>
                  <wp:cNvGraphicFramePr>
                    <a:graphicFrameLocks noChangeAspect="1"/>
                  </wp:cNvGraphicFramePr>
                  <a:graphic>
                    <a:graphicData uri="http://schemas.openxmlformats.org/drawingml/2006/picture">
                      <pic:pic>
                        <pic:nvPicPr>
                          <pic:cNvPr id="32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25" name="Gambar 325"/>
                  <wp:cNvGraphicFramePr>
                    <a:graphicFrameLocks noChangeAspect="1"/>
                  </wp:cNvGraphicFramePr>
                  <a:graphic>
                    <a:graphicData uri="http://schemas.openxmlformats.org/drawingml/2006/picture">
                      <pic:pic>
                        <pic:nvPicPr>
                          <pic:cNvPr id="32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26" name="Gambar 326"/>
                  <wp:cNvGraphicFramePr>
                    <a:graphicFrameLocks noChangeAspect="1"/>
                  </wp:cNvGraphicFramePr>
                  <a:graphic>
                    <a:graphicData uri="http://schemas.openxmlformats.org/drawingml/2006/picture">
                      <pic:pic>
                        <pic:nvPicPr>
                          <pic:cNvPr id="32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Keuangan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27" name="Gambar 327"/>
                  <wp:cNvGraphicFramePr>
                    <a:graphicFrameLocks noChangeAspect="1"/>
                  </wp:cNvGraphicFramePr>
                  <a:graphic>
                    <a:graphicData uri="http://schemas.openxmlformats.org/drawingml/2006/picture">
                      <pic:pic>
                        <pic:nvPicPr>
                          <pic:cNvPr id="32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PPN/Bappenas</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28" name="Gambar 328"/>
                  <wp:cNvGraphicFramePr>
                    <a:graphicFrameLocks noChangeAspect="1"/>
                  </wp:cNvGraphicFramePr>
                  <a:graphic>
                    <a:graphicData uri="http://schemas.openxmlformats.org/drawingml/2006/picture">
                      <pic:pic>
                        <pic:nvPicPr>
                          <pic:cNvPr id="32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29" name="Gambar 329"/>
                  <wp:cNvGraphicFramePr>
                    <a:graphicFrameLocks noChangeAspect="1"/>
                  </wp:cNvGraphicFramePr>
                  <a:graphic>
                    <a:graphicData uri="http://schemas.openxmlformats.org/drawingml/2006/picture">
                      <pic:pic>
                        <pic:nvPicPr>
                          <pic:cNvPr id="32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Dokumen verifikasi Dana Bersama tidak memuat analisis manfaat-biaya; hibah mitigasi Amerika Serikat yang memakainya berposisi rujukan tata kelola dengan rasio hasil model, bukan program terbukti (K pendanaan Dana Bersama; pemda dan K/L pemohon).</w:t>
            </w:r>
          </w:p>
          <w:p>
            <w:pPr>
              <w:pStyle w:val="IsiTabel"/>
              <w:suppressAutoHyphens/>
              <w:spacing w:after="40"/>
            </w:pPr>
            <w:r>
              <w:rPr>
                <w:b/>
                <w:bCs/>
              </w:rPr>
              <w:t xml:space="preserve">Indikator selesai: </w:t>
            </w:r>
            <w:r>
              <w:t xml:space="preserve">kriteria penyaluran prabencana dalam perubahan Perban BNPB 1/2026 memuat analisis manfaat-biaya, lewat Progsun atau izin prakarsa</w:t>
            </w:r>
            <w:r>
              <w:t xml:space="preserve">. </w:t>
            </w:r>
            <w:r>
              <w:rPr>
                <w:b/>
                <w:bCs/>
              </w:rPr>
              <w:t xml:space="preserve">Dasar: </w:t>
            </w:r>
            <w:r>
              <w:t xml:space="preserve">Temuan C.3; Perban BNPB 1/2026 Pasal 14 ayat (4) dan Pasal 16 ayat (3) </w:t>
            </w:r>
            <w:r>
              <w:t xml:space="preserve">(BNPB, 2026d)</w:t>
            </w:r>
            <w:r>
              <w:t xml:space="preserve">; Perpres 75/2021 Pasal 8 </w:t>
            </w:r>
            <w:r>
              <w:t xml:space="preserve">(Republik Indonesia, 2021b)</w:t>
            </w:r>
            <w:r>
              <w:rPr>
                <w:b/>
                <w:bCs/>
              </w:rPr>
              <w:t xml:space="preserve">. Butuh </w:t>
            </w:r>
            <w:r>
              <w:t xml:space="preserve">11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6" w:name="_Ref0105"/>
            <w:r>
              <w:rPr>
                <w:b/>
                <w:bCs/>
                <w:color w:val="FFFFFF"/>
                <w:sz w:val="16"/>
                <w:szCs w:val="16"/>
                <w:shd w:val="clear" w:color="auto" w:fill="051C2C"/>
              </w:rPr>
              <w:t xml:space="preserve">30</w:t>
            </w:r>
            <w:bookmarkEnd w:id="81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30" name="Gambar 330"/>
                  <wp:cNvGraphicFramePr>
                    <a:graphicFrameLocks noChangeAspect="1"/>
                  </wp:cNvGraphicFramePr>
                  <a:graphic>
                    <a:graphicData uri="http://schemas.openxmlformats.org/drawingml/2006/picture">
                      <pic:pic>
                        <pic:nvPicPr>
                          <pic:cNvPr id="330"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Perbarui daftar perhatian dan lantai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31" name="Gambar 331"/>
                  <wp:cNvGraphicFramePr>
                    <a:graphicFrameLocks noChangeAspect="1"/>
                  </wp:cNvGraphicFramePr>
                  <a:graphic>
                    <a:graphicData uri="http://schemas.openxmlformats.org/drawingml/2006/picture">
                      <pic:pic>
                        <pic:nvPicPr>
                          <pic:cNvPr id="33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Pemetaan dan Evaluasi Risiko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32" name="Gambar 332"/>
                  <wp:cNvGraphicFramePr>
                    <a:graphicFrameLocks noChangeAspect="1"/>
                  </wp:cNvGraphicFramePr>
                  <a:graphic>
                    <a:graphicData uri="http://schemas.openxmlformats.org/drawingml/2006/picture">
                      <pic:pic>
                        <pic:nvPicPr>
                          <pic:cNvPr id="33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Aturan daftar perhatian seperti tertulis mencakup </w:t>
            </w:r>
            <w:r>
              <w:t xml:space="preserve">426</w:t>
            </w:r>
            <w:r>
              <w:t xml:space="preserve"> dari </w:t>
            </w:r>
            <w:r>
              <w:t xml:space="preserve">514</w:t>
            </w:r>
            <w:r>
              <w:t xml:space="preserve"> kab/kota, sehingga yang diperbaiki adalah aturan syaratnya, bukan indeks baru (K data/KRB; hanya pusat, rencana kontinjensi BPBD sebagai pemakai).</w:t>
            </w:r>
          </w:p>
          <w:p>
            <w:pPr>
              <w:pStyle w:val="IsiTabel"/>
              <w:suppressAutoHyphens/>
              <w:spacing w:after="40"/>
            </w:pPr>
            <w:r>
              <w:rPr>
                <w:b/>
                <w:bCs/>
              </w:rPr>
              <w:t xml:space="preserve">Indikator selesai: </w:t>
            </w:r>
            <w:r>
              <w:t xml:space="preserve">daftar perhatian dihitung ulang dengan baseline IRBI baru dan DIBI 2026–2028; lantai per jenis dimutakhirkan bila kejadian baru lebih berat</w:t>
            </w:r>
            <w:r>
              <w:t xml:space="preserve">. </w:t>
            </w:r>
            <w:r>
              <w:rPr>
                <w:b/>
                <w:bCs/>
              </w:rPr>
              <w:t xml:space="preserve">Dasar: </w:t>
            </w:r>
            <w:r>
              <w:t xml:space="preserve">Temuan B.1; Temuan A.2; aturan daftar perhatian dan lantai skenario Bab 3</w:t>
            </w:r>
            <w:r>
              <w:rPr>
                <w:b/>
                <w:bCs/>
              </w:rPr>
              <w:t xml:space="preserve">. Butuh </w:t>
            </w:r>
            <w:r>
              <w:t xml:space="preserve">10</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7" w:name="_Ref0106"/>
            <w:r>
              <w:rPr>
                <w:b/>
                <w:bCs/>
                <w:color w:val="FFFFFF"/>
                <w:sz w:val="16"/>
                <w:szCs w:val="16"/>
                <w:shd w:val="clear" w:color="auto" w:fill="051C2C"/>
              </w:rPr>
              <w:t xml:space="preserve">31</w:t>
            </w:r>
            <w:bookmarkEnd w:id="81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33" name="Gambar 333"/>
                  <wp:cNvGraphicFramePr>
                    <a:graphicFrameLocks noChangeAspect="1"/>
                  </wp:cNvGraphicFramePr>
                  <a:graphic>
                    <a:graphicData uri="http://schemas.openxmlformats.org/drawingml/2006/picture">
                      <pic:pic>
                        <pic:nvPicPr>
                          <pic:cNvPr id="333"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Sampaikan masukan peninjauan RIPB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34" name="Gambar 334"/>
                  <wp:cNvGraphicFramePr>
                    <a:graphicFrameLocks noChangeAspect="1"/>
                  </wp:cNvGraphicFramePr>
                  <a:graphic>
                    <a:graphicData uri="http://schemas.openxmlformats.org/drawingml/2006/picture">
                      <pic:pic>
                        <pic:nvPicPr>
                          <pic:cNvPr id="33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35" name="Gambar 335"/>
                  <wp:cNvGraphicFramePr>
                    <a:graphicFrameLocks noChangeAspect="1"/>
                  </wp:cNvGraphicFramePr>
                  <a:graphic>
                    <a:graphicData uri="http://schemas.openxmlformats.org/drawingml/2006/picture">
                      <pic:pic>
                        <pic:nvPicPr>
                          <pic:cNvPr id="33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Biro Perencanaan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36" name="Gambar 336"/>
                  <wp:cNvGraphicFramePr>
                    <a:graphicFrameLocks noChangeAspect="1"/>
                  </wp:cNvGraphicFramePr>
                  <a:graphic>
                    <a:graphicData uri="http://schemas.openxmlformats.org/drawingml/2006/picture">
                      <pic:pic>
                        <pic:nvPicPr>
                          <pic:cNvPr id="33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keepNext/>
              <w:suppressAutoHyphens/>
              <w:spacing w:after="40"/>
            </w:pPr>
            <w:r>
              <w:rPr>
                <w:b/>
                <w:bCs/>
                <w:color w:val="1A1A1A"/>
                <w:sz w:val="16"/>
                <w:szCs w:val="16"/>
                <w:bdr w:val="single" w:sz="6" w:space="0" w:color="051C2C"/>
              </w:rPr>
              <w:t xml:space="preserve">  Sudah ada, perlu dikembangkan  </w:t>
            </w:r>
          </w:p>
          <w:p>
            <w:pPr>
              <w:pStyle w:val="IsiTabel"/>
              <w:keepNext/>
              <w:suppressAutoHyphens/>
              <w:spacing w:after="40"/>
              <w:jc w:val="both"/>
            </w:pPr>
            <w:r>
              <w:t xml:space="preserve">Rencana Induk Penanggulangan Bencana (RIPB) ditinjau berkala lima tahunan atau sewaktu-waktu, dan monev tahunannya dilaporkan ke Presiden melalui Menko PMK (K monev; hanya pusat).</w:t>
            </w:r>
          </w:p>
          <w:p>
            <w:pPr>
              <w:pStyle w:val="IsiTabel"/>
              <w:keepNext/>
              <w:suppressAutoHyphens/>
              <w:spacing w:after="40"/>
            </w:pPr>
            <w:r>
              <w:rPr>
                <w:b/>
                <w:bCs/>
              </w:rPr>
              <w:t xml:space="preserve">Indikator selesai: </w:t>
            </w:r>
            <w:r>
              <w:t xml:space="preserve">masukan tertulis memuat sasaran korban Renas PB 1.a dan Renas PB 1.b, alat ukur kapasitas, dan baseline IRBI baru</w:t>
            </w:r>
            <w:r>
              <w:t xml:space="preserve">. </w:t>
            </w:r>
            <w:r>
              <w:rPr>
                <w:b/>
                <w:bCs/>
              </w:rPr>
              <w:t xml:space="preserve">Dasar: </w:t>
            </w:r>
            <w:r>
              <w:t xml:space="preserve">Temuan A.1; Temuan B.2; Perpres 87/2020 Pasal 6–7 </w:t>
            </w:r>
            <w:r>
              <w:t xml:space="preserve">(Republik Indonesia, 2020f)</w:t>
            </w:r>
            <w:r>
              <w:t xml:space="preserve">; Progsun 2026 </w:t>
            </w:r>
            <w:r>
              <w:t xml:space="preserve">(BNPB, 2025b)</w:t>
            </w:r>
            <w:r>
              <w:rPr>
                <w:b/>
                <w:bCs/>
              </w:rPr>
              <w:t xml:space="preserve">. Butuh </w:t>
            </w:r>
            <w:r>
              <w:t xml:space="preserve">10</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337" name="Gambar 337"/>
                  <wp:cNvGraphicFramePr>
                    <a:graphicFrameLocks noChangeAspect="1"/>
                  </wp:cNvGraphicFramePr>
                  <a:graphic>
                    <a:graphicData uri="http://schemas.openxmlformats.org/drawingml/2006/picture">
                      <pic:pic>
                        <pic:nvPicPr>
                          <pic:cNvPr id="337"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338" name="Gambar 338"/>
                  <wp:cNvGraphicFramePr>
                    <a:graphicFrameLocks noChangeAspect="1"/>
                  </wp:cNvGraphicFramePr>
                  <a:graphic>
                    <a:graphicData uri="http://schemas.openxmlformats.org/drawingml/2006/picture">
                      <pic:pic>
                        <pic:nvPicPr>
                          <pic:cNvPr id="338"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r>
              <w:rPr>
                <w:color w:val="2E3440"/>
                <w:sz w:val="16"/>
                <w:szCs w:val="16"/>
              </w:rPr>
              <w:t xml:space="preserve">, </w:t>
            </w:r>
            <w:r>
              <w:rPr>
                <w:position w:val="-5"/>
              </w:rPr>
              <w:drawing>
                <wp:inline distT="0" distB="0" distL="0" distR="0">
                  <wp:extent cx="162000" cy="162000"/>
                  <wp:effectExtent l="0" t="0" r="0" b="0"/>
                  <wp:docPr id="339" name="Gambar 339"/>
                  <wp:cNvGraphicFramePr>
                    <a:graphicFrameLocks noChangeAspect="1"/>
                  </wp:cNvGraphicFramePr>
                  <a:graphic>
                    <a:graphicData uri="http://schemas.openxmlformats.org/drawingml/2006/picture">
                      <pic:pic>
                        <pic:nvPicPr>
                          <pic:cNvPr id="339"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rPr>
                <w:color w:val="2E3440"/>
                <w:sz w:val="16"/>
                <w:szCs w:val="16"/>
              </w:rPr>
              <w:t xml:space="preserve"> Data</w:t>
            </w:r>
            <w:r>
              <w:rPr>
                <w:color w:val="2E3440"/>
                <w:sz w:val="16"/>
                <w:szCs w:val="16"/>
              </w:rPr>
              <w:t xml:space="preserve">, </w:t>
            </w:r>
            <w:r>
              <w:rPr>
                <w:position w:val="-5"/>
              </w:rPr>
              <w:drawing>
                <wp:inline distT="0" distB="0" distL="0" distR="0">
                  <wp:extent cx="162000" cy="162000"/>
                  <wp:effectExtent l="0" t="0" r="0" b="0"/>
                  <wp:docPr id="340" name="Gambar 340"/>
                  <wp:cNvGraphicFramePr>
                    <a:graphicFrameLocks noChangeAspect="1"/>
                  </wp:cNvGraphicFramePr>
                  <a:graphic>
                    <a:graphicData uri="http://schemas.openxmlformats.org/drawingml/2006/picture">
                      <pic:pic>
                        <pic:nvPicPr>
                          <pic:cNvPr id="340" name="pembiayaan-lucide-banknote-051C2C-E6EAF0.png"/>
                          <pic:cNvPicPr/>
                        </pic:nvPicPr>
                        <pic:blipFill>
                          <a:blip r:embed="rId102"/>
                          <a:stretch>
                            <a:fillRect/>
                          </a:stretch>
                        </pic:blipFill>
                        <pic:spPr>
                          <a:xfrm>
                            <a:off x="0" y="0"/>
                            <a:ext cx="162000" cy="162000"/>
                          </a:xfrm>
                          <a:prstGeom prst="rect">
                            <a:avLst/>
                          </a:prstGeom>
                        </pic:spPr>
                      </pic:pic>
                    </a:graphicData>
                  </a:graphic>
                </wp:inline>
              </w:drawing>
            </w:r>
            <w:r>
              <w:rPr>
                <w:color w:val="2E3440"/>
                <w:sz w:val="16"/>
                <w:szCs w:val="16"/>
              </w:rPr>
              <w:t xml:space="preserve"> Pembiayaan</w:t>
            </w:r>
          </w:p>
        </w:tc>
      </w:tr>
    </w:tbl>
    <w:p>
      <w:pPr>
        <w:pStyle w:val="Sumber"/>
      </w:pPr>
      <w:r>
        <w:rPr>
          <w:b/>
          <w:bCs/>
          <w:color w:val="6B7280"/>
          <w:sz w:val="17"/>
          <w:szCs w:val="17"/>
        </w:rPr>
        <w:t xml:space="preserve">Sumber: </w:t>
      </w:r>
      <w:r>
        <w:rPr>
          <w:color w:val="6B7280"/>
          <w:sz w:val="17"/>
          <w:szCs w:val="17"/>
        </w:rPr>
        <w:t xml:space="preserve">Analisis kajian ini; Renas PB 2025–2029;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821" w:name="_Toc00259"/>
      <w:bookmarkStart w:id="820" w:name="_Ref0204"/>
      <w:r>
        <w:t xml:space="preserve">13.4</w:t>
      </w:r>
      <w:bookmarkEnd w:id="820"/>
      <w:r>
        <w:tab/>
      </w:r>
      <w:r>
        <w:t xml:space="preserve">Rekomendasi Lintas K/L</w:t>
      </w:r>
      <w:bookmarkEnd w:id="821"/>
    </w:p>
    <w:p>
      <w:pPr>
        <w:pStyle w:val="IsiTemuan"/>
      </w:pPr>
      <w:r>
        <w:rPr>
          <w:b/>
          <w:bCs/>
          <w:color w:val="051C2C"/>
        </w:rPr>
        <w:t xml:space="preserve">Sembilan rekomendasi lintas K/L dipimpin kementerian atau lembaga lain, dan BNPB membawanya lewat rakor Kemenko PMK dan forum penanggung jawab Renas PB sesuai kode perannya.</w:t>
      </w:r>
      <w:r>
        <w:t xml:space="preserve"> BNPB dikoordinasikan Kemenko PMK </w:t>
      </w:r>
      <w:r>
        <w:t xml:space="preserve">(Republik Indonesia, 2019a, Pasal 6)</w:t>
      </w:r>
      <w:r>
        <w:t xml:space="preserve">. Kewenangan mengikuti peraturan sektor: status "kejadian luar biasa" (KLB) dan wabah tunduk pada UU 17/2023 </w:t>
      </w:r>
      <w:r>
        <w:t xml:space="preserve">(Republik Indonesia, 2023b)</w:t>
      </w:r>
      <w:r>
        <w:t xml:space="preserve">, sistem tanggap darurat sampah menjadi lini pertama pemerintah kab/kota </w:t>
      </w:r>
      <w:r>
        <w:t xml:space="preserve">(Republik Indonesia, 2008d, Pasal 9)</w:t>
      </w:r>
      <w:r>
        <w:t xml:space="preserve">, dan penanganan konflik dikoordinasikan Menteri Dalam Negeri </w:t>
      </w:r>
      <w:r>
        <w:t xml:space="preserve">(Republik Indonesia, 2015b, Pasal 97)</w:t>
      </w:r>
      <w:r>
        <w:t xml:space="preserve"> dengan BNPB sebagai unsur Satuan Tugas Penyelesaian Konflik Sosial skala nasional </w:t>
      </w:r>
      <w:r>
        <w:t xml:space="preserve">(Republik Indonesia, 2012, Pasal 49 ayat (2))</w:t>
      </w:r>
      <w:r>
        <w:t xml:space="preserve">.</w:t>
      </w:r>
    </w:p>
    <w:p>
      <w:pPr>
        <w:pStyle w:val="Caption"/>
      </w:pPr>
      <w:bookmarkStart w:id="832" w:name="_Toc00260"/>
      <w:bookmarkStart w:id="831" w:name="_Ref032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831"/>
      <w:r>
        <w:rPr>
          <w:b/>
          <w:bCs/>
          <w:color w:val="051C2C"/>
        </w:rPr>
        <w:t xml:space="preserve"> </w:t>
      </w:r>
      <w:r>
        <w:t xml:space="preserve">Rekomendasi lintas K/L untuk Grand Design Mitigasi Bencana Indonesia, 2026–2030</w:t>
      </w:r>
      <w:bookmarkEnd w:id="832"/>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2" w:name="_Ref0080"/>
            <w:r>
              <w:rPr>
                <w:b/>
                <w:bCs/>
                <w:color w:val="FFFFFF"/>
                <w:sz w:val="16"/>
                <w:szCs w:val="16"/>
                <w:shd w:val="clear" w:color="auto" w:fill="051C2C"/>
              </w:rPr>
              <w:t xml:space="preserve">32</w:t>
            </w:r>
            <w:bookmarkEnd w:id="82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41" name="Gambar 341"/>
                  <wp:cNvGraphicFramePr>
                    <a:graphicFrameLocks noChangeAspect="1"/>
                  </wp:cNvGraphicFramePr>
                  <a:graphic>
                    <a:graphicData uri="http://schemas.openxmlformats.org/drawingml/2006/picture">
                      <pic:pic>
                        <pic:nvPicPr>
                          <pic:cNvPr id="341"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Siapkan pemicu Kesiapan Musim Kemarau 2027</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42" name="Gambar 342"/>
                  <wp:cNvGraphicFramePr>
                    <a:graphicFrameLocks noChangeAspect="1"/>
                  </wp:cNvGraphicFramePr>
                  <a:graphic>
                    <a:graphicData uri="http://schemas.openxmlformats.org/drawingml/2006/picture">
                      <pic:pic>
                        <pic:nvPicPr>
                          <pic:cNvPr id="34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43" name="Gambar 343"/>
                  <wp:cNvGraphicFramePr>
                    <a:graphicFrameLocks noChangeAspect="1"/>
                  </wp:cNvGraphicFramePr>
                  <a:graphic>
                    <a:graphicData uri="http://schemas.openxmlformats.org/drawingml/2006/picture">
                      <pic:pic>
                        <pic:nvPicPr>
                          <pic:cNvPr id="34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Mitigasi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4" name="Gambar 344"/>
                  <wp:cNvGraphicFramePr>
                    <a:graphicFrameLocks noChangeAspect="1"/>
                  </wp:cNvGraphicFramePr>
                  <a:graphic>
                    <a:graphicData uri="http://schemas.openxmlformats.org/drawingml/2006/picture">
                      <pic:pic>
                        <pic:nvPicPr>
                          <pic:cNvPr id="34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5" name="Gambar 345"/>
                  <wp:cNvGraphicFramePr>
                    <a:graphicFrameLocks noChangeAspect="1"/>
                  </wp:cNvGraphicFramePr>
                  <a:graphic>
                    <a:graphicData uri="http://schemas.openxmlformats.org/drawingml/2006/picture">
                      <pic:pic>
                        <pic:nvPicPr>
                          <pic:cNvPr id="34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6" name="Gambar 346"/>
                  <wp:cNvGraphicFramePr>
                    <a:graphicFrameLocks noChangeAspect="1"/>
                  </wp:cNvGraphicFramePr>
                  <a:graphic>
                    <a:graphicData uri="http://schemas.openxmlformats.org/drawingml/2006/picture">
                      <pic:pic>
                        <pic:nvPicPr>
                          <pic:cNvPr id="34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7" name="Gambar 347"/>
                  <wp:cNvGraphicFramePr>
                    <a:graphicFrameLocks noChangeAspect="1"/>
                  </wp:cNvGraphicFramePr>
                  <a:graphic>
                    <a:graphicData uri="http://schemas.openxmlformats.org/drawingml/2006/picture">
                      <pic:pic>
                        <pic:nvPicPr>
                          <pic:cNvPr id="34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Pertanian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Lantai kemarau diambil dari tahun tercatat terburuk 2008–2025; kematian berlebih akibat asap 2015 menurut model peneliti hanya tampil berdampingan dengan korban tercatat dan tidak menggantikan lantai (P koordinasi; BPBD lewat rakor Kemenko PMK).</w:t>
            </w:r>
          </w:p>
          <w:p>
            <w:pPr>
              <w:pStyle w:val="IsiTabel"/>
              <w:suppressAutoHyphens/>
              <w:spacing w:after="40"/>
            </w:pPr>
            <w:r>
              <w:rPr>
                <w:b/>
                <w:bCs/>
              </w:rPr>
              <w:t xml:space="preserve">Indikator selesai: </w:t>
            </w:r>
            <w:r>
              <w:t xml:space="preserve">dokumen pemicu terbit sebelum Mei 2027 dengan skenario yang tidak lebih ringan dari </w:t>
            </w:r>
            <w:r>
              <w:t xml:space="preserve">7.798.763</w:t>
            </w:r>
            <w:r>
              <w:t xml:space="preserve"> jiwa terdampak kekeringan (2018), </w:t>
            </w:r>
            <w:r>
              <w:t xml:space="preserve">6</w:t>
            </w:r>
            <w:r>
              <w:t xml:space="preserve"> meninggal (2023), dan </w:t>
            </w:r>
            <w:r>
              <w:t xml:space="preserve">2.611.411 ha</w:t>
            </w:r>
            <w:r>
              <w:t xml:space="preserve"> karhutla (2015), dengan TPA terbakar serentak sebagai pemicu</w:t>
            </w:r>
            <w:r>
              <w:t xml:space="preserve">. </w:t>
            </w:r>
            <w:r>
              <w:rPr>
                <w:b/>
                <w:bCs/>
              </w:rPr>
              <w:t xml:space="preserve">Dasar: </w:t>
            </w:r>
            <w:r>
              <w:t xml:space="preserve">Temuan A.2; Perban BNPB 2/2023 </w:t>
            </w:r>
            <w:r>
              <w:t xml:space="preserve">(BNPB, 2023c)</w:t>
            </w:r>
            <w:r>
              <w:t xml:space="preserve">; data luas karhutla </w:t>
            </w:r>
            <w:r>
              <w:t xml:space="preserve">(SiPongi, 2026)</w:t>
            </w:r>
            <w:r>
              <w:rPr>
                <w:b/>
                <w:bCs/>
              </w:rPr>
              <w:t xml:space="preserve">. Butuh </w:t>
            </w:r>
            <w:r>
              <w:t xml:space="preserve">38</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3" w:name="_Ref0081"/>
            <w:r>
              <w:rPr>
                <w:b/>
                <w:bCs/>
                <w:color w:val="FFFFFF"/>
                <w:sz w:val="16"/>
                <w:szCs w:val="16"/>
                <w:shd w:val="clear" w:color="auto" w:fill="051C2C"/>
              </w:rPr>
              <w:t xml:space="preserve">33</w:t>
            </w:r>
            <w:bookmarkEnd w:id="82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48" name="Gambar 348"/>
                  <wp:cNvGraphicFramePr>
                    <a:graphicFrameLocks noChangeAspect="1"/>
                  </wp:cNvGraphicFramePr>
                  <a:graphic>
                    <a:graphicData uri="http://schemas.openxmlformats.org/drawingml/2006/picture">
                      <pic:pic>
                        <pic:nvPicPr>
                          <pic:cNvPr id="348"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Selaraskan target cakupan peringatan dini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49" name="Gambar 349"/>
                  <wp:cNvGraphicFramePr>
                    <a:graphicFrameLocks noChangeAspect="1"/>
                  </wp:cNvGraphicFramePr>
                  <a:graphic>
                    <a:graphicData uri="http://schemas.openxmlformats.org/drawingml/2006/picture">
                      <pic:pic>
                        <pic:nvPicPr>
                          <pic:cNvPr id="34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50" name="Gambar 350"/>
                  <wp:cNvGraphicFramePr>
                    <a:graphicFrameLocks noChangeAspect="1"/>
                  </wp:cNvGraphicFramePr>
                  <a:graphic>
                    <a:graphicData uri="http://schemas.openxmlformats.org/drawingml/2006/picture">
                      <pic:pic>
                        <pic:nvPicPr>
                          <pic:cNvPr id="35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1" name="Gambar 351"/>
                  <wp:cNvGraphicFramePr>
                    <a:graphicFrameLocks noChangeAspect="1"/>
                  </wp:cNvGraphicFramePr>
                  <a:graphic>
                    <a:graphicData uri="http://schemas.openxmlformats.org/drawingml/2006/picture">
                      <pic:pic>
                        <pic:nvPicPr>
                          <pic:cNvPr id="35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Pengembangan Strategi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2" name="Gambar 352"/>
                  <wp:cNvGraphicFramePr>
                    <a:graphicFrameLocks noChangeAspect="1"/>
                  </wp:cNvGraphicFramePr>
                  <a:graphic>
                    <a:graphicData uri="http://schemas.openxmlformats.org/drawingml/2006/picture">
                      <pic:pic>
                        <pic:nvPicPr>
                          <pic:cNvPr id="35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PPN/Bappenas</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IKP Renstra naik </w:t>
            </w:r>
            <w:r>
              <w:t xml:space="preserve">0,22</w:t>
            </w:r>
            <w:r>
              <w:t xml:space="preserve"> poin persen sampai 2029, sedangkan Renas PB 1.c naik </w:t>
            </w:r>
            <w:r>
              <w:t xml:space="preserve">4,7</w:t>
            </w:r>
            <w:r>
              <w:t xml:space="preserve"> kali dengan penyebut dan bentuk rumus berbeda (K monev; hanya pusat).</w:t>
            </w:r>
          </w:p>
          <w:p>
            <w:pPr>
              <w:pStyle w:val="IsiTabel"/>
              <w:suppressAutoHyphens/>
              <w:spacing w:after="40"/>
            </w:pPr>
            <w:r>
              <w:rPr>
                <w:b/>
                <w:bCs/>
              </w:rPr>
              <w:t xml:space="preserve">Indikator selesai: </w:t>
            </w:r>
            <w:r>
              <w:t xml:space="preserve">putusan KD-2 tertulis; rumus IKP (rerata dua jenis atau porsi penduduk) tertulis di revisi Manual IKU dan Renstra; usulan perubahan disampaikan atas evaluasi tahun ketiga (</w:t>
            </w:r>
            <w:r>
              <w:t xml:space="preserve">2027</w:t>
            </w:r>
            <w:r>
              <w:t xml:space="preserve">), atau Renas PB 1.c dinyatakan sebagai target lintas K/L</w:t>
            </w:r>
            <w:r>
              <w:t xml:space="preserve">. </w:t>
            </w:r>
            <w:r>
              <w:rPr>
                <w:b/>
                <w:bCs/>
              </w:rPr>
              <w:t xml:space="preserve">Dasar: </w:t>
            </w:r>
            <w:r>
              <w:t xml:space="preserve">Temuan C.1; KD-2; Perpres 80/2025 Pasal 22–29 dan Pasal 51 </w:t>
            </w:r>
            <w:r>
              <w:t xml:space="preserve">(Republik Indonesia, 2025d)</w:t>
            </w:r>
            <w:r>
              <w:t xml:space="preserve">; LKIP BNPB 2025 Tabel 3.4 </w:t>
            </w:r>
            <w:r>
              <w:t xml:space="preserve">(BNPB, 2026c)</w:t>
            </w:r>
            <w:r>
              <w:rPr>
                <w:b/>
                <w:bCs/>
              </w:rPr>
              <w:t xml:space="preserve">. Butuh </w:t>
            </w:r>
            <w:r>
              <w:t xml:space="preserve">09</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4" w:name="_Ref0083"/>
            <w:r>
              <w:rPr>
                <w:b/>
                <w:bCs/>
                <w:color w:val="FFFFFF"/>
                <w:sz w:val="16"/>
                <w:szCs w:val="16"/>
                <w:shd w:val="clear" w:color="auto" w:fill="051C2C"/>
              </w:rPr>
              <w:t xml:space="preserve">34</w:t>
            </w:r>
            <w:bookmarkEnd w:id="82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53" name="Gambar 353"/>
                  <wp:cNvGraphicFramePr>
                    <a:graphicFrameLocks noChangeAspect="1"/>
                  </wp:cNvGraphicFramePr>
                  <a:graphic>
                    <a:graphicData uri="http://schemas.openxmlformats.org/drawingml/2006/picture">
                      <pic:pic>
                        <pic:nvPicPr>
                          <pic:cNvPr id="353"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Bentuk garis dasar evaluasi dampak Destana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54" name="Gambar 354"/>
                  <wp:cNvGraphicFramePr>
                    <a:graphicFrameLocks noChangeAspect="1"/>
                  </wp:cNvGraphicFramePr>
                  <a:graphic>
                    <a:graphicData uri="http://schemas.openxmlformats.org/drawingml/2006/picture">
                      <pic:pic>
                        <pic:nvPicPr>
                          <pic:cNvPr id="35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55" name="Gambar 355"/>
                  <wp:cNvGraphicFramePr>
                    <a:graphicFrameLocks noChangeAspect="1"/>
                  </wp:cNvGraphicFramePr>
                  <a:graphic>
                    <a:graphicData uri="http://schemas.openxmlformats.org/drawingml/2006/picture">
                      <pic:pic>
                        <pic:nvPicPr>
                          <pic:cNvPr id="35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6" name="Gambar 356"/>
                  <wp:cNvGraphicFramePr>
                    <a:graphicFrameLocks noChangeAspect="1"/>
                  </wp:cNvGraphicFramePr>
                  <a:graphic>
                    <a:graphicData uri="http://schemas.openxmlformats.org/drawingml/2006/picture">
                      <pic:pic>
                        <pic:nvPicPr>
                          <pic:cNvPr id="35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Desa dan Pembangunan Daerah Tertinggal</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7" name="Gambar 357"/>
                  <wp:cNvGraphicFramePr>
                    <a:graphicFrameLocks noChangeAspect="1"/>
                  </wp:cNvGraphicFramePr>
                  <a:graphic>
                    <a:graphicData uri="http://schemas.openxmlformats.org/drawingml/2006/picture">
                      <pic:pic>
                        <pic:nvPicPr>
                          <pic:cNvPr id="35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Penilaian Ketangguhan dilakukan paling sedikit tiap </w:t>
            </w:r>
            <w:r>
              <w:t xml:space="preserve">3 tahun</w:t>
            </w:r>
            <w:r>
              <w:t xml:space="preserve"> dan tidak ada untuk desa pembanding, sehingga belum dapat mengukur dampak (K NSPK; desa di kab/kota daftar perhatian).</w:t>
            </w:r>
          </w:p>
          <w:p>
            <w:pPr>
              <w:pStyle w:val="IsiTabel"/>
              <w:suppressAutoHyphens/>
              <w:spacing w:after="40"/>
            </w:pPr>
            <w:r>
              <w:rPr>
                <w:b/>
                <w:bCs/>
              </w:rPr>
              <w:t xml:space="preserve">Indikator selesai: </w:t>
            </w:r>
            <w:r>
              <w:t xml:space="preserve">instrumen penilaian independen yang sama untuk desa Destana dan desa pembanding di kab/kota daftar perhatian seluruh pulau terbentuk pada 2027</w:t>
            </w:r>
            <w:r>
              <w:t xml:space="preserve">. </w:t>
            </w:r>
            <w:r>
              <w:rPr>
                <w:b/>
                <w:bCs/>
              </w:rPr>
              <w:t xml:space="preserve">Dasar: </w:t>
            </w:r>
            <w:r>
              <w:t xml:space="preserve">Temuan C.3; Perban BNPB 7/2025 </w:t>
            </w:r>
            <w:r>
              <w:t xml:space="preserve">(BNPB, 2025g)</w:t>
            </w:r>
            <w:r>
              <w:rPr>
                <w:b/>
                <w:bCs/>
              </w:rPr>
              <w:t xml:space="preserve">. Membuka </w:t>
            </w:r>
            <w:r>
              <w:t xml:space="preserve">40</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5" w:name="_Ref0089"/>
            <w:r>
              <w:rPr>
                <w:b/>
                <w:bCs/>
                <w:color w:val="FFFFFF"/>
                <w:sz w:val="16"/>
                <w:szCs w:val="16"/>
                <w:shd w:val="clear" w:color="auto" w:fill="051C2C"/>
              </w:rPr>
              <w:t xml:space="preserve">35</w:t>
            </w:r>
            <w:bookmarkEnd w:id="82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58" name="Gambar 358"/>
                  <wp:cNvGraphicFramePr>
                    <a:graphicFrameLocks noChangeAspect="1"/>
                  </wp:cNvGraphicFramePr>
                  <a:graphic>
                    <a:graphicData uri="http://schemas.openxmlformats.org/drawingml/2006/picture">
                      <pic:pic>
                        <pic:nvPicPr>
                          <pic:cNvPr id="358"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Putuskan alat ukur dan penyebut kapasitas daerah</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59" name="Gambar 359"/>
                  <wp:cNvGraphicFramePr>
                    <a:graphicFrameLocks noChangeAspect="1"/>
                  </wp:cNvGraphicFramePr>
                  <a:graphic>
                    <a:graphicData uri="http://schemas.openxmlformats.org/drawingml/2006/picture">
                      <pic:pic>
                        <pic:nvPicPr>
                          <pic:cNvPr id="35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60" name="Gambar 360"/>
                  <wp:cNvGraphicFramePr>
                    <a:graphicFrameLocks noChangeAspect="1"/>
                  </wp:cNvGraphicFramePr>
                  <a:graphic>
                    <a:graphicData uri="http://schemas.openxmlformats.org/drawingml/2006/picture">
                      <pic:pic>
                        <pic:nvPicPr>
                          <pic:cNvPr id="36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1" name="Gambar 361"/>
                  <wp:cNvGraphicFramePr>
                    <a:graphicFrameLocks noChangeAspect="1"/>
                  </wp:cNvGraphicFramePr>
                  <a:graphic>
                    <a:graphicData uri="http://schemas.openxmlformats.org/drawingml/2006/picture">
                      <pic:pic>
                        <pic:nvPicPr>
                          <pic:cNvPr id="36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Direktorat Sistem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2" name="Gambar 362"/>
                  <wp:cNvGraphicFramePr>
                    <a:graphicFrameLocks noChangeAspect="1"/>
                  </wp:cNvGraphicFramePr>
                  <a:graphic>
                    <a:graphicData uri="http://schemas.openxmlformats.org/drawingml/2006/picture">
                      <pic:pic>
                        <pic:nvPicPr>
                          <pic:cNvPr id="36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PPN/Bappenas</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3" name="Gambar 363"/>
                  <wp:cNvGraphicFramePr>
                    <a:graphicFrameLocks noChangeAspect="1"/>
                  </wp:cNvGraphicFramePr>
                  <a:graphic>
                    <a:graphicData uri="http://schemas.openxmlformats.org/drawingml/2006/picture">
                      <pic:pic>
                        <pic:nvPicPr>
                          <pic:cNvPr id="36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Alat ukur tertulis di Manual IKU, tetapi penyebutnya belum diputus terhadap sasaran </w:t>
            </w:r>
            <w:r>
              <w:t xml:space="preserve">90%</w:t>
            </w:r>
            <w:r>
              <w:t xml:space="preserve"> yang terikat RPJMN KP 08.04.01 </w:t>
            </w:r>
            <w:r>
              <w:t xml:space="preserve">(Republik Indonesia, 2025b)</w:t>
            </w:r>
            <w:r>
              <w:t xml:space="preserve"> (K monev; BPBD melalui IKD).</w:t>
            </w:r>
          </w:p>
          <w:p>
            <w:pPr>
              <w:pStyle w:val="IsiTabel"/>
              <w:suppressAutoHyphens/>
              <w:spacing w:after="40"/>
            </w:pPr>
            <w:r>
              <w:rPr>
                <w:b/>
                <w:bCs/>
              </w:rPr>
              <w:t xml:space="preserve">Indikator selesai: </w:t>
            </w:r>
            <w:r>
              <w:t xml:space="preserve">putusan KD-3 tertulis dengan penyebut (provinsi atau kab/kota) dan perlakuan kab/kota yang tidak menilai IKD; capaian provinsi dan nilai kab/kota dilaporkan berdampingan; usulan angka target masuk evaluasi tahun ketiga Renstra</w:t>
            </w:r>
            <w:r>
              <w:t xml:space="preserve">. </w:t>
            </w:r>
            <w:r>
              <w:rPr>
                <w:b/>
                <w:bCs/>
              </w:rPr>
              <w:t xml:space="preserve">Dasar: </w:t>
            </w:r>
            <w:r>
              <w:t xml:space="preserve">Temuan B.2; KD-3; Perpres 80/2025 Pasal 22–29 </w:t>
            </w:r>
            <w:r>
              <w:t xml:space="preserve">(Republik Indonesia, 2025d)</w:t>
            </w:r>
            <w:r>
              <w:t xml:space="preserve">; LKIP BNPB 2025 </w:t>
            </w:r>
            <w:r>
              <w:t xml:space="preserve">(BNPB, 2026c)</w:t>
            </w:r>
            <w:r>
              <w:rPr>
                <w:b/>
                <w:bCs/>
              </w:rPr>
              <w:t xml:space="preserve">. Butuh </w:t>
            </w:r>
            <w:r>
              <w:t xml:space="preserve">09</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6" w:name="_Ref0092"/>
            <w:r>
              <w:rPr>
                <w:b/>
                <w:bCs/>
                <w:color w:val="FFFFFF"/>
                <w:sz w:val="16"/>
                <w:szCs w:val="16"/>
                <w:shd w:val="clear" w:color="auto" w:fill="051C2C"/>
              </w:rPr>
              <w:t xml:space="preserve">36</w:t>
            </w:r>
            <w:bookmarkEnd w:id="82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64" name="Gambar 364"/>
                  <wp:cNvGraphicFramePr>
                    <a:graphicFrameLocks noChangeAspect="1"/>
                  </wp:cNvGraphicFramePr>
                  <a:graphic>
                    <a:graphicData uri="http://schemas.openxmlformats.org/drawingml/2006/picture">
                      <pic:pic>
                        <pic:nvPicPr>
                          <pic:cNvPr id="364"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norma pengait KLB dan darurat bencana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65" name="Gambar 365"/>
                  <wp:cNvGraphicFramePr>
                    <a:graphicFrameLocks noChangeAspect="1"/>
                  </wp:cNvGraphicFramePr>
                  <a:graphic>
                    <a:graphicData uri="http://schemas.openxmlformats.org/drawingml/2006/picture">
                      <pic:pic>
                        <pic:nvPicPr>
                          <pic:cNvPr id="36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Sistem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66" name="Gambar 366"/>
                  <wp:cNvGraphicFramePr>
                    <a:graphicFrameLocks noChangeAspect="1"/>
                  </wp:cNvGraphicFramePr>
                  <a:graphic>
                    <a:graphicData uri="http://schemas.openxmlformats.org/drawingml/2006/picture">
                      <pic:pic>
                        <pic:nvPicPr>
                          <pic:cNvPr id="366"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7" name="Gambar 367"/>
                  <wp:cNvGraphicFramePr>
                    <a:graphicFrameLocks noChangeAspect="1"/>
                  </wp:cNvGraphicFramePr>
                  <a:graphic>
                    <a:graphicData uri="http://schemas.openxmlformats.org/drawingml/2006/picture">
                      <pic:pic>
                        <pic:nvPicPr>
                          <pic:cNvPr id="36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Kesehatan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8" name="Gambar 368"/>
                  <wp:cNvGraphicFramePr>
                    <a:graphicFrameLocks noChangeAspect="1"/>
                  </wp:cNvGraphicFramePr>
                  <a:graphic>
                    <a:graphicData uri="http://schemas.openxmlformats.org/drawingml/2006/picture">
                      <pic:pic>
                        <pic:nvPicPr>
                          <pic:cNvPr id="36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BPK merekomendasikan Menteri Kesehatan memfinalkan rancangan Permenkes krisis kesehatan, dan sel epidemi tidak punya program berbukti (P NSPK; dinas kesehatan dan BPBD).</w:t>
            </w:r>
          </w:p>
          <w:p>
            <w:pPr>
              <w:pStyle w:val="IsiTabel"/>
              <w:suppressAutoHyphens/>
              <w:spacing w:after="40"/>
            </w:pPr>
            <w:r>
              <w:rPr>
                <w:b/>
                <w:bCs/>
              </w:rPr>
              <w:t xml:space="preserve">Indikator selesai: </w:t>
            </w:r>
            <w:r>
              <w:t xml:space="preserve">pasal pengait status KLB atau wabah dengan status keadaan darurat bencana tertulis dalam Permenkes krisis kesehatan</w:t>
            </w:r>
            <w:r>
              <w:t xml:space="preserve">. </w:t>
            </w:r>
            <w:r>
              <w:rPr>
                <w:b/>
                <w:bCs/>
              </w:rPr>
              <w:t xml:space="preserve">Dasar: </w:t>
            </w:r>
            <w:r>
              <w:t xml:space="preserve">Temuan C.2; UU 17/2023 </w:t>
            </w:r>
            <w:r>
              <w:t xml:space="preserve">(Republik Indonesia, 2023b)</w:t>
            </w:r>
            <w:r>
              <w:t xml:space="preserve">; Perpres 17/2018 Pasal 2 </w:t>
            </w:r>
            <w:r>
              <w:t xml:space="preserve">(Republik Indonesia, 2018c)</w:t>
            </w:r>
            <w:r>
              <w:t xml:space="preserve">; IHPS II 2024 hlm. 183 </w:t>
            </w:r>
            <w:r>
              <w:t xml:space="preserve">(BPK, 2025)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7" w:name="_Ref0099"/>
            <w:r>
              <w:rPr>
                <w:b/>
                <w:bCs/>
                <w:color w:val="FFFFFF"/>
                <w:sz w:val="16"/>
                <w:szCs w:val="16"/>
                <w:shd w:val="clear" w:color="auto" w:fill="051C2C"/>
              </w:rPr>
              <w:t xml:space="preserve">37</w:t>
            </w:r>
            <w:bookmarkEnd w:id="82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69" name="Gambar 369"/>
                  <wp:cNvGraphicFramePr>
                    <a:graphicFrameLocks noChangeAspect="1"/>
                  </wp:cNvGraphicFramePr>
                  <a:graphic>
                    <a:graphicData uri="http://schemas.openxmlformats.org/drawingml/2006/picture">
                      <pic:pic>
                        <pic:nvPicPr>
                          <pic:cNvPr id="369"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Selesaikan perubahan Permendagri organisasi BPBD</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70" name="Gambar 370"/>
                  <wp:cNvGraphicFramePr>
                    <a:graphicFrameLocks noChangeAspect="1"/>
                  </wp:cNvGraphicFramePr>
                  <a:graphic>
                    <a:graphicData uri="http://schemas.openxmlformats.org/drawingml/2006/picture">
                      <pic:pic>
                        <pic:nvPicPr>
                          <pic:cNvPr id="370"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Sistem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71" name="Gambar 371"/>
                  <wp:cNvGraphicFramePr>
                    <a:graphicFrameLocks noChangeAspect="1"/>
                  </wp:cNvGraphicFramePr>
                  <a:graphic>
                    <a:graphicData uri="http://schemas.openxmlformats.org/drawingml/2006/picture">
                      <pic:pic>
                        <pic:nvPicPr>
                          <pic:cNvPr id="37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BPK merekomendasikan Kementerian Dalam Negeri menyelesaikan perubahan pedoman organisasi BPBD (P koordinasi; pemda).</w:t>
            </w:r>
          </w:p>
          <w:p>
            <w:pPr>
              <w:pStyle w:val="IsiTabel"/>
              <w:suppressAutoHyphens/>
              <w:spacing w:after="40"/>
            </w:pPr>
            <w:r>
              <w:rPr>
                <w:b/>
                <w:bCs/>
              </w:rPr>
              <w:t xml:space="preserve">Indikator selesai: </w:t>
            </w:r>
            <w:r>
              <w:t xml:space="preserve">Permendagri pengganti terbit dan data kelembagaan BPBD mutakhir</w:t>
            </w:r>
            <w:r>
              <w:t xml:space="preserve">. </w:t>
            </w:r>
            <w:r>
              <w:rPr>
                <w:b/>
                <w:bCs/>
              </w:rPr>
              <w:t xml:space="preserve">Dasar: </w:t>
            </w:r>
            <w:r>
              <w:t xml:space="preserve">Temuan B.2; IHPS II 2024 hlm. 182–183 </w:t>
            </w:r>
            <w:r>
              <w:t xml:space="preserve">(BPK, 2025)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8" w:name="_Ref0100"/>
            <w:r>
              <w:rPr>
                <w:b/>
                <w:bCs/>
                <w:color w:val="FFFFFF"/>
                <w:sz w:val="16"/>
                <w:szCs w:val="16"/>
                <w:shd w:val="clear" w:color="auto" w:fill="051C2C"/>
              </w:rPr>
              <w:t xml:space="preserve">38</w:t>
            </w:r>
            <w:bookmarkEnd w:id="82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72" name="Gambar 372"/>
                  <wp:cNvGraphicFramePr>
                    <a:graphicFrameLocks noChangeAspect="1"/>
                  </wp:cNvGraphicFramePr>
                  <a:graphic>
                    <a:graphicData uri="http://schemas.openxmlformats.org/drawingml/2006/picture">
                      <pic:pic>
                        <pic:nvPicPr>
                          <pic:cNvPr id="372"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TPA pembuangan terbuka ke kesiapan kemarau</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73" name="Gambar 373"/>
                  <wp:cNvGraphicFramePr>
                    <a:graphicFrameLocks noChangeAspect="1"/>
                  </wp:cNvGraphicFramePr>
                  <a:graphic>
                    <a:graphicData uri="http://schemas.openxmlformats.org/drawingml/2006/picture">
                      <pic:pic>
                        <pic:nvPicPr>
                          <pic:cNvPr id="37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74" name="Gambar 374"/>
                  <wp:cNvGraphicFramePr>
                    <a:graphicFrameLocks noChangeAspect="1"/>
                  </wp:cNvGraphicFramePr>
                  <a:graphic>
                    <a:graphicData uri="http://schemas.openxmlformats.org/drawingml/2006/picture">
                      <pic:pic>
                        <pic:nvPicPr>
                          <pic:cNvPr id="37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KLH/BPLH</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75" name="Gambar 375"/>
                  <wp:cNvGraphicFramePr>
                    <a:graphicFrameLocks noChangeAspect="1"/>
                  </wp:cNvGraphicFramePr>
                  <a:graphic>
                    <a:graphicData uri="http://schemas.openxmlformats.org/drawingml/2006/picture">
                      <pic:pic>
                        <pic:nvPicPr>
                          <pic:cNvPr id="375"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Pemda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UU 18/2008 mewajibkan penutupan tempat pemrosesan akhir (TPA) pembuangan terbuka paling lambat </w:t>
            </w:r>
            <w:r>
              <w:t xml:space="preserve">7 Mei 2013</w:t>
            </w:r>
            <w:r>
              <w:t xml:space="preserve">, tetapi </w:t>
            </w:r>
            <w:r>
              <w:t xml:space="preserve">sekitar 70–76%</w:t>
            </w:r>
            <w:r>
              <w:t xml:space="preserve"> TPA belum berhenti beroperasi terbuka pada akhir 2025 </w:t>
            </w:r>
            <w:r>
              <w:t xml:space="preserve">(KLH/BPLH, 2026d)</w:t>
            </w:r>
            <w:r>
              <w:t xml:space="preserve">, dan </w:t>
            </w:r>
            <w:r>
              <w:t xml:space="preserve">16 TPA</w:t>
            </w:r>
            <w:r>
              <w:t xml:space="preserve"> terbakar serentak pada 2023 (P data/KRB dan komando darurat bila status ditetapkan; renkon kemarau BPBD).</w:t>
            </w:r>
          </w:p>
          <w:p>
            <w:pPr>
              <w:pStyle w:val="IsiTabel"/>
              <w:suppressAutoHyphens/>
              <w:spacing w:after="40"/>
            </w:pPr>
            <w:r>
              <w:rPr>
                <w:b/>
                <w:bCs/>
              </w:rPr>
              <w:t xml:space="preserve">Indikator selesai: </w:t>
            </w:r>
            <w:r>
              <w:t xml:space="preserve">daftar TPA pembuangan terbuka per kab/kota diterima, dan kab/kota dengan TPA terbakar 2023 dan 2026 masuk pemicu kesiapan kemarau</w:t>
            </w:r>
            <w:r>
              <w:t xml:space="preserve">. </w:t>
            </w:r>
            <w:r>
              <w:rPr>
                <w:b/>
                <w:bCs/>
              </w:rPr>
              <w:t xml:space="preserve">Dasar: </w:t>
            </w:r>
            <w:r>
              <w:t xml:space="preserve">Temuan A.2; Temuan C.3; UU 18/2008 Pasal 9 </w:t>
            </w:r>
            <w:r>
              <w:t xml:space="preserve">(Republik Indonesia, 2008d)</w:t>
            </w:r>
            <w:r>
              <w:rPr>
                <w:b/>
                <w:bCs/>
              </w:rPr>
              <w:t xml:space="preserve">. Membuka </w:t>
            </w:r>
            <w:r>
              <w:t xml:space="preserve">32</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9" w:name="_Ref0108"/>
            <w:r>
              <w:rPr>
                <w:b/>
                <w:bCs/>
                <w:color w:val="FFFFFF"/>
                <w:sz w:val="16"/>
                <w:szCs w:val="16"/>
                <w:shd w:val="clear" w:color="auto" w:fill="051C2C"/>
              </w:rPr>
              <w:t xml:space="preserve">39</w:t>
            </w:r>
            <w:bookmarkEnd w:id="82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76" name="Gambar 376"/>
                  <wp:cNvGraphicFramePr>
                    <a:graphicFrameLocks noChangeAspect="1"/>
                  </wp:cNvGraphicFramePr>
                  <a:graphic>
                    <a:graphicData uri="http://schemas.openxmlformats.org/drawingml/2006/picture">
                      <pic:pic>
                        <pic:nvPicPr>
                          <pic:cNvPr id="376"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Tinjau target perumahan Renas PB 3.1.2.c</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77" name="Gambar 377"/>
                  <wp:cNvGraphicFramePr>
                    <a:graphicFrameLocks noChangeAspect="1"/>
                  </wp:cNvGraphicFramePr>
                  <a:graphic>
                    <a:graphicData uri="http://schemas.openxmlformats.org/drawingml/2006/picture">
                      <pic:pic>
                        <pic:nvPicPr>
                          <pic:cNvPr id="377"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78" name="Gambar 378"/>
                  <wp:cNvGraphicFramePr>
                    <a:graphicFrameLocks noChangeAspect="1"/>
                  </wp:cNvGraphicFramePr>
                  <a:graphic>
                    <a:graphicData uri="http://schemas.openxmlformats.org/drawingml/2006/picture">
                      <pic:pic>
                        <pic:nvPicPr>
                          <pic:cNvPr id="378"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PKP</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79" name="Gambar 379"/>
                  <wp:cNvGraphicFramePr>
                    <a:graphicFrameLocks noChangeAspect="1"/>
                  </wp:cNvGraphicFramePr>
                  <a:graphic>
                    <a:graphicData uri="http://schemas.openxmlformats.org/drawingml/2006/picture">
                      <pic:pic>
                        <pic:nvPicPr>
                          <pic:cNvPr id="379"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DIBI mencatat </w:t>
            </w:r>
            <w:r>
              <w:t xml:space="preserve">62.956</w:t>
            </w:r>
            <w:r>
              <w:t xml:space="preserve"> rumah rusak berat dalam rangkaian Sumatra 2025, dan target ini berupa program rencana aksi sehingga masih dalam jangkauan jalur bencana paling lambat </w:t>
            </w:r>
            <w:r>
              <w:t xml:space="preserve">2028</w:t>
            </w:r>
            <w:r>
              <w:t xml:space="preserve"> (P monev sebagai kontributor; Rencana Rehabilitasi dan Rekonstruksi Pascabencana (R3P) Aceh, Sumatera Utara, dan Sumatera Barat).</w:t>
            </w:r>
          </w:p>
          <w:p>
            <w:pPr>
              <w:pStyle w:val="IsiTabel"/>
              <w:suppressAutoHyphens/>
              <w:spacing w:after="40"/>
            </w:pPr>
            <w:r>
              <w:rPr>
                <w:b/>
                <w:bCs/>
              </w:rPr>
              <w:t xml:space="preserve">Indikator selesai: </w:t>
            </w:r>
            <w:r>
              <w:t xml:space="preserve">usulan peninjauan target </w:t>
            </w:r>
            <w:r>
              <w:t xml:space="preserve">5.802 rumah/unit/paket</w:t>
            </w:r>
            <w:r>
              <w:t xml:space="preserve"> pada 2029 termuat di evaluasi tahunan Renas PB 2026 atau paruh waktu 2027, dengan pembanding rumah rusak berat Sumatra 2025 dan R3P yang ditetapkan</w:t>
            </w:r>
            <w:r>
              <w:t xml:space="preserve">. </w:t>
            </w:r>
            <w:r>
              <w:rPr>
                <w:b/>
                <w:bCs/>
              </w:rPr>
              <w:t xml:space="preserve">Dasar: </w:t>
            </w:r>
            <w:r>
              <w:t xml:space="preserve">Temuan A.1; Temuan C.3; Renas PB hlm. 90, 124–125 </w:t>
            </w:r>
            <w:r>
              <w:t xml:space="preserve">(BNPB, 2025c)</w:t>
            </w:r>
            <w:r>
              <w:rPr>
                <w:b/>
                <w:bCs/>
              </w:rPr>
              <w:t xml:space="preserve">. Butuh </w:t>
            </w:r>
            <w:r>
              <w:t xml:space="preserve">21, 27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0" w:name="_Ref0104"/>
            <w:r>
              <w:rPr>
                <w:b/>
                <w:bCs/>
                <w:color w:val="FFFFFF"/>
                <w:sz w:val="16"/>
                <w:szCs w:val="16"/>
                <w:shd w:val="clear" w:color="auto" w:fill="051C2C"/>
              </w:rPr>
              <w:t xml:space="preserve">40</w:t>
            </w:r>
            <w:bookmarkEnd w:id="83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80" name="Gambar 380"/>
                  <wp:cNvGraphicFramePr>
                    <a:graphicFrameLocks noChangeAspect="1"/>
                  </wp:cNvGraphicFramePr>
                  <a:graphic>
                    <a:graphicData uri="http://schemas.openxmlformats.org/drawingml/2006/picture">
                      <pic:pic>
                        <pic:nvPicPr>
                          <pic:cNvPr id="380"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Jalankan agenda evaluasi dampak program berjalan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81" name="Gambar 381"/>
                  <wp:cNvGraphicFramePr>
                    <a:graphicFrameLocks noChangeAspect="1"/>
                  </wp:cNvGraphicFramePr>
                  <a:graphic>
                    <a:graphicData uri="http://schemas.openxmlformats.org/drawingml/2006/picture">
                      <pic:pic>
                        <pic:nvPicPr>
                          <pic:cNvPr id="381"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rPr>
              <w:t xml:space="preserve">Direktorat Mitigasi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82" name="Gambar 382"/>
                  <wp:cNvGraphicFramePr>
                    <a:graphicFrameLocks noChangeAspect="1"/>
                  </wp:cNvGraphicFramePr>
                  <a:graphic>
                    <a:graphicData uri="http://schemas.openxmlformats.org/drawingml/2006/picture">
                      <pic:pic>
                        <pic:nvPicPr>
                          <pic:cNvPr id="382"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83" name="Gambar 383"/>
                  <wp:cNvGraphicFramePr>
                    <a:graphicFrameLocks noChangeAspect="1"/>
                  </wp:cNvGraphicFramePr>
                  <a:graphic>
                    <a:graphicData uri="http://schemas.openxmlformats.org/drawingml/2006/picture">
                      <pic:pic>
                        <pic:nvPicPr>
                          <pic:cNvPr id="383"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Pendidikan Dasar dan Menengah</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84" name="Gambar 384"/>
                  <wp:cNvGraphicFramePr>
                    <a:graphicFrameLocks noChangeAspect="1"/>
                  </wp:cNvGraphicFramePr>
                  <a:graphic>
                    <a:graphicData uri="http://schemas.openxmlformats.org/drawingml/2006/picture">
                      <pic:pic>
                        <pic:nvPicPr>
                          <pic:cNvPr id="384" name="lembaga-lucide-landmark-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t xml:space="preserve">Kementerian Desa dan Pembangunan Daerah Tertinggal</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keepNext/>
              <w:suppressAutoHyphens/>
              <w:spacing w:after="40"/>
            </w:pPr>
            <w:r>
              <w:rPr>
                <w:b/>
                <w:bCs/>
                <w:color w:val="1A1A1A"/>
                <w:sz w:val="16"/>
                <w:szCs w:val="16"/>
                <w:bdr w:val="single" w:sz="6" w:space="0" w:color="051C2C"/>
              </w:rPr>
              <w:t xml:space="preserve">  Sudah ada, perlu dikembangkan  </w:t>
            </w:r>
          </w:p>
          <w:p>
            <w:pPr>
              <w:pStyle w:val="IsiTabel"/>
              <w:keepNext/>
              <w:suppressAutoHyphens/>
              <w:spacing w:after="40"/>
              <w:jc w:val="both"/>
            </w:pPr>
            <w:r>
              <w:t xml:space="preserve">Program berjalan diberi evaluasi dampak karena bukti dampaknya belum ditemukan atau bersandar pada satu kejadian, bukan karena dinilai tidak bermanfaat (P monev; desa dan sekolah pembanding).</w:t>
            </w:r>
          </w:p>
          <w:p>
            <w:pPr>
              <w:pStyle w:val="IsiTabel"/>
              <w:keepNext/>
              <w:suppressAutoHyphens/>
              <w:spacing w:after="40"/>
            </w:pPr>
            <w:r>
              <w:rPr>
                <w:b/>
                <w:bCs/>
              </w:rPr>
              <w:t xml:space="preserve">Indikator selesai: </w:t>
            </w:r>
            <w:r>
              <w:t xml:space="preserve">laporan evaluasi dampak InaTEWS hilir (waktu tiba dan penerimaan warga), SPAB, dan Dana Tunggu Hunian Sumatra 2025 terbit</w:t>
            </w:r>
            <w:r>
              <w:t xml:space="preserve">. </w:t>
            </w:r>
            <w:r>
              <w:rPr>
                <w:b/>
                <w:bCs/>
              </w:rPr>
              <w:t xml:space="preserve">Dasar: </w:t>
            </w:r>
            <w:r>
              <w:t xml:space="preserve">Temuan C.3; Perban BNPB 7/2025 </w:t>
            </w:r>
            <w:r>
              <w:t xml:space="preserve">(BNPB, 2025g)</w:t>
            </w:r>
            <w:r>
              <w:t xml:space="preserve">; Juklak 15/2025 </w:t>
            </w:r>
            <w:r>
              <w:t xml:space="preserve">(BNPB, 2025i)</w:t>
            </w:r>
            <w:r>
              <w:rPr>
                <w:b/>
                <w:bCs/>
              </w:rPr>
              <w:t xml:space="preserve">. Butuh </w:t>
            </w:r>
            <w:r>
              <w:t xml:space="preserve">34</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385" name="Gambar 385"/>
                  <wp:cNvGraphicFramePr>
                    <a:graphicFrameLocks noChangeAspect="1"/>
                  </wp:cNvGraphicFramePr>
                  <a:graphic>
                    <a:graphicData uri="http://schemas.openxmlformats.org/drawingml/2006/picture">
                      <pic:pic>
                        <pic:nvPicPr>
                          <pic:cNvPr id="385"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r>
              <w:rPr>
                <w:color w:val="2E3440"/>
                <w:sz w:val="16"/>
                <w:szCs w:val="16"/>
              </w:rPr>
              <w:t xml:space="preserve">, </w:t>
            </w:r>
            <w:r>
              <w:rPr>
                <w:position w:val="-5"/>
              </w:rPr>
              <w:drawing>
                <wp:inline distT="0" distB="0" distL="0" distR="0">
                  <wp:extent cx="162000" cy="162000"/>
                  <wp:effectExtent l="0" t="0" r="0" b="0"/>
                  <wp:docPr id="386" name="Gambar 386"/>
                  <wp:cNvGraphicFramePr>
                    <a:graphicFrameLocks noChangeAspect="1"/>
                  </wp:cNvGraphicFramePr>
                  <a:graphic>
                    <a:graphicData uri="http://schemas.openxmlformats.org/drawingml/2006/picture">
                      <pic:pic>
                        <pic:nvPicPr>
                          <pic:cNvPr id="386"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387" name="Gambar 387"/>
                  <wp:cNvGraphicFramePr>
                    <a:graphicFrameLocks noChangeAspect="1"/>
                  </wp:cNvGraphicFramePr>
                  <a:graphic>
                    <a:graphicData uri="http://schemas.openxmlformats.org/drawingml/2006/picture">
                      <pic:pic>
                        <pic:nvPicPr>
                          <pic:cNvPr id="387" name="data-lucide-database-051C2C-E6EAF0.png"/>
                          <pic:cNvPicPr/>
                        </pic:nvPicPr>
                        <pic:blipFill>
                          <a:blip r:embed="rId94"/>
                          <a:stretch>
                            <a:fillRect/>
                          </a:stretch>
                        </pic:blipFill>
                        <pic:spPr>
                          <a:xfrm>
                            <a:off x="0" y="0"/>
                            <a:ext cx="162000" cy="162000"/>
                          </a:xfrm>
                          <a:prstGeom prst="rect">
                            <a:avLst/>
                          </a:prstGeom>
                        </pic:spPr>
                      </pic:pic>
                    </a:graphicData>
                  </a:graphic>
                </wp:inline>
              </w:drawing>
            </w:r>
            <w:r>
              <w:rPr>
                <w:color w:val="2E3440"/>
                <w:sz w:val="16"/>
                <w:szCs w:val="16"/>
              </w:rPr>
              <w:t xml:space="preserve"> Data</w:t>
            </w:r>
          </w:p>
        </w:tc>
      </w:tr>
    </w:tbl>
    <w:p>
      <w:pPr>
        <w:pStyle w:val="Sumber"/>
      </w:pPr>
      <w:r>
        <w:rPr>
          <w:b/>
          <w:bCs/>
          <w:color w:val="6B7280"/>
          <w:sz w:val="17"/>
          <w:szCs w:val="17"/>
        </w:rPr>
        <w:t xml:space="preserve">Sumber: </w:t>
      </w:r>
      <w:r>
        <w:rPr>
          <w:color w:val="6B7280"/>
          <w:sz w:val="17"/>
          <w:szCs w:val="17"/>
        </w:rPr>
        <w:t xml:space="preserve">Analisis kajian ini; Renas PB 2025–2029; IHPS II 2024; peraturan yang dirujuk per rekomendasi</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834" w:name="_Toc00261"/>
      <w:bookmarkStart w:id="833" w:name="_Ref0216"/>
      <w:r>
        <w:t xml:space="preserve">13.5</w:t>
      </w:r>
      <w:bookmarkEnd w:id="833"/>
      <w:r>
        <w:tab/>
      </w:r>
      <w:r>
        <w:t xml:space="preserve">Yang Sengaja Tidak Direkomendasikan</w:t>
      </w:r>
      <w:bookmarkEnd w:id="834"/>
    </w:p>
    <w:p>
      <w:pPr>
        <w:pStyle w:val="Isi"/>
      </w:pPr>
      <w:r>
        <w:t xml:space="preserve">Sebelas usulan sengaja tidak direkomendasikan; alasan dan dasarnya tertulis per baris pada </w:t>
      </w:r>
      <w:r>
        <w:fldChar w:fldCharType="begin"/>
      </w:r>
      <w:r>
        <w:instrText xml:space="preserve"> REF _Ref0331 \h \* CHARFORMAT </w:instrText>
      </w:r>
      <w:r>
        <w:fldChar w:fldCharType="separate"/>
      </w:r>
      <w:r>
        <w:t xml:space="preserve">Tabel 13.6</w:t>
      </w:r>
      <w:r>
        <w:fldChar w:fldCharType="end"/>
      </w:r>
      <w:r>
        <w:t xml:space="preserve">.</w:t>
      </w:r>
    </w:p>
    <w:p>
      <w:pPr>
        <w:pStyle w:val="Caption"/>
      </w:pPr>
      <w:bookmarkStart w:id="836" w:name="_Toc00262"/>
      <w:bookmarkStart w:id="835" w:name="_Ref033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835"/>
      <w:r>
        <w:rPr>
          <w:b/>
          <w:bCs/>
          <w:color w:val="051C2C"/>
        </w:rPr>
        <w:t xml:space="preserve"> </w:t>
      </w:r>
      <w:r>
        <w:t xml:space="preserve">Usulan yang sengaja tidak direkomendasikan beserta alasannya, 2026–2030</w:t>
      </w:r>
      <w:bookmarkEnd w:id="8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7096"/>
        <w:gridCol w:w="2258"/>
      </w:tblGrid>
      <w:tr>
        <w:trPr>
          <w:cantSplit/>
          <w:tblHeader/>
        </w:trPr>
        <w:tc>
          <w:tcPr>
            <w:tcW w:w="7096" w:type="dxa"/>
            <w:shd w:val="clear" w:color="auto" w:fill="051C2C"/>
            <w:vAlign w:val="center"/>
          </w:tcPr>
          <w:p>
            <w:pPr>
              <w:pStyle w:val="KepalaTabel"/>
              <w:suppressAutoHyphens/>
            </w:pPr>
            <w:r>
              <w:t xml:space="preserve">USULAN</w:t>
            </w:r>
          </w:p>
        </w:tc>
        <w:tc>
          <w:tcPr>
            <w:tcW w:w="2258" w:type="dxa"/>
            <w:shd w:val="clear" w:color="auto" w:fill="051C2C"/>
            <w:vAlign w:val="center"/>
          </w:tcPr>
          <w:p>
            <w:pPr>
              <w:pStyle w:val="KepalaTabel"/>
              <w:suppressAutoHyphens/>
            </w:pPr>
            <w:r>
              <w:t xml:space="preserve">ALASAN DAN DASAR</w:t>
            </w:r>
          </w:p>
        </w:tc>
      </w:tr>
      <w:tr>
        <w:trPr>
          <w:cantSplit/>
        </w:trPr>
        <w:tc>
          <w:tcPr>
            <w:tcW w:w="7096" w:type="dxa"/>
          </w:tcPr>
          <w:p>
            <w:pPr>
              <w:pStyle w:val="IsiTabel"/>
              <w:suppressAutoHyphens/>
              <w:jc w:val="left"/>
            </w:pPr>
            <w:r>
              <w:t xml:space="preserve">Indeks risiko gabungan buatan kajian</w:t>
            </w:r>
          </w:p>
        </w:tc>
        <w:tc>
          <w:tcPr>
            <w:tcW w:w="2258" w:type="dxa"/>
          </w:tcPr>
          <w:p>
            <w:pPr>
              <w:pStyle w:val="IsiTabel"/>
              <w:suppressAutoHyphens/>
              <w:jc w:val="left"/>
            </w:pPr>
            <w:r>
              <w:t xml:space="preserve">IRBI dan DIBI tidak saling memvalidasi: korelasi peringkat IRBI 2025 dengan kejadian DIBI per kab/kota </w:t>
            </w:r>
            <w:r>
              <w:t xml:space="preserve">-0,38</w:t>
            </w:r>
            <w:r>
              <w:t xml:space="preserve">, untuk banjir </w:t>
            </w:r>
            <w:r>
              <w:t xml:space="preserve">-0,31</w:t>
            </w:r>
            <w:r>
              <w:t xml:space="preserve">. Kab/kota masuk daftar perhatian lewat aturan syarat, dan aturan yang terlalu lebar (</w:t>
            </w:r>
            <w:r>
              <w:t xml:space="preserve">426</w:t>
            </w:r>
            <w:r>
              <w:t xml:space="preserve"> dari </w:t>
            </w:r>
            <w:r>
              <w:t xml:space="preserve">514</w:t>
            </w:r>
            <w:r>
              <w:t xml:space="preserve"> kab/kota) diperbaiki pada aturannya </w:t>
            </w:r>
            <w:r>
              <w:t xml:space="preserve">(BNPB, t.t.-b, t.t.-a)</w:t>
            </w:r>
            <w:r>
              <w:t xml:space="preserve">.</w:t>
            </w:r>
          </w:p>
        </w:tc>
      </w:tr>
      <w:tr>
        <w:trPr>
          <w:cantSplit/>
        </w:trPr>
        <w:tc>
          <w:tcPr>
            <w:tcW w:w="7096" w:type="dxa"/>
          </w:tcPr>
          <w:p>
            <w:pPr>
              <w:pStyle w:val="IsiTabel"/>
              <w:suppressAutoHyphens/>
              <w:jc w:val="left"/>
            </w:pPr>
            <w:r>
              <w:t xml:space="preserve">DSP untuk mitigasi prabencana</w:t>
            </w:r>
          </w:p>
        </w:tc>
        <w:tc>
          <w:tcPr>
            <w:tcW w:w="2258" w:type="dxa"/>
          </w:tcPr>
          <w:p>
            <w:pPr>
              <w:pStyle w:val="IsiTabel"/>
              <w:suppressAutoHyphens/>
              <w:jc w:val="left"/>
            </w:pPr>
            <w:r>
              <w:t xml:space="preserve">DSP terikat pada status keadaan darurat, keadaan tertentu, dan risiko berdampak luas yang ditetapkan Kepala BNPB, dan dipakai selama masa itu </w:t>
            </w:r>
            <w:r>
              <w:t xml:space="preserve">(BNPB, 2020a, Pasal 2 ayat (1) dan Pasal 20 ayat (1))</w:t>
            </w:r>
            <w:r>
              <w:t xml:space="preserve">; kesiapsiagaan prabencana memakai dana kontinjensi bencana </w:t>
            </w:r>
            <w:r>
              <w:t xml:space="preserve">(Republik Indonesia, 2008b, Pasal 6)</w:t>
            </w:r>
            <w:r>
              <w:t xml:space="preserve"> dan jendela prabencana Dana Bersama </w:t>
            </w:r>
            <w:r>
              <w:t xml:space="preserve">(BNPB, 2026d, Pasal 2 ayat (2))</w:t>
            </w:r>
            <w:r>
              <w:t xml:space="preserve">.</w:t>
            </w:r>
          </w:p>
        </w:tc>
      </w:tr>
      <w:tr>
        <w:trPr>
          <w:cantSplit/>
        </w:trPr>
        <w:tc>
          <w:tcPr>
            <w:tcW w:w="7096" w:type="dxa"/>
          </w:tcPr>
          <w:p>
            <w:pPr>
              <w:pStyle w:val="IsiTabel"/>
              <w:suppressAutoHyphens/>
              <w:jc w:val="left"/>
            </w:pPr>
            <w:r>
              <w:t xml:space="preserve">Angka korban titik dari model gempa platform</w:t>
            </w:r>
          </w:p>
        </w:tc>
        <w:tc>
          <w:tcPr>
            <w:tcW w:w="2258" w:type="dxa"/>
          </w:tcPr>
          <w:p>
            <w:pPr>
              <w:pStyle w:val="IsiTabel"/>
              <w:suppressAutoHyphens/>
              <w:jc w:val="left"/>
            </w:pPr>
            <w:r>
              <w:t xml:space="preserve">Galat validasi silang mesin korban </w:t>
            </w:r>
            <w:r>
              <w:t xml:space="preserve">sekitar 5,3</w:t>
            </w:r>
            <w:r>
              <w:t xml:space="preserve"> kali; model memberi </w:t>
            </w:r>
            <w:r>
              <w:t xml:space="preserve">sekitar 560</w:t>
            </w:r>
            <w:r>
              <w:t xml:space="preserve"> korban untuk Yogyakarta 2006, padahal tercatat </w:t>
            </w:r>
            <w:r>
              <w:t xml:space="preserve">5.749</w:t>
            </w:r>
            <w:r>
              <w:t xml:space="preserve"> </w:t>
            </w:r>
            <w:r>
              <w:t xml:space="preserve">(USGS, 2006a)</w:t>
            </w:r>
            <w:r>
              <w:t xml:space="preserve">, dan pita korban megathrust Jawa lebih lebar dari satu orde </w:t>
            </w:r>
            <w:r>
              <w:t xml:space="preserve">(Pantau Bencana, 2026e)</w:t>
            </w:r>
            <w:r>
              <w:t xml:space="preserve">.</w:t>
            </w:r>
          </w:p>
        </w:tc>
      </w:tr>
      <w:tr>
        <w:trPr>
          <w:cantSplit/>
        </w:trPr>
        <w:tc>
          <w:tcPr>
            <w:tcW w:w="7096" w:type="dxa"/>
          </w:tcPr>
          <w:p>
            <w:pPr>
              <w:pStyle w:val="IsiTabel"/>
              <w:suppressAutoHyphens/>
              <w:jc w:val="left"/>
            </w:pPr>
            <w:r>
              <w:t xml:space="preserve">Proyeksi korban konflik sosial</w:t>
            </w:r>
          </w:p>
        </w:tc>
        <w:tc>
          <w:tcPr>
            <w:tcW w:w="2258" w:type="dxa"/>
          </w:tcPr>
          <w:p>
            <w:pPr>
              <w:pStyle w:val="IsiTabel"/>
              <w:suppressAutoHyphens/>
              <w:jc w:val="left"/>
            </w:pPr>
            <w:r>
              <w:t xml:space="preserve">Nonalam dan sosial memakai kartu analog berangka tanpa perkalian dan tanpa proyeksi per wilayah; seri konflik DIBI diragukan, dan Potensi Desa 2024 menghitung semua jenis perkelahian massal, termasuk yang di luar konflik antarkelompok </w:t>
            </w:r>
            <w:r>
              <w:t xml:space="preserve">(BPS, 2024d; Pantau Bencana, 2026c)</w:t>
            </w:r>
            <w:r>
              <w:t xml:space="preserve">.</w:t>
            </w:r>
          </w:p>
        </w:tc>
      </w:tr>
      <w:tr>
        <w:trPr>
          <w:cantSplit/>
        </w:trPr>
        <w:tc>
          <w:tcPr>
            <w:tcW w:w="7096" w:type="dxa"/>
          </w:tcPr>
          <w:p>
            <w:pPr>
              <w:pStyle w:val="IsiTabel"/>
              <w:suppressAutoHyphens/>
              <w:jc w:val="left"/>
            </w:pPr>
            <w:r>
              <w:t xml:space="preserve">Perubahan target dan indikator Renas PB lewat jalur bencana</w:t>
            </w:r>
          </w:p>
        </w:tc>
        <w:tc>
          <w:tcPr>
            <w:tcW w:w="2258" w:type="dxa"/>
          </w:tcPr>
          <w:p>
            <w:pPr>
              <w:pStyle w:val="IsiTabel"/>
              <w:suppressAutoHyphens/>
              <w:jc w:val="left"/>
            </w:pPr>
            <w:r>
              <w:t xml:space="preserve">Perubahan karena bencana paling lambat </w:t>
            </w:r>
            <w:r>
              <w:t xml:space="preserve">2028</w:t>
            </w:r>
            <w:r>
              <w:t xml:space="preserve"> terbatas pada program dan kegiatan rencana aksi, sedangkan target dan alat ukur hanya berubah lewat peninjauan berkala paling lambat </w:t>
            </w:r>
            <w:r>
              <w:t xml:space="preserve">2027</w:t>
            </w:r>
            <w:r>
              <w:t xml:space="preserve"> </w:t>
            </w:r>
            <w:r>
              <w:t xml:space="preserve">(BNPB, 2025c)</w:t>
            </w:r>
            <w:r>
              <w:t xml:space="preserve">; usulan target peringatan dini dan baseline IRB karena itu dibawa ke evaluasi tahunan 2026 (</w:t>
            </w:r>
            <w:r>
              <w:fldChar w:fldCharType="begin"/>
            </w:r>
            <w:r>
              <w:instrText xml:space="preserve"> REF _Ref0077 \h \* CHARFORMAT </w:instrText>
            </w:r>
            <w:r>
              <w:fldChar w:fldCharType="separate"/>
            </w:r>
            <w:r>
              <w:t xml:space="preserve">09</w:t>
            </w:r>
            <w:r>
              <w:fldChar w:fldCharType="end"/>
            </w:r>
            <w:r>
              <w:t xml:space="preserve">), dan hanya target perumahan Renas PB 3.1.2.c, yang berupa program rencana aksi, diajukan lewat jalur bencana (</w:t>
            </w:r>
            <w:r>
              <w:fldChar w:fldCharType="begin"/>
            </w:r>
            <w:r>
              <w:instrText xml:space="preserve"> REF _Ref0108 \h \* CHARFORMAT </w:instrText>
            </w:r>
            <w:r>
              <w:fldChar w:fldCharType="separate"/>
            </w:r>
            <w:r>
              <w:t xml:space="preserve">39</w:t>
            </w:r>
            <w:r>
              <w:fldChar w:fldCharType="end"/>
            </w:r>
            <w:r>
              <w:t xml:space="preserve">).</w:t>
            </w:r>
          </w:p>
        </w:tc>
      </w:tr>
      <w:tr>
        <w:trPr>
          <w:cantSplit/>
        </w:trPr>
        <w:tc>
          <w:tcPr>
            <w:tcW w:w="7096" w:type="dxa"/>
          </w:tcPr>
          <w:p>
            <w:pPr>
              <w:pStyle w:val="IsiTabel"/>
              <w:suppressAutoHyphens/>
              <w:jc w:val="left"/>
            </w:pPr>
            <w:r>
              <w:t xml:space="preserve">Perluasan Destana dan SPAB sebagai program terbukti</w:t>
            </w:r>
          </w:p>
        </w:tc>
        <w:tc>
          <w:tcPr>
            <w:tcW w:w="2258" w:type="dxa"/>
          </w:tcPr>
          <w:p>
            <w:pPr>
              <w:pStyle w:val="IsiTabel"/>
              <w:suppressAutoHyphens/>
              <w:jc w:val="left"/>
            </w:pPr>
            <w:r>
              <w:t xml:space="preserve">Bukti dampak keduanya belum ditemukan meski berjalan lebih dari sepuluh tahun; yang direkomendasikan adalah garis dasar dan evaluasi dampak (</w:t>
            </w:r>
            <w:r>
              <w:fldChar w:fldCharType="begin"/>
            </w:r>
            <w:r>
              <w:instrText xml:space="preserve"> REF _Ref0083 \h \* CHARFORMAT </w:instrText>
            </w:r>
            <w:r>
              <w:fldChar w:fldCharType="separate"/>
            </w:r>
            <w:r>
              <w:t xml:space="preserve">34</w:t>
            </w:r>
            <w:r>
              <w:fldChar w:fldCharType="end"/>
            </w:r>
            <w:r>
              <w:t xml:space="preserve"> dan </w:t>
            </w:r>
            <w:r>
              <w:fldChar w:fldCharType="begin"/>
            </w:r>
            <w:r>
              <w:instrText xml:space="preserve"> REF _Ref0104 \h \* CHARFORMAT </w:instrText>
            </w:r>
            <w:r>
              <w:fldChar w:fldCharType="separate"/>
            </w:r>
            <w:r>
              <w:t xml:space="preserve">40</w:t>
            </w:r>
            <w:r>
              <w:fldChar w:fldCharType="end"/>
            </w:r>
            <w:r>
              <w:t xml:space="preserve">) </w:t>
            </w:r>
            <w:r>
              <w:t xml:space="preserve">(Pantau Bencana, 2026d)</w:t>
            </w:r>
            <w:r>
              <w:t xml:space="preserve">.</w:t>
            </w:r>
          </w:p>
        </w:tc>
      </w:tr>
      <w:tr>
        <w:trPr>
          <w:cantSplit/>
        </w:trPr>
        <w:tc>
          <w:tcPr>
            <w:tcW w:w="7096" w:type="dxa"/>
          </w:tcPr>
          <w:p>
            <w:pPr>
              <w:pStyle w:val="IsiTabel"/>
              <w:suppressAutoHyphens/>
              <w:jc w:val="left"/>
            </w:pPr>
            <w:r>
              <w:t xml:space="preserve">Angka korban tsunami dari platform</w:t>
            </w:r>
          </w:p>
        </w:tc>
        <w:tc>
          <w:tcPr>
            <w:tcW w:w="2258" w:type="dxa"/>
          </w:tcPr>
          <w:p>
            <w:pPr>
              <w:pStyle w:val="IsiTabel"/>
              <w:suppressAutoHyphens/>
              <w:jc w:val="left"/>
            </w:pPr>
            <w:r>
              <w:t xml:space="preserve">Proksi pesisir rendah bukan genangan dan melewatkan </w:t>
            </w:r>
            <w:r>
              <w:t xml:space="preserve">sekitar 18 kab/kota</w:t>
            </w:r>
            <w:r>
              <w:t xml:space="preserve"> pada skenario megathrust Jawa yang lebih kecil daripada magnitudo maksimum, termasuk pantai selatan Jawa Barat; angka korban menunggu genangan InaRISK dikalikan penduduk.</w:t>
            </w:r>
          </w:p>
        </w:tc>
      </w:tr>
      <w:tr>
        <w:trPr>
          <w:cantSplit/>
        </w:trPr>
        <w:tc>
          <w:tcPr>
            <w:tcW w:w="7096" w:type="dxa"/>
          </w:tcPr>
          <w:p>
            <w:pPr>
              <w:pStyle w:val="IsiTabel"/>
              <w:keepNext/>
              <w:suppressAutoHyphens/>
              <w:jc w:val="left"/>
            </w:pPr>
            <w:bookmarkStart w:id="837" w:name="_Ekor092a"/>
            <w:bookmarkEnd w:id="837"/>
            <w:r>
              <w:t xml:space="preserve">Efek peringatan dini dari koefisien asosiasi lintas negara di tesis, keputusan, atau judul</w:t>
            </w:r>
          </w:p>
        </w:tc>
        <w:tc>
          <w:tcPr>
            <w:tcW w:w="2258" w:type="dxa"/>
          </w:tcPr>
          <w:p>
            <w:pPr>
              <w:pStyle w:val="IsiTabel"/>
              <w:keepNext/>
              <w:suppressAutoHyphens/>
              <w:jc w:val="left"/>
            </w:pPr>
            <w:r>
              <w:t xml:space="preserve">Koefisien itu rasio asosiasi lintas negara, bukan efek kausal, dan belum ada uji kausal untuk Indonesia; angkanya hanya tampil di kartu dan grafik berlabel asumsi kebijakan (Bab 7).</w:t>
            </w:r>
          </w:p>
        </w:tc>
      </w:tr>
      <w:tr>
        <w:trPr>
          <w:cantSplit/>
        </w:trPr>
        <w:tc>
          <w:tcPr>
            <w:tcW w:w="7096" w:type="dxa"/>
          </w:tcPr>
          <w:p>
            <w:pPr>
              <w:pStyle w:val="IsiTabel"/>
              <w:keepNext/>
              <w:suppressAutoHyphens/>
              <w:jc w:val="left"/>
            </w:pPr>
            <w:r>
              <w:t xml:space="preserve">Pita model La Niña sebagai skenario terburuk 2026/2027, atau klaim musim 2026/2027 lebih ringan</w:t>
            </w:r>
          </w:p>
        </w:tc>
        <w:tc>
          <w:tcPr>
            <w:tcW w:w="2258" w:type="dxa"/>
          </w:tcPr>
          <w:p>
            <w:pPr>
              <w:pStyle w:val="IsiTabel"/>
              <w:keepNext/>
              <w:suppressAutoHyphens/>
              <w:jc w:val="left"/>
            </w:pPr>
            <w:r>
              <w:t xml:space="preserve">Batas atas pita model di bawah lantai tercatat </w:t>
            </w:r>
            <w:r>
              <w:t xml:space="preserve">1.692</w:t>
            </w:r>
            <w:r>
              <w:t xml:space="preserve">; tiga musim selama El Niño kuat adalah ekspektasi, sehingga kajian tidak menyimpulkan musim 2026/2027 lebih ringan.</w:t>
            </w:r>
          </w:p>
        </w:tc>
      </w:tr>
      <w:tr>
        <w:trPr>
          <w:cantSplit/>
        </w:trPr>
        <w:tc>
          <w:tcPr>
            <w:tcW w:w="7096" w:type="dxa"/>
          </w:tcPr>
          <w:p>
            <w:pPr>
              <w:pStyle w:val="IsiTabel"/>
              <w:keepNext/>
              <w:suppressAutoHyphens/>
              <w:jc w:val="left"/>
            </w:pPr>
            <w:r>
              <w:t xml:space="preserve">Capaian IRB sebagai bukti penurunan korban, atau perbandingan IRBI 2025 dengan 2015–2024</w:t>
            </w:r>
          </w:p>
        </w:tc>
        <w:tc>
          <w:tcPr>
            <w:tcW w:w="2258" w:type="dxa"/>
          </w:tcPr>
          <w:p>
            <w:pPr>
              <w:pStyle w:val="IsiTabel"/>
              <w:keepNext/>
              <w:suppressAutoHyphens/>
              <w:jc w:val="left"/>
            </w:pPr>
            <w:r>
              <w:t xml:space="preserve">IRB turun serempak di sembilan bahaya sementara korban hidrometeorologi naik, dan LKIP BNPB 2025 mengakui perbedaan signifikan antara IRB 2013–2024 dan IRB 2025 </w:t>
            </w:r>
            <w:r>
              <w:t xml:space="preserve">(BNPB, 2026c)</w:t>
            </w:r>
            <w:r>
              <w:t xml:space="preserve">; kajian tidak menyimpulkan hubungan arah antara indeks dan korban.</w:t>
            </w:r>
          </w:p>
        </w:tc>
      </w:tr>
      <w:tr>
        <w:trPr>
          <w:cantSplit/>
        </w:trPr>
        <w:tc>
          <w:tcPr>
            <w:tcW w:w="7096" w:type="dxa"/>
          </w:tcPr>
          <w:p>
            <w:pPr>
              <w:pStyle w:val="IsiTabel"/>
              <w:suppressAutoHyphens/>
              <w:jc w:val="left"/>
            </w:pPr>
            <w:bookmarkStart w:id="838" w:name="_Ekor092z"/>
            <w:bookmarkEnd w:id="838"/>
            <w:r>
              <w:t xml:space="preserve">Kematian asap model sebagai angka tercatat</w:t>
            </w:r>
          </w:p>
        </w:tc>
        <w:tc>
          <w:tcPr>
            <w:tcW w:w="2258" w:type="dxa"/>
          </w:tcPr>
          <w:p>
            <w:pPr>
              <w:pStyle w:val="IsiTabel"/>
              <w:suppressAutoHyphens/>
              <w:jc w:val="left"/>
            </w:pPr>
            <w:r>
              <w:t xml:space="preserve">Kematian berlebih akibat asap 2015 </w:t>
            </w:r>
            <w:r>
              <w:t xml:space="preserve">sekitar 92.000 jiwa</w:t>
            </w:r>
            <w:r>
              <w:t xml:space="preserve"> adalah estimasi model peneliti </w:t>
            </w:r>
            <w:r>
              <w:t xml:space="preserve">(Koplitz dkk., 2016)</w:t>
            </w:r>
            <w:r>
              <w:t xml:space="preserve">, sedangkan DIBI mencatat </w:t>
            </w:r>
            <w:r>
              <w:t xml:space="preserve">24 jiwa</w:t>
            </w:r>
            <w:r>
              <w:t xml:space="preserve"> meninggal dan hilang karhutla pada 2015; angka model hanya tampil di samping angka tercatat dengan label estimasi model.</w:t>
            </w:r>
          </w:p>
        </w:tc>
      </w:tr>
    </w:tbl>
    <w:p>
      <w:pPr>
        <w:pStyle w:val="Sumber"/>
      </w:pPr>
      <w:r>
        <w:rPr>
          <w:b/>
          <w:bCs/>
          <w:color w:val="6B7280"/>
          <w:sz w:val="17"/>
          <w:szCs w:val="17"/>
        </w:rPr>
        <w:t xml:space="preserve">Sumber: </w:t>
      </w:r>
      <w:r>
        <w:rPr>
          <w:color w:val="6B7280"/>
          <w:sz w:val="17"/>
          <w:szCs w:val="17"/>
        </w:rPr>
        <w:t xml:space="preserve">Analisis kajian ini; peraturan dan data yang dirujuk per baris</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840" w:name="_Toc00263"/>
      <w:bookmarkStart w:id="839" w:name="_Ref0111"/>
      <w:r>
        <w:t xml:space="preserve">13.6</w:t>
      </w:r>
      <w:bookmarkEnd w:id="839"/>
      <w:r>
        <w:tab/>
      </w:r>
      <w:r>
        <w:t xml:space="preserve">Yang Belum Diketahui</w:t>
      </w:r>
      <w:bookmarkEnd w:id="840"/>
    </w:p>
    <w:p>
      <w:pPr>
        <w:pStyle w:val="Isi"/>
      </w:pPr>
      <w:r>
        <w:t xml:space="preserve">Sembilan kelompok data yang belum diketahui sudah tertaut rekomendasi, dan empat kelompok sisanya belum punya pemilik di BNPB sehingga tetap sebagai permintaan data ke lembaga pemegangnya (</w:t>
      </w:r>
      <w:r>
        <w:fldChar w:fldCharType="begin"/>
      </w:r>
      <w:r>
        <w:instrText xml:space="preserve"> REF _Ref0229 \h \* CHARFORMAT </w:instrText>
      </w:r>
      <w:r>
        <w:fldChar w:fldCharType="separate"/>
      </w:r>
      <w:r>
        <w:t xml:space="preserve">Tabel 13.7</w:t>
      </w:r>
      <w:r>
        <w:fldChar w:fldCharType="end"/>
      </w:r>
      <w:r>
        <w:t xml:space="preserve">).</w:t>
      </w:r>
    </w:p>
    <w:p>
      <w:pPr>
        <w:pStyle w:val="Caption"/>
      </w:pPr>
      <w:bookmarkStart w:id="842" w:name="_Toc00264"/>
      <w:bookmarkStart w:id="841" w:name="_Ref022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841"/>
      <w:r>
        <w:rPr>
          <w:b/>
          <w:bCs/>
          <w:color w:val="051C2C"/>
        </w:rPr>
        <w:t xml:space="preserve"> </w:t>
      </w:r>
      <w:r>
        <w:t xml:space="preserve">Data yang belum diketahui dan lembaga pemegangnya, status Oktober 2026</w:t>
      </w:r>
      <w:bookmarkEnd w:id="8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74"/>
        <w:gridCol w:w="4908"/>
        <w:gridCol w:w="1472"/>
      </w:tblGrid>
      <w:tr>
        <w:trPr>
          <w:cantSplit/>
          <w:tblHeader/>
        </w:trPr>
        <w:tc>
          <w:tcPr>
            <w:tcW w:w="2974" w:type="dxa"/>
            <w:shd w:val="clear" w:color="auto" w:fill="051C2C"/>
            <w:vAlign w:val="center"/>
          </w:tcPr>
          <w:p>
            <w:pPr>
              <w:pStyle w:val="KepalaTabel"/>
              <w:suppressAutoHyphens/>
            </w:pPr>
            <w:r>
              <w:t xml:space="preserve">YANG BELUM DIKETAHUI</w:t>
            </w:r>
          </w:p>
        </w:tc>
        <w:tc>
          <w:tcPr>
            <w:tcW w:w="4908" w:type="dxa"/>
            <w:shd w:val="clear" w:color="auto" w:fill="051C2C"/>
            <w:vAlign w:val="center"/>
          </w:tcPr>
          <w:p>
            <w:pPr>
              <w:pStyle w:val="KepalaTabel"/>
              <w:suppressAutoHyphens/>
            </w:pPr>
            <w:r>
              <w:t xml:space="preserve">PEMEGANG DATA</w:t>
            </w:r>
          </w:p>
        </w:tc>
        <w:tc>
          <w:tcPr>
            <w:tcW w:w="1472" w:type="dxa"/>
            <w:shd w:val="clear" w:color="auto" w:fill="051C2C"/>
            <w:vAlign w:val="center"/>
          </w:tcPr>
          <w:p>
            <w:pPr>
              <w:pStyle w:val="KepalaTabel"/>
              <w:suppressAutoHyphens/>
            </w:pPr>
            <w:r>
              <w:t xml:space="preserve">TINDAK LANJUT</w:t>
            </w:r>
          </w:p>
        </w:tc>
      </w:tr>
      <w:tr>
        <w:trPr>
          <w:cantSplit/>
        </w:trPr>
        <w:tc>
          <w:tcPr>
            <w:tcW w:w="2974" w:type="dxa"/>
          </w:tcPr>
          <w:p>
            <w:pPr>
              <w:pStyle w:val="IsiTabel"/>
              <w:suppressAutoHyphens/>
              <w:jc w:val="left"/>
            </w:pPr>
            <w:r>
              <w:t xml:space="preserve">Volume distribusi air bersih, desa terdampak, dan status darurat per kab/kota kemarau 2026</w:t>
            </w:r>
          </w:p>
        </w:tc>
        <w:tc>
          <w:tcPr>
            <w:tcW w:w="4908" w:type="dxa"/>
          </w:tcPr>
          <w:p>
            <w:pPr>
              <w:pStyle w:val="IsiTabel"/>
              <w:suppressAutoHyphens/>
              <w:jc w:val="left"/>
            </w:pPr>
            <w:r>
              <w:t xml:space="preserve">BPBD provinsi; Kementerian Pertanian</w:t>
            </w:r>
          </w:p>
        </w:tc>
        <w:tc>
          <w:tcPr>
            <w:tcW w:w="1472" w:type="dxa"/>
          </w:tcPr>
          <w:p>
            <w:pPr>
              <w:pStyle w:val="IsiTabel"/>
              <w:suppressAutoHyphens/>
              <w:jc w:val="left"/>
            </w:pPr>
            <w:r>
              <w:fldChar w:fldCharType="begin"/>
            </w:r>
            <w:r>
              <w:instrText xml:space="preserve"> REF _Ref0075 \h \* CHARFORMAT </w:instrText>
            </w:r>
            <w:r>
              <w:fldChar w:fldCharType="separate"/>
            </w:r>
            <w:r>
              <w:t xml:space="preserve">07</w:t>
            </w:r>
            <w:r>
              <w:fldChar w:fldCharType="end"/>
            </w:r>
          </w:p>
        </w:tc>
      </w:tr>
      <w:tr>
        <w:trPr>
          <w:cantSplit/>
        </w:trPr>
        <w:tc>
          <w:tcPr>
            <w:tcW w:w="2974" w:type="dxa"/>
          </w:tcPr>
          <w:p>
            <w:pPr>
              <w:pStyle w:val="IsiTabel"/>
              <w:suppressAutoHyphens/>
              <w:jc w:val="left"/>
            </w:pPr>
            <w:r>
              <w:t xml:space="preserve">Stok logistik per gudang BNPB dan BPBD terhadap lantai pengungsi per Direktorat Penanganan Darurat Wilayah</w:t>
            </w:r>
          </w:p>
        </w:tc>
        <w:tc>
          <w:tcPr>
            <w:tcW w:w="4908" w:type="dxa"/>
          </w:tcPr>
          <w:p>
            <w:pPr>
              <w:pStyle w:val="IsiTabel"/>
              <w:suppressAutoHyphens/>
              <w:jc w:val="left"/>
            </w:pPr>
            <w:r>
              <w:t xml:space="preserve">Deputi Bidang Logistik dan Peralatan; Pusat Data, Informasi, dan Komunikasi Kebencanaan</w:t>
            </w:r>
          </w:p>
        </w:tc>
        <w:tc>
          <w:tcPr>
            <w:tcW w:w="1472" w:type="dxa"/>
          </w:tcPr>
          <w:p>
            <w:pPr>
              <w:pStyle w:val="IsiTabel"/>
              <w:suppressAutoHyphens/>
              <w:jc w:val="left"/>
            </w:pPr>
            <w:r>
              <w:fldChar w:fldCharType="begin"/>
            </w:r>
            <w:r>
              <w:instrText xml:space="preserve"> REF _Ref0076 \h \* CHARFORMAT </w:instrText>
            </w:r>
            <w:r>
              <w:fldChar w:fldCharType="separate"/>
            </w:r>
            <w:r>
              <w:t xml:space="preserve">08</w:t>
            </w:r>
            <w:r>
              <w:fldChar w:fldCharType="end"/>
            </w:r>
          </w:p>
        </w:tc>
      </w:tr>
      <w:tr>
        <w:trPr>
          <w:cantSplit/>
        </w:trPr>
        <w:tc>
          <w:tcPr>
            <w:tcW w:w="2974" w:type="dxa"/>
          </w:tcPr>
          <w:p>
            <w:pPr>
              <w:pStyle w:val="IsiTabel"/>
              <w:suppressAutoHyphens/>
              <w:jc w:val="left"/>
            </w:pPr>
            <w:r>
              <w:t xml:space="preserve">Baseline cakupan peringatan dini Renas PB 1.c per provinsi dan kab/kota untuk jenis selain tsunami dan banjir</w:t>
            </w:r>
          </w:p>
        </w:tc>
        <w:tc>
          <w:tcPr>
            <w:tcW w:w="4908" w:type="dxa"/>
          </w:tcPr>
          <w:p>
            <w:pPr>
              <w:pStyle w:val="IsiTabel"/>
              <w:suppressAutoHyphens/>
              <w:jc w:val="left"/>
            </w:pPr>
            <w:r>
              <w:t xml:space="preserve">Direktorat Peringatan Dini</w:t>
            </w:r>
          </w:p>
        </w:tc>
        <w:tc>
          <w:tcPr>
            <w:tcW w:w="1472" w:type="dxa"/>
          </w:tcPr>
          <w:p>
            <w:pPr>
              <w:pStyle w:val="IsiTabel"/>
              <w:suppressAutoHyphens/>
              <w:jc w:val="left"/>
            </w:pPr>
            <w:r>
              <w:fldChar w:fldCharType="begin"/>
            </w:r>
            <w:r>
              <w:instrText xml:space="preserve"> REF _Ref0082 \h \* CHARFORMAT </w:instrText>
            </w:r>
            <w:r>
              <w:fldChar w:fldCharType="separate"/>
            </w:r>
            <w:r>
              <w:t xml:space="preserve">16</w:t>
            </w:r>
            <w:r>
              <w:fldChar w:fldCharType="end"/>
            </w:r>
          </w:p>
        </w:tc>
      </w:tr>
      <w:tr>
        <w:trPr>
          <w:cantSplit/>
        </w:trPr>
        <w:tc>
          <w:tcPr>
            <w:tcW w:w="2974" w:type="dxa"/>
          </w:tcPr>
          <w:p>
            <w:pPr>
              <w:pStyle w:val="IsiTabel"/>
              <w:suppressAutoHyphens/>
              <w:jc w:val="left"/>
            </w:pPr>
            <w:r>
              <w:t xml:space="preserve">Catatan metode IRB 2025 yang dapat diulang, nilai per kab/kota, dan rekonsiliasi IRB 2024</w:t>
            </w:r>
          </w:p>
        </w:tc>
        <w:tc>
          <w:tcPr>
            <w:tcW w:w="4908" w:type="dxa"/>
          </w:tcPr>
          <w:p>
            <w:pPr>
              <w:pStyle w:val="IsiTabel"/>
              <w:suppressAutoHyphens/>
              <w:jc w:val="left"/>
            </w:pPr>
            <w:r>
              <w:t xml:space="preserve">Kedeputian Bidang Sistem dan Strategi; Direktorat Pemetaan dan Evaluasi Risiko Bencana</w:t>
            </w:r>
          </w:p>
        </w:tc>
        <w:tc>
          <w:tcPr>
            <w:tcW w:w="1472" w:type="dxa"/>
          </w:tcPr>
          <w:p>
            <w:pPr>
              <w:pStyle w:val="IsiTabel"/>
              <w:suppressAutoHyphens/>
              <w:jc w:val="left"/>
            </w:pPr>
            <w:r>
              <w:fldChar w:fldCharType="begin"/>
            </w:r>
            <w:r>
              <w:instrText xml:space="preserve"> REF _Ref0086 \h \* CHARFORMAT </w:instrText>
            </w:r>
            <w:r>
              <w:fldChar w:fldCharType="separate"/>
            </w:r>
            <w:r>
              <w:t xml:space="preserve">10</w:t>
            </w:r>
            <w:r>
              <w:fldChar w:fldCharType="end"/>
            </w:r>
          </w:p>
        </w:tc>
      </w:tr>
      <w:tr>
        <w:trPr>
          <w:cantSplit/>
        </w:trPr>
        <w:tc>
          <w:tcPr>
            <w:tcW w:w="2974" w:type="dxa"/>
          </w:tcPr>
          <w:p>
            <w:pPr>
              <w:pStyle w:val="IsiTabel"/>
              <w:suppressAutoHyphens/>
              <w:jc w:val="left"/>
            </w:pPr>
            <w:r>
              <w:t xml:space="preserve">IKD per kab/kota per tahun, penyebut baseline RPJMN 2023, dan teks Kepka BNPB 318/2025</w:t>
            </w:r>
          </w:p>
        </w:tc>
        <w:tc>
          <w:tcPr>
            <w:tcW w:w="4908" w:type="dxa"/>
          </w:tcPr>
          <w:p>
            <w:pPr>
              <w:pStyle w:val="IsiTabel"/>
              <w:suppressAutoHyphens/>
              <w:jc w:val="left"/>
            </w:pPr>
            <w:r>
              <w:t xml:space="preserve">Direktorat Pemetaan dan Evaluasi Risiko Bencana; Kementerian PPN/Bappenas</w:t>
            </w:r>
          </w:p>
        </w:tc>
        <w:tc>
          <w:tcPr>
            <w:tcW w:w="1472" w:type="dxa"/>
          </w:tcPr>
          <w:p>
            <w:pPr>
              <w:pStyle w:val="IsiTabel"/>
              <w:suppressAutoHyphens/>
              <w:jc w:val="left"/>
            </w:pPr>
            <w:r>
              <w:fldChar w:fldCharType="begin"/>
            </w:r>
            <w:r>
              <w:instrText xml:space="preserve"> REF _Ref0089 \h \* CHARFORMAT </w:instrText>
            </w:r>
            <w:r>
              <w:fldChar w:fldCharType="separate"/>
            </w:r>
            <w:r>
              <w:t xml:space="preserve">35</w:t>
            </w:r>
            <w:r>
              <w:fldChar w:fldCharType="end"/>
            </w:r>
          </w:p>
        </w:tc>
      </w:tr>
      <w:tr>
        <w:trPr>
          <w:cantSplit/>
        </w:trPr>
        <w:tc>
          <w:tcPr>
            <w:tcW w:w="2974" w:type="dxa"/>
          </w:tcPr>
          <w:p>
            <w:pPr>
              <w:pStyle w:val="IsiTabel"/>
              <w:suppressAutoHyphens/>
              <w:jc w:val="left"/>
            </w:pPr>
            <w:r>
              <w:t xml:space="preserve">Skenario korban resmi gempa dan tsunami, genangan tsunami InaRISK, dan rencana kontinjensi megathrust nasional</w:t>
            </w:r>
          </w:p>
        </w:tc>
        <w:tc>
          <w:tcPr>
            <w:tcW w:w="4908" w:type="dxa"/>
          </w:tcPr>
          <w:p>
            <w:pPr>
              <w:pStyle w:val="IsiTabel"/>
              <w:suppressAutoHyphens/>
              <w:jc w:val="left"/>
            </w:pPr>
            <w:r>
              <w:t xml:space="preserve">PuSGeN; BMKG; Direktorat Pemetaan dan Evaluasi Risiko Bencana; BPBD provinsi pesisir</w:t>
            </w:r>
          </w:p>
        </w:tc>
        <w:tc>
          <w:tcPr>
            <w:tcW w:w="1472" w:type="dxa"/>
          </w:tcPr>
          <w:p>
            <w:pPr>
              <w:pStyle w:val="IsiTabel"/>
              <w:suppressAutoHyphens/>
              <w:jc w:val="left"/>
            </w:pPr>
            <w:r>
              <w:fldChar w:fldCharType="begin"/>
            </w:r>
            <w:r>
              <w:instrText xml:space="preserve"> REF _Ref0090 \h \* CHARFORMAT </w:instrText>
            </w:r>
            <w:r>
              <w:fldChar w:fldCharType="separate"/>
            </w:r>
            <w:r>
              <w:t xml:space="preserve">18</w:t>
            </w:r>
            <w:r>
              <w:fldChar w:fldCharType="end"/>
            </w:r>
          </w:p>
        </w:tc>
      </w:tr>
      <w:tr>
        <w:trPr>
          <w:cantSplit/>
        </w:trPr>
        <w:tc>
          <w:tcPr>
            <w:tcW w:w="2974" w:type="dxa"/>
          </w:tcPr>
          <w:p>
            <w:pPr>
              <w:pStyle w:val="IsiTabel"/>
              <w:suppressAutoHyphens/>
              <w:jc w:val="left"/>
            </w:pPr>
            <w:r>
              <w:t xml:space="preserve">Baris kejadian nonalam besar, jenis kebakaran TPA, dan selisih korban 2025 antara LKIP dan DIBI</w:t>
            </w:r>
          </w:p>
        </w:tc>
        <w:tc>
          <w:tcPr>
            <w:tcW w:w="4908" w:type="dxa"/>
          </w:tcPr>
          <w:p>
            <w:pPr>
              <w:pStyle w:val="IsiTabel"/>
              <w:suppressAutoHyphens/>
              <w:jc w:val="left"/>
            </w:pPr>
            <w:r>
              <w:t xml:space="preserve">Pusat Data, Informasi, dan Komunikasi Kebencanaan</w:t>
            </w:r>
          </w:p>
        </w:tc>
        <w:tc>
          <w:tcPr>
            <w:tcW w:w="1472" w:type="dxa"/>
          </w:tcPr>
          <w:p>
            <w:pPr>
              <w:pStyle w:val="IsiTabel"/>
              <w:suppressAutoHyphens/>
              <w:jc w:val="left"/>
            </w:pPr>
            <w:r>
              <w:fldChar w:fldCharType="begin"/>
            </w:r>
            <w:r>
              <w:instrText xml:space="preserve"> REF _Ref0093 \h \* CHARFORMAT </w:instrText>
            </w:r>
            <w:r>
              <w:fldChar w:fldCharType="separate"/>
            </w:r>
            <w:r>
              <w:t xml:space="preserve">20</w:t>
            </w:r>
            <w:r>
              <w:fldChar w:fldCharType="end"/>
            </w:r>
          </w:p>
        </w:tc>
      </w:tr>
      <w:tr>
        <w:trPr>
          <w:cantSplit/>
        </w:trPr>
        <w:tc>
          <w:tcPr>
            <w:tcW w:w="2974" w:type="dxa"/>
          </w:tcPr>
          <w:p>
            <w:pPr>
              <w:pStyle w:val="IsiTabel"/>
              <w:suppressAutoHyphens/>
              <w:jc w:val="left"/>
            </w:pPr>
            <w:r>
              <w:t xml:space="preserve">Teks SK klaster nasional</w:t>
            </w:r>
          </w:p>
        </w:tc>
        <w:tc>
          <w:tcPr>
            <w:tcW w:w="4908" w:type="dxa"/>
          </w:tcPr>
          <w:p>
            <w:pPr>
              <w:pStyle w:val="IsiTabel"/>
              <w:suppressAutoHyphens/>
              <w:jc w:val="left"/>
            </w:pPr>
            <w:r>
              <w:t xml:space="preserve">Biro Hukum, Organisasi, dan Kerja Sama</w:t>
            </w:r>
          </w:p>
        </w:tc>
        <w:tc>
          <w:tcPr>
            <w:tcW w:w="1472" w:type="dxa"/>
          </w:tcPr>
          <w:p>
            <w:pPr>
              <w:pStyle w:val="IsiTabel"/>
              <w:suppressAutoHyphens/>
              <w:jc w:val="left"/>
            </w:pPr>
            <w:r>
              <w:fldChar w:fldCharType="begin"/>
            </w:r>
            <w:r>
              <w:instrText xml:space="preserve"> REF _Ref0095 \h \* CHARFORMAT </w:instrText>
            </w:r>
            <w:r>
              <w:fldChar w:fldCharType="separate"/>
            </w:r>
            <w:r>
              <w:t xml:space="preserve">22</w:t>
            </w:r>
            <w:r>
              <w:fldChar w:fldCharType="end"/>
            </w:r>
          </w:p>
        </w:tc>
      </w:tr>
      <w:tr>
        <w:trPr>
          <w:cantSplit/>
        </w:trPr>
        <w:tc>
          <w:tcPr>
            <w:tcW w:w="2974" w:type="dxa"/>
          </w:tcPr>
          <w:p>
            <w:pPr>
              <w:pStyle w:val="IsiTabel"/>
              <w:suppressAutoHyphens/>
              <w:jc w:val="left"/>
            </w:pPr>
            <w:r>
              <w:t xml:space="preserve">Seri kerusakan dan kerugian R3P, R3P Siklon Tropis Senyar, dan metode kerugian ekonomi langsung Renas PB 2.a</w:t>
            </w:r>
          </w:p>
        </w:tc>
        <w:tc>
          <w:tcPr>
            <w:tcW w:w="4908" w:type="dxa"/>
          </w:tcPr>
          <w:p>
            <w:pPr>
              <w:pStyle w:val="IsiTabel"/>
              <w:suppressAutoHyphens/>
              <w:jc w:val="left"/>
            </w:pPr>
            <w:r>
              <w:t xml:space="preserve">Deputi Bidang Rehabilitasi dan Rekonstruksi; Kementerian PPN/Bappenas</w:t>
            </w:r>
          </w:p>
        </w:tc>
        <w:tc>
          <w:tcPr>
            <w:tcW w:w="1472" w:type="dxa"/>
          </w:tcPr>
          <w:p>
            <w:pPr>
              <w:pStyle w:val="IsiTabel"/>
              <w:suppressAutoHyphens/>
              <w:jc w:val="left"/>
            </w:pPr>
            <w:r>
              <w:fldChar w:fldCharType="begin"/>
            </w:r>
            <w:r>
              <w:instrText xml:space="preserve"> REF _Ref0102 \h \* CHARFORMAT </w:instrText>
            </w:r>
            <w:r>
              <w:fldChar w:fldCharType="separate"/>
            </w:r>
            <w:r>
              <w:t xml:space="preserve">27</w:t>
            </w:r>
            <w:r>
              <w:fldChar w:fldCharType="end"/>
            </w:r>
          </w:p>
        </w:tc>
      </w:tr>
      <w:tr>
        <w:trPr>
          <w:cantSplit/>
        </w:trPr>
        <w:tc>
          <w:tcPr>
            <w:tcW w:w="2974" w:type="dxa"/>
          </w:tcPr>
          <w:p>
            <w:pPr>
              <w:pStyle w:val="IsiTabel"/>
              <w:keepNext/>
              <w:suppressAutoHyphens/>
              <w:jc w:val="left"/>
            </w:pPr>
            <w:bookmarkStart w:id="843" w:name="_Ekor093a"/>
            <w:bookmarkEnd w:id="843"/>
            <w:r>
              <w:t xml:space="preserve">Data bangunan di luar Kalimantan Tengah</w:t>
            </w:r>
          </w:p>
        </w:tc>
        <w:tc>
          <w:tcPr>
            <w:tcW w:w="4908" w:type="dxa"/>
          </w:tcPr>
          <w:p>
            <w:pPr>
              <w:pStyle w:val="IsiTabel"/>
              <w:keepNext/>
              <w:suppressAutoHyphens/>
              <w:jc w:val="left"/>
            </w:pPr>
            <w:r>
              <w:t xml:space="preserve">Kementerian PU; Badan Pusat Statistik</w:t>
            </w:r>
          </w:p>
        </w:tc>
        <w:tc>
          <w:tcPr>
            <w:tcW w:w="1472" w:type="dxa"/>
          </w:tcPr>
          <w:p>
            <w:pPr>
              <w:pStyle w:val="IsiTabel"/>
              <w:keepNext/>
              <w:suppressAutoHyphens/>
              <w:jc w:val="left"/>
            </w:pPr>
            <w:r>
              <w:t xml:space="preserve">belum ada pemilik di BNPB; tetap sebagai permintaan data</w:t>
            </w:r>
          </w:p>
        </w:tc>
      </w:tr>
      <w:tr>
        <w:trPr>
          <w:cantSplit/>
        </w:trPr>
        <w:tc>
          <w:tcPr>
            <w:tcW w:w="2974" w:type="dxa"/>
          </w:tcPr>
          <w:p>
            <w:pPr>
              <w:pStyle w:val="IsiTabel"/>
              <w:keepNext/>
              <w:suppressAutoHyphens/>
              <w:jc w:val="left"/>
            </w:pPr>
            <w:r>
              <w:t xml:space="preserve">Luas genangan rob teramati</w:t>
            </w:r>
          </w:p>
        </w:tc>
        <w:tc>
          <w:tcPr>
            <w:tcW w:w="4908" w:type="dxa"/>
          </w:tcPr>
          <w:p>
            <w:pPr>
              <w:pStyle w:val="IsiTabel"/>
              <w:keepNext/>
              <w:suppressAutoHyphens/>
              <w:jc w:val="left"/>
            </w:pPr>
            <w:r>
              <w:t xml:space="preserve">Badan Informasi Geospasial; Balai Besar Wilayah Sungai</w:t>
            </w:r>
          </w:p>
        </w:tc>
        <w:tc>
          <w:tcPr>
            <w:tcW w:w="1472" w:type="dxa"/>
          </w:tcPr>
          <w:p>
            <w:pPr>
              <w:pStyle w:val="IsiTabel"/>
              <w:keepNext/>
              <w:suppressAutoHyphens/>
              <w:jc w:val="left"/>
            </w:pPr>
            <w:r>
              <w:t xml:space="preserve">belum ada pemilik di BNPB; tetap sebagai permintaan data</w:t>
            </w:r>
          </w:p>
        </w:tc>
      </w:tr>
      <w:tr>
        <w:trPr>
          <w:cantSplit/>
        </w:trPr>
        <w:tc>
          <w:tcPr>
            <w:tcW w:w="2974" w:type="dxa"/>
          </w:tcPr>
          <w:p>
            <w:pPr>
              <w:pStyle w:val="IsiTabel"/>
              <w:keepNext/>
              <w:suppressAutoHyphens/>
              <w:jc w:val="left"/>
            </w:pPr>
            <w:r>
              <w:t xml:space="preserve">Penduduk BPS per kab/kota</w:t>
            </w:r>
          </w:p>
        </w:tc>
        <w:tc>
          <w:tcPr>
            <w:tcW w:w="4908" w:type="dxa"/>
          </w:tcPr>
          <w:p>
            <w:pPr>
              <w:pStyle w:val="IsiTabel"/>
              <w:keepNext/>
              <w:suppressAutoHyphens/>
              <w:jc w:val="left"/>
            </w:pPr>
            <w:r>
              <w:t xml:space="preserve">Badan Pusat Statistik</w:t>
            </w:r>
          </w:p>
        </w:tc>
        <w:tc>
          <w:tcPr>
            <w:tcW w:w="1472" w:type="dxa"/>
          </w:tcPr>
          <w:p>
            <w:pPr>
              <w:pStyle w:val="IsiTabel"/>
              <w:keepNext/>
              <w:suppressAutoHyphens/>
              <w:jc w:val="left"/>
            </w:pPr>
            <w:r>
              <w:t xml:space="preserve">penyebut nasional BPS 2026 dipakai sampai data per kab/kota tersedia</w:t>
            </w:r>
          </w:p>
        </w:tc>
      </w:tr>
      <w:tr>
        <w:trPr>
          <w:cantSplit/>
        </w:trPr>
        <w:tc>
          <w:tcPr>
            <w:tcW w:w="2974" w:type="dxa"/>
          </w:tcPr>
          <w:p>
            <w:pPr>
              <w:pStyle w:val="IsiTabel"/>
              <w:suppressAutoHyphens/>
              <w:jc w:val="left"/>
            </w:pPr>
            <w:bookmarkStart w:id="844" w:name="_Ekor093z"/>
            <w:bookmarkEnd w:id="844"/>
            <w:r>
              <w:t xml:space="preserve">Skenario pandemi resmi dan kerugian rupiah nonalam dan sosial</w:t>
            </w:r>
          </w:p>
        </w:tc>
        <w:tc>
          <w:tcPr>
            <w:tcW w:w="4908" w:type="dxa"/>
          </w:tcPr>
          <w:p>
            <w:pPr>
              <w:pStyle w:val="IsiTabel"/>
              <w:suppressAutoHyphens/>
              <w:jc w:val="left"/>
            </w:pPr>
            <w:r>
              <w:t xml:space="preserve">Kementerian Kesehatan; Kemenko PMK</w:t>
            </w:r>
          </w:p>
        </w:tc>
        <w:tc>
          <w:tcPr>
            <w:tcW w:w="1472" w:type="dxa"/>
          </w:tcPr>
          <w:p>
            <w:pPr>
              <w:pStyle w:val="IsiTabel"/>
              <w:suppressAutoHyphens/>
              <w:jc w:val="left"/>
            </w:pPr>
            <w:r>
              <w:t xml:space="preserve">belum ada pemilik di BNPB; tetap sebagai permintaan data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sampai 24 Oktober 2026; LKIP BNPB 2025</w:t>
      </w:r>
      <w:r>
        <w:rPr>
          <w:color w:val="6B7280"/>
          <w:sz w:val="17"/>
          <w:szCs w:val="17"/>
        </w:rPr>
        <w:t xml:space="preserve"> </w:t>
      </w:r>
      <w:r>
        <w:rPr>
          <w:b/>
          <w:bCs/>
          <w:color w:val="1A1A1A"/>
          <w:sz w:val="16"/>
          <w:szCs w:val="16"/>
          <w:bdr w:val="single" w:sz="6" w:space="0" w:color="6B7280"/>
        </w:rPr>
        <w:t xml:space="preserve">  Asumsi kebijakan  </w:t>
      </w:r>
    </w:p>
    <w:p>
      <w:pPr>
        <w:pStyle w:val="JudulDepan"/>
      </w:pPr>
      <w:bookmarkStart w:id="845" w:name="_Toc00265"/>
      <w:r>
        <w:t xml:space="preserve">DAFTAR PUSTAKA</w:t>
      </w:r>
      <w:bookmarkEnd w:id="845"/>
    </w:p>
    <w:p>
      <w:pPr>
        <w:pStyle w:val="Pustaka"/>
      </w:pPr>
      <w:r>
        <w:t xml:space="preserve">Artemis. (2023). </w:t>
      </w:r>
      <w:r>
        <w:rPr>
          <w:i/>
          <w:iCs/>
        </w:rPr>
        <w:t xml:space="preserve">CCRIF parametric payouts reach $266.8m after $4.9m for 2023 Atlantic storms</w:t>
      </w:r>
      <w:r>
        <w:t xml:space="preserve">. </w:t>
      </w:r>
      <w:r>
        <w:t xml:space="preserve">Artemis. </w:t>
      </w:r>
      <w:r>
        <w:t xml:space="preserve">Diakses 23 Oktober 2026, dari https://www.artemis.bm/news/ccrif-parametric-payouts-reach-266-8m-after-4-9m-for-2023-atlantic-storms/</w:t>
      </w:r>
    </w:p>
    <w:p>
      <w:pPr>
        <w:pStyle w:val="Pustaka"/>
      </w:pPr>
      <w:r>
        <w:t xml:space="preserve">BPK Perwakilan Provinsi Jawa Barat. (2025). </w:t>
      </w:r>
      <w:r>
        <w:rPr>
          <w:i/>
          <w:iCs/>
        </w:rPr>
        <w:t xml:space="preserve">Tanggung Jawab Pemerintah Pusat dan Pemerintah Daerah dalam Penanggulangan Bencana</w:t>
      </w:r>
      <w:r>
        <w:t xml:space="preserve">. </w:t>
      </w:r>
      <w:r>
        <w:t xml:space="preserve">JDIH BPK, Tulisan Hukum. </w:t>
      </w:r>
      <w:r>
        <w:t xml:space="preserve">Diakses 23 Oktober 2026, dari https://jdih.bpk.go.id/Info/Details/cb58af3c-95cc-4cfd-97a1-e878e6a86ac5</w:t>
      </w:r>
    </w:p>
    <w:p>
      <w:pPr>
        <w:pStyle w:val="Pustaka"/>
      </w:pPr>
      <w:r>
        <w:t xml:space="preserve">BPK Perwakilan Provinsi Sulawesi Utara. (2024). </w:t>
      </w:r>
      <w:r>
        <w:rPr>
          <w:i/>
          <w:iCs/>
        </w:rPr>
        <w:t xml:space="preserve">Press Release: BPK Serahkan Laporan Hasil Pemeriksaan Kepatuhan dan Kinerja Semester II Tahun 2024</w:t>
      </w:r>
      <w:r>
        <w:t xml:space="preserve">. </w:t>
      </w:r>
      <w:r>
        <w:t xml:space="preserve">Badan Pemeriksa Keuangan Republik Indonesia. </w:t>
      </w:r>
      <w:r>
        <w:t xml:space="preserve">Diakses 24 Oktober 2026, dari https://sulut.bpk.go.id/wp-content/uploads/2025/01/Press-Release-Penyerahan-LHP-LKPD-3-Entitas-23.12.24.pdf</w:t>
      </w:r>
    </w:p>
    <w:p>
      <w:pPr>
        <w:pStyle w:val="Pustaka"/>
      </w:pPr>
      <w:r>
        <w:t xml:space="preserve">Badan Meteorologi, Klimatologi, dan Geofisika. (2018). </w:t>
      </w:r>
      <w:r>
        <w:rPr>
          <w:i/>
          <w:iCs/>
        </w:rPr>
        <w:t xml:space="preserve">Gempabumi Tektonik M7,7 Kabupaten Donggala, Sulawesi Tengah pada Hari Jumat, 28 September 2018 Berpotensi Tsunami</w:t>
      </w:r>
      <w:r>
        <w:t xml:space="preserve">. </w:t>
      </w:r>
      <w:r>
        <w:t xml:space="preserve">BMKG. </w:t>
      </w:r>
      <w:r>
        <w:t xml:space="preserve">Diakses 24 Oktober 2026, dari https://www.bmkg.go.id/siaran-pers/gempabumi-tektonik-m7-7-kabupaten-donggala-sulawesi-tengah-pada-hari-jumat-28-september-2018-berpotensi-tsunami</w:t>
      </w:r>
    </w:p>
    <w:p>
      <w:pPr>
        <w:pStyle w:val="Pustaka"/>
      </w:pPr>
      <w:r>
        <w:t xml:space="preserve">Badan Meteorologi, Klimatologi, dan Geofisika. (2026a). </w:t>
      </w:r>
      <w:r>
        <w:rPr>
          <w:i/>
          <w:iCs/>
        </w:rPr>
        <w:t xml:space="preserve">Analisis Dinamika Atmosfer Dasarian I Oktober 2026</w:t>
      </w:r>
      <w:r>
        <w:t xml:space="preserve">. </w:t>
      </w:r>
      <w:r>
        <w:t xml:space="preserve">BMKG. </w:t>
      </w:r>
      <w:r>
        <w:t xml:space="preserve">Diakses 24 Oktober 2026, dari https://www.bmkg.go.id/iklim/analisis-dinamika-atmosfer-dasarian-i-oktober-2026</w:t>
      </w:r>
    </w:p>
    <w:p>
      <w:pPr>
        <w:pStyle w:val="Pustaka"/>
      </w:pPr>
      <w:r>
        <w:t xml:space="preserve">Badan Meteorologi, Klimatologi, dan Geofisika. (2026c). </w:t>
      </w:r>
      <w:r>
        <w:rPr>
          <w:i/>
          <w:iCs/>
        </w:rPr>
        <w:t xml:space="preserve">BMKG: El Niño sangat kuat sedang terjadi, musim hujan 2026/2027 diprediksi datang lebih lambat</w:t>
      </w:r>
      <w:r>
        <w:t xml:space="preserve"> [Siaran pers]. </w:t>
      </w:r>
      <w:r>
        <w:t xml:space="preserve">Siaran Pers BMKG. </w:t>
      </w:r>
      <w:r>
        <w:t xml:space="preserve">Diakses 23 Oktober 2026, dari https://www.bmkg.go.id/siaran-pers/bmkg-el-nino-sangat-kuat-sedang-terjadi-musim-hujan-2026-2027-diprediksi-datang-lebih-lambat</w:t>
      </w:r>
    </w:p>
    <w:p>
      <w:pPr>
        <w:pStyle w:val="Pustaka"/>
      </w:pPr>
      <w:r>
        <w:t xml:space="preserve">Badan Meteorologi, Klimatologi, dan Geofisika. (2026d). </w:t>
      </w:r>
      <w:r>
        <w:rPr>
          <w:i/>
          <w:iCs/>
        </w:rPr>
        <w:t xml:space="preserve">BMKG: Pemerintah Manfaatkan Dry Ice untuk Urai Kabut Asap Karhutla di Sumatra dan Kalimantan</w:t>
      </w:r>
      <w:r>
        <w:t xml:space="preserve">. </w:t>
      </w:r>
      <w:r>
        <w:t xml:space="preserve">Siaran Pers BMKG. </w:t>
      </w:r>
      <w:r>
        <w:t xml:space="preserve">Diakses 24 Oktober 2026, dari https://www.bmkg.go.id/siaran-pers/bmkg-pemerintah-manfaatkan-dry-ice-untuk-urai-kabut-asap-karhutla-di-sumatra-dan-kalimantan</w:t>
      </w:r>
    </w:p>
    <w:p>
      <w:pPr>
        <w:pStyle w:val="Pustaka"/>
      </w:pPr>
      <w:r>
        <w:t xml:space="preserve">Badan Nasional Penanggulangan Bencana. (2008a). </w:t>
      </w:r>
      <w:r>
        <w:rPr>
          <w:i/>
          <w:iCs/>
        </w:rPr>
        <w:t xml:space="preserve">Peraturan Kepala Badan Nasional Penanggulangan Bencana Nomor 5 Tahun 2008 tentang Pedoman Persyaratan Analisis Risiko Bencana Bagi Pembangunan Berisiko Tinggi</w:t>
      </w:r>
      <w:r>
        <w:t xml:space="preserve">. </w:t>
      </w:r>
      <w:r>
        <w:t xml:space="preserve">https://jdih.bnpb.go.id/dokumen/Peraturan/perka-nomor-5-tahun-2008</w:t>
      </w:r>
    </w:p>
    <w:p>
      <w:pPr>
        <w:pStyle w:val="Pustaka"/>
      </w:pPr>
      <w:r>
        <w:t xml:space="preserve">Badan Nasional Penanggulangan Bencana. (2008b). </w:t>
      </w:r>
      <w:r>
        <w:rPr>
          <w:i/>
          <w:iCs/>
        </w:rPr>
        <w:t xml:space="preserve">Peraturan Kepala Badan Nasional Penanggulangan Bencana Nomor 7 Tahun 2008 tentang Pedoman Tata Cara Pemberian Bantuan Pemenuhan Kebutuhan Dasar</w:t>
      </w:r>
      <w:r>
        <w:t xml:space="preserve">. </w:t>
      </w:r>
      <w:r>
        <w:t xml:space="preserve">Berita Negara Republik Indonesia Tahun 2014 Nomor 1407. </w:t>
      </w:r>
      <w:r>
        <w:t xml:space="preserve">https://jdih.bnpb.go.id/storage/file/2008pbbnpb007.pdf</w:t>
      </w:r>
    </w:p>
    <w:p>
      <w:pPr>
        <w:pStyle w:val="Pustaka"/>
      </w:pPr>
      <w:r>
        <w:t xml:space="preserve">Badan Nasional Penanggulangan Bencana. (2008c). </w:t>
      </w:r>
      <w:r>
        <w:rPr>
          <w:i/>
          <w:iCs/>
        </w:rPr>
        <w:t xml:space="preserve">Peraturan Kepala Badan Nasional Penanggulangan Bencana Nomor 9 Tahun 2008 tentang Prosedur Tetap Tim Reaksi Cepat Badan Nasional Penanggulangan Bencana</w:t>
      </w:r>
      <w:r>
        <w:t xml:space="preserve">. </w:t>
      </w:r>
      <w:r>
        <w:t xml:space="preserve">Diakses 23 Oktober 2026, dari https://jdih.bnpb.go.id/dokumen/Peraturan/perka-nomor-9-tahun-2008</w:t>
      </w:r>
    </w:p>
    <w:p>
      <w:pPr>
        <w:pStyle w:val="Pustaka"/>
      </w:pPr>
      <w:r>
        <w:t xml:space="preserve">Badan Nasional Penanggulangan Bencana. (2010). </w:t>
      </w:r>
      <w:r>
        <w:rPr>
          <w:i/>
          <w:iCs/>
        </w:rPr>
        <w:t xml:space="preserve">Peraturan Kepala Badan Nasional Penanggulangan Bencana Nomor 17 Tahun 2010 tentang Pedoman Umum Penyelenggaraan Rehabilitasi dan Rekonstruksi Pascabencana</w:t>
      </w:r>
      <w:r>
        <w:t xml:space="preserve">. </w:t>
      </w:r>
      <w:r>
        <w:t xml:space="preserve">Diakses 24 Oktober 2026, dari https://jdih.bnpb.go.id/dokumen/Peraturan/perka-nomor-17-tahun-2010</w:t>
      </w:r>
    </w:p>
    <w:p>
      <w:pPr>
        <w:pStyle w:val="Pustaka"/>
      </w:pPr>
      <w:r>
        <w:t xml:space="preserve">Badan Nasional Penanggulangan Bencana. (2011a). </w:t>
      </w:r>
      <w:r>
        <w:rPr>
          <w:i/>
          <w:iCs/>
        </w:rPr>
        <w:t xml:space="preserve">Peraturan Kepala Badan Nasional Penanggulangan Bencana Nomor 15 Tahun 2011 tentang Pedoman Pengkajian Kebutuhan Pasca Bencana</w:t>
      </w:r>
      <w:r>
        <w:t xml:space="preserve">. </w:t>
      </w:r>
      <w:r>
        <w:t xml:space="preserve">Diakses 23 Oktober 2026, dari https://jdih.bnpb.go.id/storage/file/2011pbbnpb015.pdf</w:t>
      </w:r>
    </w:p>
    <w:p>
      <w:pPr>
        <w:pStyle w:val="Pustaka"/>
      </w:pPr>
      <w:r>
        <w:t xml:space="preserve">Badan Nasional Penanggulangan Bencana. (2011b). </w:t>
      </w:r>
      <w:r>
        <w:rPr>
          <w:i/>
          <w:iCs/>
        </w:rPr>
        <w:t xml:space="preserve">Peraturan Kepala Badan Nasional Penanggulangan Bencana Nomor 17 Tahun 2011 tentang Pedoman Relawan Penanggulangan Bencana</w:t>
      </w:r>
      <w:r>
        <w:t xml:space="preserve">. </w:t>
      </w:r>
      <w:r>
        <w:t xml:space="preserve">Diakses 24 Oktober 2026, dari https://jdih.bnpb.go.id/storage/file/2011pbbnpb017.pdf</w:t>
      </w:r>
    </w:p>
    <w:p>
      <w:pPr>
        <w:pStyle w:val="Pustaka"/>
      </w:pPr>
      <w:r>
        <w:t xml:space="preserve">Badan Nasional Penanggulangan Bencana. (2012a). </w:t>
      </w:r>
      <w:r>
        <w:rPr>
          <w:i/>
          <w:iCs/>
        </w:rPr>
        <w:t xml:space="preserve">Peraturan Kepala Badan Nasional Penanggulangan Bencana Nomor 02 Tahun 2012 tentang Pedoman Umum Pengkajian Risiko Bencana (dengan lampiran)</w:t>
      </w:r>
      <w:r>
        <w:t xml:space="preserve">. </w:t>
      </w:r>
      <w:r>
        <w:t xml:space="preserve">Berita Negara Republik Indonesia Tahun 2014 Nomor 1096. </w:t>
      </w:r>
      <w:r>
        <w:t xml:space="preserve">Diakses 24 Oktober 2026, dari https://bpba.acehprov.go.id/media/2022.09/perka_951.pdf</w:t>
      </w:r>
    </w:p>
    <w:p>
      <w:pPr>
        <w:pStyle w:val="Pustaka"/>
      </w:pPr>
      <w:r>
        <w:t xml:space="preserve">Badan Nasional Penanggulangan Bencana. (2012b). </w:t>
      </w:r>
      <w:r>
        <w:rPr>
          <w:i/>
          <w:iCs/>
        </w:rPr>
        <w:t xml:space="preserve">Peraturan Kepala Badan Nasional Penanggulangan Bencana Nomor 2 Tahun 2012 tentang Pedoman Umum Pengkajian Risiko Bencana</w:t>
      </w:r>
      <w:r>
        <w:t xml:space="preserve">. </w:t>
      </w:r>
      <w:r>
        <w:t xml:space="preserve">Berita Negara Republik Indonesia Tahun 2014 Nomor 1096. </w:t>
      </w:r>
      <w:r>
        <w:t xml:space="preserve">https://jdih.bnpb.go.id/storage/file/2012pbbnpb002.pdf</w:t>
      </w:r>
    </w:p>
    <w:p>
      <w:pPr>
        <w:pStyle w:val="Pustaka"/>
      </w:pPr>
      <w:r>
        <w:t xml:space="preserve">Badan Nasional Penanggulangan Bencana. (2012c). </w:t>
      </w:r>
      <w:r>
        <w:rPr>
          <w:i/>
          <w:iCs/>
        </w:rPr>
        <w:t xml:space="preserve">Peraturan Kepala Badan Nasional Penanggulangan Bencana Nomor 3 Tahun 2012 tentang Panduan Penilaian Kapasitas Daerah dalam Penanggulangan Bencana</w:t>
      </w:r>
      <w:r>
        <w:t xml:space="preserve">. </w:t>
      </w:r>
      <w:r>
        <w:t xml:space="preserve">Diakses 24 Oktober 2026, dari https://jdih.bnpb.go.id/dokumen/Peraturan/perka-nomor-3-tahun-2012</w:t>
      </w:r>
    </w:p>
    <w:p>
      <w:pPr>
        <w:pStyle w:val="Pustaka"/>
      </w:pPr>
      <w:r>
        <w:t xml:space="preserve">Badan Nasional Penanggulangan Bencana. (2014a). </w:t>
      </w:r>
      <w:r>
        <w:rPr>
          <w:i/>
          <w:iCs/>
        </w:rPr>
        <w:t xml:space="preserve">Peraturan Kepala BNPB Nomor 12 Tahun 2014 tentang Peran Serta Lembaga Usaha dalam Penyelenggaraan Penanggulangan Bencana (BN 2014/1603)</w:t>
      </w:r>
      <w:r>
        <w:t xml:space="preserve">. </w:t>
      </w:r>
      <w:r>
        <w:t xml:space="preserve">Diakses 24 Oktober 2026, dari data/raw/hukum/teks/perka-nomor-12-tahun-2014.json</w:t>
      </w:r>
    </w:p>
    <w:p>
      <w:pPr>
        <w:pStyle w:val="Pustaka"/>
      </w:pPr>
      <w:r>
        <w:t xml:space="preserve">Badan Nasional Penanggulangan Bencana. (2014b). </w:t>
      </w:r>
      <w:r>
        <w:rPr>
          <w:i/>
          <w:iCs/>
        </w:rPr>
        <w:t xml:space="preserve">Peraturan Kepala Badan Nasional Penanggulangan Bencana Nomor 6 Tahun 2014 tentang Pembentukan Produk Hukum di Lingkungan Badan Nasional Penanggulangan Bencana</w:t>
      </w:r>
      <w:r>
        <w:t xml:space="preserve">. </w:t>
      </w:r>
      <w:r>
        <w:t xml:space="preserve">Berita Negara Republik Indonesia Tahun 2014 Nomor 557. </w:t>
      </w:r>
      <w:r>
        <w:t xml:space="preserve">https://jdih.bnpb.go.id/storage/file/2014pbbnpb006.pdf</w:t>
      </w:r>
    </w:p>
    <w:p>
      <w:pPr>
        <w:pStyle w:val="Pustaka"/>
      </w:pPr>
      <w:r>
        <w:t xml:space="preserve">Badan Nasional Penanggulangan Bencana. (2016). </w:t>
      </w:r>
      <w:r>
        <w:rPr>
          <w:i/>
          <w:iCs/>
        </w:rPr>
        <w:t xml:space="preserve">Peraturan Kepala Badan Nasional Penanggulangan Bencana Nomor 3 Tahun 2016 tentang Sistem Komando Penanganan Darurat Bencana</w:t>
      </w:r>
      <w:r>
        <w:t xml:space="preserve">. </w:t>
      </w:r>
      <w:r>
        <w:t xml:space="preserve">Berita Negara Republik Indonesia, BN 2016 (1777); 28 Hlm. </w:t>
      </w:r>
      <w:r>
        <w:t xml:space="preserve">Diakses 23 Oktober 2026, dari https://jdih.bnpb.go.id/storage/file/2016pbbnpb003.pdf</w:t>
      </w:r>
    </w:p>
    <w:p>
      <w:pPr>
        <w:pStyle w:val="Pustaka"/>
      </w:pPr>
      <w:r>
        <w:t xml:space="preserve">Badan Nasional Penanggulangan Bencana. (2017a). </w:t>
      </w:r>
      <w:r>
        <w:rPr>
          <w:i/>
          <w:iCs/>
        </w:rPr>
        <w:t xml:space="preserve">Peraturan Badan Nasional Penanggulangan Bencana Nomor 5 Tahun 2017 tentang Penyusunan Rencana Rehabilitasi dan Rekonstruksi Pascabencana</w:t>
      </w:r>
      <w:r>
        <w:t xml:space="preserve">. </w:t>
      </w:r>
      <w:r>
        <w:t xml:space="preserve">Berita Negara Republik Indonesia, BN 2017 (1570); 11 Hlm. </w:t>
      </w:r>
      <w:r>
        <w:t xml:space="preserve">Diakses 23 Oktober 2026, dari https://jdih.bnpb.go.id/storage/file/2017pbbnpb005.pdf</w:t>
      </w:r>
    </w:p>
    <w:p>
      <w:pPr>
        <w:pStyle w:val="Pustaka"/>
      </w:pPr>
      <w:r>
        <w:t xml:space="preserve">Badan Nasional Penanggulangan Bencana. (2018a). </w:t>
      </w:r>
      <w:r>
        <w:rPr>
          <w:i/>
          <w:iCs/>
        </w:rPr>
        <w:t xml:space="preserve">Info Bencana: Informasi kebencanaan bulanan teraktual, edisi September 2018</w:t>
      </w:r>
      <w:r>
        <w:t xml:space="preserve">. </w:t>
      </w:r>
      <w:r>
        <w:t xml:space="preserve">Badan Nasional Penanggulangan Bencana. </w:t>
      </w:r>
      <w:r>
        <w:t xml:space="preserve">Diakses 24 Oktober 2026, dari https://bnpb.go.id/storage/app/media/uploads/24/info-bencana-september-2018-rev.pdf</w:t>
      </w:r>
    </w:p>
    <w:p>
      <w:pPr>
        <w:pStyle w:val="Pustaka"/>
      </w:pPr>
      <w:r>
        <w:t xml:space="preserve">Badan Nasional Penanggulangan Bencana. (2018b). </w:t>
      </w:r>
      <w:r>
        <w:rPr>
          <w:i/>
          <w:iCs/>
        </w:rPr>
        <w:t xml:space="preserve">Loss and Damage of Disaster in Central Sulawesi Reach 13,82 Trillion Rupiah</w:t>
      </w:r>
      <w:r>
        <w:t xml:space="preserve">. </w:t>
      </w:r>
      <w:r>
        <w:t xml:space="preserve">Badan Nasional Penanggulangan Bencana. </w:t>
      </w:r>
      <w:r>
        <w:t xml:space="preserve">Diakses 24 Oktober 2026, dari https://bnpb.go.id/berita/loss-and-damage-of-disaster-in-central-sulawesi-reach-1382-trillion-rupiah</w:t>
      </w:r>
    </w:p>
    <w:p>
      <w:pPr>
        <w:pStyle w:val="Pustaka"/>
      </w:pPr>
      <w:r>
        <w:t xml:space="preserve">Badan Nasional Penanggulangan Bencana. (2018d). </w:t>
      </w:r>
      <w:r>
        <w:rPr>
          <w:i/>
          <w:iCs/>
        </w:rPr>
        <w:t xml:space="preserve">Peraturan Badan Nasional Penanggulangan Bencana Nomor 3 Tahun 2018 tentang Penanganan Pengungsi pada Keadaan Darurat Bencana</w:t>
      </w:r>
      <w:r>
        <w:t xml:space="preserve">. </w:t>
      </w:r>
      <w:r>
        <w:t xml:space="preserve">Berita Negara Republik Indonesia Tahun 2018 Nomor 827. </w:t>
      </w:r>
      <w:r>
        <w:t xml:space="preserve">https://jdih.bnpb.go.id/storage/file/2018pbbnpb003.pdf</w:t>
      </w:r>
    </w:p>
    <w:p>
      <w:pPr>
        <w:pStyle w:val="Pustaka"/>
      </w:pPr>
      <w:r>
        <w:t xml:space="preserve">Badan Nasional Penanggulangan Bencana. (2018e). </w:t>
      </w:r>
      <w:r>
        <w:rPr>
          <w:i/>
          <w:iCs/>
        </w:rPr>
        <w:t xml:space="preserve">Peraturan Badan Nasional Penanggulangan Bencana Nomor 4 Tahun 2018 tentang Sistem Manajemen Logistik dan Peralatan</w:t>
      </w:r>
      <w:r>
        <w:t xml:space="preserve">. </w:t>
      </w:r>
      <w:r>
        <w:t xml:space="preserve">Diakses 23 Oktober 2026, dari https://jdih.bnpb.go.id/dokumen/Peraturan/perban-nomor-4-tahun-2018</w:t>
      </w:r>
    </w:p>
    <w:p>
      <w:pPr>
        <w:pStyle w:val="Pustaka"/>
      </w:pPr>
      <w:r>
        <w:t xml:space="preserve">Badan Nasional Penanggulangan Bencana. (2018f). </w:t>
      </w:r>
      <w:r>
        <w:rPr>
          <w:i/>
          <w:iCs/>
        </w:rPr>
        <w:t xml:space="preserve">Peraturan Badan Nasional Penanggulangan Bencana Nomor 5 Tahun 2018 tentang Kondisi dan Tata Cara Pelaksanaan Penyelenggaraan Penanggulangan Bencana dalam Keadaan Tertentu</w:t>
      </w:r>
      <w:r>
        <w:t xml:space="preserve">. </w:t>
      </w:r>
      <w:r>
        <w:t xml:space="preserve">Berita Negara Republik Indonesia Tahun 2018 Nomor 1644. </w:t>
      </w:r>
      <w:r>
        <w:t xml:space="preserve">https://jdih.bnpb.go.id/storage/file/2018pbbnpb005.pdf</w:t>
      </w:r>
    </w:p>
    <w:p>
      <w:pPr>
        <w:pStyle w:val="Pustaka"/>
      </w:pPr>
      <w:r>
        <w:t xml:space="preserve">Badan Nasional Penanggulangan Bencana. (2018g). </w:t>
      </w:r>
      <w:r>
        <w:rPr>
          <w:i/>
          <w:iCs/>
        </w:rPr>
        <w:t xml:space="preserve">Peraturan Badan Nasional Penanggulangan Bencana Nomor 6 Tahun 2018 tentang Penerimaan Bantuan Internasional Dalam Keadaan Darurat Bencana</w:t>
      </w:r>
      <w:r>
        <w:t xml:space="preserve">. </w:t>
      </w:r>
      <w:r>
        <w:t xml:space="preserve">Diakses 23 Oktober 2026, dari https://jdih.bnpb.go.id/dokumen/Peraturan/perban-nomor-6-tahun-2018</w:t>
      </w:r>
    </w:p>
    <w:p>
      <w:pPr>
        <w:pStyle w:val="Pustaka"/>
      </w:pPr>
      <w:r>
        <w:t xml:space="preserve">Badan Nasional Penanggulangan Bencana. (2020a). </w:t>
      </w:r>
      <w:r>
        <w:rPr>
          <w:i/>
          <w:iCs/>
        </w:rPr>
        <w:t xml:space="preserve">Peraturan Badan Nasional Penanggulangan Bencana Nomor 4 Tahun 2020 tentang Penggunaan Dana Siap Pakai</w:t>
      </w:r>
      <w:r>
        <w:t xml:space="preserve">. </w:t>
      </w:r>
      <w:r>
        <w:t xml:space="preserve">Berita Negara Republik Indonesia Tahun 2020 Nomor 482. </w:t>
      </w:r>
      <w:r>
        <w:t xml:space="preserve">Badan Nasional Penanggulangan Bencana. </w:t>
      </w:r>
      <w:r>
        <w:t xml:space="preserve">Diakses 23 Oktober 2026, dari https://jdih.bnpb.go.id/storage/file/2020pbbnpb004.pdf</w:t>
      </w:r>
    </w:p>
    <w:p>
      <w:pPr>
        <w:pStyle w:val="Pustaka"/>
      </w:pPr>
      <w:r>
        <w:t xml:space="preserve">Badan Nasional Penanggulangan Bencana. (2021). </w:t>
      </w:r>
      <w:r>
        <w:rPr>
          <w:i/>
          <w:iCs/>
        </w:rPr>
        <w:t xml:space="preserve">Update kebakaran kilang minyak Indramayu, sebanyak 932 jiwa mengungsi (dan rilis 29 Mar 2021: 912 jiwa diungsikan)</w:t>
      </w:r>
      <w:r>
        <w:t xml:space="preserve">. </w:t>
      </w:r>
      <w:r>
        <w:t xml:space="preserve">Diakses 23 Oktober 2026, dari https://bnpb.go.id/berita/update-kebakaran-kilang-minyak-indramayu-sebanyak-932-jiwa-mengungsi-</w:t>
      </w:r>
    </w:p>
    <w:p>
      <w:pPr>
        <w:pStyle w:val="Pustaka"/>
      </w:pPr>
      <w:r>
        <w:t xml:space="preserve">Badan Nasional Penanggulangan Bencana. (2022). </w:t>
      </w:r>
      <w:r>
        <w:rPr>
          <w:i/>
          <w:iCs/>
        </w:rPr>
        <w:t xml:space="preserve">Petunjuk Pelaksanaan Nomor 3 Tahun 2022 tentang Pengkajian Cepat pada Keadaan Darurat Bencana</w:t>
      </w:r>
      <w:r>
        <w:t xml:space="preserve">. </w:t>
      </w:r>
      <w:r>
        <w:t xml:space="preserve">Diakses 24 Oktober 2026, dari https://jdih.bnpb.go.id/dokumen/Peraturan/juklak-nomor-3-tahun-2022</w:t>
      </w:r>
    </w:p>
    <w:p>
      <w:pPr>
        <w:pStyle w:val="Pustaka"/>
      </w:pPr>
      <w:r>
        <w:t xml:space="preserve">Badan Nasional Penanggulangan Bencana. (2023a). </w:t>
      </w:r>
      <w:r>
        <w:rPr>
          <w:i/>
          <w:iCs/>
        </w:rPr>
        <w:t xml:space="preserve">BNPB gunakan helikopter water bombing untuk percepat pemadaman api di TPST Sarimukti</w:t>
      </w:r>
      <w:r>
        <w:t xml:space="preserve">. </w:t>
      </w:r>
      <w:r>
        <w:t xml:space="preserve">BNPB. </w:t>
      </w:r>
      <w:r>
        <w:t xml:space="preserve">Diakses 23 Oktober 2026, dari https://bnpb.go.id/berita/bnpb-gunakan-helikopter-water-bombing-untuk-percepat-pemadaman-api-di-tpst-sarimukti</w:t>
      </w:r>
    </w:p>
    <w:p>
      <w:pPr>
        <w:pStyle w:val="Pustaka"/>
      </w:pPr>
      <w:r>
        <w:t xml:space="preserve">Badan Nasional Penanggulangan Bencana. (2023b). </w:t>
      </w:r>
      <w:r>
        <w:rPr>
          <w:i/>
          <w:iCs/>
        </w:rPr>
        <w:t xml:space="preserve">Peraturan Badan Nasional Penanggulangan Bencana Nomor 1 Tahun 2023 tentang Satu Data Bencana</w:t>
      </w:r>
      <w:r>
        <w:t xml:space="preserve">. </w:t>
      </w:r>
      <w:r>
        <w:t xml:space="preserve">Berita Negara Republik Indonesia Tahun 2023 Nomor 21. </w:t>
      </w:r>
      <w:r>
        <w:t xml:space="preserve">https://jdih.bnpb.go.id/storage/file/2023pbbnpb001.pdf</w:t>
      </w:r>
    </w:p>
    <w:p>
      <w:pPr>
        <w:pStyle w:val="Pustaka"/>
      </w:pPr>
      <w:r>
        <w:t xml:space="preserve">Badan Nasional Penanggulangan Bencana. (2023c). </w:t>
      </w:r>
      <w:r>
        <w:rPr>
          <w:i/>
          <w:iCs/>
        </w:rPr>
        <w:t xml:space="preserve">Peraturan Badan Nasional Penanggulangan Bencana Nomor 2 Tahun 2023 tentang Penyusunan Rencana Kontingensi Bencana</w:t>
      </w:r>
      <w:r>
        <w:t xml:space="preserve">. </w:t>
      </w:r>
      <w:r>
        <w:t xml:space="preserve">Berita Negara Republik Indonesia Tahun 2023 Nomor 469. </w:t>
      </w:r>
      <w:r>
        <w:t xml:space="preserve">https://jdih.bnpb.go.id/storage/file/2023pbbnpb002.pdf</w:t>
      </w:r>
    </w:p>
    <w:p>
      <w:pPr>
        <w:pStyle w:val="Pustaka"/>
      </w:pPr>
      <w:r>
        <w:t xml:space="preserve">Badan Nasional Penanggulangan Bencana. (2023e). </w:t>
      </w:r>
      <w:r>
        <w:rPr>
          <w:i/>
          <w:iCs/>
        </w:rPr>
        <w:t xml:space="preserve">Petunjuk Pelaksanaan Nomor 1 Tahun 2023 tentang Bantuan Dana Tunggu Hunian</w:t>
      </w:r>
      <w:r>
        <w:t xml:space="preserve">. </w:t>
      </w:r>
      <w:r>
        <w:t xml:space="preserve">Diakses 24 Oktober 2026, dari https://jdih.bnpb.go.id/storage/file/2023juklakbnpb001.pdf</w:t>
      </w:r>
    </w:p>
    <w:p>
      <w:pPr>
        <w:pStyle w:val="Pustaka"/>
      </w:pPr>
      <w:r>
        <w:t xml:space="preserve">Badan Nasional Penanggulangan Bencana. (2023f). </w:t>
      </w:r>
      <w:r>
        <w:rPr>
          <w:i/>
          <w:iCs/>
        </w:rPr>
        <w:t xml:space="preserve">Petunjuk Pelaksanaan Nomor 10 Tahun 2023 tentang Sistem Komando Penanganan Darurat Bencana pada Status Keadaan Darurat Bencana Kabupaten/Kota</w:t>
      </w:r>
      <w:r>
        <w:t xml:space="preserve">. </w:t>
      </w:r>
      <w:r>
        <w:t xml:space="preserve">Badan Nasional Penanggulangan Bencana. </w:t>
      </w:r>
      <w:r>
        <w:t xml:space="preserve">Diakses 24 Oktober 2026, dari https://jdih.bnpb.go.id/dokumen/Peraturan/juklak-nomor-10-tahun-2023</w:t>
      </w:r>
    </w:p>
    <w:p>
      <w:pPr>
        <w:pStyle w:val="Pustaka"/>
      </w:pPr>
      <w:r>
        <w:t xml:space="preserve">Badan Nasional Penanggulangan Bencana. (2023g). </w:t>
      </w:r>
      <w:r>
        <w:rPr>
          <w:i/>
          <w:iCs/>
        </w:rPr>
        <w:t xml:space="preserve">Petunjuk Pelaksanaan Nomor 3 Tahun 2023 tentang Pemberian Bantuan Hunian Sementara bagi Pengungsi Korban Bencana</w:t>
      </w:r>
      <w:r>
        <w:t xml:space="preserve">. </w:t>
      </w:r>
      <w:r>
        <w:t xml:space="preserve">Diakses 24 Oktober 2026, dari https://jdih.bnpb.go.id/storage/file/2023juklakbnpb003.pdf</w:t>
      </w:r>
    </w:p>
    <w:p>
      <w:pPr>
        <w:pStyle w:val="Pustaka"/>
      </w:pPr>
      <w:r>
        <w:t xml:space="preserve">Badan Nasional Penanggulangan Bencana. (2023h). </w:t>
      </w:r>
      <w:r>
        <w:rPr>
          <w:i/>
          <w:iCs/>
        </w:rPr>
        <w:t xml:space="preserve">Petunjuk Pelaksanaan Nomor 4 Tahun 2023 tentang Penilaian Awal</w:t>
      </w:r>
      <w:r>
        <w:t xml:space="preserve">. </w:t>
      </w:r>
      <w:r>
        <w:t xml:space="preserve">Diakses 24 Oktober 2026, dari https://jdih.bnpb.go.id/storage/file/2023juklakbnpb004.pdf</w:t>
      </w:r>
    </w:p>
    <w:p>
      <w:pPr>
        <w:pStyle w:val="Pustaka"/>
      </w:pPr>
      <w:r>
        <w:t xml:space="preserve">Badan Nasional Penanggulangan Bencana. (2023j). </w:t>
      </w:r>
      <w:r>
        <w:rPr>
          <w:i/>
          <w:iCs/>
        </w:rPr>
        <w:t xml:space="preserve">Petunjuk Pelaksanaan Nomor 7 Tahun 2023 tentang Standar Data Kejadian dan Dampak Bencana</w:t>
      </w:r>
      <w:r>
        <w:t xml:space="preserve">. </w:t>
      </w:r>
      <w:r>
        <w:t xml:space="preserve">https://jdih.bnpb.go.id/dokumen/Peraturan/juknis-nomor-7-tahun-2023</w:t>
      </w:r>
    </w:p>
    <w:p>
      <w:pPr>
        <w:pStyle w:val="Pustaka"/>
      </w:pPr>
      <w:r>
        <w:t xml:space="preserve">Badan Nasional Penanggulangan Bencana. (2024b). </w:t>
      </w:r>
      <w:r>
        <w:rPr>
          <w:i/>
          <w:iCs/>
        </w:rPr>
        <w:t xml:space="preserve">Peraturan BNPB Nomor 2 Tahun 2024 (sistem peringatan dini; daftar data memuat epidemik dan teknologi industri)</w:t>
      </w:r>
      <w:r>
        <w:t xml:space="preserve">. </w:t>
      </w:r>
      <w:r>
        <w:t xml:space="preserve">Diakses 23 Oktober 2026, dari data/kajian-bnpb/data/lembaga/mentah/teks/jdih-perban-nomor-2-tahun-2024.json.gz</w:t>
      </w:r>
    </w:p>
    <w:p>
      <w:pPr>
        <w:pStyle w:val="Pustaka"/>
      </w:pPr>
      <w:r>
        <w:t xml:space="preserve">Badan Nasional Penanggulangan Bencana. (2024c). </w:t>
      </w:r>
      <w:r>
        <w:rPr>
          <w:i/>
          <w:iCs/>
        </w:rPr>
        <w:t xml:space="preserve">Peraturan Badan Nasional Penanggulangan Bencana Nomor 2 Tahun 2024 tentang Sistem Peringatan Dini Bencana</w:t>
      </w:r>
      <w:r>
        <w:t xml:space="preserve">. </w:t>
      </w:r>
      <w:r>
        <w:t xml:space="preserve">Berita Negara Republik Indonesia Tahun 2024 Nomor 207. </w:t>
      </w:r>
      <w:r>
        <w:t xml:space="preserve">Badan Nasional Penanggulangan Bencana. </w:t>
      </w:r>
      <w:r>
        <w:t xml:space="preserve">Diakses 24 Oktober 2026, dari https://peraturan.bpk.go.id/Details/284502/peraturan-bnpb-no-2-tahun-2024</w:t>
      </w:r>
    </w:p>
    <w:p>
      <w:pPr>
        <w:pStyle w:val="Pustaka"/>
      </w:pPr>
      <w:r>
        <w:t xml:space="preserve">Badan Nasional Penanggulangan Bencana. (2024d). </w:t>
      </w:r>
      <w:r>
        <w:rPr>
          <w:i/>
          <w:iCs/>
        </w:rPr>
        <w:t xml:space="preserve">Peraturan Badan Nasional Penanggulangan Bencana Nomor 4 Tahun 2024 tentang Penyelenggaraan Hibah Rehabilitasi dan Rekonstruksi Pascabencana</w:t>
      </w:r>
      <w:r>
        <w:t xml:space="preserve">. </w:t>
      </w:r>
      <w:r>
        <w:t xml:space="preserve">Berita Negara Republik Indonesia Tahun 2024 Nomor 546. </w:t>
      </w:r>
      <w:r>
        <w:t xml:space="preserve">Diakses 24 Oktober 2026, dari https://jdih.bnpb.go.id/storage/file/2024pbbnpb004.pdf</w:t>
      </w:r>
    </w:p>
    <w:p>
      <w:pPr>
        <w:pStyle w:val="Pustaka"/>
      </w:pPr>
      <w:r>
        <w:t xml:space="preserve">Badan Nasional Penanggulangan Bencana. (2024f). </w:t>
      </w:r>
      <w:r>
        <w:rPr>
          <w:i/>
          <w:iCs/>
        </w:rPr>
        <w:t xml:space="preserve">Petunjuk Pelaksanaan Nomor 3 Tahun 2024 tentang Pemberian Bantuan Pemerintah Logistik dan Peralatan Penanggulangan Bencana untuk Kesiapsiagaan</w:t>
      </w:r>
      <w:r>
        <w:t xml:space="preserve">. </w:t>
      </w:r>
      <w:r>
        <w:t xml:space="preserve">Diakses 24 Oktober 2026, dari https://jdih.bnpb.go.id/storage/file/2024juklakbnpb003.pdf</w:t>
      </w:r>
    </w:p>
    <w:p>
      <w:pPr>
        <w:pStyle w:val="Pustaka"/>
      </w:pPr>
      <w:r>
        <w:t xml:space="preserve">Badan Nasional Penanggulangan Bencana. (2024g). </w:t>
      </w:r>
      <w:r>
        <w:rPr>
          <w:i/>
          <w:iCs/>
        </w:rPr>
        <w:t xml:space="preserve">Petunjuk Pelaksanaan Nomor 5 Tahun 2024 tentang Bantuan Dana Siap Pakai Stimulan Perbaikan/Pembangunan Kembali Rumah Masyarakat yang Rusak akibat Bencana</w:t>
      </w:r>
      <w:r>
        <w:t xml:space="preserve">. </w:t>
      </w:r>
      <w:r>
        <w:t xml:space="preserve">Diakses 24 Oktober 2026, dari https://jdih.bnpb.go.id/dokumen/Peraturan/juklak-nomor-5-tahun-2024</w:t>
      </w:r>
    </w:p>
    <w:p>
      <w:pPr>
        <w:pStyle w:val="Pustaka"/>
      </w:pPr>
      <w:r>
        <w:t xml:space="preserve">Badan Nasional Penanggulangan Bencana. (2024h). </w:t>
      </w:r>
      <w:r>
        <w:rPr>
          <w:i/>
          <w:iCs/>
        </w:rPr>
        <w:t xml:space="preserve">Sambangi Bali, Kepala BNPB himpun kekuatan awal demi mencegah kebakaran TPA Suwung</w:t>
      </w:r>
      <w:r>
        <w:t xml:space="preserve">. </w:t>
      </w:r>
      <w:r>
        <w:t xml:space="preserve">BNPB. </w:t>
      </w:r>
      <w:r>
        <w:t xml:space="preserve">Diakses 23 Oktober 2026, dari https://bnpb.go.id/berita/sambangi-bali-kepala-bnpb-himpun-kekuatan-awal-demi-mencegah-kebakaran-tpa-suwung</w:t>
      </w:r>
    </w:p>
    <w:p>
      <w:pPr>
        <w:pStyle w:val="Pustaka"/>
      </w:pPr>
      <w:r>
        <w:t xml:space="preserve">Badan Nasional Penanggulangan Bencana. (2025a). </w:t>
      </w:r>
      <w:r>
        <w:rPr>
          <w:i/>
          <w:iCs/>
        </w:rPr>
        <w:t xml:space="preserve">Jumlah kejadian bencana menurut jenis bencana tahun 2010–2024</w:t>
      </w:r>
      <w:r>
        <w:t xml:space="preserve">. </w:t>
      </w:r>
      <w:r>
        <w:t xml:space="preserve">Badan Nasional Penanggulangan Bencana. </w:t>
      </w:r>
      <w:r>
        <w:t xml:space="preserve">Diakses 23 Oktober 2026, dari https://data.bnpb.go.id/api/3/action/datastore_search?resource_id=9b41007e-c998-456b-8cbc-385b17986e46</w:t>
      </w:r>
    </w:p>
    <w:p>
      <w:pPr>
        <w:pStyle w:val="Pustaka"/>
      </w:pPr>
      <w:r>
        <w:t xml:space="preserve">Badan Nasional Penanggulangan Bencana. (2025b). </w:t>
      </w:r>
      <w:r>
        <w:rPr>
          <w:i/>
          <w:iCs/>
        </w:rPr>
        <w:t xml:space="preserve">Keputusan Kepala Badan Nasional Penanggulangan Bencana Nomor 327 Tahun 2025 tentang Program Penyusunan Peraturan Badan Nasional Penanggulangan Bencana Tahun 2026</w:t>
      </w:r>
      <w:r>
        <w:t xml:space="preserve">. </w:t>
      </w:r>
      <w:r>
        <w:t xml:space="preserve">https://jdih.bnpb.go.id/storage/file/2025kepkabnpb327.pdf</w:t>
      </w:r>
    </w:p>
    <w:p>
      <w:pPr>
        <w:pStyle w:val="Pustaka"/>
      </w:pPr>
      <w:r>
        <w:t xml:space="preserve">Badan Nasional Penanggulangan Bencana. (2025c). </w:t>
      </w:r>
      <w:r>
        <w:rPr>
          <w:i/>
          <w:iCs/>
        </w:rPr>
        <w:t xml:space="preserve">Peraturan Badan Nasional Penanggulangan Bencana Nomor 1 Tahun 2025 tentang Rencana Nasional Penanggulangan Bencana Tahun 2025–2029</w:t>
      </w:r>
      <w:r>
        <w:t xml:space="preserve">. </w:t>
      </w:r>
      <w:r>
        <w:t xml:space="preserve">Berita Negara Republik Indonesia Tahun 2025 Nomor 6. </w:t>
      </w:r>
      <w:r>
        <w:t xml:space="preserve">https://jdih.bnpb.go.id/storage/file/2025pbbnpb001.pdf</w:t>
      </w:r>
    </w:p>
    <w:p>
      <w:pPr>
        <w:pStyle w:val="Pustaka"/>
      </w:pPr>
      <w:r>
        <w:t xml:space="preserve">Badan Nasional Penanggulangan Bencana. (2025d). </w:t>
      </w:r>
      <w:r>
        <w:rPr>
          <w:i/>
          <w:iCs/>
        </w:rPr>
        <w:t xml:space="preserve">Peraturan Badan Nasional Penanggulangan Bencana Nomor 11 Tahun 2025 tentang Perubahan atas 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https://jdih.bnpb.go.id/storage/file/2025pbbnpb011.pdf</w:t>
      </w:r>
    </w:p>
    <w:p>
      <w:pPr>
        <w:pStyle w:val="Pustaka"/>
      </w:pPr>
      <w:r>
        <w:t xml:space="preserve">Badan Nasional Penanggulangan Bencana. (2025e). </w:t>
      </w:r>
      <w:r>
        <w:rPr>
          <w:i/>
          <w:iCs/>
        </w:rPr>
        <w:t xml:space="preserve">Peraturan Badan Nasional Penanggulangan Bencana Nomor 5 Tahun 2025 tentang Rencana Strategis Badan Nasional Penanggulangan Bencana Tahun 2025–2029</w:t>
      </w:r>
      <w:r>
        <w:t xml:space="preserve">. </w:t>
      </w:r>
      <w:r>
        <w:t xml:space="preserve">Berita Negara Republik Indonesia Tahun 2025 Nomor 768. </w:t>
      </w:r>
      <w:r>
        <w:t xml:space="preserve">https://jdih.bnpb.go.id/storage/file/2025pbbnpb005.pdf</w:t>
      </w:r>
    </w:p>
    <w:p>
      <w:pPr>
        <w:pStyle w:val="Pustaka"/>
      </w:pPr>
      <w:r>
        <w:t xml:space="preserve">Badan Nasional Penanggulangan Bencana. (2025f). </w:t>
      </w:r>
      <w:r>
        <w:rPr>
          <w:i/>
          <w:iCs/>
        </w:rPr>
        <w:t xml:space="preserve">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https://jdih.bnpb.go.id/storage/file/2025pbbnpb006.pdf</w:t>
      </w:r>
    </w:p>
    <w:p>
      <w:pPr>
        <w:pStyle w:val="Pustaka"/>
      </w:pPr>
      <w:r>
        <w:t xml:space="preserve">Badan Nasional Penanggulangan Bencana. (2025g). </w:t>
      </w:r>
      <w:r>
        <w:rPr>
          <w:i/>
          <w:iCs/>
        </w:rPr>
        <w:t xml:space="preserve">Peraturan Badan Nasional Penanggulangan Bencana Nomor 7 Tahun 2025 tentang Desa dan Kelurahan Tangguh Bencana</w:t>
      </w:r>
      <w:r>
        <w:t xml:space="preserve">. </w:t>
      </w:r>
      <w:r>
        <w:t xml:space="preserve">Badan Nasional Penanggulangan Bencana. </w:t>
      </w:r>
      <w:r>
        <w:t xml:space="preserve">Diakses 23 Oktober 2026, dari https://peraturan.bpk.go.id/Details/349149/peraturan-bnpb-no-7-tahun-2025</w:t>
      </w:r>
    </w:p>
    <w:p>
      <w:pPr>
        <w:pStyle w:val="Pustaka"/>
      </w:pPr>
      <w:r>
        <w:t xml:space="preserve">Badan Nasional Penanggulangan Bencana. (2025h). </w:t>
      </w:r>
      <w:r>
        <w:rPr>
          <w:i/>
          <w:iCs/>
        </w:rPr>
        <w:t xml:space="preserve">Peraturan Badan Nasional Penanggulangan Bencana Nomor 9 Tahun 2025 tentang Penyusunan dan Uji Coba Rencana Penanggulangan Kedaruratan Bencana Daerah</w:t>
      </w:r>
      <w:r>
        <w:t xml:space="preserve">. </w:t>
      </w:r>
      <w:r>
        <w:t xml:space="preserve">Badan Nasional Penanggulangan Bencana. </w:t>
      </w:r>
      <w:r>
        <w:t xml:space="preserve">Diakses 24 Oktober 2026, dari https://jdih.bnpb.go.id/dokumen/Peraturan/perban-nomor-9-tahun-2025</w:t>
      </w:r>
    </w:p>
    <w:p>
      <w:pPr>
        <w:pStyle w:val="Pustaka"/>
      </w:pPr>
      <w:r>
        <w:t xml:space="preserve">Badan Nasional Penanggulangan Bencana. (2025i). </w:t>
      </w:r>
      <w:r>
        <w:rPr>
          <w:i/>
          <w:iCs/>
        </w:rPr>
        <w:t xml:space="preserve">Petunjuk Pelaksanaan Bantuan Dana Tunggu Hunian untuk Provinsi Aceh, Sumatera Utara dan Sumatera Barat Akibat Bencana Alam Nomor 15 Tahun 2025</w:t>
      </w:r>
      <w:r>
        <w:t xml:space="preserve">. </w:t>
      </w:r>
      <w:r>
        <w:t xml:space="preserve">Diakses 23 Oktober 2026, dari https://jdih.bnpb.go.id/dokumen/Peraturan/juklak-nomor-15-tahun-2025</w:t>
      </w:r>
    </w:p>
    <w:p>
      <w:pPr>
        <w:pStyle w:val="Pustaka"/>
      </w:pPr>
      <w:r>
        <w:t xml:space="preserve">Badan Nasional Penanggulangan Bencana. (2025j). </w:t>
      </w:r>
      <w:r>
        <w:rPr>
          <w:i/>
          <w:iCs/>
        </w:rPr>
        <w:t xml:space="preserve">Petunjuk Pelaksanaan Penyelenggaraan Klaster Logistik Penanggulangan Bencana Nomor 16 Tahun 2025</w:t>
      </w:r>
      <w:r>
        <w:t xml:space="preserve">. </w:t>
      </w:r>
      <w:r>
        <w:t xml:space="preserve">Diakses 23 Oktober 2026, dari https://jdih.bnpb.go.id/dokumen/Peraturan/juklak-nomor-16-tahun-2025</w:t>
      </w:r>
    </w:p>
    <w:p>
      <w:pPr>
        <w:pStyle w:val="Pustaka"/>
      </w:pPr>
      <w:r>
        <w:t xml:space="preserve">Badan Nasional Penanggulangan Bencana. (2025k). </w:t>
      </w:r>
      <w:r>
        <w:rPr>
          <w:i/>
          <w:iCs/>
        </w:rPr>
        <w:t xml:space="preserve">Rekapitulasi Nilai Kerusakan dan Kerugian Akibat Bencana Berdasarkan Proposal Pemerintah Daerah Tahun 2017-2024</w:t>
      </w:r>
      <w:r>
        <w:t xml:space="preserve">. </w:t>
      </w:r>
      <w:r>
        <w:t xml:space="preserve">Satu Data Bencana Indonesia (CKAN data.bnpb.go.id), paket data-bencana-indonesia. </w:t>
      </w:r>
      <w:r>
        <w:t xml:space="preserve">Diakses 24 Oktober 2026, dari https://data.bnpb.go.id/api/3/action/datastore_search?resource_id=fefc94c0-5275-4d12-899e-1d517f6c8f7c</w:t>
      </w:r>
    </w:p>
    <w:p>
      <w:pPr>
        <w:pStyle w:val="Pustaka"/>
      </w:pPr>
      <w:r>
        <w:t xml:space="preserve">Badan Nasional Penanggulangan Bencana. (2026a). </w:t>
      </w:r>
      <w:r>
        <w:rPr>
          <w:i/>
          <w:iCs/>
        </w:rPr>
        <w:t xml:space="preserve">Buletin Info Bencana Vol. 6 No. 12, Desember 2025</w:t>
      </w:r>
      <w:r>
        <w:t xml:space="preserve">. </w:t>
      </w:r>
      <w:r>
        <w:t xml:space="preserve">Badan Nasional Penanggulangan Bencana. </w:t>
      </w:r>
      <w:r>
        <w:t xml:space="preserve">Diakses 23 Oktober 2026, dari https://www.bnpb.go.id/storage/app/media/Buletin%20Info%20Bencana/2025%20Buletin%20Info%20Bencana/2025%20Desember/Buletin%20Info%20Bencana%20Desember%202025.pdf</w:t>
      </w:r>
    </w:p>
    <w:p>
      <w:pPr>
        <w:pStyle w:val="Pustaka"/>
      </w:pPr>
      <w:r>
        <w:t xml:space="preserve">Badan Nasional Penanggulangan Bencana. (2026c). </w:t>
      </w:r>
      <w:r>
        <w:rPr>
          <w:i/>
          <w:iCs/>
        </w:rPr>
        <w:t xml:space="preserve">Laporan Kinerja Badan Nasional Penanggulangan Bencana Tahun 2025</w:t>
      </w:r>
      <w:r>
        <w:t xml:space="preserve">. </w:t>
      </w:r>
      <w:r>
        <w:t xml:space="preserve">Badan Nasional Penanggulangan Bencana. </w:t>
      </w:r>
      <w:r>
        <w:t xml:space="preserve">Diakses 24 Oktober 2026, dari https://bnpb.go.id/storage/app/media/Lakip%20BNPB%202025%20-%20R1_compressed.pdf</w:t>
      </w:r>
    </w:p>
    <w:p>
      <w:pPr>
        <w:pStyle w:val="Pustaka"/>
      </w:pPr>
      <w:r>
        <w:t xml:space="preserve">Badan Nasional Penanggulangan Bencana. (2026d). </w:t>
      </w:r>
      <w:r>
        <w:rPr>
          <w:i/>
          <w:iCs/>
        </w:rPr>
        <w:t xml:space="preserve">Peraturan Badan Nasional Penanggulangan Bencana Nomor 1 Tahun 2026 tentang Pelaksanaan Penelaahan, Verifikasi, dan Evaluasi terhadap Penyaluran Dana Bersama Penanggulangan Bencana</w:t>
      </w:r>
      <w:r>
        <w:t xml:space="preserve">. </w:t>
      </w:r>
      <w:r>
        <w:t xml:space="preserve">Berita Negara Republik Indonesia Tahun 2026 Nomor 189. </w:t>
      </w:r>
      <w:r>
        <w:t xml:space="preserve">Badan Nasional Penanggulangan Bencana. </w:t>
      </w:r>
      <w:r>
        <w:t xml:space="preserve">Diakses 23 Oktober 2026, dari https://jdih.bnpb.go.id/storage/file/2026pbbnpb001.pdf</w:t>
      </w:r>
    </w:p>
    <w:p>
      <w:pPr>
        <w:pStyle w:val="Pustaka"/>
      </w:pPr>
      <w:r>
        <w:t xml:space="preserve">Badan Nasional Penanggulangan Bencana. (2026e). </w:t>
      </w:r>
      <w:r>
        <w:rPr>
          <w:i/>
          <w:iCs/>
        </w:rPr>
        <w:t xml:space="preserve">Peraturan Badan Nasional Penanggulangan Bencana Nomor 3 Tahun 2026 tentang Pedoman Penyusunan Rencana Penanggulangan Bencana Daerah</w:t>
      </w:r>
      <w:r>
        <w:t xml:space="preserve">. </w:t>
      </w:r>
      <w:r>
        <w:t xml:space="preserve">Badan Nasional Penanggulangan Bencana. </w:t>
      </w:r>
      <w:r>
        <w:t xml:space="preserve">Diakses 24 Oktober 2026, dari https://jdih.bnpb.go.id/dokumen/Peraturan/perban-nomor-3-tahun-2026</w:t>
      </w:r>
    </w:p>
    <w:p>
      <w:pPr>
        <w:pStyle w:val="Pustaka"/>
      </w:pPr>
      <w:r>
        <w:t xml:space="preserve">Badan Nasional Penanggulangan Bencana. (2026f). </w:t>
      </w:r>
      <w:r>
        <w:rPr>
          <w:i/>
          <w:iCs/>
        </w:rPr>
        <w:t xml:space="preserve">Petunjuk Pelaksanaan Kepala BNPB Nomor 4 Tahun 2026 tentang Pemenuhan Standar Pelayanan Minimal Sub-Urusan Bencana Daerah Kabupaten/Kota untuk Subkegiatan Gladi Kesiapsiagaan terhadap Bencana</w:t>
      </w:r>
      <w:r>
        <w:t xml:space="preserve">. </w:t>
      </w:r>
      <w:r>
        <w:t xml:space="preserve">Badan Nasional Penanggulangan Bencana. </w:t>
      </w:r>
      <w:r>
        <w:t xml:space="preserve">Diakses 23 Oktober 2026, dari https://jdih.bnpb.go.id/storage/file/2026juklakbnpb004.pdf</w:t>
      </w:r>
    </w:p>
    <w:p>
      <w:pPr>
        <w:pStyle w:val="Pustaka"/>
      </w:pPr>
      <w:r>
        <w:t xml:space="preserve">Badan Nasional Penanggulangan Bencana. (2026i). </w:t>
      </w:r>
      <w:r>
        <w:rPr>
          <w:i/>
          <w:iCs/>
        </w:rPr>
        <w:t xml:space="preserve">Ringkasan Kajian Risiko Bencana 2022–2026 nasional untuk gempabumi, tsunami, letusan gunung api, dan likuefaksi</w:t>
      </w:r>
      <w:r>
        <w:t xml:space="preserve"> [Data set]. </w:t>
      </w:r>
      <w:r>
        <w:t xml:space="preserve">InaRISK. </w:t>
      </w:r>
      <w:r>
        <w:t xml:space="preserve">Diakses 23 Oktober 2026, dari https://inarisk.bnpb.go.id/apiv4/kajian-summary/tsunami/ALL?level=nasional</w:t>
      </w:r>
    </w:p>
    <w:p>
      <w:pPr>
        <w:pStyle w:val="Pustaka"/>
      </w:pPr>
      <w:r>
        <w:t xml:space="preserve">Badan Nasional Penanggulangan Bencana. (2026j). </w:t>
      </w:r>
      <w:r>
        <w:rPr>
          <w:i/>
          <w:iCs/>
        </w:rPr>
        <w:t xml:space="preserve">Ringkasan Kajian Risiko Bencana 2022–2026 per kabupaten/kota</w:t>
      </w:r>
      <w:r>
        <w:t xml:space="preserve"> [Data set]. </w:t>
      </w:r>
      <w:r>
        <w:t xml:space="preserve">InaRISK. </w:t>
      </w:r>
      <w:r>
        <w:t xml:space="preserve">Diakses 23 Oktober 2026, dari https://inarisk.bnpb.go.id/apiv4/kajian-summary/covid-19/ALL?level=nasional</w:t>
      </w:r>
    </w:p>
    <w:p>
      <w:pPr>
        <w:pStyle w:val="Pustaka"/>
      </w:pPr>
      <w:r>
        <w:t xml:space="preserve">Badan Nasional Penanggulangan Bencana. (2026k). </w:t>
      </w:r>
      <w:r>
        <w:rPr>
          <w:i/>
          <w:iCs/>
        </w:rPr>
        <w:t xml:space="preserve">Ringkasan Kajian Risiko Bencana 2022–2026, multibahaya, tingkat nasional</w:t>
      </w:r>
      <w:r>
        <w:t xml:space="preserve"> [Data set]. </w:t>
      </w:r>
      <w:r>
        <w:t xml:space="preserve">InaRISK. </w:t>
      </w:r>
      <w:r>
        <w:t xml:space="preserve">Diakses 23 Oktober 2026, dari https://inarisk.bnpb.go.id/apiv4/kajian-summary/multi-bahaya/ALL?level=nasional</w:t>
      </w:r>
    </w:p>
    <w:p>
      <w:pPr>
        <w:pStyle w:val="Pustaka"/>
      </w:pPr>
      <w:r>
        <w:t xml:space="preserve">Badan Nasional Penanggulangan Bencana. (2026l). </w:t>
      </w:r>
      <w:r>
        <w:rPr>
          <w:i/>
          <w:iCs/>
        </w:rPr>
        <w:t xml:space="preserve">Update penanganan darurat pemadaman kebakaran di TPA Jatiwaringin mencapai 100% operasi udara dan pendinginan terus dioptimalkan</w:t>
      </w:r>
      <w:r>
        <w:t xml:space="preserve">. </w:t>
      </w:r>
      <w:r>
        <w:t xml:space="preserve">BNPB. </w:t>
      </w:r>
      <w:r>
        <w:t xml:space="preserve">Diakses 23 Oktober 2026, dari https://www.bnpb.go.id/berita/update-penanganan-darurat-pemadaman-kebakaran-di-tpa-jatiwaringin-mencapai-100-operasi-udara-dan-pendinginan-terus-dioptimalkan</w:t>
      </w:r>
    </w:p>
    <w:p>
      <w:pPr>
        <w:pStyle w:val="Pustaka"/>
      </w:pPr>
      <w:r>
        <w:t xml:space="preserve">Badan Nasional Penanggulangan Bencana. (t.t.-a). </w:t>
      </w:r>
      <w:r>
        <w:rPr>
          <w:i/>
          <w:iCs/>
        </w:rPr>
        <w:t xml:space="preserve">Data dan Informasi Bencana Indonesia (DIBI)</w:t>
      </w:r>
      <w:r>
        <w:t xml:space="preserve"> [Data set]. </w:t>
      </w:r>
      <w:r>
        <w:t xml:space="preserve">Diakses 23 Oktober 2026, dari https://dibi.bnpb.go.id</w:t>
      </w:r>
    </w:p>
    <w:p>
      <w:pPr>
        <w:pStyle w:val="Pustaka"/>
      </w:pPr>
      <w:r>
        <w:t xml:space="preserve">Badan Nasional Penanggulangan Bencana. (t.t.-b). </w:t>
      </w:r>
      <w:r>
        <w:rPr>
          <w:i/>
          <w:iCs/>
        </w:rPr>
        <w:t xml:space="preserve">Indeks Risiko Bencana Indonesia (IRBI) kabupaten/kota 2015–2025</w:t>
      </w:r>
      <w:r>
        <w:t xml:space="preserve"> [Data set]. </w:t>
      </w:r>
      <w:r>
        <w:t xml:space="preserve">InaRISK. </w:t>
      </w:r>
      <w:r>
        <w:t xml:space="preserve">Diakses 23 Oktober 2026, dari https://inarisk.bnpb.go.id/apiv4/data-irbi-full</w:t>
      </w:r>
    </w:p>
    <w:p>
      <w:pPr>
        <w:pStyle w:val="Pustaka"/>
      </w:pPr>
      <w:r>
        <w:t xml:space="preserve">Badan Pemeriksa Keuangan Republik Indonesia. (2025). </w:t>
      </w:r>
      <w:r>
        <w:rPr>
          <w:i/>
          <w:iCs/>
        </w:rPr>
        <w:t xml:space="preserve">Ikhtisar Hasil Pemeriksaan Semester II Tahun 2024</w:t>
      </w:r>
      <w:r>
        <w:t xml:space="preserve">. </w:t>
      </w:r>
      <w:r>
        <w:t xml:space="preserve">Badan Pemeriksa Keuangan Republik Indonesia. </w:t>
      </w:r>
      <w:r>
        <w:t xml:space="preserve">Diakses 24 Oktober 2026, dari https://jatim.bpk.go.id/wp-content/uploads/2025/12/ihps_ii_2024_1762309845-red-1.pdf</w:t>
      </w:r>
    </w:p>
    <w:p>
      <w:pPr>
        <w:pStyle w:val="Pustaka"/>
      </w:pPr>
      <w:r>
        <w:t xml:space="preserve">Badan Perencanaan Pembangunan Nasional. (2006). </w:t>
      </w:r>
      <w:r>
        <w:rPr>
          <w:i/>
          <w:iCs/>
        </w:rPr>
        <w:t xml:space="preserve">Preliminary Damage and Loss Assessment: Yogyakarta and Central Java Natural Disaster</w:t>
      </w:r>
      <w:r>
        <w:t xml:space="preserve">. </w:t>
      </w:r>
      <w:r>
        <w:t xml:space="preserve">Disajikan pada Pertemuan ke-15 Consultative Group on Indonesia, Jakarta, 14 Juni 2006; diterbitkan daring oleh Bank Dunia. </w:t>
      </w:r>
      <w:r>
        <w:t xml:space="preserve">Diakses 24 Oktober 2026, dari http://documents.worldbank.org/curated/en/581581468041086975/pdf/407120ENGLISH01507190Yogya01PUBLIC1.pdf</w:t>
      </w:r>
    </w:p>
    <w:p>
      <w:pPr>
        <w:pStyle w:val="Pustaka"/>
      </w:pPr>
      <w:r>
        <w:t xml:space="preserve">Badan Perencanaan Pembangunan Nasional. (2007). </w:t>
      </w:r>
      <w:r>
        <w:rPr>
          <w:i/>
          <w:iCs/>
        </w:rPr>
        <w:t xml:space="preserve">Laporan Perkiraan Kerusakan dan Kerugian Pasca Bencana Banjir Awal Februari 2007 di Wilayah JABODETABEK</w:t>
      </w:r>
      <w:r>
        <w:t xml:space="preserve">. </w:t>
      </w:r>
      <w:r>
        <w:t xml:space="preserve">Diakses 23 Oktober 2026, dari https://www.locjkt.or.id/application/docliblcjkt/upload/Laporan%20penilaian%20Kerusakan%20dan%20kerugian%20JABODETABEK.pdf</w:t>
      </w:r>
    </w:p>
    <w:p>
      <w:pPr>
        <w:pStyle w:val="Pustaka"/>
      </w:pPr>
      <w:r>
        <w:t xml:space="preserve">Badan Pusat Statistik. (2021a). </w:t>
      </w:r>
      <w:r>
        <w:rPr>
          <w:i/>
          <w:iCs/>
        </w:rPr>
        <w:t xml:space="preserve">Hasil Sensus Penduduk 2020</w:t>
      </w:r>
      <w:r>
        <w:t xml:space="preserve">. </w:t>
      </w:r>
      <w:r>
        <w:t xml:space="preserve">Berita Resmi Statistik. </w:t>
      </w:r>
      <w:r>
        <w:t xml:space="preserve">Diakses 23 Oktober 2026, dari https://www.bps.go.id/id/pressrelease/2021/01/21/1854/hasil-sensus-penduduk-2020.html</w:t>
      </w:r>
    </w:p>
    <w:p>
      <w:pPr>
        <w:pStyle w:val="Pustaka"/>
      </w:pPr>
      <w:r>
        <w:t xml:space="preserve">Badan Pusat Statistik. (2024d). </w:t>
      </w:r>
      <w:r>
        <w:rPr>
          <w:i/>
          <w:iCs/>
        </w:rPr>
        <w:t xml:space="preserve">Statistik Potensi Desa Indonesia 2024</w:t>
      </w:r>
      <w:r>
        <w:t xml:space="preserve">. </w:t>
      </w:r>
      <w:r>
        <w:t xml:space="preserve">Badan Pusat Statistik. </w:t>
      </w:r>
      <w:r>
        <w:t xml:space="preserve">Diakses 23 Oktober 2026, dari https://www.bps.go.id/id/publication/2024/12/10/2f5217e2d6a695a0830290a7/statistik-potensi-desa-indonesia-2024.html</w:t>
      </w:r>
    </w:p>
    <w:p>
      <w:pPr>
        <w:pStyle w:val="Pustaka"/>
      </w:pPr>
      <w:r>
        <w:t xml:space="preserve">Badan Pusat Statistik. (2025b). </w:t>
      </w:r>
      <w:r>
        <w:rPr>
          <w:i/>
          <w:iCs/>
        </w:rPr>
        <w:t xml:space="preserve">Statistik Kriminal 2024/2025</w:t>
      </w:r>
      <w:r>
        <w:t xml:space="preserve">. </w:t>
      </w:r>
      <w:r>
        <w:t xml:space="preserve">Badan Pusat Statistik. </w:t>
      </w:r>
      <w:r>
        <w:t xml:space="preserve">Diakses 23 Oktober 2026, dari https://www.bps.go.id/id/publication/2025/12/12/2edc8ea4c35b19ba912fc7e4/statistik-kriminal-2024-2025.html</w:t>
      </w:r>
    </w:p>
    <w:p>
      <w:pPr>
        <w:pStyle w:val="Pustaka"/>
      </w:pPr>
      <w:r>
        <w:t xml:space="preserve">Badan Pusat Statistik. (2026). </w:t>
      </w:r>
      <w:r>
        <w:rPr>
          <w:i/>
          <w:iCs/>
        </w:rPr>
        <w:t xml:space="preserve">Jumlah Penduduk Pertengahan Tahun (Ribu Jiwa), 2026</w:t>
      </w:r>
      <w:r>
        <w:t xml:space="preserve"> [Tabel statistik]. </w:t>
      </w:r>
      <w:r>
        <w:t xml:space="preserve">Diakses 23 Oktober 2026, dari https://www.bps.go.id/id/statistics-table/2/MTk3NSMy/jumlah-penduduk-menurut-provinsi.html</w:t>
      </w:r>
    </w:p>
    <w:p>
      <w:pPr>
        <w:pStyle w:val="Pustaka"/>
      </w:pPr>
      <w:r>
        <w:t xml:space="preserve">Badan Pusat Statistik Provinsi Bengkulu. (2026). </w:t>
      </w:r>
      <w:r>
        <w:rPr>
          <w:i/>
          <w:iCs/>
        </w:rPr>
        <w:t xml:space="preserve">Survei Penduduk Antar Sensus (SUPAS) 2025: Perubahan Arah Demografi Indonesia</w:t>
      </w:r>
      <w:r>
        <w:t xml:space="preserve">. </w:t>
      </w:r>
      <w:r>
        <w:t xml:space="preserve">Diakses 24 Oktober 2026, dari https://bengkulu.bps.go.id/id/news/2026/05/08/981/survei-penduduk-antar-sensus--supas--2025--perubahan-arah-demografi-indonesia.html</w:t>
      </w:r>
    </w:p>
    <w:p>
      <w:pPr>
        <w:pStyle w:val="Pustaka"/>
      </w:pPr>
      <w:r>
        <w:t xml:space="preserve">Badan Rehabilitasi dan Rekonstruksi NAD–Nias. (2009a). </w:t>
      </w:r>
      <w:r>
        <w:rPr>
          <w:i/>
          <w:iCs/>
        </w:rPr>
        <w:t xml:space="preserve">Case study: The scattered beads</w:t>
      </w:r>
      <w:r>
        <w:t xml:space="preserve">. </w:t>
      </w:r>
      <w:r>
        <w:t xml:space="preserve">Badan Rehabilitasi dan Rekonstruksi NAD–Nias. </w:t>
      </w:r>
      <w:r>
        <w:t xml:space="preserve">Diakses 24 Oktober 2026, dari https://aset-sejarah.dibi.bnpb.go.id/media/assets/arsip/6748628c6962c.pdf</w:t>
      </w:r>
    </w:p>
    <w:p>
      <w:pPr>
        <w:pStyle w:val="Pustaka"/>
      </w:pPr>
      <w:r>
        <w:t xml:space="preserve">Badan Rehabilitasi dan Rekonstruksi NAD–Nias. (2009b). </w:t>
      </w:r>
      <w:r>
        <w:rPr>
          <w:i/>
          <w:iCs/>
        </w:rPr>
        <w:t xml:space="preserve">Nias: Membangun Melalui Jalan yang Jarang Dilalui</w:t>
      </w:r>
      <w:r>
        <w:t xml:space="preserve">. </w:t>
      </w:r>
      <w:r>
        <w:t xml:space="preserve">BRR NAD–Nias. </w:t>
      </w:r>
      <w:r>
        <w:t xml:space="preserve">Diakses 23 Oktober 2026, dari https://aset-sejarah.dibi.bnpb.go.id/assets/arsip/670de67d21dc8.pdf</w:t>
      </w:r>
    </w:p>
    <w:p>
      <w:pPr>
        <w:pStyle w:val="Pustaka"/>
      </w:pPr>
      <w:r>
        <w:t xml:space="preserve">Brookings-CUNY Project on Internal Displacement. (2001). </w:t>
      </w:r>
      <w:r>
        <w:rPr>
          <w:i/>
          <w:iCs/>
        </w:rPr>
        <w:t xml:space="preserve">Report of Seminar on Internal Displacement in Indonesia, Jakarta, 26–27 June 2001</w:t>
      </w:r>
      <w:r>
        <w:t xml:space="preserve">. </w:t>
      </w:r>
      <w:r>
        <w:t xml:space="preserve">Brookings Institution. </w:t>
      </w:r>
      <w:r>
        <w:t xml:space="preserve">Diakses 23 Oktober 2026, dari https://www.brookings.edu/wp-content/uploads/2012/04/20010626_IndonesiaReport.pdf</w:t>
      </w:r>
    </w:p>
    <w:p>
      <w:pPr>
        <w:pStyle w:val="Pustaka"/>
      </w:pPr>
      <w:r>
        <w:t xml:space="preserve">Bündnis Entwicklung Hilft. (2025). </w:t>
      </w:r>
      <w:r>
        <w:rPr>
          <w:i/>
          <w:iCs/>
        </w:rPr>
        <w:t xml:space="preserve">WorldRiskReport 2025: Focus floods</w:t>
      </w:r>
      <w:r>
        <w:t xml:space="preserve">. </w:t>
      </w:r>
      <w:r>
        <w:t xml:space="preserve">Welthungerhilfe (halaman publikasi). </w:t>
      </w:r>
      <w:r>
        <w:t xml:space="preserve">Diakses 24 Oktober 2026, dari https://www.welthungerhilfe.org/news/publications/detail/worldriskreport-2025</w:t>
      </w:r>
    </w:p>
    <w:p>
      <w:pPr>
        <w:pStyle w:val="Pustaka"/>
      </w:pPr>
      <w:r>
        <w:t xml:space="preserve">Cabinet Office. (2025). </w:t>
      </w:r>
      <w:r>
        <w:rPr>
          <w:i/>
          <w:iCs/>
        </w:rPr>
        <w:t xml:space="preserve">National Risk Register 2025</w:t>
      </w:r>
      <w:r>
        <w:t xml:space="preserve">. </w:t>
      </w:r>
      <w:r>
        <w:t xml:space="preserve">HM Government. </w:t>
      </w:r>
      <w:r>
        <w:t xml:space="preserve">Diakses 23 Oktober 2026, dari https://assets.publishing.service.gov.uk/media/67b5f85732b2aab18314bbe4/National_Risk_Register_2025.pdf</w:t>
      </w:r>
    </w:p>
    <w:p>
      <w:pPr>
        <w:pStyle w:val="Pustaka"/>
      </w:pPr>
      <w:r>
        <w:t xml:space="preserve">Cabinet Office. (2026). </w:t>
      </w:r>
      <w:r>
        <w:rPr>
          <w:i/>
          <w:iCs/>
        </w:rPr>
        <w:t xml:space="preserve">A Guide to the 2026 National Risk Register</w:t>
      </w:r>
      <w:r>
        <w:t xml:space="preserve">. </w:t>
      </w:r>
      <w:r>
        <w:t xml:space="preserve">HM Government. </w:t>
      </w:r>
      <w:r>
        <w:t xml:space="preserve">Diakses 24 Oktober 2026, dari https://assets.publishing.service.gov.uk/media/6a7c4412aadaaddf89b6e484/A_Guide_to_the_2026_National_Risk_Register.pdf</w:t>
      </w:r>
    </w:p>
    <w:p>
      <w:pPr>
        <w:pStyle w:val="Pustaka"/>
      </w:pPr>
      <w:r>
        <w:t xml:space="preserve">Direktorat Jenderal Kekayaan Negara, Kementerian Keuangan. (2021). </w:t>
      </w:r>
      <w:r>
        <w:rPr>
          <w:i/>
          <w:iCs/>
        </w:rPr>
        <w:t xml:space="preserve">Asuransi BMN Terima Klaim Kerugian Negara Akibat Bencana di Tahun 2020</w:t>
      </w:r>
      <w:r>
        <w:t xml:space="preserve">. </w:t>
      </w:r>
      <w:r>
        <w:t xml:space="preserve">DJKN. </w:t>
      </w:r>
      <w:r>
        <w:t xml:space="preserve">Diakses 23 Oktober 2026, dari https://www.djkn.kemenkeu.go.id/berita/baca/22986/Asuransi-BMN-Terima-Klaim-Kerugian-Negara-Rp114-Milyar-Akibat-Bencana-di-Tahun-2020.html</w:t>
      </w:r>
    </w:p>
    <w:p>
      <w:pPr>
        <w:pStyle w:val="Pustaka"/>
      </w:pPr>
      <w:r>
        <w:t xml:space="preserve">European Commission Humanitarian Aid (ECHO). (2010). </w:t>
      </w:r>
      <w:r>
        <w:rPr>
          <w:i/>
          <w:iCs/>
        </w:rPr>
        <w:t xml:space="preserve">Factsheet Chile earthquake (08/03/2010), MEMO/10/71</w:t>
      </w:r>
      <w:r>
        <w:t xml:space="preserve">. </w:t>
      </w:r>
      <w:r>
        <w:t xml:space="preserve">ReliefWeb. </w:t>
      </w:r>
      <w:r>
        <w:t xml:space="preserve">Diakses 23 Oktober 2026, dari https://reliefweb.int/report/chile/factsheet-chile-earthquake-08032010</w:t>
      </w:r>
    </w:p>
    <w:p>
      <w:pPr>
        <w:pStyle w:val="Pustaka"/>
      </w:pPr>
      <w:r>
        <w:t xml:space="preserve">European Union. (2013). </w:t>
      </w:r>
      <w:r>
        <w:rPr>
          <w:i/>
          <w:iCs/>
        </w:rPr>
        <w:t xml:space="preserve">Post-Disaster Needs Assessments Guidelines, Volume A</w:t>
      </w:r>
      <w:r>
        <w:t xml:space="preserve">. </w:t>
      </w:r>
      <w:r>
        <w:t xml:space="preserve">Diakses 24 Oktober 2026, dari https://fpi.ec.europa.eu/system/files/2021-05/pdna_vol._a_en.pdf</w:t>
      </w:r>
    </w:p>
    <w:p>
      <w:pPr>
        <w:pStyle w:val="Pustaka"/>
      </w:pPr>
      <w:r>
        <w:t xml:space="preserve">FEMA Federal Insurance and Mitigation Administration. (2018). </w:t>
      </w:r>
      <w:r>
        <w:rPr>
          <w:i/>
          <w:iCs/>
        </w:rPr>
        <w:t xml:space="preserve">Natural Hazard Mitigation Saves Interim Report (fact sheet)</w:t>
      </w:r>
      <w:r>
        <w:t xml:space="preserve">. </w:t>
      </w:r>
      <w:r>
        <w:t xml:space="preserve">FEMA. </w:t>
      </w:r>
      <w:r>
        <w:t xml:space="preserve">Diakses 23 Oktober 2026, dari https://www.fema.gov/sites/default/files/2020-07/fema_mitsaves-factsheet_2018.pdf</w:t>
      </w:r>
    </w:p>
    <w:p>
      <w:pPr>
        <w:pStyle w:val="Pustaka"/>
      </w:pPr>
      <w:r>
        <w:t xml:space="preserve">Government of Odisha. (2013). </w:t>
      </w:r>
      <w:r>
        <w:rPr>
          <w:i/>
          <w:iCs/>
        </w:rPr>
        <w:t xml:space="preserve">India: Cyclone Phailin in Odisha, October 2013, Rapid Damage and Needs Assessment Report</w:t>
      </w:r>
      <w:r>
        <w:t xml:space="preserve">. </w:t>
      </w:r>
      <w:r>
        <w:t xml:space="preserve">Diakses 23 Oktober 2026, dari https://documents1.worldbank.org/curated/en/168471468257979992/pdf/838860WP0P14880Box0382116B00PUBLIC0.pdf</w:t>
      </w:r>
    </w:p>
    <w:p>
      <w:pPr>
        <w:pStyle w:val="Pustaka"/>
      </w:pPr>
      <w:r>
        <w:t xml:space="preserve">Haque, U., Hashizume, M., Kolivras, K. N., Overgaard, H. J., Das, B., &amp; Yamamoto, T. (2012). </w:t>
      </w:r>
      <w:r>
        <w:t xml:space="preserve">Reduced death rates from cyclones in Bangladesh: What more needs to be done? </w:t>
      </w:r>
      <w:r>
        <w:rPr>
          <w:i/>
          <w:iCs/>
        </w:rPr>
        <w:t xml:space="preserve">Bulletin of the World Health Organization</w:t>
      </w:r>
      <w:r>
        <w:t xml:space="preserve">, </w:t>
      </w:r>
      <w:r>
        <w:rPr>
          <w:i/>
          <w:iCs/>
        </w:rPr>
        <w:t xml:space="preserve">90</w:t>
      </w:r>
      <w:r>
        <w:t xml:space="preserve">(2)</w:t>
      </w:r>
      <w:r>
        <w:t xml:space="preserve">, 150–156. </w:t>
      </w:r>
      <w:r>
        <w:t xml:space="preserve">https://doi.org/10.2471/BLT.11.088302</w:t>
      </w:r>
    </w:p>
    <w:p>
      <w:pPr>
        <w:pStyle w:val="Pustaka"/>
      </w:pPr>
      <w:r>
        <w:t xml:space="preserve">Harnantyari, Takabatake, Esteban, Valenzuela, Nishida, Shibayama, Achiari, Rusli, Marzuki, Marzuki, Aránguiz, &amp; Kyaw. (2020). </w:t>
      </w:r>
      <w:r>
        <w:t xml:space="preserve">Tsunami awareness and evacuation behaviour during the 2018 Sulawesi Earthquake tsunami. </w:t>
      </w:r>
      <w:r>
        <w:rPr>
          <w:i/>
          <w:iCs/>
        </w:rPr>
        <w:t xml:space="preserve">International Journal of Disaster Risk Reduction</w:t>
      </w:r>
      <w:r>
        <w:t xml:space="preserve">, </w:t>
      </w:r>
      <w:r>
        <w:rPr>
          <w:i/>
          <w:iCs/>
        </w:rPr>
        <w:t xml:space="preserve">43</w:t>
      </w:r>
      <w:r>
        <w:t xml:space="preserve">. </w:t>
      </w:r>
      <w:r>
        <w:t xml:space="preserve">Diakses 24 Oktober 2026, dari https://doi.org/10.1016/j.ijdrr.2019.101389</w:t>
      </w:r>
    </w:p>
    <w:p>
      <w:pPr>
        <w:pStyle w:val="Pustaka"/>
      </w:pPr>
      <w:r>
        <w:t xml:space="preserve">Human Rights Watch. (2002). </w:t>
      </w:r>
      <w:r>
        <w:rPr>
          <w:i/>
          <w:iCs/>
        </w:rPr>
        <w:t xml:space="preserve">Indonesia: Breakdown: Four years of communal violence in Central Sulawesi (siaran pers)</w:t>
      </w:r>
      <w:r>
        <w:t xml:space="preserve">. </w:t>
      </w:r>
      <w:r>
        <w:t xml:space="preserve">Human Rights Watch. </w:t>
      </w:r>
      <w:r>
        <w:t xml:space="preserve">Diakses 23 Oktober 2026, dari https://www.hrw.org/press/2002/12/indo1204.htm</w:t>
      </w:r>
    </w:p>
    <w:p>
      <w:pPr>
        <w:pStyle w:val="Pustaka"/>
      </w:pPr>
      <w:r>
        <w:t xml:space="preserve">International Crisis Group. (2001). </w:t>
      </w:r>
      <w:r>
        <w:rPr>
          <w:i/>
          <w:iCs/>
        </w:rPr>
        <w:t xml:space="preserve">Communal violence in Indonesia: Lessons from Kalimantan</w:t>
      </w:r>
      <w:r>
        <w:t xml:space="preserve">. </w:t>
      </w:r>
      <w:r>
        <w:t xml:space="preserve">International Crisis Group. </w:t>
      </w:r>
      <w:r>
        <w:t xml:space="preserve">Diakses 23 Oktober 2026, dari https://www.justice.gov/file/277141/dl</w:t>
      </w:r>
    </w:p>
    <w:p>
      <w:pPr>
        <w:pStyle w:val="Pustaka"/>
      </w:pPr>
      <w:r>
        <w:t xml:space="preserve">International Crisis Group. (2002). </w:t>
      </w:r>
      <w:r>
        <w:rPr>
          <w:i/>
          <w:iCs/>
        </w:rPr>
        <w:t xml:space="preserve">Indonesia: The search for peace in Maluku</w:t>
      </w:r>
      <w:r>
        <w:t xml:space="preserve">. </w:t>
      </w:r>
      <w:r>
        <w:t xml:space="preserve">International Crisis Group. </w:t>
      </w:r>
      <w:r>
        <w:t xml:space="preserve">Diakses 23 Oktober 2026, dari https://web.archive.org/web/20240717142222/https://www.crisisgroup.org/asia/south-east-asia/indonesia/indonesia-search-peace-maluku</w:t>
      </w:r>
    </w:p>
    <w:p>
      <w:pPr>
        <w:pStyle w:val="Pustaka"/>
      </w:pPr>
      <w:r>
        <w:t xml:space="preserve">Japan Science and Technology Agency. (2016). </w:t>
      </w:r>
      <w:r>
        <w:rPr>
          <w:i/>
          <w:iCs/>
        </w:rPr>
        <w:t xml:space="preserve">For achieving zero victims in a natural disaster: dynamic hazard map and disaster prevention education (Toshitaka Katada)</w:t>
      </w:r>
      <w:r>
        <w:t xml:space="preserve">. </w:t>
      </w:r>
      <w:r>
        <w:t xml:space="preserve">JST. </w:t>
      </w:r>
      <w:r>
        <w:t xml:space="preserve">Diakses 23 Oktober 2026, dari https://www.jst.go.jp/EN/achievements/research/pdf/toshitaka_katada2016.pdf</w:t>
      </w:r>
    </w:p>
    <w:p>
      <w:pPr>
        <w:pStyle w:val="Pustaka"/>
      </w:pPr>
      <w:r>
        <w:t xml:space="preserve">Kementerian Dalam Negeri. (2015). </w:t>
      </w:r>
      <w:r>
        <w:rPr>
          <w:i/>
          <w:iCs/>
        </w:rPr>
        <w:t xml:space="preserve">Peraturan Menteri Dalam Negeri Nomor 42 Tahun 2015 tentang Pelaksanaan Koordinasi Penanganan Konflik Sosial</w:t>
      </w:r>
      <w:r>
        <w:t xml:space="preserve">. </w:t>
      </w:r>
      <w:r>
        <w:t xml:space="preserve">Berita Negara Republik Indonesia Tahun 2015 Nomor 506. </w:t>
      </w:r>
      <w:r>
        <w:t xml:space="preserve">Diakses 24 Oktober 2026, dari https://balaipemdesdilampung.kemendagri.go.id/assets/files/PERMENDAGRI-NO-42-TAHUN-2015.pdf</w:t>
      </w:r>
    </w:p>
    <w:p>
      <w:pPr>
        <w:pStyle w:val="Pustaka"/>
      </w:pPr>
      <w:r>
        <w:t xml:space="preserve">Kementerian Dalam Negeri. (2018). </w:t>
      </w:r>
      <w:r>
        <w:rPr>
          <w:i/>
          <w:iCs/>
        </w:rPr>
        <w:t xml:space="preserve">Peraturan Menteri Dalam Negeri Nomor 101 Tahun 2018 tentang Standar Teknis Pelayanan Dasar pada Standar Pelayanan Minimal Sub Urusan Bencana Daerah Kabupaten/Kota</w:t>
      </w:r>
      <w:r>
        <w:t xml:space="preserve">. </w:t>
      </w:r>
      <w:r>
        <w:t xml:space="preserve">Berita Negara Republik Indonesia Tahun 2018 Nomor 1541. </w:t>
      </w:r>
      <w:r>
        <w:t xml:space="preserve">Diakses 24 Oktober 2026, dari https://peraturan.bpk.go.id/Details/245191</w:t>
      </w:r>
    </w:p>
    <w:p>
      <w:pPr>
        <w:pStyle w:val="Pustaka"/>
      </w:pPr>
      <w:r>
        <w:t xml:space="preserve">Kementerian Desa dan Pembangunan Daerah Tertinggal Republik Indonesia. (2025). </w:t>
      </w:r>
      <w:r>
        <w:rPr>
          <w:i/>
          <w:iCs/>
        </w:rPr>
        <w:t xml:space="preserve">Peraturan Menteri Desa dan Pembangunan Daerah Tertinggal Nomor 16 Tahun 2025 tentang Petunjuk Operasional atas Fokus Penggunaan Dana Desa Tahun 2026</w:t>
      </w:r>
      <w:r>
        <w:t xml:space="preserve">. </w:t>
      </w:r>
      <w:r>
        <w:t xml:space="preserve">Diakses 24 Oktober 2026, dari https://www.peraturan.go.id/filespengundangan/permendespdt-no-16-tahun-2025.pdf</w:t>
      </w:r>
    </w:p>
    <w:p>
      <w:pPr>
        <w:pStyle w:val="Pustaka"/>
      </w:pPr>
      <w:r>
        <w:t xml:space="preserve">Kementerian Energi dan Sumber Daya Mineral. (2011). </w:t>
      </w:r>
      <w:r>
        <w:rPr>
          <w:i/>
          <w:iCs/>
        </w:rPr>
        <w:t xml:space="preserve">Peraturan Menteri Energi dan Sumber Daya Mineral Nomor 15 Tahun 2011 tentang Pedoman Mitigasi Bencana Gunungapi, Gerakan Tanah, Gempabumi, dan Tsunami</w:t>
      </w:r>
      <w:r>
        <w:t xml:space="preserve">. </w:t>
      </w:r>
      <w:r>
        <w:t xml:space="preserve">Diakses 24 Oktober 2026, dari http://jdih.esdm.go.id/common/dokumen-external/permen%20ESDM%2015%202011.pdf</w:t>
      </w:r>
    </w:p>
    <w:p>
      <w:pPr>
        <w:pStyle w:val="Pustaka"/>
      </w:pPr>
      <w:r>
        <w:t xml:space="preserve">Kementerian Energi dan Sumber Daya Mineral. (2021). </w:t>
      </w:r>
      <w:r>
        <w:rPr>
          <w:i/>
          <w:iCs/>
        </w:rPr>
        <w:t xml:space="preserve">Peraturan Menteri Energi dan Sumber Daya Mineral Nomor 32 Tahun 2021 tentang Inspeksi Teknis dan Pemeriksaan Keselamatan Instalasi dan Peralatan pada Kegiatan Usaha Minyak dan Gas Bumi</w:t>
      </w:r>
      <w:r>
        <w:t xml:space="preserve">. </w:t>
      </w:r>
      <w:r>
        <w:t xml:space="preserve">Berita Negara Republik Indonesia Tahun 2021 Nomor 1273. </w:t>
      </w:r>
      <w:r>
        <w:t xml:space="preserve">Diakses 23 Oktober 2026, dari https://peraturan.bpk.go.id/Download/261051/Permen%20ESDM%20No.%2032%20Tahun%202021.pdf</w:t>
      </w:r>
    </w:p>
    <w:p>
      <w:pPr>
        <w:pStyle w:val="Pustaka"/>
      </w:pPr>
      <w:r>
        <w:t xml:space="preserve">Kementerian Kehutanan. (2026). </w:t>
      </w:r>
      <w:r>
        <w:rPr>
          <w:i/>
          <w:iCs/>
        </w:rPr>
        <w:t xml:space="preserve">SiPongi: luas kebakaran hutan dan lahan per provinsi 2015–2026</w:t>
      </w:r>
      <w:r>
        <w:t xml:space="preserve">. </w:t>
      </w:r>
      <w:r>
        <w:t xml:space="preserve">Kementerian Kehutanan (sebelum Oktober 2024 KLHK). </w:t>
      </w:r>
      <w:r>
        <w:t xml:space="preserve">Diakses 23 Oktober 2026, dari https://opsroom.sipongidata.my.id/api/list/luas-kebakaran/provinsi?tahunAwal=2015&amp;tahunAkhir=2026</w:t>
      </w:r>
    </w:p>
    <w:p>
      <w:pPr>
        <w:pStyle w:val="Pustaka"/>
      </w:pPr>
      <w:r>
        <w:t xml:space="preserve">Kementerian Kesehatan Republik Indonesia. (2009). </w:t>
      </w:r>
      <w:r>
        <w:rPr>
          <w:i/>
          <w:iCs/>
        </w:rPr>
        <w:t xml:space="preserve">Keputusan Menteri Kesehatan Nomor 300/MENKES/SK/IV/2009 tentang Pedoman Penanggulangan Episenter Pandemi Influenza</w:t>
      </w:r>
      <w:r>
        <w:t xml:space="preserve">. </w:t>
      </w:r>
      <w:r>
        <w:t xml:space="preserve">Diakses 23 Oktober 2026, dari https://kespel.kemkes.go.id/uploads/imgreference/20150803103914.pdf</w:t>
      </w:r>
    </w:p>
    <w:p>
      <w:pPr>
        <w:pStyle w:val="Pustaka"/>
      </w:pPr>
      <w:r>
        <w:t xml:space="preserve">Kementerian Kesehatan Republik Indonesia. (2026). </w:t>
      </w:r>
      <w:r>
        <w:rPr>
          <w:i/>
          <w:iCs/>
        </w:rPr>
        <w:t xml:space="preserve">Peraturan Menteri Kesehatan Nomor 1 Tahun 2026 tentang Kejadian Luar Biasa, Wabah, dan Krisis Kesehatan (teks berlabel RANCANGAN)</w:t>
      </w:r>
      <w:r>
        <w:t xml:space="preserve">. </w:t>
      </w:r>
      <w:r>
        <w:t xml:space="preserve">Diakses 24 Oktober 2026, dari https://jdih.kemkes.go.id/storage/documents/pdfs/2026permenkes001.pdf</w:t>
      </w:r>
    </w:p>
    <w:p>
      <w:pPr>
        <w:pStyle w:val="Pustaka"/>
      </w:pPr>
      <w:r>
        <w:t xml:space="preserve">Kementerian Keuangan. (2025). </w:t>
      </w:r>
      <w:r>
        <w:rPr>
          <w:i/>
          <w:iCs/>
        </w:rPr>
        <w:t xml:space="preserve">Peraturan Menteri Keuangan Nomor 97 Tahun 2025 tentang Peta Kapasitas Fiskal Daerah</w:t>
      </w:r>
      <w:r>
        <w:t xml:space="preserve">. </w:t>
      </w:r>
      <w:r>
        <w:t xml:space="preserve">Diakses 24 Oktober 2026, dari https://jdih.kemenkeu.go.id/api/download/b07259a8-a36e-49bd-8031-18b7489c675e/2025pmkeuangan097.pdf</w:t>
      </w:r>
    </w:p>
    <w:p>
      <w:pPr>
        <w:pStyle w:val="Pustaka"/>
      </w:pPr>
      <w:r>
        <w:t xml:space="preserve">Kementerian Keuangan Republik Indonesia. (2025a). </w:t>
      </w:r>
      <w:r>
        <w:rPr>
          <w:i/>
          <w:iCs/>
        </w:rPr>
        <w:t xml:space="preserve">Peraturan Menteri Keuangan Nomor 28 Tahun 2025 tentang Pengelolaan Dana Bersama Penanggulangan Bencana</w:t>
      </w:r>
      <w:r>
        <w:t xml:space="preserve">. </w:t>
      </w:r>
      <w:r>
        <w:t xml:space="preserve">Diakses 24 Oktober 2026, dari https://peraturan.bpk.go.id/Details/317819</w:t>
      </w:r>
    </w:p>
    <w:p>
      <w:pPr>
        <w:pStyle w:val="Pustaka"/>
      </w:pPr>
      <w:r>
        <w:t xml:space="preserve">Kementerian Keuangan Republik Indonesia, Badan Kebijakan Fiskal. (2018). </w:t>
      </w:r>
      <w:r>
        <w:rPr>
          <w:i/>
          <w:iCs/>
        </w:rPr>
        <w:t xml:space="preserve">Strategi Pembiayaan dan Asuransi Risiko Bencana</w:t>
      </w:r>
      <w:r>
        <w:t xml:space="preserve">. </w:t>
      </w:r>
      <w:r>
        <w:t xml:space="preserve">Kementerian Keuangan Republik Indonesia. </w:t>
      </w:r>
      <w:r>
        <w:t xml:space="preserve">Diakses 24 Oktober 2026, dari https://fiskal.kemenkeu.go.id/files/buku/file/1752573940_parb2018_revisi.pdf</w:t>
      </w:r>
    </w:p>
    <w:p>
      <w:pPr>
        <w:pStyle w:val="Pustaka"/>
      </w:pPr>
      <w:r>
        <w:t xml:space="preserve">Kementerian Keuangan Republik Indonesia, Badan Kebijakan Fiskal. (2026). </w:t>
      </w:r>
      <w:r>
        <w:rPr>
          <w:i/>
          <w:iCs/>
        </w:rPr>
        <w:t xml:space="preserve">PFB (Pooling Fund Bencana)</w:t>
      </w:r>
      <w:r>
        <w:t xml:space="preserve">. </w:t>
      </w:r>
      <w:r>
        <w:t xml:space="preserve">Pembiayaan dan Asuransi Risiko Bencana. </w:t>
      </w:r>
      <w:r>
        <w:t xml:space="preserve">Diakses 24 Oktober 2026, dari https://fiskal.kemenkeu.go.id/parb/en/pfb-2/</w:t>
      </w:r>
    </w:p>
    <w:p>
      <w:pPr>
        <w:pStyle w:val="Pustaka"/>
      </w:pPr>
      <w:r>
        <w:t xml:space="preserve">Kementerian Koordinator Bidang Infrastruktur dan Pembangunan Kewilayahan. (2025). </w:t>
      </w:r>
      <w:r>
        <w:rPr>
          <w:i/>
          <w:iCs/>
        </w:rPr>
        <w:t xml:space="preserve">Inpres 18/2025: Percepatan Penanganan Darurat, Rehabilitasi, dan Rekonstruksi Pascabencana Alam di Provinsi Aceh, Provinsi Sumatera Utara, dan Provinsi Sumatera Barat</w:t>
      </w:r>
      <w:r>
        <w:t xml:space="preserve">. </w:t>
      </w:r>
      <w:r>
        <w:t xml:space="preserve">JDIH Kemenko Infrastruktur. </w:t>
      </w:r>
      <w:r>
        <w:t xml:space="preserve">Diakses 24 Oktober 2026, dari https://jdih.kemenkoinfra.go.id/inpres-182025-percepatan-penanganan-darurat-rehabilitasi-dan-rekonstruksi-pascabencana-alam-di-provinsi-aceh-provinsi-sumatera-utara-dan-provinsi-sumatera-barat</w:t>
      </w:r>
    </w:p>
    <w:p>
      <w:pPr>
        <w:pStyle w:val="Pustaka"/>
      </w:pPr>
      <w:r>
        <w:t xml:space="preserve">Kementerian Koordinator Bidang Pembangunan Manusia dan Kebudayaan. (2023a). </w:t>
      </w:r>
      <w:r>
        <w:rPr>
          <w:i/>
          <w:iCs/>
        </w:rPr>
        <w:t xml:space="preserve">Pemerintah Tambah Standar Biaya Bantuan Rumah Rusak Pasca Bencana</w:t>
      </w:r>
      <w:r>
        <w:t xml:space="preserve">. </w:t>
      </w:r>
      <w:r>
        <w:t xml:space="preserve">kemenkopmk.go.id. </w:t>
      </w:r>
      <w:r>
        <w:t xml:space="preserve">Diakses 24 Oktober 2026, dari https://kemenkopmk.go.id/node/4634</w:t>
      </w:r>
    </w:p>
    <w:p>
      <w:pPr>
        <w:pStyle w:val="Pustaka"/>
      </w:pPr>
      <w:r>
        <w:t xml:space="preserve">Kementerian Koordinator Bidang Pembangunan Manusia dan Kebudayaan. (2023b). </w:t>
      </w:r>
      <w:r>
        <w:rPr>
          <w:i/>
          <w:iCs/>
        </w:rPr>
        <w:t xml:space="preserve">Pemerintah Tangani Serius Bencana Kekeringan di Kabupaten Puncak, Papua Tengah</w:t>
      </w:r>
      <w:r>
        <w:t xml:space="preserve">. </w:t>
      </w:r>
      <w:r>
        <w:t xml:space="preserve">Diakses 24 Oktober 2026, dari https://kemenkopmk.go.id/node/4192</w:t>
      </w:r>
    </w:p>
    <w:p>
      <w:pPr>
        <w:pStyle w:val="Pustaka"/>
      </w:pPr>
      <w:r>
        <w:t xml:space="preserve">Kementerian Koordinator Bidang Pembangunan Manusia dan Kebudayaan. (2024). </w:t>
      </w:r>
      <w:r>
        <w:rPr>
          <w:i/>
          <w:iCs/>
        </w:rPr>
        <w:t xml:space="preserve">Komitmen Bersama dalam Penuntasan Rehab Rekon Pascabencana Gempa Bumi Pulau Lombok dan Sekitarnya</w:t>
      </w:r>
      <w:r>
        <w:t xml:space="preserve">. </w:t>
      </w:r>
      <w:r>
        <w:t xml:space="preserve">Diakses 23 Oktober 2026, dari https://kemenkopmk.go.id/node/4970</w:t>
      </w:r>
    </w:p>
    <w:p>
      <w:pPr>
        <w:pStyle w:val="Pustaka"/>
      </w:pPr>
      <w:r>
        <w:t xml:space="preserve">Kementerian Koordinator Bidang Pembangunan Manusia dan Kebudayaan. (2025a). </w:t>
      </w:r>
      <w:r>
        <w:rPr>
          <w:i/>
          <w:iCs/>
        </w:rPr>
        <w:t xml:space="preserve">Kemenko PMK Dorong Sinkronisasi Indeks Risiko Bencana untuk Perkuat Ketahanan Daerah</w:t>
      </w:r>
      <w:r>
        <w:t xml:space="preserve">. </w:t>
      </w:r>
      <w:r>
        <w:t xml:space="preserve">Diakses 24 Oktober 2026, dari https://kemenkopmk.go.id/node/5841</w:t>
      </w:r>
    </w:p>
    <w:p>
      <w:pPr>
        <w:pStyle w:val="Pustaka"/>
      </w:pPr>
      <w:r>
        <w:t xml:space="preserve">Kementerian Koordinator Bidang Pembangunan Manusia dan Kebudayaan. (2025b). </w:t>
      </w:r>
      <w:r>
        <w:rPr>
          <w:i/>
          <w:iCs/>
        </w:rPr>
        <w:t xml:space="preserve">Kemenko PMK Gelar Rakor Sinergisitas Multipihak dalam Rehabilitasi dan Rekonstruksi Pascabencana</w:t>
      </w:r>
      <w:r>
        <w:t xml:space="preserve">. </w:t>
      </w:r>
      <w:r>
        <w:t xml:space="preserve">Diakses 24 Oktober 2026, dari https://kemenkopmk.go.id/node/5475</w:t>
      </w:r>
    </w:p>
    <w:p>
      <w:pPr>
        <w:pStyle w:val="Pustaka"/>
      </w:pPr>
      <w:r>
        <w:t xml:space="preserve">Kementerian Koordinator Bidang Pembangunan Manusia dan Kebudayaan. (2025c). </w:t>
      </w:r>
      <w:r>
        <w:rPr>
          <w:i/>
          <w:iCs/>
        </w:rPr>
        <w:t xml:space="preserve">Kemenko PMK dan UNDP bahas revitalisasi Sistem Nasional Pemantauan Kekerasan (SNPK)</w:t>
      </w:r>
      <w:r>
        <w:t xml:space="preserve">. </w:t>
      </w:r>
      <w:r>
        <w:t xml:space="preserve">Kemenko PMK. </w:t>
      </w:r>
      <w:r>
        <w:t xml:space="preserve">Diakses 24 Oktober 2026, dari https://kemenkopmk.go.id/node/5582</w:t>
      </w:r>
    </w:p>
    <w:p>
      <w:pPr>
        <w:pStyle w:val="Pustaka"/>
      </w:pPr>
      <w:r>
        <w:t xml:space="preserve">Kementerian Koordinator Bidang Pembangunan Manusia dan Kebudayaan. (2025d). </w:t>
      </w:r>
      <w:r>
        <w:rPr>
          <w:i/>
          <w:iCs/>
        </w:rPr>
        <w:t xml:space="preserve">Kemenko PMK matangkan migrasi SNPK untuk perkuat tata kelola data konflik nasional</w:t>
      </w:r>
      <w:r>
        <w:t xml:space="preserve">. </w:t>
      </w:r>
      <w:r>
        <w:t xml:space="preserve">Kemenko PMK. </w:t>
      </w:r>
      <w:r>
        <w:t xml:space="preserve">Diakses 24 Oktober 2026, dari https://kemenkopmk.go.id/node/5967</w:t>
      </w:r>
    </w:p>
    <w:p>
      <w:pPr>
        <w:pStyle w:val="Pustaka"/>
      </w:pPr>
      <w:r>
        <w:t xml:space="preserve">Kementerian Koordinator Bidang Pembangunan Manusia dan Kebudayaan. (2025e). </w:t>
      </w:r>
      <w:r>
        <w:rPr>
          <w:i/>
          <w:iCs/>
        </w:rPr>
        <w:t xml:space="preserve">Kemenko PMK matangkan proses migrasi SNPK dari LabPsiPol UI melalui skema hibah</w:t>
      </w:r>
      <w:r>
        <w:t xml:space="preserve">. </w:t>
      </w:r>
      <w:r>
        <w:t xml:space="preserve">Kemenko PMK. </w:t>
      </w:r>
      <w:r>
        <w:t xml:space="preserve">Diakses 24 Oktober 2026, dari https://kemenkopmk.go.id/node/5713</w:t>
      </w:r>
    </w:p>
    <w:p>
      <w:pPr>
        <w:pStyle w:val="Pustaka"/>
      </w:pPr>
      <w:r>
        <w:t xml:space="preserve">Kementerian Koordinator Bidang Pembangunan Manusia dan Kebudayaan. (2026). </w:t>
      </w:r>
      <w:r>
        <w:rPr>
          <w:i/>
          <w:iCs/>
        </w:rPr>
        <w:t xml:space="preserve">Kemenko PMK Perkuat Sinergi Pemulihan Pascabanjir Aceh melalui Akselerasi R3P</w:t>
      </w:r>
      <w:r>
        <w:t xml:space="preserve">. </w:t>
      </w:r>
      <w:r>
        <w:t xml:space="preserve">Diakses 24 Oktober 2026, dari https://kemenkopmk.go.id/node/6211</w:t>
      </w:r>
    </w:p>
    <w:p>
      <w:pPr>
        <w:pStyle w:val="Pustaka"/>
      </w:pPr>
      <w:r>
        <w:t xml:space="preserve">Kementerian Lingkungan Hidup dan Kehutanan (kini Kementerian Kehutanan), SiPongi. (2026). </w:t>
      </w:r>
      <w:r>
        <w:rPr>
          <w:i/>
          <w:iCs/>
        </w:rPr>
        <w:t xml:space="preserve">Indikasi luas kebakaran hutan dan lahan per provinsi 2018–2025</w:t>
      </w:r>
      <w:r>
        <w:t xml:space="preserve">. </w:t>
      </w:r>
      <w:r>
        <w:t xml:space="preserve">Kementerian Kehutanan. </w:t>
      </w:r>
      <w:r>
        <w:t xml:space="preserve">Diakses 16 Oktober 2026, dari public/data/luas_resmi.json</w:t>
      </w:r>
    </w:p>
    <w:p>
      <w:pPr>
        <w:pStyle w:val="Pustaka"/>
      </w:pPr>
      <w:r>
        <w:t xml:space="preserve">Kementerian Lingkungan Hidup/Badan Pengendalian Lingkungan Hidup. (2026a). </w:t>
      </w:r>
      <w:r>
        <w:rPr>
          <w:i/>
          <w:iCs/>
        </w:rPr>
        <w:t xml:space="preserve">Cegah kebakaran TPA, Wamen LH dorong pemanfaatan air hasil pengolahan limbah cair untuk pembasahan</w:t>
      </w:r>
      <w:r>
        <w:t xml:space="preserve">. </w:t>
      </w:r>
      <w:r>
        <w:t xml:space="preserve">Diakses 24 Oktober 2026, dari https://kemenlh.go.id/news/detail/cegah-kebakaran-tpa-wamen-lh-dorong-pemanfaatan-air-hasil-pengolahan-limbah-cair-untuk-pembasahan</w:t>
      </w:r>
    </w:p>
    <w:p>
      <w:pPr>
        <w:pStyle w:val="Pustaka"/>
      </w:pPr>
      <w:r>
        <w:t xml:space="preserve">Kementerian Lingkungan Hidup/Badan Pengendalian Lingkungan Hidup. (2026b). </w:t>
      </w:r>
      <w:r>
        <w:rPr>
          <w:i/>
          <w:iCs/>
        </w:rPr>
        <w:t xml:space="preserve">KLH/BPLH perketat penegakan hukum pengelolaan sampah: 273 TPA disanksi buntut pengawasan 388 TPA di Indonesia</w:t>
      </w:r>
      <w:r>
        <w:t xml:space="preserve">. </w:t>
      </w:r>
      <w:r>
        <w:t xml:space="preserve">Diakses 23 Oktober 2026, dari https://kemenlh.go.id/news/detail/klhbplh-perketat-penegakan-hukum-pengelolaan-sampah-273-tpa-disanksi-buntut-pengawasan-388-tpa-di-indonesia</w:t>
      </w:r>
    </w:p>
    <w:p>
      <w:pPr>
        <w:pStyle w:val="Pustaka"/>
      </w:pPr>
      <w:r>
        <w:t xml:space="preserve">Kementerian Lingkungan Hidup/Badan Pengendalian Lingkungan Hidup. (2026c). </w:t>
      </w:r>
      <w:r>
        <w:rPr>
          <w:i/>
          <w:iCs/>
        </w:rPr>
        <w:t xml:space="preserve">Penanganan kebakaran TPA Jatiwaringin tunjukkan hasil, Menteri LH: area terbakar tinggal 36 persen</w:t>
      </w:r>
      <w:r>
        <w:t xml:space="preserve">. </w:t>
      </w:r>
      <w:r>
        <w:t xml:space="preserve">Diakses 24 Oktober 2026, dari https://kemenlh.go.id/news/detail/penanganan-kebakaran-tpa-jatiwaringin-tunjukkan-hasil-menteri-lh-area-terbakar-tinggal-36-persen</w:t>
      </w:r>
    </w:p>
    <w:p>
      <w:pPr>
        <w:pStyle w:val="Pustaka"/>
      </w:pPr>
      <w:r>
        <w:t xml:space="preserve">Kementerian Lingkungan Hidup/Badan Pengendalian Lingkungan Hidup. (2026d). </w:t>
      </w:r>
      <w:r>
        <w:rPr>
          <w:i/>
          <w:iCs/>
        </w:rPr>
        <w:t xml:space="preserve">Target nasional 2026: pemerintah tegaskan penghentian open dumping dan percepatan pemilahan sampah (Siaran Pers SR.70/HUMAS/KLH-BPLH/4/2026)</w:t>
      </w:r>
      <w:r>
        <w:t xml:space="preserve">. </w:t>
      </w:r>
      <w:r>
        <w:t xml:space="preserve">KLH/BPLH. </w:t>
      </w:r>
      <w:r>
        <w:t xml:space="preserve">Diakses 23 Oktober 2026, dari https://kemenlh.go.id/news/detail/target-nasional-2026-pemerintah-tegaskan-penghentian-open-dumping-dan-percepatan-pemilahan-sampah</w:t>
      </w:r>
    </w:p>
    <w:p>
      <w:pPr>
        <w:pStyle w:val="Pustaka"/>
      </w:pPr>
      <w:r>
        <w:t xml:space="preserve">Kementerian Lingkungan Hidup/Badan Pengendalian Lingkungan Hidup. (2026e). </w:t>
      </w:r>
      <w:r>
        <w:rPr>
          <w:i/>
          <w:iCs/>
        </w:rPr>
        <w:t xml:space="preserve">Tinjau kebakaran TPA Galuga, Wamen LH pastikan sistem monitoring kualitas udara untuk himbauan warga</w:t>
      </w:r>
      <w:r>
        <w:t xml:space="preserve">. </w:t>
      </w:r>
      <w:r>
        <w:t xml:space="preserve">Diakses 24 Oktober 2026, dari https://kemenlh.go.id/news/detail/tinjau-kebakaran-tpa-galuga-wamen-lh-pastikan-sistem-monitoring-kualitas-udara-untuk-himbauan-warga</w:t>
      </w:r>
    </w:p>
    <w:p>
      <w:pPr>
        <w:pStyle w:val="Pustaka"/>
      </w:pPr>
      <w:r>
        <w:t xml:space="preserve">Kementerian Pekerjaan Umum dan Perumahan Rakyat, Direktorat Jenderal Sumber Daya Air. (2024). </w:t>
      </w:r>
      <w:r>
        <w:rPr>
          <w:i/>
          <w:iCs/>
        </w:rPr>
        <w:t xml:space="preserve">Rencana Pengelolaan Sumber Daya Air Wilayah Sungai Jratunseluna</w:t>
      </w:r>
      <w:r>
        <w:t xml:space="preserve">. </w:t>
      </w:r>
      <w:r>
        <w:t xml:space="preserve">Kementerian PUPR. </w:t>
      </w:r>
      <w:r>
        <w:t xml:space="preserve">Diakses 23 Oktober 2026, dari https://sda.pu.go.id/dokumen/kategori/rencana_pola_pengelolaan_sda</w:t>
      </w:r>
    </w:p>
    <w:p>
      <w:pPr>
        <w:pStyle w:val="Pustaka"/>
      </w:pPr>
      <w:r>
        <w:t xml:space="preserve">Koplitz, S. N., Mickley, L. J., Marlier, M. E., Buonocore, J. J., Kim, P. S., Liu, T., Sulprizio, M. P., DeFries, R. S., Jacob, D. J., Schwartz, J., Pongsiri, M., &amp; Myers, S. S. (2016). </w:t>
      </w:r>
      <w:r>
        <w:t xml:space="preserve">Public health impacts of the severe haze in Equatorial Asia in September–October 2015: demonstration of a new framework for informing fire management strategies to reduce downwind smoke exposure. </w:t>
      </w:r>
      <w:r>
        <w:rPr>
          <w:i/>
          <w:iCs/>
        </w:rPr>
        <w:t xml:space="preserve">Environmental Research Letters</w:t>
      </w:r>
      <w:r>
        <w:t xml:space="preserve">, </w:t>
      </w:r>
      <w:r>
        <w:rPr>
          <w:i/>
          <w:iCs/>
        </w:rPr>
        <w:t xml:space="preserve">11</w:t>
      </w:r>
      <w:r>
        <w:t xml:space="preserve">(9)</w:t>
      </w:r>
      <w:r>
        <w:t xml:space="preserve">. </w:t>
      </w:r>
      <w:r>
        <w:t xml:space="preserve">Diakses 23 Oktober 2026, dari https://doi.org/10.1088/1748-9326/11/9/094023</w:t>
      </w:r>
    </w:p>
    <w:p>
      <w:pPr>
        <w:pStyle w:val="Pustaka"/>
      </w:pPr>
      <w:r>
        <w:t xml:space="preserve">Mahkamah Konstitusi Republik Indonesia. (2026). </w:t>
      </w:r>
      <w:r>
        <w:rPr>
          <w:i/>
          <w:iCs/>
        </w:rPr>
        <w:t xml:space="preserve">Putusan Nomor 261/PUU-XXIII/2025 tentang Pengujian Materiil Undang-Undang Nomor 24 Tahun 2007 tentang Penanggulangan Bencana</w:t>
      </w:r>
      <w:r>
        <w:t xml:space="preserve">. </w:t>
      </w:r>
      <w:r>
        <w:t xml:space="preserve">Mahkamah Konstitusi Republik Indonesia. </w:t>
      </w:r>
      <w:r>
        <w:t xml:space="preserve">Diakses 24 Oktober 2026, dari https://s.mkri.id/public/content/persidangan/putusan/putusan_mkri_14870_1787908105.pdf</w:t>
      </w:r>
    </w:p>
    <w:p>
      <w:pPr>
        <w:pStyle w:val="Pustaka"/>
      </w:pPr>
      <w:r>
        <w:t xml:space="preserve">Ministry of Civil Defence &amp; Emergency Management. (2019). </w:t>
      </w:r>
      <w:r>
        <w:rPr>
          <w:i/>
          <w:iCs/>
        </w:rPr>
        <w:t xml:space="preserve">National Disaster Resilience Strategy (Large Print)</w:t>
      </w:r>
      <w:r>
        <w:t xml:space="preserve">. </w:t>
      </w:r>
      <w:r>
        <w:t xml:space="preserve">New Zealand Government. </w:t>
      </w:r>
      <w:r>
        <w:t xml:space="preserve">Diakses 24 Oktober 2026, dari https://www.civildefence.govt.nz/assets/Uploads/documents/publications/ndrs/national-disaster-resilience-strategy-18pt-apr2019.pdf</w:t>
      </w:r>
    </w:p>
    <w:p>
      <w:pPr>
        <w:pStyle w:val="Pustaka"/>
      </w:pPr>
      <w:r>
        <w:t xml:space="preserve">NOAA Climate Prediction Center. (2026a). </w:t>
      </w:r>
      <w:r>
        <w:rPr>
          <w:i/>
          <w:iCs/>
        </w:rPr>
        <w:t xml:space="preserve">ENSO Diagnostic Discussion</w:t>
      </w:r>
      <w:r>
        <w:t xml:space="preserve">. </w:t>
      </w:r>
      <w:r>
        <w:t xml:space="preserve">Diakses 24 Oktober 2026, dari https://www.cpc.ncep.noaa.gov/products/analysis_monitoring/enso_advisory/ensodisc.shtml</w:t>
      </w:r>
    </w:p>
    <w:p>
      <w:pPr>
        <w:pStyle w:val="Pustaka"/>
      </w:pPr>
      <w:r>
        <w:t xml:space="preserve">NOAA Climate Prediction Center. (2026b). </w:t>
      </w:r>
      <w:r>
        <w:rPr>
          <w:i/>
          <w:iCs/>
        </w:rPr>
        <w:t xml:space="preserve">Oceanic Niño Index (ONI), ERSSTv5</w:t>
      </w:r>
      <w:r>
        <w:t xml:space="preserve"> [Data set]. </w:t>
      </w:r>
      <w:r>
        <w:t xml:space="preserve">Diakses 23 Oktober 2026, dari https://www.cpc.ncep.noaa.gov/data/indices/oni.ascii.txt</w:t>
      </w:r>
    </w:p>
    <w:p>
      <w:pPr>
        <w:pStyle w:val="Pustaka"/>
      </w:pPr>
      <w:r>
        <w:t xml:space="preserve">North Carolina Department of Justice. (2026). </w:t>
      </w:r>
      <w:r>
        <w:rPr>
          <w:i/>
          <w:iCs/>
        </w:rPr>
        <w:t xml:space="preserve">FEMA Concedes in BRIC Funding Case; Files Plan to Reinstate Water, Sewer, and Flood Protection Program</w:t>
      </w:r>
      <w:r>
        <w:t xml:space="preserve">. </w:t>
      </w:r>
      <w:r>
        <w:t xml:space="preserve">NC DOJ. </w:t>
      </w:r>
      <w:r>
        <w:t xml:space="preserve">Diakses 23 Oktober 2026, dari https://ncdoj.gov/fema-concedes-in-bric-funding-case-files-plan-to-reinstate-water-sewer-and-flood-protection-program-make-1-billion-in-new-grants-available/</w:t>
      </w:r>
    </w:p>
    <w:p>
      <w:pPr>
        <w:pStyle w:val="Pustaka"/>
      </w:pPr>
      <w:r>
        <w:t xml:space="preserve">Oxford Policy Management. (2022). </w:t>
      </w:r>
      <w:r>
        <w:rPr>
          <w:i/>
          <w:iCs/>
        </w:rPr>
        <w:t xml:space="preserve">Value for money in sovereign drought insurance: findings from a VfM analysis of the African Risk Capacity (briefing note 3)</w:t>
      </w:r>
      <w:r>
        <w:t xml:space="preserve">. </w:t>
      </w:r>
      <w:r>
        <w:t xml:space="preserve">OPM. </w:t>
      </w:r>
      <w:r>
        <w:t xml:space="preserve">Diakses 23 Oktober 2026, dari https://www.opml.co.uk/sites/default/files/migrated_bolt_files/arc-policy-brief-3-vfm.pdf</w:t>
      </w:r>
    </w:p>
    <w:p>
      <w:pPr>
        <w:pStyle w:val="Pustaka"/>
      </w:pPr>
      <w:r>
        <w:t xml:space="preserve">Pantau Bencana. (2026b). </w:t>
      </w:r>
      <w:r>
        <w:rPr>
          <w:i/>
          <w:iCs/>
        </w:rPr>
        <w:t xml:space="preserve">Paket data lembaga: matriks lembaga, kewenangan komponen air, dan celah kewenangan (batas data 23 Oktober 2026)</w:t>
      </w:r>
      <w:r>
        <w:t xml:space="preserve"> [Data set]. </w:t>
      </w:r>
      <w:r>
        <w:t xml:space="preserve">Pantau Bencana.</w:t>
      </w:r>
    </w:p>
    <w:p>
      <w:pPr>
        <w:pStyle w:val="Pustaka"/>
      </w:pPr>
      <w:r>
        <w:t xml:space="preserve">Pantau Bencana. (2026c). </w:t>
      </w:r>
      <w:r>
        <w:rPr>
          <w:i/>
          <w:iCs/>
        </w:rPr>
        <w:t xml:space="preserve">Paket data nonalam dan sosial: DIBI nonalam dan sosial, COVID-19, konflik Podes, KRB, peristiwa, rekonsiliasi (batas data 23 Oktober 2026)</w:t>
      </w:r>
      <w:r>
        <w:t xml:space="preserve"> [Data set]. </w:t>
      </w:r>
      <w:r>
        <w:t xml:space="preserve">Pantau Bencana.</w:t>
      </w:r>
    </w:p>
    <w:p>
      <w:pPr>
        <w:pStyle w:val="Pustaka"/>
      </w:pPr>
      <w:r>
        <w:t xml:space="preserve">Pantau Bencana. (2026d). </w:t>
      </w:r>
      <w:r>
        <w:rPr>
          <w:i/>
          <w:iCs/>
        </w:rPr>
        <w:t xml:space="preserve">Paket data program-terbukti: kompendium program, bukti dampak, organisasi BNPB, Renstra, Renas, RIPB</w:t>
      </w:r>
      <w:r>
        <w:t xml:space="preserve"> [Data set]. </w:t>
      </w:r>
      <w:r>
        <w:t xml:space="preserve">Pantau Bencana.</w:t>
      </w:r>
    </w:p>
    <w:p>
      <w:pPr>
        <w:pStyle w:val="Pustaka"/>
      </w:pPr>
      <w:r>
        <w:t xml:space="preserve">Pantau Bencana. (2026e). </w:t>
      </w:r>
      <w:r>
        <w:rPr>
          <w:i/>
          <w:iCs/>
        </w:rPr>
        <w:t xml:space="preserve">Paket data skenario-geologi: skenario ilustratif dan kepekaan Mmaks gempa, tsunami, dan gunung api per kab/kota</w:t>
      </w:r>
      <w:r>
        <w:t xml:space="preserve"> [Data set]. </w:t>
      </w:r>
      <w:r>
        <w:t xml:space="preserve">Pantau Bencana.</w:t>
      </w:r>
    </w:p>
    <w:p>
      <w:pPr>
        <w:pStyle w:val="Pustaka"/>
      </w:pPr>
      <w:r>
        <w:t xml:space="preserve">Pantau Bencana. (2026f). </w:t>
      </w:r>
      <w:r>
        <w:rPr>
          <w:i/>
          <w:iCs/>
        </w:rPr>
        <w:t xml:space="preserve">Profil kerugian tahunan batas bawah 2015–2025 (turunan/profil_kerugian.csv)</w:t>
      </w:r>
      <w:r>
        <w:t xml:space="preserve">. </w:t>
      </w:r>
      <w:r>
        <w:t xml:space="preserve">Paket data kajian BNPB, data/kajian-bnpb/data/turunan.</w:t>
      </w:r>
    </w:p>
    <w:p>
      <w:pPr>
        <w:pStyle w:val="Pustaka"/>
      </w:pPr>
      <w:r>
        <w:t xml:space="preserve">Pemerintah Kabupaten Cianjur. (2022). </w:t>
      </w:r>
      <w:r>
        <w:rPr>
          <w:i/>
          <w:iCs/>
        </w:rPr>
        <w:t xml:space="preserve">Rencana Rehabilitasi dan Rekonstruksi Pascabencana Gempa Bumi Kabupaten Cianjur Tahun 2022</w:t>
      </w:r>
      <w:r>
        <w:t xml:space="preserve">. </w:t>
      </w:r>
      <w:r>
        <w:t xml:space="preserve">BNPB (portal e-proposal RR, contoh dokumen R3P bencana masif). </w:t>
      </w:r>
      <w:r>
        <w:t xml:space="preserve">Diakses 23 Oktober 2026, dari https://eproposalrr.bnpb.go.id/manual/panduan_contoh-dokumen-r3p-bencana-masif_1739152465.pdf</w:t>
      </w:r>
    </w:p>
    <w:p>
      <w:pPr>
        <w:pStyle w:val="Pustaka"/>
      </w:pPr>
      <w:r>
        <w:t xml:space="preserve">Pemerintah Provinsi DKI Jakarta. (2023). </w:t>
      </w:r>
      <w:r>
        <w:rPr>
          <w:i/>
          <w:iCs/>
        </w:rPr>
        <w:t xml:space="preserve">Perkembangan penanganan bencana kebakaran Depo Pertamina Plumpang hingga 18 Maret 2023</w:t>
      </w:r>
      <w:r>
        <w:t xml:space="preserve">. </w:t>
      </w:r>
      <w:r>
        <w:t xml:space="preserve">Berita Jakarta (portal resmi Pemprov DKI Jakarta). </w:t>
      </w:r>
      <w:r>
        <w:t xml:space="preserve">Diakses 24 Oktober 2026, dari https://m.beritajakarta.id/read/118992/perkembangan-penanganan-bencana-kebakaran-depo-pertamina-plumpang-hingga-18-maret-2023</w:t>
      </w:r>
    </w:p>
    <w:p>
      <w:pPr>
        <w:pStyle w:val="Pustaka"/>
      </w:pPr>
      <w:r>
        <w:t xml:space="preserve">Pemerintah Republik Indonesia. (2019). </w:t>
      </w:r>
      <w:r>
        <w:rPr>
          <w:i/>
          <w:iCs/>
        </w:rPr>
        <w:t xml:space="preserve">Peraturan Pemerintah Nomor 12 Tahun 2019 tentang Pengelolaan Keuangan Daerah</w:t>
      </w:r>
      <w:r>
        <w:t xml:space="preserve">. </w:t>
      </w:r>
      <w:r>
        <w:t xml:space="preserve">Diakses 24 Oktober 2026, dari https://peraturan.bpk.go.id/Details/103888/pp-no-12-tahun-2019</w:t>
      </w:r>
    </w:p>
    <w:p>
      <w:pPr>
        <w:pStyle w:val="Pustaka"/>
      </w:pPr>
      <w:r>
        <w:t xml:space="preserve">Pusat Kajian Akuntabilitas Keuangan Negara, Badan Keahlian DPR RI. (2022). </w:t>
      </w:r>
      <w:r>
        <w:rPr>
          <w:i/>
          <w:iCs/>
        </w:rPr>
        <w:t xml:space="preserve">Akuntabilitas kinerja deteksi dini bencana alam geologi dan hidrometeorologi di Indonesia (Accountability Brief Komisi V)</w:t>
      </w:r>
      <w:r>
        <w:t xml:space="preserve">. </w:t>
      </w:r>
      <w:r>
        <w:t xml:space="preserve">Badan Keahlian DPR RI. </w:t>
      </w:r>
      <w:r>
        <w:t xml:space="preserve">Diakses 24 Oktober 2026, dari https://berkas.dpr.go.id/pa3kn//analisis-tematik-akuntabilitas/public-file/analisis-ringkas-cepat-public-66.pdf</w:t>
      </w:r>
    </w:p>
    <w:p>
      <w:pPr>
        <w:pStyle w:val="Pustaka"/>
      </w:pPr>
      <w:r>
        <w:t xml:space="preserve">Pusat Studi Gempa Nasional. (2024). </w:t>
      </w:r>
      <w:r>
        <w:rPr>
          <w:i/>
          <w:iCs/>
        </w:rPr>
        <w:t xml:space="preserve">Peta Sumber dan Bahaya Gempa Indonesia Tahun 2024</w:t>
      </w:r>
      <w:r>
        <w:t xml:space="preserve">. </w:t>
      </w:r>
      <w:r>
        <w:t xml:space="preserve">Kementerian Pekerjaan Umum. </w:t>
      </w:r>
      <w:r>
        <w:t xml:space="preserve">Diakses 23 Oktober 2026, dari https://ciptakarya.pu.go.id/admin/assets/upload/galeri/gempa/2026/02/10/887359_0.%20Final_BUKU_PETA_SUMBER_DAN_BAHAYA_GEMPA_2024_Publish.pdf</w:t>
      </w:r>
    </w:p>
    <w:p>
      <w:pPr>
        <w:pStyle w:val="Pustaka"/>
      </w:pPr>
      <w:r>
        <w:t xml:space="preserve">Republik Indonesia. (1970). </w:t>
      </w:r>
      <w:r>
        <w:rPr>
          <w:i/>
          <w:iCs/>
        </w:rPr>
        <w:t xml:space="preserve">Undang-Undang Nomor 1 Tahun 1970 tentang Keselamatan Kerja</w:t>
      </w:r>
      <w:r>
        <w:t xml:space="preserve">. </w:t>
      </w:r>
      <w:r>
        <w:t xml:space="preserve">Lembaran Negara Republik Indonesia Tahun 1970. </w:t>
      </w:r>
      <w:r>
        <w:t xml:space="preserve">Diakses 23 Oktober 2026, dari https://peraturan.bpk.go.id/Details/47614/uu-no-1-tahun-1970</w:t>
      </w:r>
    </w:p>
    <w:p>
      <w:pPr>
        <w:pStyle w:val="Pustaka"/>
      </w:pPr>
      <w:r>
        <w:t xml:space="preserve">Republik Indonesia. (1979). </w:t>
      </w:r>
      <w:r>
        <w:rPr>
          <w:i/>
          <w:iCs/>
        </w:rPr>
        <w:t xml:space="preserve">Peraturan Pemerintah Nomor 11 Tahun 1979 tentang Keselamatan Kerja pada Pemurnian dan Pengolahan Minyak dan Gas Bumi</w:t>
      </w:r>
      <w:r>
        <w:t xml:space="preserve">. </w:t>
      </w:r>
      <w:r>
        <w:t xml:space="preserve">Lembaran Negara Republik Indonesia Tahun 1979 Nomor 18. </w:t>
      </w:r>
      <w:r>
        <w:t xml:space="preserve">Diakses 23 Oktober 2026, dari https://peraturan.bpk.go.id/Details/66726/pp-no-11-tahun-1979</w:t>
      </w:r>
    </w:p>
    <w:p>
      <w:pPr>
        <w:pStyle w:val="Pustaka"/>
      </w:pPr>
      <w:r>
        <w:t xml:space="preserve">Republik Indonesia. (1999). </w:t>
      </w:r>
      <w:r>
        <w:rPr>
          <w:i/>
          <w:iCs/>
        </w:rPr>
        <w:t xml:space="preserve">Undang-Undang Nomor 39 Tahun 1999 tentang Hak Asasi Manusia</w:t>
      </w:r>
      <w:r>
        <w:t xml:space="preserve">. </w:t>
      </w:r>
      <w:r>
        <w:t xml:space="preserve">Lembaran Negara Republik Indonesia Tahun 1999 Nomor 165. </w:t>
      </w:r>
      <w:r>
        <w:t xml:space="preserve">Diakses 24 Oktober 2026, dari https://peraturan.bpk.go.id/Details/45361/uu-no-39-tahun-1999</w:t>
      </w:r>
    </w:p>
    <w:p>
      <w:pPr>
        <w:pStyle w:val="Pustaka"/>
      </w:pPr>
      <w:r>
        <w:t xml:space="preserve">Republik Indonesia. (2002). </w:t>
      </w:r>
      <w:r>
        <w:rPr>
          <w:i/>
          <w:iCs/>
        </w:rPr>
        <w:t xml:space="preserve">Undang-Undang Nomor 2 Tahun 2002 tentang Kepolisian Negara Republik Indonesia</w:t>
      </w:r>
      <w:r>
        <w:t xml:space="preserve">. </w:t>
      </w:r>
      <w:r>
        <w:t xml:space="preserve">Lembaran Negara Republik Indonesia Tahun 2002 Nomor 2. </w:t>
      </w:r>
      <w:r>
        <w:t xml:space="preserve">Diakses 23 Oktober 2026, dari https://peraturan.bpk.go.id/Details/44418/uu-no-2-tahun-2002</w:t>
      </w:r>
    </w:p>
    <w:p>
      <w:pPr>
        <w:pStyle w:val="Pustaka"/>
      </w:pPr>
      <w:r>
        <w:t xml:space="preserve">Republik Indonesia. (2005). </w:t>
      </w:r>
      <w:r>
        <w:rPr>
          <w:i/>
          <w:iCs/>
        </w:rPr>
        <w:t xml:space="preserve">Peraturan Presiden Nomor 30 Tahun 2005 tentang Rencana Induk Rehabilitasi dan Rekonstruksi Wilayah dan Kehidupan Masyarakat Provinsi Nanggroe Aceh Darussalam dan Kepulauan Nias Provinsi Sumatera Utara</w:t>
      </w:r>
      <w:r>
        <w:t xml:space="preserve">. </w:t>
      </w:r>
      <w:r>
        <w:t xml:space="preserve">Diakses 23 Oktober 2026, dari https://peraturan.bpk.go.id/Details/42564/perpres-no-30-tahun-2005</w:t>
      </w:r>
    </w:p>
    <w:p>
      <w:pPr>
        <w:pStyle w:val="Pustaka"/>
      </w:pPr>
      <w:r>
        <w:t xml:space="preserve">Republik Indonesia. (2007). </w:t>
      </w:r>
      <w:r>
        <w:rPr>
          <w:i/>
          <w:iCs/>
        </w:rPr>
        <w:t xml:space="preserve">Undang-Undang Nomor 24 Tahun 2007 tentang Penanggulangan Bencana</w:t>
      </w:r>
      <w:r>
        <w:t xml:space="preserve">. </w:t>
      </w:r>
      <w:r>
        <w:t xml:space="preserve">Lembaran Negara Republik Indonesia Tahun 2007 Nomor 66. </w:t>
      </w:r>
      <w:r>
        <w:t xml:space="preserve">https://peraturan.bpk.go.id/Details/39901/uu-no-24-tahun-2007</w:t>
      </w:r>
    </w:p>
    <w:p>
      <w:pPr>
        <w:pStyle w:val="Pustaka"/>
      </w:pPr>
      <w:r>
        <w:t xml:space="preserve">Republik Indonesia. (2008a). </w:t>
      </w:r>
      <w:r>
        <w:rPr>
          <w:i/>
          <w:iCs/>
        </w:rPr>
        <w:t xml:space="preserve">Peraturan Pemerintah Nomor 21 Tahun 2008 tentang Penyelenggaraan Penanggulangan Bencana</w:t>
      </w:r>
      <w:r>
        <w:t xml:space="preserve">. </w:t>
      </w:r>
      <w:r>
        <w:t xml:space="preserve">Lembaran Negara Republik Indonesia Tahun 2008 Nomor 42. </w:t>
      </w:r>
      <w:r>
        <w:t xml:space="preserve">Diakses 23 Oktober 2026, dari https://peraturan.bpk.go.id/Details/4833/pp-no-21-tahun-2008</w:t>
      </w:r>
    </w:p>
    <w:p>
      <w:pPr>
        <w:pStyle w:val="Pustaka"/>
      </w:pPr>
      <w:r>
        <w:t xml:space="preserve">Republik Indonesia. (2008b). </w:t>
      </w:r>
      <w:r>
        <w:rPr>
          <w:i/>
          <w:iCs/>
        </w:rPr>
        <w:t xml:space="preserve">Peraturan Pemerintah Nomor 22 Tahun 2008 tentang Pendanaan dan Pengelolaan Bantuan Bencana</w:t>
      </w:r>
      <w:r>
        <w:t xml:space="preserve">. </w:t>
      </w:r>
      <w:r>
        <w:t xml:space="preserve">Lembaran Negara Republik Indonesia Tahun 2008 Nomor 43. </w:t>
      </w:r>
      <w:r>
        <w:t xml:space="preserve">Diakses 23 Oktober 2026, dari https://peraturan.bpk.go.id/Details/4834/pp-no-22-tahun-2008</w:t>
      </w:r>
    </w:p>
    <w:p>
      <w:pPr>
        <w:pStyle w:val="Pustaka"/>
      </w:pPr>
      <w:r>
        <w:t xml:space="preserve">Republik Indonesia. (2008d). </w:t>
      </w:r>
      <w:r>
        <w:rPr>
          <w:i/>
          <w:iCs/>
        </w:rPr>
        <w:t xml:space="preserve">Undang-Undang Nomor 18 Tahun 2008 tentang Pengelolaan Sampah</w:t>
      </w:r>
      <w:r>
        <w:t xml:space="preserve">. </w:t>
      </w:r>
      <w:r>
        <w:t xml:space="preserve">Diakses 23 Oktober 2026, dari https://peraturan.bpk.go.id/Details/39067/uu-no-18-tahun-2008</w:t>
      </w:r>
    </w:p>
    <w:p>
      <w:pPr>
        <w:pStyle w:val="Pustaka"/>
      </w:pPr>
      <w:r>
        <w:t xml:space="preserve">Republik Indonesia. (2012). </w:t>
      </w:r>
      <w:r>
        <w:rPr>
          <w:i/>
          <w:iCs/>
        </w:rPr>
        <w:t xml:space="preserve">Undang-Undang Nomor 7 Tahun 2012 tentang Penanganan Konflik Sosial</w:t>
      </w:r>
      <w:r>
        <w:t xml:space="preserve">. </w:t>
      </w:r>
      <w:r>
        <w:t xml:space="preserve">Lembaran Negara Republik Indonesia Tahun 2012 Nomor 116. </w:t>
      </w:r>
      <w:r>
        <w:t xml:space="preserve">Diakses 23 Oktober 2026, dari https://peraturan.bpk.go.id/Details/39049/uu-no-7-tahun-2012</w:t>
      </w:r>
    </w:p>
    <w:p>
      <w:pPr>
        <w:pStyle w:val="Pustaka"/>
      </w:pPr>
      <w:r>
        <w:t xml:space="preserve">Republik Indonesia. (2014a). </w:t>
      </w:r>
      <w:r>
        <w:rPr>
          <w:i/>
          <w:iCs/>
        </w:rPr>
        <w:t xml:space="preserve">Undang-Undang Nomor 23 Tahun 2014 tentang Pemerintahan Daerah</w:t>
      </w:r>
      <w:r>
        <w:t xml:space="preserve">. </w:t>
      </w:r>
      <w:r>
        <w:t xml:space="preserve">Diakses 23 Oktober 2026, dari https://peraturan.bpk.go.id/Details/38685/uu-no-23-tahun-2014</w:t>
      </w:r>
    </w:p>
    <w:p>
      <w:pPr>
        <w:pStyle w:val="Pustaka"/>
      </w:pPr>
      <w:r>
        <w:t xml:space="preserve">Republik Indonesia. (2014b). </w:t>
      </w:r>
      <w:r>
        <w:rPr>
          <w:i/>
          <w:iCs/>
        </w:rPr>
        <w:t xml:space="preserve">Undang-Undang Nomor 3 Tahun 2014 tentang Perindustrian</w:t>
      </w:r>
      <w:r>
        <w:t xml:space="preserve">. </w:t>
      </w:r>
      <w:r>
        <w:t xml:space="preserve">Lembaran Negara Republik Indonesia Tahun 2014 Nomor 4. </w:t>
      </w:r>
      <w:r>
        <w:t xml:space="preserve">Diakses 23 Oktober 2026, dari https://peraturan.bpk.go.id/Details/38572/uu-no-3-tahun-2014</w:t>
      </w:r>
    </w:p>
    <w:p>
      <w:pPr>
        <w:pStyle w:val="Pustaka"/>
      </w:pPr>
      <w:r>
        <w:t xml:space="preserve">Republik Indonesia. (2015b). </w:t>
      </w:r>
      <w:r>
        <w:rPr>
          <w:i/>
          <w:iCs/>
        </w:rPr>
        <w:t xml:space="preserve">Peraturan Pemerintah Nomor 2 Tahun 2015 tentang Peraturan Pelaksanaan Undang-Undang Nomor 7 Tahun 2012 tentang Penanganan Konflik Sosial</w:t>
      </w:r>
      <w:r>
        <w:t xml:space="preserve">. </w:t>
      </w:r>
      <w:r>
        <w:t xml:space="preserve">Diakses 23 Oktober 2026, dari https://jdih.kemenkeu.go.id/download/31d6cafa-aaea-48af-aff5-431b730a079d/2TAHUN2015PP.pdf</w:t>
      </w:r>
    </w:p>
    <w:p>
      <w:pPr>
        <w:pStyle w:val="Pustaka"/>
      </w:pPr>
      <w:r>
        <w:t xml:space="preserve">Republik Indonesia. (2018a). </w:t>
      </w:r>
      <w:r>
        <w:rPr>
          <w:i/>
          <w:iCs/>
        </w:rPr>
        <w:t xml:space="preserve">Peraturan Pemerintah Nomor 2 Tahun 2018 tentang Standar Pelayanan Minimal</w:t>
      </w:r>
      <w:r>
        <w:t xml:space="preserve">. </w:t>
      </w:r>
      <w:r>
        <w:t xml:space="preserve">Diakses 24 Oktober 2026, dari https://peraturan.bpk.go.id/Details/67029/pp-no-2-tahun-2018</w:t>
      </w:r>
    </w:p>
    <w:p>
      <w:pPr>
        <w:pStyle w:val="Pustaka"/>
      </w:pPr>
      <w:r>
        <w:t xml:space="preserve">Republik Indonesia. (2018c). </w:t>
      </w:r>
      <w:r>
        <w:rPr>
          <w:i/>
          <w:iCs/>
        </w:rPr>
        <w:t xml:space="preserve">Peraturan Presiden Nomor 17 Tahun 2018 tentang Penyelenggaraan Penanggulangan Bencana dalam Keadaan Tertentu</w:t>
      </w:r>
      <w:r>
        <w:t xml:space="preserve">. </w:t>
      </w:r>
      <w:r>
        <w:t xml:space="preserve">Lembaran Negara Republik Indonesia Tahun 2018 Nomor 34. </w:t>
      </w:r>
      <w:r>
        <w:t xml:space="preserve">https://jdih.bnpb.go.id/storage/file/2018perpresri017.pdf</w:t>
      </w:r>
    </w:p>
    <w:p>
      <w:pPr>
        <w:pStyle w:val="Pustaka"/>
      </w:pPr>
      <w:r>
        <w:t xml:space="preserve">Republik Indonesia. (2018d). </w:t>
      </w:r>
      <w:r>
        <w:rPr>
          <w:i/>
          <w:iCs/>
        </w:rPr>
        <w:t xml:space="preserve">Undang-Undang Nomor 6 Tahun 2018 tentang Kekarantinaan Kesehatan</w:t>
      </w:r>
      <w:r>
        <w:t xml:space="preserve">. </w:t>
      </w:r>
      <w:r>
        <w:t xml:space="preserve">Diakses 23 Oktober 2026, dari https://peraturan.bpk.go.id/Details/90037/uu-no-6-tahun-2018</w:t>
      </w:r>
    </w:p>
    <w:p>
      <w:pPr>
        <w:pStyle w:val="Pustaka"/>
      </w:pPr>
      <w:r>
        <w:t xml:space="preserve">Republik Indonesia. (2019a). </w:t>
      </w:r>
      <w:r>
        <w:rPr>
          <w:i/>
          <w:iCs/>
        </w:rPr>
        <w:t xml:space="preserve">Peraturan Presiden Nomor 1 Tahun 2019 tentang Badan Nasional Penanggulangan Bencana</w:t>
      </w:r>
      <w:r>
        <w:t xml:space="preserve">. </w:t>
      </w:r>
      <w:r>
        <w:t xml:space="preserve">Lembaran Negara Republik Indonesia Tahun 2019 Nomor 1. </w:t>
      </w:r>
      <w:r>
        <w:t xml:space="preserve">https://peraturan.bpk.go.id/Details/100440/perpres-no-1-tahun-2019</w:t>
      </w:r>
    </w:p>
    <w:p>
      <w:pPr>
        <w:pStyle w:val="Pustaka"/>
      </w:pPr>
      <w:r>
        <w:t xml:space="preserve">Republik Indonesia. (2019b). </w:t>
      </w:r>
      <w:r>
        <w:rPr>
          <w:i/>
          <w:iCs/>
        </w:rPr>
        <w:t xml:space="preserve">Undang-Undang Nomor 17 Tahun 2019 tentang Sumber Daya Air</w:t>
      </w:r>
      <w:r>
        <w:t xml:space="preserve">. </w:t>
      </w:r>
      <w:r>
        <w:t xml:space="preserve">Lembaran Negara Republik Indonesia Tahun 2019 Nomor 190. </w:t>
      </w:r>
      <w:r>
        <w:t xml:space="preserve">Diakses 23 Oktober 2026, dari https://peraturan.bpk.go.id/Download/113525/UU%20Nomor%2017%20Tahun%202019.pdf</w:t>
      </w:r>
    </w:p>
    <w:p>
      <w:pPr>
        <w:pStyle w:val="Pustaka"/>
      </w:pPr>
      <w:r>
        <w:t xml:space="preserve">Republik Indonesia. (2020a). </w:t>
      </w:r>
      <w:r>
        <w:rPr>
          <w:i/>
          <w:iCs/>
        </w:rPr>
        <w:t xml:space="preserve">Instruksi Presiden Nomor 3 Tahun 2020 tentang Penanggulangan Kebakaran Hutan dan Lahan</w:t>
      </w:r>
      <w:r>
        <w:t xml:space="preserve">. </w:t>
      </w:r>
      <w:r>
        <w:t xml:space="preserve">Diakses 23 Oktober 2026, dari https://peraturan.bpk.go.id/Details/133045/inpres-no-3-tahun-2020-penanggulangan-kebakaran-hutan-dan-lahan</w:t>
      </w:r>
    </w:p>
    <w:p>
      <w:pPr>
        <w:pStyle w:val="Pustaka"/>
      </w:pPr>
      <w:r>
        <w:t xml:space="preserve">Republik Indonesia. (2020b). </w:t>
      </w:r>
      <w:r>
        <w:rPr>
          <w:i/>
          <w:iCs/>
        </w:rPr>
        <w:t xml:space="preserve">Keputusan Presiden Nomor 11 Tahun 2020 tentang Penetapan Kedaruratan Kesehatan Masyarakat Corona Virus Disease 2019 (COVID-19)</w:t>
      </w:r>
      <w:r>
        <w:t xml:space="preserve">. </w:t>
      </w:r>
      <w:r>
        <w:t xml:space="preserve">Diakses 23 Oktober 2026, dari https://peraturan.go.id/files/keppres-no-11-tahun-2020.pdf</w:t>
      </w:r>
    </w:p>
    <w:p>
      <w:pPr>
        <w:pStyle w:val="Pustaka"/>
      </w:pPr>
      <w:r>
        <w:t xml:space="preserve">Republik Indonesia. (2020c). </w:t>
      </w:r>
      <w:r>
        <w:rPr>
          <w:i/>
          <w:iCs/>
        </w:rPr>
        <w:t xml:space="preserve">Keputusan Presiden Nomor 12 Tahun 2020 tentang Penetapan Bencana Nonalam Penyebaran Corona Virus Disease 2019 (COVID-19) sebagai Bencana Nasional</w:t>
      </w:r>
      <w:r>
        <w:t xml:space="preserve">. </w:t>
      </w:r>
      <w:r>
        <w:t xml:space="preserve">Diakses 23 Oktober 2026, dari https://peraturan.go.id/files/keppres-no-12-tahun-2020.pdf</w:t>
      </w:r>
    </w:p>
    <w:p>
      <w:pPr>
        <w:pStyle w:val="Pustaka"/>
      </w:pPr>
      <w:r>
        <w:t xml:space="preserve">Republik Indonesia. (2020e). </w:t>
      </w:r>
      <w:r>
        <w:rPr>
          <w:i/>
          <w:iCs/>
        </w:rPr>
        <w:t xml:space="preserve">Peraturan Presiden Nomor 82 Tahun 2020 tentang Komite Penanganan Corona Virus Disease 2019 (COVID-19) dan Pemulihan Ekonomi Nasional</w:t>
      </w:r>
      <w:r>
        <w:t xml:space="preserve">. </w:t>
      </w:r>
      <w:r>
        <w:t xml:space="preserve">Lembaran Negara Republik Indonesia Tahun 2020 Nomor 178. </w:t>
      </w:r>
      <w:r>
        <w:t xml:space="preserve">Diakses 23 Oktober 2026, dari https://peraturan.bpk.go.id/Details/141403/perpres-no-82-tahun-2020</w:t>
      </w:r>
    </w:p>
    <w:p>
      <w:pPr>
        <w:pStyle w:val="Pustaka"/>
      </w:pPr>
      <w:r>
        <w:t xml:space="preserve">Republik Indonesia. (2020f). </w:t>
      </w:r>
      <w:r>
        <w:rPr>
          <w:i/>
          <w:iCs/>
        </w:rPr>
        <w:t xml:space="preserve">Peraturan Presiden Nomor 87 Tahun 2020 tentang Rencana Induk Penanggulangan Bencana Tahun 2020–2044</w:t>
      </w:r>
      <w:r>
        <w:t xml:space="preserve">. </w:t>
      </w:r>
      <w:r>
        <w:t xml:space="preserve">Lembaran Negara Republik Indonesia Tahun 2020 Nomor 204. </w:t>
      </w:r>
      <w:r>
        <w:t xml:space="preserve">Diakses 23 Oktober 2026, dari https://peraturan.bpk.go.id/Details/146481/perpres-no-87-tahun-2020</w:t>
      </w:r>
    </w:p>
    <w:p>
      <w:pPr>
        <w:pStyle w:val="Pustaka"/>
      </w:pPr>
      <w:r>
        <w:t xml:space="preserve">Republik Indonesia. (2021a). </w:t>
      </w:r>
      <w:r>
        <w:rPr>
          <w:i/>
          <w:iCs/>
        </w:rPr>
        <w:t xml:space="preserve">Peraturan Presiden Nomor 29 Tahun 2021 tentang Perubahan atas Peraturan Presiden Nomor 1 Tahun 2019 tentang Badan Nasional Penanggulangan Bencana</w:t>
      </w:r>
      <w:r>
        <w:t xml:space="preserve">. </w:t>
      </w:r>
      <w:r>
        <w:t xml:space="preserve">Diakses 23 Oktober 2026, dari https://peraturan.bpk.go.id/Details/166181/perpres-no-29-tahun-2021</w:t>
      </w:r>
    </w:p>
    <w:p>
      <w:pPr>
        <w:pStyle w:val="Pustaka"/>
      </w:pPr>
      <w:r>
        <w:t xml:space="preserve">Republik Indonesia. (2021b). </w:t>
      </w:r>
      <w:r>
        <w:rPr>
          <w:i/>
          <w:iCs/>
        </w:rPr>
        <w:t xml:space="preserve">Peraturan Presiden Nomor 75 Tahun 2021 tentang Dana Bersama Penanggulangan Bencana</w:t>
      </w:r>
      <w:r>
        <w:t xml:space="preserve">. </w:t>
      </w:r>
      <w:r>
        <w:t xml:space="preserve">Lembaran Negara Republik Indonesia Tahun 2021 Nomor 183. </w:t>
      </w:r>
      <w:r>
        <w:t xml:space="preserve">Diakses 23 Oktober 2026, dari https://peraturan.bpk.go.id/Details/175273/perpres-no-75-tahun-2021</w:t>
      </w:r>
    </w:p>
    <w:p>
      <w:pPr>
        <w:pStyle w:val="Pustaka"/>
      </w:pPr>
      <w:r>
        <w:t xml:space="preserve">Republik Indonesia. (2023a). </w:t>
      </w:r>
      <w:r>
        <w:rPr>
          <w:i/>
          <w:iCs/>
        </w:rPr>
        <w:t xml:space="preserve">Keputusan Presiden Nomor 17 Tahun 2023 tentang Penetapan Berakhirnya Status Pandemi Corona Virus Disease 2019 (COVID-19) di Indonesia</w:t>
      </w:r>
      <w:r>
        <w:t xml:space="preserve">. </w:t>
      </w:r>
      <w:r>
        <w:t xml:space="preserve">Diakses 23 Oktober 2026, dari https://peraturan.go.id/files/keppres-no-17-tahun-2023.pdf</w:t>
      </w:r>
    </w:p>
    <w:p>
      <w:pPr>
        <w:pStyle w:val="Pustaka"/>
      </w:pPr>
      <w:r>
        <w:t xml:space="preserve">Republik Indonesia. (2023b). </w:t>
      </w:r>
      <w:r>
        <w:rPr>
          <w:i/>
          <w:iCs/>
        </w:rPr>
        <w:t xml:space="preserve">Undang-Undang Nomor 17 Tahun 2023 tentang Kesehatan</w:t>
      </w:r>
      <w:r>
        <w:t xml:space="preserve">. </w:t>
      </w:r>
      <w:r>
        <w:t xml:space="preserve">Diakses 23 Oktober 2026, dari https://peraturan.bpk.go.id/Details/258028/uu-no-17-tahun-2023</w:t>
      </w:r>
    </w:p>
    <w:p>
      <w:pPr>
        <w:pStyle w:val="Pustaka"/>
      </w:pPr>
      <w:r>
        <w:t xml:space="preserve">Republik Indonesia. (2024c). </w:t>
      </w:r>
      <w:r>
        <w:rPr>
          <w:i/>
          <w:iCs/>
        </w:rPr>
        <w:t xml:space="preserve">Peraturan Pemerintah Nomor 30 Tahun 2024 tentang Pengelolaan Sumber Daya Air</w:t>
      </w:r>
      <w:r>
        <w:t xml:space="preserve">. </w:t>
      </w:r>
      <w:r>
        <w:t xml:space="preserve">https://peraturan.bpk.go.id/Details/295844/pp-no-30-tahun-2024</w:t>
      </w:r>
    </w:p>
    <w:p>
      <w:pPr>
        <w:pStyle w:val="Pustaka"/>
      </w:pPr>
      <w:r>
        <w:t xml:space="preserve">Republik Indonesia. (2024d). </w:t>
      </w:r>
      <w:r>
        <w:rPr>
          <w:i/>
          <w:iCs/>
        </w:rPr>
        <w:t xml:space="preserve">Peraturan Presiden Nomor 12 Tahun 2024 tentang Badan Meteorologi, Klimatologi, dan Geofisika</w:t>
      </w:r>
      <w:r>
        <w:t xml:space="preserve">. </w:t>
      </w:r>
      <w:r>
        <w:t xml:space="preserve">Diakses 23 Oktober 2026, dari https://peraturan.bpk.go.id/Details/276838/perpres-no-12-tahun-2024</w:t>
      </w:r>
    </w:p>
    <w:p>
      <w:pPr>
        <w:pStyle w:val="Pustaka"/>
      </w:pPr>
      <w:r>
        <w:t xml:space="preserve">Republik Indonesia. (2024e). </w:t>
      </w:r>
      <w:r>
        <w:rPr>
          <w:i/>
          <w:iCs/>
        </w:rPr>
        <w:t xml:space="preserve">Peraturan Presiden Nomor 144 Tahun 2024 tentang Kementerian Koordinator Bidang Pembangunan Manusia dan Kebudayaan</w:t>
      </w:r>
      <w:r>
        <w:t xml:space="preserve">. </w:t>
      </w:r>
      <w:r>
        <w:t xml:space="preserve">Diakses 23 Oktober 2026, dari https://peraturan.bpk.go.id/Details/306486/perpres-no-144-tahun-2024</w:t>
      </w:r>
    </w:p>
    <w:p>
      <w:pPr>
        <w:pStyle w:val="Pustaka"/>
      </w:pPr>
      <w:r>
        <w:t xml:space="preserve">Republik Indonesia. (2025b). </w:t>
      </w:r>
      <w:r>
        <w:rPr>
          <w:i/>
          <w:iCs/>
        </w:rPr>
        <w:t xml:space="preserve">Peraturan Presiden Nomor 12 Tahun 2025 tentang Rencana Pembangunan Jangka Menengah Nasional Tahun 2025–2029</w:t>
      </w:r>
      <w:r>
        <w:t xml:space="preserve">. </w:t>
      </w:r>
      <w:r>
        <w:t xml:space="preserve">Lembaran Negara Republik Indonesia Tahun 2025 Nomor 19. </w:t>
      </w:r>
      <w:r>
        <w:t xml:space="preserve">Diakses 23 Oktober 2026, dari https://peraturan.bpk.go.id/Details/314638/perpres-no-12-tahun-2025</w:t>
      </w:r>
    </w:p>
    <w:p>
      <w:pPr>
        <w:pStyle w:val="Pustaka"/>
      </w:pPr>
      <w:r>
        <w:t xml:space="preserve">Republik Indonesia. (2025d). </w:t>
      </w:r>
      <w:r>
        <w:rPr>
          <w:i/>
          <w:iCs/>
        </w:rPr>
        <w:t xml:space="preserve">Peraturan Presiden Nomor 80 Tahun 2025 tentang Penyusunan Rencana Strategis dan Rencana Kerja Kementerian/Lembaga</w:t>
      </w:r>
      <w:r>
        <w:t xml:space="preserve">. </w:t>
      </w:r>
      <w:r>
        <w:t xml:space="preserve">Diakses 24 Oktober 2026, dari https://peraturan.bpk.go.id/Details/324647</w:t>
      </w:r>
    </w:p>
    <w:p>
      <w:pPr>
        <w:pStyle w:val="Pustaka"/>
      </w:pPr>
      <w:r>
        <w:t xml:space="preserve">Republik Indonesia. (2026a). </w:t>
      </w:r>
      <w:r>
        <w:rPr>
          <w:i/>
          <w:iCs/>
        </w:rPr>
        <w:t xml:space="preserve">Peraturan Presiden Nomor 46 Tahun 2026 tentang Perubahan atas Peraturan Presiden Nomor 17 Tahun 2018 tentang Penyelenggaraan Penanggulangan Bencana dalam Keadaan Tertentu</w:t>
      </w:r>
      <w:r>
        <w:t xml:space="preserve">. </w:t>
      </w:r>
      <w:r>
        <w:t xml:space="preserve">Lembaran Negara Republik Indonesia Tahun 2026 Nomor 83. </w:t>
      </w:r>
      <w:r>
        <w:t xml:space="preserve">https://jdih.bnpb.go.id/storage/file/2026perpresri046.pdf</w:t>
      </w:r>
    </w:p>
    <w:p>
      <w:pPr>
        <w:pStyle w:val="Pustaka"/>
      </w:pPr>
      <w:r>
        <w:t xml:space="preserve">Republik Indonesia. (2026b). </w:t>
      </w:r>
      <w:r>
        <w:rPr>
          <w:i/>
          <w:iCs/>
        </w:rPr>
        <w:t xml:space="preserve">Undang-Undang Nomor 5 Tahun 2026 tentang Perubahan Ketiga atas Undang-Undang Nomor 2 Tahun 2002 tentang Kepolisian Negara Republik Indonesia</w:t>
      </w:r>
      <w:r>
        <w:t xml:space="preserve">. </w:t>
      </w:r>
      <w:r>
        <w:t xml:space="preserve">Diakses 23 Oktober 2026, dari https://peraturan.bpk.go.id/Details/350096/uu-no-5-tahun-2026</w:t>
      </w:r>
    </w:p>
    <w:p>
      <w:pPr>
        <w:pStyle w:val="Pustaka"/>
      </w:pPr>
      <w:r>
        <w:t xml:space="preserve">Satuan Tugas Penanganan COVID-19. (2022). </w:t>
      </w:r>
      <w:r>
        <w:rPr>
          <w:i/>
          <w:iCs/>
        </w:rPr>
        <w:t xml:space="preserve">Data update COVID-19 Indonesia (update.json)</w:t>
      </w:r>
      <w:r>
        <w:t xml:space="preserve">. </w:t>
      </w:r>
      <w:r>
        <w:t xml:space="preserve">Satgas Penanganan COVID-19 dan Kementerian Kesehatan. </w:t>
      </w:r>
      <w:r>
        <w:t xml:space="preserve">Diakses 23 Oktober 2026, dari https://web.archive.org/web/20221027173342id_/https://data.covid19.go.id/public/api/update.json</w:t>
      </w:r>
    </w:p>
    <w:p>
      <w:pPr>
        <w:pStyle w:val="Pustaka"/>
      </w:pPr>
      <w:r>
        <w:t xml:space="preserve">Sekretariat Kabinet Republik Indonesia. (2019). </w:t>
      </w:r>
      <w:r>
        <w:rPr>
          <w:i/>
          <w:iCs/>
        </w:rPr>
        <w:t xml:space="preserve">Sampaikan duka cita kepada korban, Presiden Jokowi: rusuh Wamena bukan konflik etnis</w:t>
      </w:r>
      <w:r>
        <w:t xml:space="preserve">. </w:t>
      </w:r>
      <w:r>
        <w:t xml:space="preserve">Sekretariat Kabinet. </w:t>
      </w:r>
      <w:r>
        <w:t xml:space="preserve">Diakses 23 Oktober 2026, dari https://setkab.go.id/sampaikan-duka-cita-kepada-korban-presiden-jokowi-rusuh-wamena-bukan-konflik-etnis/</w:t>
      </w:r>
    </w:p>
    <w:p>
      <w:pPr>
        <w:pStyle w:val="Pustaka"/>
      </w:pPr>
      <w:r>
        <w:t xml:space="preserve">Sekretariat Kabinet Republik Indonesia. (2023a). </w:t>
      </w:r>
      <w:r>
        <w:rPr>
          <w:i/>
          <w:iCs/>
        </w:rPr>
        <w:t xml:space="preserve">Pemerintah terbitkan Perpres pengakhiran penanganan pandemi COVID-19</w:t>
      </w:r>
      <w:r>
        <w:t xml:space="preserve">. </w:t>
      </w:r>
      <w:r>
        <w:t xml:space="preserve">Diakses 23 Oktober 2026, dari https://setkab.go.id/pemerintah-terbitkan-perpres-pengakhiran-penanganan-pandemi-covid-19/</w:t>
      </w:r>
    </w:p>
    <w:p>
      <w:pPr>
        <w:pStyle w:val="Pustaka"/>
      </w:pPr>
      <w:r>
        <w:t xml:space="preserve">Sekretariat Kabinet Republik Indonesia. (2023b). </w:t>
      </w:r>
      <w:r>
        <w:rPr>
          <w:i/>
          <w:iCs/>
        </w:rPr>
        <w:t xml:space="preserve">Presiden Jokowi tinjau posko pengungsi korban kebakaran TBBM Pertamina Plumpang</w:t>
      </w:r>
      <w:r>
        <w:t xml:space="preserve">. </w:t>
      </w:r>
      <w:r>
        <w:t xml:space="preserve">Sekretariat Kabinet. </w:t>
      </w:r>
      <w:r>
        <w:t xml:space="preserve">Diakses 23 Oktober 2026, dari https://setkab.go.id/presiden-jokowi-tinjau-posko-pengungsi-korban-kebakaran-tbbm-pertamina-plumpang/</w:t>
      </w:r>
    </w:p>
    <w:p>
      <w:pPr>
        <w:pStyle w:val="Pustaka"/>
      </w:pPr>
      <w:r>
        <w:t xml:space="preserve">Supendi, P., Widiyantoro, S., Rawlinson, N., Yatimantoro, T., Muhari, A., Hanifa, N. R., Gunawan, E., Shiddiqi, H. A., Imran, I., Anugrah, S. D., Daryono, Prayitno, B. S., Adi, S. P., Karnawati, D., Faizal, L., &amp; Damanik, R. (2022). </w:t>
      </w:r>
      <w:r>
        <w:t xml:space="preserve">On the potential for megathrust earthquakes and tsunamis off the southern coast of West Java and southeast Sumatra, Indonesia. </w:t>
      </w:r>
      <w:r>
        <w:rPr>
          <w:i/>
          <w:iCs/>
        </w:rPr>
        <w:t xml:space="preserve">Natural Hazards</w:t>
      </w:r>
      <w:r>
        <w:t xml:space="preserve">, </w:t>
      </w:r>
      <w:r>
        <w:rPr>
          <w:i/>
          <w:iCs/>
        </w:rPr>
        <w:t xml:space="preserve">116</w:t>
      </w:r>
      <w:r>
        <w:t xml:space="preserve">, 1315–1328. </w:t>
      </w:r>
      <w:r>
        <w:t xml:space="preserve">Diakses 24 Oktober 2026, dari https://doi.org/10.1007/s11069-022-05696-y</w:t>
      </w:r>
    </w:p>
    <w:p>
      <w:pPr>
        <w:pStyle w:val="Pustaka"/>
      </w:pPr>
      <w:r>
        <w:t xml:space="preserve">Surono, Jousset, P., Pallister, J., Boichu, M., Buongiorno, M. F., Budisantoso, A., Costa, F., Andreastuti, S., Prata, F., Schneider, D., Clarisse, L., Humaida, H., Sumarti, S., Bignami, C., Griswold, J., Carn, S., Oppenheimer, C., &amp; Lavigne, F. (2012). </w:t>
      </w:r>
      <w:r>
        <w:t xml:space="preserve">The 2010 explosive eruption of Java's Merapi volcano: a '100-year' event. </w:t>
      </w:r>
      <w:r>
        <w:rPr>
          <w:i/>
          <w:iCs/>
        </w:rPr>
        <w:t xml:space="preserve">Journal of Volcanology and Geothermal Research</w:t>
      </w:r>
      <w:r>
        <w:t xml:space="preserve">, </w:t>
      </w:r>
      <w:r>
        <w:rPr>
          <w:i/>
          <w:iCs/>
        </w:rPr>
        <w:t xml:space="preserve">241–242</w:t>
      </w:r>
      <w:r>
        <w:t xml:space="preserve">, 121–135. </w:t>
      </w:r>
      <w:r>
        <w:t xml:space="preserve">Diakses 23 Oktober 2026, dari https://doi.org/10.1016/j.jvolgeores.2012.06.018</w:t>
      </w:r>
    </w:p>
    <w:p>
      <w:pPr>
        <w:pStyle w:val="Pustaka"/>
      </w:pPr>
      <w:r>
        <w:t xml:space="preserve">Tim Pantau Bencana. (2026). </w:t>
      </w:r>
      <w:r>
        <w:rPr>
          <w:i/>
          <w:iCs/>
        </w:rPr>
        <w:t xml:space="preserve">Paket program-terbukti: kompendium 25 program dan rubrik posisi bukti</w:t>
      </w:r>
      <w:r>
        <w:t xml:space="preserve">. </w:t>
      </w:r>
      <w:r>
        <w:t xml:space="preserve">Diakses 24 Oktober 2026, dari data/kajian-bnpb/data/program-terbukti/kompendium_program.csv</w:t>
      </w:r>
    </w:p>
    <w:p>
      <w:pPr>
        <w:pStyle w:val="Pustaka"/>
      </w:pPr>
      <w:r>
        <w:t xml:space="preserve">Tomás Guendelman. (2012). </w:t>
      </w:r>
      <w:r>
        <w:rPr>
          <w:i/>
          <w:iCs/>
        </w:rPr>
        <w:t xml:space="preserve">Chilean Emergency Seismic Design Code for Building after El Maule 2010 Earthquake</w:t>
      </w:r>
      <w:r>
        <w:t xml:space="preserve">. </w:t>
      </w:r>
      <w:r>
        <w:t xml:space="preserve">15th World Conference on Earthquake Engineering. </w:t>
      </w:r>
      <w:r>
        <w:t xml:space="preserve">Diakses 23 Oktober 2026, dari https://www.iitk.ac.in/nicee/wcee/article/WCEE2012_4480.pdf</w:t>
      </w:r>
    </w:p>
    <w:p>
      <w:pPr>
        <w:pStyle w:val="Pustaka"/>
      </w:pPr>
      <w:r>
        <w:t xml:space="preserve">U.S. Geological Survey. (2006a). </w:t>
      </w:r>
      <w:r>
        <w:rPr>
          <w:i/>
          <w:iCs/>
        </w:rPr>
        <w:t xml:space="preserve">M 6.3 - Java, Indonesia (event usp000ej1c)</w:t>
      </w:r>
      <w:r>
        <w:t xml:space="preserve">. </w:t>
      </w:r>
      <w:r>
        <w:t xml:space="preserve">U.S. Geological Survey, Earthquake Hazards Program. </w:t>
      </w:r>
      <w:r>
        <w:t xml:space="preserve">Diakses 19 Oktober 2026, dari https://earthquake.usgs.gov/earthquakes/eventpage/usp000ej1c</w:t>
      </w:r>
    </w:p>
    <w:p>
      <w:pPr>
        <w:pStyle w:val="Pustaka"/>
      </w:pPr>
      <w:r>
        <w:t xml:space="preserve">U.S. Geological Survey. (2006b). </w:t>
      </w:r>
      <w:r>
        <w:rPr>
          <w:i/>
          <w:iCs/>
        </w:rPr>
        <w:t xml:space="preserve">M 7.7 - 226 km SSW of Singaparna, Indonesia (event usp000ensm), impact-text</w:t>
      </w:r>
      <w:r>
        <w:t xml:space="preserve">. </w:t>
      </w:r>
      <w:r>
        <w:t xml:space="preserve">U.S. Geological Survey, Earthquake Hazards Program. </w:t>
      </w:r>
      <w:r>
        <w:t xml:space="preserve">Diakses 23 Oktober 2026, dari https://earthquake.usgs.gov/fdsnws/event/1/query?eventid=usp000ensm&amp;format=geojson</w:t>
      </w:r>
    </w:p>
    <w:p>
      <w:pPr>
        <w:pStyle w:val="Pustaka"/>
      </w:pPr>
      <w:r>
        <w:t xml:space="preserve">U.S. Geological Survey. (2009). </w:t>
      </w:r>
      <w:r>
        <w:rPr>
          <w:i/>
          <w:iCs/>
        </w:rPr>
        <w:t xml:space="preserve">M 7.6 - Southern Sumatra, Indonesia (event usp000h237)</w:t>
      </w:r>
      <w:r>
        <w:t xml:space="preserve">. </w:t>
      </w:r>
      <w:r>
        <w:t xml:space="preserve">U.S. Geological Survey, Earthquake Hazards Program. </w:t>
      </w:r>
      <w:r>
        <w:t xml:space="preserve">Diakses 19 Oktober 2026, dari https://earthquake.usgs.gov/earthquakes/eventpage/usp000h237</w:t>
      </w:r>
    </w:p>
    <w:p>
      <w:pPr>
        <w:pStyle w:val="Pustaka"/>
      </w:pPr>
      <w:r>
        <w:t xml:space="preserve">U.S. Geological Survey. (2018b). </w:t>
      </w:r>
      <w:r>
        <w:rPr>
          <w:i/>
          <w:iCs/>
        </w:rPr>
        <w:t xml:space="preserve">M 7.5 - 72 km N of Palu, Indonesia (event us1000h3p4)</w:t>
      </w:r>
      <w:r>
        <w:t xml:space="preserve">. </w:t>
      </w:r>
      <w:r>
        <w:t xml:space="preserve">U.S. Geological Survey, Earthquake Hazards Program. </w:t>
      </w:r>
      <w:r>
        <w:t xml:space="preserve">Diakses 23 Oktober 2026, dari https://earthquake.usgs.gov/earthquakes/eventpage/us1000h3p4</w:t>
      </w:r>
    </w:p>
    <w:p>
      <w:pPr>
        <w:pStyle w:val="Pustaka"/>
      </w:pPr>
      <w:r>
        <w:t xml:space="preserve">U.S. Geological Survey. (2026). </w:t>
      </w:r>
      <w:r>
        <w:rPr>
          <w:i/>
          <w:iCs/>
        </w:rPr>
        <w:t xml:space="preserve">M 7.8 - 66 km NNW of Ende, Indonesia (event us6000tkt2)</w:t>
      </w:r>
      <w:r>
        <w:t xml:space="preserve">. </w:t>
      </w:r>
      <w:r>
        <w:t xml:space="preserve">U.S. Geological Survey, Earthquake Hazards Program. </w:t>
      </w:r>
      <w:r>
        <w:t xml:space="preserve">Diakses 24 Oktober 2026, dari https://earthquake.usgs.gov/earthquakes/eventpage/us6000tkt2</w:t>
      </w:r>
    </w:p>
    <w:p>
      <w:pPr>
        <w:pStyle w:val="Pustaka"/>
      </w:pPr>
      <w:r>
        <w:t xml:space="preserve">United Nations Office for Disaster Risk Reduction (UNISDR). (2015). </w:t>
      </w:r>
      <w:r>
        <w:rPr>
          <w:i/>
          <w:iCs/>
        </w:rPr>
        <w:t xml:space="preserve">Sendai Framework for Disaster Risk Reduction 2015–2030</w:t>
      </w:r>
      <w:r>
        <w:t xml:space="preserve">. </w:t>
      </w:r>
      <w:r>
        <w:t xml:space="preserve">UNISDR. </w:t>
      </w:r>
      <w:r>
        <w:t xml:space="preserve">Diakses 24 Oktober 2026, dari https://www.unisdr.org/files/43291_sendaiframeworkfordrren.pdf</w:t>
      </w:r>
    </w:p>
    <w:p>
      <w:pPr>
        <w:pStyle w:val="Pustaka"/>
      </w:pPr>
      <w:r>
        <w:t xml:space="preserve">Widiyanto, W., Santoso, P. B., Hsiao, S. -., &amp; Imananta, R. T. (2019). </w:t>
      </w:r>
      <w:r>
        <w:t xml:space="preserve">Post-event field survey of 28 September 2018 Sulawesi earthquake and tsunami. </w:t>
      </w:r>
      <w:r>
        <w:rPr>
          <w:i/>
          <w:iCs/>
        </w:rPr>
        <w:t xml:space="preserve">Natural Hazards and Earth System Sciences</w:t>
      </w:r>
      <w:r>
        <w:t xml:space="preserve">, </w:t>
      </w:r>
      <w:r>
        <w:rPr>
          <w:i/>
          <w:iCs/>
        </w:rPr>
        <w:t xml:space="preserve">19</w:t>
      </w:r>
      <w:r>
        <w:t xml:space="preserve">, 2781-2794. </w:t>
      </w:r>
      <w:r>
        <w:t xml:space="preserve">Diakses 24 Oktober 2026, dari https://doi.org/10.5194/nhess-19-2781-2019</w:t>
      </w:r>
    </w:p>
    <w:p>
      <w:pPr>
        <w:pStyle w:val="Pustaka"/>
      </w:pPr>
      <w:r>
        <w:t xml:space="preserve">Widiyantoro, S., Gunawan, E., Muhari, A., Rawlinson, N., Mori, J., Hanifa, N. R., Susilo, S., Supendi, P., Shiddiqi, H. A., Nugraha, A. D., &amp; Putra, H. E. (2020). </w:t>
      </w:r>
      <w:r>
        <w:t xml:space="preserve">Implications for megathrust earthquakes and tsunamis from seismic gaps south of Java Indonesia. </w:t>
      </w:r>
      <w:r>
        <w:rPr>
          <w:i/>
          <w:iCs/>
        </w:rPr>
        <w:t xml:space="preserve">Scientific Reports</w:t>
      </w:r>
      <w:r>
        <w:t xml:space="preserve">, </w:t>
      </w:r>
      <w:r>
        <w:rPr>
          <w:i/>
          <w:iCs/>
        </w:rPr>
        <w:t xml:space="preserve">10</w:t>
      </w:r>
      <w:r>
        <w:t xml:space="preserve">. </w:t>
      </w:r>
      <w:r>
        <w:t xml:space="preserve">Diakses 23 Oktober 2026, dari https://doi.org/10.1038/s41598-020-72142-z</w:t>
      </w:r>
    </w:p>
    <w:p>
      <w:pPr>
        <w:pStyle w:val="Pustaka"/>
      </w:pPr>
      <w:r>
        <w:t xml:space="preserve">World Bank. (2013). </w:t>
      </w:r>
      <w:r>
        <w:rPr>
          <w:i/>
          <w:iCs/>
        </w:rPr>
        <w:t xml:space="preserve">Cyclone Phailin in India: Early warning and timely actions saved lives</w:t>
      </w:r>
      <w:r>
        <w:t xml:space="preserve">. </w:t>
      </w:r>
      <w:r>
        <w:t xml:space="preserve">World Bank. </w:t>
      </w:r>
      <w:r>
        <w:t xml:space="preserve">Diakses 23 Oktober 2026, dari https://www.worldbank.org/en/news/feature/2013/10/17/india-cyclone-phailin-destruction-preparation</w:t>
      </w:r>
    </w:p>
    <w:p>
      <w:pPr>
        <w:pStyle w:val="Pustaka"/>
      </w:pPr>
      <w:r>
        <w:t xml:space="preserve">World Bank. (2016). </w:t>
      </w:r>
      <w:r>
        <w:rPr>
          <w:i/>
          <w:iCs/>
        </w:rPr>
        <w:t xml:space="preserve">The cost of fire: An economic analysis of Indonesia's 2015 fire crisis</w:t>
      </w:r>
      <w:r>
        <w:t xml:space="preserve">. </w:t>
      </w:r>
      <w:r>
        <w:t xml:space="preserve">World Bank. </w:t>
      </w:r>
      <w:r>
        <w:t xml:space="preserve">Diakses 24 Oktober 2026, dari https://documents1.worldbank.org/curated/en/776101467990969768/txt/103668-BRI-Cost-of-Fires-Knowledge-Note-PUBLIC-ADD-NEW-SERIES-Indonesia-Sustainable-Landscapes-Knowledge-Note.txt</w:t>
      </w:r>
    </w:p>
    <w:p>
      <w:pPr>
        <w:pStyle w:val="Pustaka"/>
      </w:pPr>
      <w:r>
        <w:t xml:space="preserve">World Bank. (2019). </w:t>
      </w:r>
      <w:r>
        <w:rPr>
          <w:i/>
          <w:iCs/>
        </w:rPr>
        <w:t xml:space="preserve">Indonesia Economic Quarterly, December 2019: Investing in People</w:t>
      </w:r>
      <w:r>
        <w:t xml:space="preserve">. </w:t>
      </w:r>
      <w:r>
        <w:t xml:space="preserve">World Bank. </w:t>
      </w:r>
      <w:r>
        <w:t xml:space="preserve">Diakses 24 Oktober 2026, dari https://documents.worldbank.org/curated/en/622281575920970133/text/Indonesia-Economic-Quarterly-Investing-in-People.txt</w:t>
      </w:r>
    </w:p>
    <w:p>
      <w:pPr>
        <w:pStyle w:val="Pustaka"/>
      </w:pPr>
      <w:r>
        <w:t xml:space="preserve">World Bank. (2022). </w:t>
      </w:r>
      <w:r>
        <w:rPr>
          <w:i/>
          <w:iCs/>
        </w:rPr>
        <w:t xml:space="preserve">Risk insurance builds climate and disaster resilience in Central America and the Caribbean</w:t>
      </w:r>
      <w:r>
        <w:t xml:space="preserve">. </w:t>
      </w:r>
      <w:r>
        <w:t xml:space="preserve">World Bank. </w:t>
      </w:r>
      <w:r>
        <w:t xml:space="preserve">Diakses 23 Oktober 2026, dari https://www.worldbank.org/en/results/2022/04/21/risk-insurance-builds-climate-and-disaster-resilience-in-central-america-and-the-caribbean</w:t>
      </w:r>
    </w:p>
    <w:p>
      <w:pPr>
        <w:pStyle w:val="Pustaka"/>
      </w:pPr>
      <w:r>
        <w:t xml:space="preserve">World Health Organization. (2023). </w:t>
      </w:r>
      <w:r>
        <w:rPr>
          <w:i/>
          <w:iCs/>
        </w:rPr>
        <w:t xml:space="preserve">Estimates of excess mortality associated with COVID-19 pandemic (as of 5 April 2023)</w:t>
      </w:r>
      <w:r>
        <w:t xml:space="preserve">. </w:t>
      </w:r>
      <w:r>
        <w:t xml:space="preserve">World Health Organization. </w:t>
      </w:r>
      <w:r>
        <w:t xml:space="preserve">Diakses 23 Oktober 2026, dari https://cdn.who.int/media/docs/default-source/world-health-data-platform/covid-19-excessmortality/2023-05-19_covid-19_gem.zip?sfvrsn=9a95fc1a_4</w:t>
      </w:r>
    </w:p>
    <w:p>
      <w:pPr>
        <w:pStyle w:val="Pustaka"/>
      </w:pPr>
      <w:r>
        <w:t xml:space="preserve">World Health Organization. (2024). </w:t>
      </w:r>
      <w:r>
        <w:rPr>
          <w:i/>
          <w:iCs/>
        </w:rPr>
        <w:t xml:space="preserve">Joint External Evaluation of IHR Core Capacities of the Republic of Indonesia: mission report, 16–20 October 2023</w:t>
      </w:r>
      <w:r>
        <w:t xml:space="preserve">. </w:t>
      </w:r>
      <w:r>
        <w:t xml:space="preserve">WHO. </w:t>
      </w:r>
      <w:r>
        <w:t xml:space="preserve">Diakses 23 Oktober 2026, dari https://www.who.int/publications/i/item/9789240095151</w:t>
      </w:r>
    </w:p>
    <w:p>
      <w:pPr>
        <w:pStyle w:val="Pustaka"/>
      </w:pPr>
      <w:r>
        <w:t xml:space="preserve">World Health Organization. (2026a). </w:t>
      </w:r>
      <w:r>
        <w:rPr>
          <w:i/>
          <w:iCs/>
        </w:rPr>
        <w:t xml:space="preserve">Global Health Observatory: WHS4_100, WHS8_110 (WUENIC), TB_notif_num, SDGIHR2018/2021</w:t>
      </w:r>
      <w:r>
        <w:t xml:space="preserve">. </w:t>
      </w:r>
      <w:r>
        <w:t xml:space="preserve">Diakses 23 Oktober 2026, dari https://ghoapi.azureedge.net/api/WHS4_100</w:t>
      </w:r>
    </w:p>
    <w:p>
      <w:pPr>
        <w:pStyle w:val="Pustaka"/>
      </w:pPr>
      <w:r>
        <w:t xml:space="preserve">World Health Organization. (2026b). </w:t>
      </w:r>
      <w:r>
        <w:rPr>
          <w:i/>
          <w:iCs/>
        </w:rPr>
        <w:t xml:space="preserve">IHR State Party Self-Assessment Annual Reporting (SPAR), Indonesia, indikator SDGIHR2021</w:t>
      </w:r>
      <w:r>
        <w:t xml:space="preserve">. </w:t>
      </w:r>
      <w:r>
        <w:t xml:space="preserve">WHO GHO OData. </w:t>
      </w:r>
      <w:r>
        <w:t xml:space="preserve">Diakses 23 Oktober 2026, dari https://ghoapi.azureedge.net/api/SDGIHR2021?$filter=SpatialDim eq 'IDN'</w:t>
      </w:r>
    </w:p>
    <w:p>
      <w:pPr>
        <w:pStyle w:val="Pustaka"/>
      </w:pPr>
      <w:r>
        <w:t xml:space="preserve">World Health Organization. (2026c). </w:t>
      </w:r>
      <w:r>
        <w:rPr>
          <w:i/>
          <w:iCs/>
        </w:rPr>
        <w:t xml:space="preserve">WHO COVID-19 global data (WHO-COVID-19-global-data.csv)</w:t>
      </w:r>
      <w:r>
        <w:t xml:space="preserve">. </w:t>
      </w:r>
      <w:r>
        <w:t xml:space="preserve">Diakses 23 Oktober 2026, dari https://srhdpeuwpubsa.blob.core.windows.net/whdh/COVID/WHO-COVID-19-global-data.csv</w:t>
      </w:r>
    </w:p>
    <w:p>
      <w:pPr>
        <w:pStyle w:val="Pustaka"/>
      </w:pPr>
      <w:r>
        <w:t xml:space="preserve">World Health Organization. (2026d). </w:t>
      </w:r>
      <w:r>
        <w:rPr>
          <w:i/>
          <w:iCs/>
        </w:rPr>
        <w:t xml:space="preserve">Years of healthy life lost due to disability (YLD), Indicator Metadata Registry</w:t>
      </w:r>
      <w:r>
        <w:t xml:space="preserve">. </w:t>
      </w:r>
      <w:r>
        <w:t xml:space="preserve">WHO Global Health Observatory. </w:t>
      </w:r>
      <w:r>
        <w:t xml:space="preserve">Diakses 24 Oktober 2026, dari https://www.who.int/data/gho/indicator-metadata-registry/imr-details/160</w:t>
      </w:r>
    </w:p>
    <w:p>
      <w:pPr>
        <w:pStyle w:val="Pustaka"/>
      </w:pPr>
      <w:r>
        <w:t xml:space="preserve">World Meteorological Organization. (2022). </w:t>
      </w:r>
      <w:r>
        <w:rPr>
          <w:i/>
          <w:iCs/>
        </w:rPr>
        <w:t xml:space="preserve">UN warns that half the world is not prepared for disasters</w:t>
      </w:r>
      <w:r>
        <w:t xml:space="preserve">. </w:t>
      </w:r>
      <w:r>
        <w:t xml:space="preserve">Diakses 23 Oktober 2026, dari https://wmo.int/media/news/un-warns-half-world-not-prepared-disasters</w:t>
      </w:r>
    </w:p>
    <w:p>
      <w:pPr>
        <w:pStyle w:val="Pustaka"/>
      </w:pPr>
      <w:r>
        <w:t xml:space="preserve">WorldPop. (2025). </w:t>
      </w:r>
      <w:r>
        <w:rPr>
          <w:i/>
          <w:iCs/>
        </w:rPr>
        <w:t xml:space="preserve">WorldPop R2025A, constrained UN-adjusted population 2026</w:t>
      </w:r>
      <w:r>
        <w:t xml:space="preserve"> [Data set]. </w:t>
      </w:r>
      <w:r>
        <w:t xml:space="preserve">University of Southampton. </w:t>
      </w:r>
      <w:r>
        <w:t xml:space="preserve">https://www.worldpop.org</w:t>
      </w:r>
    </w:p>
    <w:p>
      <w:pPr>
        <w:pStyle w:val="Pustaka"/>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中央防災会議 防災対策実行会議 南海トラフ巨大地震対策検討ワーキンググループ (Central Disaster Management Council, Japan). (2025). </w:t>
      </w:r>
      <w:r>
        <w:rPr>
          <w:i/>
          <w:iCs/>
        </w:rPr>
        <w:t xml:space="preserve">南海トラフ巨大地震 最大クラス地震における被害想定について【定量的な被害量】</w:t>
      </w:r>
      <w:r>
        <w:t xml:space="preserve">. </w:t>
      </w:r>
      <w:r>
        <w:t xml:space="preserve">内閣府 (防災担当) Cabinet Office, Government of Japan. </w:t>
      </w:r>
      <w:r>
        <w:t xml:space="preserve">Diakses 23 Oktober 2026, dari https://www.bousai.go.jp/jishin/nankai/taisaku_wg_02/pdf/saidai_01.pdf</w:t>
      </w:r>
    </w:p>
    <w:p>
      <w:pPr>
        <w:pStyle w:val="JudulPembatas"/>
      </w:pPr>
      <w:bookmarkStart w:id="846" w:name="_Toc00266"/>
      <w:r>
        <w:t xml:space="preserve">LAMPIRAN</w:t>
      </w:r>
      <w:bookmarkEnd w:id="846"/>
    </w:p>
    <w:p>
      <w:pPr>
        <w:spacing w:after="80"/>
      </w:pPr>
      <w:r>
        <w:rPr>
          <w:color w:val="FFFFFF"/>
          <w:sz w:val="21"/>
          <w:szCs w:val="21"/>
        </w:rPr>
        <w:t xml:space="preserve">Lampiran A. IRBI 2025 dan Daftar Perhatian per Kab/Kota</w:t>
      </w:r>
    </w:p>
    <w:p>
      <w:pPr>
        <w:spacing w:after="80"/>
      </w:pPr>
      <w:r>
        <w:rPr>
          <w:color w:val="FFFFFF"/>
          <w:sz w:val="21"/>
          <w:szCs w:val="21"/>
        </w:rPr>
        <w:t xml:space="preserve">Lampiran B. Profil Provinsi</w:t>
      </w:r>
    </w:p>
    <w:p>
      <w:pPr>
        <w:spacing w:after="80"/>
      </w:pPr>
      <w:r>
        <w:rPr>
          <w:color w:val="FFFFFF"/>
          <w:sz w:val="21"/>
          <w:szCs w:val="21"/>
        </w:rPr>
        <w:t xml:space="preserve">Lampiran C. Kartu Skenario dan Keluaran Model per Jenis</w:t>
      </w:r>
    </w:p>
    <w:p>
      <w:pPr>
        <w:spacing w:after="80"/>
      </w:pPr>
      <w:r>
        <w:rPr>
          <w:color w:val="FFFFFF"/>
          <w:sz w:val="21"/>
          <w:szCs w:val="21"/>
        </w:rPr>
        <w:t xml:space="preserve">Lampiran D. Rekap DIBI dan Rekonsiliasi Kejadian</w:t>
      </w:r>
    </w:p>
    <w:p>
      <w:pPr>
        <w:spacing w:after="80"/>
      </w:pPr>
      <w:r>
        <w:rPr>
          <w:color w:val="FFFFFF"/>
          <w:sz w:val="21"/>
          <w:szCs w:val="21"/>
        </w:rPr>
        <w:t xml:space="preserve">Lampiran E. Matriks Regulasi dan Mandat Lembaga</w:t>
      </w:r>
    </w:p>
    <w:p>
      <w:pPr>
        <w:spacing w:after="80"/>
      </w:pPr>
      <w:r>
        <w:rPr>
          <w:color w:val="FFFFFF"/>
          <w:sz w:val="21"/>
          <w:szCs w:val="21"/>
        </w:rPr>
        <w:t xml:space="preserve">Lampiran F. Metode Simulasi, Asumsi, dan Ketersediaan Kuantifikasi</w:t>
      </w:r>
    </w:p>
    <w:p>
      <w:pPr>
        <w:spacing w:after="80"/>
      </w:pPr>
      <w:r>
        <w:rPr>
          <w:color w:val="FFFFFF"/>
          <w:sz w:val="21"/>
          <w:szCs w:val="21"/>
        </w:rPr>
        <w:t xml:space="preserve">Lampiran G. Rekonsiliasi Angka</w:t>
      </w:r>
    </w:p>
    <w:p>
      <w:pPr>
        <w:spacing w:after="80"/>
      </w:pPr>
      <w:r>
        <w:rPr>
          <w:color w:val="FFFFFF"/>
          <w:sz w:val="21"/>
          <w:szCs w:val="21"/>
        </w:rPr>
        <w:t xml:space="preserve">Lampiran H. Katalog Program dan Kekuatan Bukti</w:t>
      </w:r>
    </w:p>
    <w:p>
      <w:pPr>
        <w:spacing w:after="80"/>
      </w:pPr>
      <w:r>
        <w:rPr>
          <w:color w:val="FFFFFF"/>
          <w:sz w:val="21"/>
          <w:szCs w:val="21"/>
        </w:rPr>
        <w:t xml:space="preserve">Lampiran I. Register Rekomendasi dan Tabel Silang Kajian Ketahanan Air</w:t>
      </w:r>
    </w:p>
    <w:p>
      <w:pPr>
        <w:spacing w:after="80"/>
      </w:pPr>
      <w:r>
        <w:rPr>
          <w:color w:val="FFFFFF"/>
          <w:sz w:val="21"/>
          <w:szCs w:val="21"/>
        </w:rPr>
        <w:t xml:space="preserve">Lampiran J. Penyelarasan Dokumen BNPB</w:t>
      </w:r>
    </w:p>
    <w:p>
      <w:pPr>
        <w:spacing w:after="80"/>
      </w:pPr>
      <w:r>
        <w:rPr>
          <w:color w:val="FFFFFF"/>
          <w:sz w:val="21"/>
          <w:szCs w:val="21"/>
        </w:rPr>
        <w:t xml:space="preserve">Lampiran K. Glosarium</w:t>
      </w:r>
    </w:p>
    <w:p>
      <w:pPr>
        <w:spacing w:after="80"/>
        <w:sectPr>
          <w:headerReference w:type="default" r:id="rId103"/>
          <w:footerReference w:type="default" r:id="rId12"/>
          <w:type w:val="nextPage"/>
          <w:pgSz w:w="11906" w:h="16838"/>
          <w:pgMar w:top="5102" w:right="1134" w:bottom="1134" w:left="1417" w:header="680" w:footer="567" w:gutter="0"/>
          <w:pgNumType w:fmt="decimal"/>
          <w:cols w:space="708"/>
          <w:docGrid w:linePitch="360"/>
        </w:sectPr>
      </w:pPr>
      <w:r>
        <w:rPr>
          <w:color w:val="FFFFFF"/>
          <w:sz w:val="21"/>
          <w:szCs w:val="21"/>
        </w:rPr>
        <w:t xml:space="preserve">Lampiran L. Atribusi Foto</w:t>
      </w:r>
    </w:p>
    <w:p>
      <w:pPr>
        <w:pStyle w:val="JudulLampiran"/>
      </w:pPr>
      <w:bookmarkStart w:id="848" w:name="_Toc00267"/>
      <w:bookmarkStart w:id="847" w:name="_Ref0064"/>
      <w:r>
        <w:t xml:space="preserve">Lampiran A</w:t>
      </w:r>
      <w:bookmarkEnd w:id="847"/>
      <w:r>
        <w:t xml:space="preserve">. IRBI 2025 dan Daftar Perhatian per Kab/Kota</w:t>
      </w:r>
      <w:bookmarkEnd w:id="848"/>
    </w:p>
    <w:p>
      <w:pPr>
        <w:pStyle w:val="Isi"/>
      </w:pPr>
      <w:r>
        <w:t xml:space="preserve">Ketiga tabel lampiran ini memuat seluruh </w:t>
      </w:r>
      <w:r>
        <w:t xml:space="preserve">514</w:t>
      </w:r>
      <w:r>
        <w:t xml:space="preserve"> kab/kota dari katalog wilayah IRBI 2025, dikelompokkan per provinsi menurut urutan kode wilayah. Nilai dan status IRBI berasal dari InaRISK </w:t>
      </w:r>
      <w:r>
        <w:t xml:space="preserve">(BNPB, t.t.-b)</w:t>
      </w:r>
      <w:r>
        <w:t xml:space="preserve">, sedangkan syarat kejadian dan korban berasal dari DIBI </w:t>
      </w:r>
      <w:r>
        <w:t xml:space="preserve">(BNPB, t.t.-a)</w:t>
      </w:r>
      <w:r>
        <w:t xml:space="preserve">. Nilai per bahaya berupa bilangan bulat dengan banyak nilai kembar, sehingga tabel tidak dipakai untuk memeringkat kab/kota, dan skala 2025 tidak dibandingkan dengan seri 2015–2024 (</w:t>
      </w:r>
      <w:r>
        <w:t xml:space="preserve">Subbab </w:t>
      </w:r>
      <w:r>
        <w:fldChar w:fldCharType="begin"/>
      </w:r>
      <w:r>
        <w:instrText xml:space="preserve"> REF _Ref0152 \h \* CHARFORMAT </w:instrText>
      </w:r>
      <w:r>
        <w:fldChar w:fldCharType="separate"/>
      </w:r>
      <w:r>
        <w:t xml:space="preserve">3.2</w:t>
      </w:r>
      <w:r>
        <w:fldChar w:fldCharType="end"/>
      </w:r>
      <w:r>
        <w:t xml:space="preserve">). Sel "–" berarti bahaya itu tidak dinilai di kab/kota tersebut, bukan nol.</w:t>
      </w:r>
    </w:p>
    <w:p>
      <w:pPr>
        <w:pStyle w:val="IsiTemuan"/>
      </w:pPr>
      <w:r>
        <w:rPr>
          <w:b/>
          <w:bCs/>
          <w:color w:val="051C2C"/>
        </w:rPr>
        <w:t xml:space="preserve">Pernyataan produsen.</w:t>
      </w:r>
      <w:r>
        <w:t xml:space="preserve"> Tabel disusun platform Pantau Bencana dari data produsen tersebut, bukan oleh unit kerja BNPB, sehingga bukan Data Bencana menurut Perban BNPB 1/2023 </w:t>
      </w:r>
      <w:r>
        <w:t xml:space="preserve">(BNPB, 2023b)</w:t>
      </w:r>
      <w:r>
        <w:t xml:space="preserve">. Kolom daftar perhatian adalah hasil aturan syarat </w:t>
      </w:r>
      <w:r>
        <w:t xml:space="preserve">Subbab </w:t>
      </w:r>
      <w:r>
        <w:fldChar w:fldCharType="begin"/>
      </w:r>
      <w:r>
        <w:instrText xml:space="preserve"> REF _Ref0116 \h \* CHARFORMAT </w:instrText>
      </w:r>
      <w:r>
        <w:fldChar w:fldCharType="separate"/>
      </w:r>
      <w:r>
        <w:t xml:space="preserve">3.8</w:t>
      </w:r>
      <w:r>
        <w:fldChar w:fldCharType="end"/>
      </w:r>
      <w:r>
        <w:t xml:space="preserve"> yang berlabel Asumsi kebijakan. Huruf dalam kurung menyebut syarat yang dipenuhi: untuk hidrometeorologi, (a) IRBI 2025 di kelas nilai teratas, (b) kejadian tercatat paling sedikit tiga dari sebelas tahun 2015–2025, dan (c) korban atau pengungsi DIBI di kuartil atas. Untuk geologi, (a) sama, (b) paparan di kuartil atas, dan (c) kejadian berkorban sejak 2008.</w:t>
      </w:r>
    </w:p>
    <w:p>
      <w:pPr>
        <w:pStyle w:val="Isi"/>
      </w:pPr>
      <w:r>
        <w:t xml:space="preserve">Daftar perhatian memuat </w:t>
      </w:r>
      <w:r>
        <w:t xml:space="preserve">903 pasangan kab–bahaya</w:t>
      </w:r>
      <w:r>
        <w:t xml:space="preserve"> di </w:t>
      </w:r>
      <w:r>
        <w:t xml:space="preserve">426</w:t>
      </w:r>
      <w:r>
        <w:t xml:space="preserve"> kab/kota (</w:t>
      </w:r>
      <w:r>
        <w:fldChar w:fldCharType="begin"/>
      </w:r>
      <w:r>
        <w:instrText xml:space="preserve"> REF _Ref0226 \h \* CHARFORMAT </w:instrText>
      </w:r>
      <w:r>
        <w:fldChar w:fldCharType="separate"/>
      </w:r>
      <w:r>
        <w:t xml:space="preserve">Tabel A.1</w:t>
      </w:r>
      <w:r>
        <w:fldChar w:fldCharType="end"/>
      </w:r>
      <w:r>
        <w:t xml:space="preserve">). Daftar itu bukan daftar prioritas: ukurannya ditentukan sifat data, dan aturannya dihitung ulang setelah catatan metode IRBI 2025 terbit (</w:t>
      </w:r>
      <w:r>
        <w:fldChar w:fldCharType="begin"/>
      </w:r>
      <w:r>
        <w:instrText xml:space="preserve"> REF _Ref0105 \h \* CHARFORMAT </w:instrText>
      </w:r>
      <w:r>
        <w:fldChar w:fldCharType="separate"/>
      </w:r>
      <w:r>
        <w:t xml:space="preserve">30</w:t>
      </w:r>
      <w:r>
        <w:fldChar w:fldCharType="end"/>
      </w:r>
      <w:r>
        <w:t xml:space="preserve">).</w:t>
      </w:r>
    </w:p>
    <w:p>
      <w:pPr>
        <w:pStyle w:val="Caption"/>
      </w:pPr>
      <w:bookmarkStart w:id="850" w:name="_Toc00268"/>
      <w:bookmarkStart w:id="849" w:name="_Ref0226"/>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49"/>
      <w:r>
        <w:rPr>
          <w:b/>
          <w:bCs/>
          <w:color w:val="051C2C"/>
        </w:rPr>
        <w:t xml:space="preserve"> </w:t>
      </w:r>
      <w:r>
        <w:t xml:space="preserve">Penduduk, status IRBI 2025, dan daftar perhatian dengan syaratnya per kab/kota, Indonesia, 2015–2025</w:t>
      </w:r>
      <w:bookmarkEnd w:id="85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408"/>
        <w:gridCol w:w="1206"/>
        <w:gridCol w:w="654"/>
        <w:gridCol w:w="922"/>
        <w:gridCol w:w="4164"/>
      </w:tblGrid>
      <w:tr>
        <w:trPr>
          <w:cantSplit/>
          <w:tblHeader/>
        </w:trPr>
        <w:tc>
          <w:tcPr>
            <w:tcW w:w="2408"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206" w:type="dxa"/>
            <w:tcBorders>
              <w:bottom w:val="single" w:sz="8" w:space="0" w:color="6B7280"/>
            </w:tcBorders>
            <w:vAlign w:val="bottom"/>
          </w:tcPr>
          <w:p>
            <w:pPr>
              <w:pStyle w:val="KepalaTabel"/>
              <w:suppressAutoHyphens/>
            </w:pPr>
            <w:r>
              <w:rPr>
                <w:b/>
                <w:bCs/>
                <w:color w:val="6B7280"/>
                <w:sz w:val="17"/>
                <w:szCs w:val="17"/>
              </w:rPr>
              <w:t xml:space="preserve">PENDUDUK 2026 (jiwa)</w:t>
            </w:r>
          </w:p>
        </w:tc>
        <w:tc>
          <w:tcPr>
            <w:tcW w:w="654" w:type="dxa"/>
            <w:tcBorders>
              <w:bottom w:val="single" w:sz="8" w:space="0" w:color="6B7280"/>
            </w:tcBorders>
            <w:vAlign w:val="bottom"/>
          </w:tcPr>
          <w:p>
            <w:pPr>
              <w:pStyle w:val="KepalaTabel"/>
              <w:suppressAutoHyphens/>
            </w:pPr>
            <w:r>
              <w:rPr>
                <w:b/>
                <w:bCs/>
                <w:color w:val="6B7280"/>
                <w:sz w:val="17"/>
                <w:szCs w:val="17"/>
              </w:rPr>
              <w:t xml:space="preserve">IRB 2025</w:t>
            </w:r>
          </w:p>
        </w:tc>
        <w:tc>
          <w:tcPr>
            <w:tcW w:w="922" w:type="dxa"/>
            <w:tcBorders>
              <w:bottom w:val="single" w:sz="8" w:space="0" w:color="6B7280"/>
            </w:tcBorders>
            <w:vAlign w:val="bottom"/>
          </w:tcPr>
          <w:p>
            <w:pPr>
              <w:pStyle w:val="KepalaTabel"/>
              <w:suppressAutoHyphens/>
            </w:pPr>
            <w:r>
              <w:rPr>
                <w:b/>
                <w:bCs/>
                <w:color w:val="6B7280"/>
                <w:sz w:val="17"/>
                <w:szCs w:val="17"/>
              </w:rPr>
              <w:t xml:space="preserve">STATUS</w:t>
            </w:r>
          </w:p>
        </w:tc>
        <w:tc>
          <w:tcPr>
            <w:tcW w:w="4164" w:type="dxa"/>
            <w:tcBorders>
              <w:bottom w:val="single" w:sz="8" w:space="0" w:color="6B7280"/>
            </w:tcBorders>
            <w:vAlign w:val="bottom"/>
          </w:tcPr>
          <w:p>
            <w:pPr>
              <w:pStyle w:val="KepalaTabel"/>
              <w:suppressAutoHyphens/>
            </w:pPr>
            <w:r>
              <w:rPr>
                <w:b/>
                <w:bCs/>
                <w:color w:val="6B7280"/>
                <w:sz w:val="17"/>
                <w:szCs w:val="17"/>
              </w:rPr>
              <w:t xml:space="preserve">DAFTAR PERHATIAN (BAHAYA DAN SYARAT)</w:t>
            </w:r>
          </w:p>
        </w:tc>
      </w:tr>
      <w:tr>
        <w:trPr>
          <w:cantSplit/>
        </w:trPr>
        <w:tc>
          <w:tcPr>
            <w:tcW w:w="9354" w:type="dxa"/>
            <w:gridSpan w:val="5"/>
            <w:shd w:val="clear" w:color="auto" w:fill="E6EAF0"/>
          </w:tcPr>
          <w:p>
            <w:pPr>
              <w:pStyle w:val="IsiTabel"/>
              <w:keepNext/>
              <w:suppressAutoHyphens/>
              <w:ind w:left="0"/>
            </w:pPr>
            <w:r>
              <w:rPr>
                <w:b/>
                <w:bCs/>
              </w:rPr>
              <w:t xml:space="preserve">Aceh</w:t>
            </w:r>
          </w:p>
        </w:tc>
      </w:tr>
      <w:tr>
        <w:trPr>
          <w:cantSplit/>
        </w:trPr>
        <w:tc>
          <w:tcPr>
            <w:tcW w:w="2408" w:type="dxa"/>
          </w:tcPr>
          <w:p>
            <w:pPr>
              <w:pStyle w:val="IsiTabel"/>
              <w:suppressAutoHyphens/>
              <w:jc w:val="left"/>
            </w:pPr>
            <w:r>
              <w:t xml:space="preserve">Kab. Aceh Selatan</w:t>
            </w:r>
          </w:p>
        </w:tc>
        <w:tc>
          <w:tcPr>
            <w:tcW w:w="1206" w:type="dxa"/>
          </w:tcPr>
          <w:p>
            <w:pPr>
              <w:pStyle w:val="IsiTabel"/>
              <w:suppressAutoHyphens/>
              <w:jc w:val="right"/>
            </w:pPr>
            <w:r>
              <w:t xml:space="preserve">244.677</w:t>
            </w:r>
          </w:p>
        </w:tc>
        <w:tc>
          <w:tcPr>
            <w:tcW w:w="654" w:type="dxa"/>
          </w:tcPr>
          <w:p>
            <w:pPr>
              <w:pStyle w:val="IsiTabel"/>
              <w:suppressAutoHyphens/>
              <w:jc w:val="right"/>
            </w:pPr>
            <w:r>
              <w:t xml:space="preserve">246,4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cuaca ekstrem (a, b, c); gelombang ekstrem dan abrasi (a, b)</w:t>
            </w:r>
          </w:p>
        </w:tc>
      </w:tr>
      <w:tr>
        <w:trPr>
          <w:cantSplit/>
        </w:trPr>
        <w:tc>
          <w:tcPr>
            <w:tcW w:w="2408" w:type="dxa"/>
          </w:tcPr>
          <w:p>
            <w:pPr>
              <w:pStyle w:val="IsiTabel"/>
              <w:suppressAutoHyphens/>
              <w:jc w:val="left"/>
            </w:pPr>
            <w:r>
              <w:t xml:space="preserve">Kab. Aceh Tenggara</w:t>
            </w:r>
          </w:p>
        </w:tc>
        <w:tc>
          <w:tcPr>
            <w:tcW w:w="1206" w:type="dxa"/>
          </w:tcPr>
          <w:p>
            <w:pPr>
              <w:pStyle w:val="IsiTabel"/>
              <w:suppressAutoHyphens/>
              <w:jc w:val="right"/>
            </w:pPr>
            <w:r>
              <w:t xml:space="preserve">233.549</w:t>
            </w:r>
          </w:p>
        </w:tc>
        <w:tc>
          <w:tcPr>
            <w:tcW w:w="654" w:type="dxa"/>
          </w:tcPr>
          <w:p>
            <w:pPr>
              <w:pStyle w:val="IsiTabel"/>
              <w:suppressAutoHyphens/>
              <w:jc w:val="right"/>
            </w:pPr>
            <w:r>
              <w:t xml:space="preserve">163,7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Timur</w:t>
            </w:r>
          </w:p>
        </w:tc>
        <w:tc>
          <w:tcPr>
            <w:tcW w:w="1206" w:type="dxa"/>
          </w:tcPr>
          <w:p>
            <w:pPr>
              <w:pStyle w:val="IsiTabel"/>
              <w:suppressAutoHyphens/>
              <w:jc w:val="right"/>
            </w:pPr>
            <w:r>
              <w:t xml:space="preserve">456.472</w:t>
            </w:r>
          </w:p>
        </w:tc>
        <w:tc>
          <w:tcPr>
            <w:tcW w:w="654" w:type="dxa"/>
          </w:tcPr>
          <w:p>
            <w:pPr>
              <w:pStyle w:val="IsiTabel"/>
              <w:suppressAutoHyphens/>
              <w:jc w:val="right"/>
            </w:pPr>
            <w:r>
              <w:t xml:space="preserve">175,7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Tengah</w:t>
            </w:r>
          </w:p>
        </w:tc>
        <w:tc>
          <w:tcPr>
            <w:tcW w:w="1206" w:type="dxa"/>
          </w:tcPr>
          <w:p>
            <w:pPr>
              <w:pStyle w:val="IsiTabel"/>
              <w:suppressAutoHyphens/>
              <w:jc w:val="right"/>
            </w:pPr>
            <w:r>
              <w:t xml:space="preserve">229.623</w:t>
            </w:r>
          </w:p>
        </w:tc>
        <w:tc>
          <w:tcPr>
            <w:tcW w:w="654" w:type="dxa"/>
          </w:tcPr>
          <w:p>
            <w:pPr>
              <w:pStyle w:val="IsiTabel"/>
              <w:suppressAutoHyphens/>
              <w:jc w:val="right"/>
            </w:pPr>
            <w:r>
              <w:t xml:space="preserve">181,4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gempa bumi (a, c)</w:t>
            </w:r>
          </w:p>
        </w:tc>
      </w:tr>
      <w:tr>
        <w:trPr>
          <w:cantSplit/>
        </w:trPr>
        <w:tc>
          <w:tcPr>
            <w:tcW w:w="2408" w:type="dxa"/>
          </w:tcPr>
          <w:p>
            <w:pPr>
              <w:pStyle w:val="IsiTabel"/>
              <w:suppressAutoHyphens/>
              <w:jc w:val="left"/>
            </w:pPr>
            <w:r>
              <w:t xml:space="preserve">Kab. Aceh Barat</w:t>
            </w:r>
          </w:p>
        </w:tc>
        <w:tc>
          <w:tcPr>
            <w:tcW w:w="1206" w:type="dxa"/>
          </w:tcPr>
          <w:p>
            <w:pPr>
              <w:pStyle w:val="IsiTabel"/>
              <w:suppressAutoHyphens/>
              <w:jc w:val="right"/>
            </w:pPr>
            <w:r>
              <w:t xml:space="preserve">209.680</w:t>
            </w:r>
          </w:p>
        </w:tc>
        <w:tc>
          <w:tcPr>
            <w:tcW w:w="654" w:type="dxa"/>
          </w:tcPr>
          <w:p>
            <w:pPr>
              <w:pStyle w:val="IsiTabel"/>
              <w:suppressAutoHyphens/>
              <w:jc w:val="right"/>
            </w:pPr>
            <w:r>
              <w:t xml:space="preserve">164,9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gelombang ekstrem dan abrasi (b, c)</w:t>
            </w:r>
          </w:p>
        </w:tc>
      </w:tr>
      <w:tr>
        <w:trPr>
          <w:cantSplit/>
        </w:trPr>
        <w:tc>
          <w:tcPr>
            <w:tcW w:w="2408" w:type="dxa"/>
          </w:tcPr>
          <w:p>
            <w:pPr>
              <w:pStyle w:val="IsiTabel"/>
              <w:suppressAutoHyphens/>
              <w:jc w:val="left"/>
            </w:pPr>
            <w:r>
              <w:t xml:space="preserve">Kab. Aceh Besar</w:t>
            </w:r>
          </w:p>
        </w:tc>
        <w:tc>
          <w:tcPr>
            <w:tcW w:w="1206" w:type="dxa"/>
          </w:tcPr>
          <w:p>
            <w:pPr>
              <w:pStyle w:val="IsiTabel"/>
              <w:suppressAutoHyphens/>
              <w:jc w:val="right"/>
            </w:pPr>
            <w:r>
              <w:t xml:space="preserve">420.672</w:t>
            </w:r>
          </w:p>
        </w:tc>
        <w:tc>
          <w:tcPr>
            <w:tcW w:w="654" w:type="dxa"/>
          </w:tcPr>
          <w:p>
            <w:pPr>
              <w:pStyle w:val="IsiTabel"/>
              <w:suppressAutoHyphens/>
              <w:jc w:val="right"/>
            </w:pPr>
            <w:r>
              <w:t xml:space="preserve">244,6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 cuaca ekstrem (a, b, c); karhutla (a, b); tsunami (a, c)</w:t>
            </w:r>
          </w:p>
        </w:tc>
      </w:tr>
      <w:tr>
        <w:trPr>
          <w:cantSplit/>
        </w:trPr>
        <w:tc>
          <w:tcPr>
            <w:tcW w:w="2408" w:type="dxa"/>
          </w:tcPr>
          <w:p>
            <w:pPr>
              <w:pStyle w:val="IsiTabel"/>
              <w:suppressAutoHyphens/>
              <w:jc w:val="left"/>
            </w:pPr>
            <w:r>
              <w:t xml:space="preserve">Kab. Pidie</w:t>
            </w:r>
          </w:p>
        </w:tc>
        <w:tc>
          <w:tcPr>
            <w:tcW w:w="1206" w:type="dxa"/>
          </w:tcPr>
          <w:p>
            <w:pPr>
              <w:pStyle w:val="IsiTabel"/>
              <w:suppressAutoHyphens/>
              <w:jc w:val="right"/>
            </w:pPr>
            <w:r>
              <w:t xml:space="preserve">471.672</w:t>
            </w:r>
          </w:p>
        </w:tc>
        <w:tc>
          <w:tcPr>
            <w:tcW w:w="654" w:type="dxa"/>
          </w:tcPr>
          <w:p>
            <w:pPr>
              <w:pStyle w:val="IsiTabel"/>
              <w:suppressAutoHyphens/>
              <w:jc w:val="right"/>
            </w:pPr>
            <w:r>
              <w:t xml:space="preserve">224,7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cuaca ekstrem (a, b); gempa bumi (a, c)</w:t>
            </w:r>
          </w:p>
        </w:tc>
      </w:tr>
      <w:tr>
        <w:trPr>
          <w:cantSplit/>
        </w:trPr>
        <w:tc>
          <w:tcPr>
            <w:tcW w:w="2408" w:type="dxa"/>
          </w:tcPr>
          <w:p>
            <w:pPr>
              <w:pStyle w:val="IsiTabel"/>
              <w:suppressAutoHyphens/>
              <w:jc w:val="left"/>
            </w:pPr>
            <w:r>
              <w:t xml:space="preserve">Kab. Aceh Utara</w:t>
            </w:r>
          </w:p>
        </w:tc>
        <w:tc>
          <w:tcPr>
            <w:tcW w:w="1206" w:type="dxa"/>
          </w:tcPr>
          <w:p>
            <w:pPr>
              <w:pStyle w:val="IsiTabel"/>
              <w:suppressAutoHyphens/>
              <w:jc w:val="right"/>
            </w:pPr>
            <w:r>
              <w:t xml:space="preserve">629.379</w:t>
            </w:r>
          </w:p>
        </w:tc>
        <w:tc>
          <w:tcPr>
            <w:tcW w:w="654" w:type="dxa"/>
          </w:tcPr>
          <w:p>
            <w:pPr>
              <w:pStyle w:val="IsiTabel"/>
              <w:suppressAutoHyphens/>
              <w:jc w:val="right"/>
            </w:pPr>
            <w:r>
              <w:t xml:space="preserve">233,6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(a, b, c)</w:t>
            </w:r>
          </w:p>
        </w:tc>
      </w:tr>
      <w:tr>
        <w:trPr>
          <w:cantSplit/>
        </w:trPr>
        <w:tc>
          <w:tcPr>
            <w:tcW w:w="2408" w:type="dxa"/>
          </w:tcPr>
          <w:p>
            <w:pPr>
              <w:pStyle w:val="IsiTabel"/>
              <w:suppressAutoHyphens/>
              <w:jc w:val="left"/>
            </w:pPr>
            <w:r>
              <w:t xml:space="preserve">Kab. Simeulue</w:t>
            </w:r>
          </w:p>
        </w:tc>
        <w:tc>
          <w:tcPr>
            <w:tcW w:w="1206" w:type="dxa"/>
          </w:tcPr>
          <w:p>
            <w:pPr>
              <w:pStyle w:val="IsiTabel"/>
              <w:suppressAutoHyphens/>
              <w:jc w:val="right"/>
            </w:pPr>
            <w:r>
              <w:t xml:space="preserve">98.489</w:t>
            </w:r>
          </w:p>
        </w:tc>
        <w:tc>
          <w:tcPr>
            <w:tcW w:w="654" w:type="dxa"/>
          </w:tcPr>
          <w:p>
            <w:pPr>
              <w:pStyle w:val="IsiTabel"/>
              <w:suppressAutoHyphens/>
              <w:jc w:val="right"/>
            </w:pPr>
            <w:r>
              <w:t xml:space="preserve">232,9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(b, c); gempa bumi (a, c); tsunami (a, b)</w:t>
            </w:r>
          </w:p>
        </w:tc>
      </w:tr>
      <w:tr>
        <w:trPr>
          <w:cantSplit/>
        </w:trPr>
        <w:tc>
          <w:tcPr>
            <w:tcW w:w="2408" w:type="dxa"/>
          </w:tcPr>
          <w:p>
            <w:pPr>
              <w:pStyle w:val="IsiTabel"/>
              <w:suppressAutoHyphens/>
              <w:jc w:val="left"/>
            </w:pPr>
            <w:r>
              <w:t xml:space="preserve">Kab. Aceh Singkil</w:t>
            </w:r>
          </w:p>
        </w:tc>
        <w:tc>
          <w:tcPr>
            <w:tcW w:w="1206" w:type="dxa"/>
          </w:tcPr>
          <w:p>
            <w:pPr>
              <w:pStyle w:val="IsiTabel"/>
              <w:suppressAutoHyphens/>
              <w:jc w:val="right"/>
            </w:pPr>
            <w:r>
              <w:t xml:space="preserve">132.786</w:t>
            </w:r>
          </w:p>
        </w:tc>
        <w:tc>
          <w:tcPr>
            <w:tcW w:w="654" w:type="dxa"/>
          </w:tcPr>
          <w:p>
            <w:pPr>
              <w:pStyle w:val="IsiTabel"/>
              <w:suppressAutoHyphens/>
              <w:jc w:val="right"/>
            </w:pPr>
            <w:r>
              <w:t xml:space="preserve">235,3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(a, b, c); gempa bumi (a, c)</w:t>
            </w:r>
          </w:p>
        </w:tc>
      </w:tr>
      <w:tr>
        <w:trPr>
          <w:cantSplit/>
        </w:trPr>
        <w:tc>
          <w:tcPr>
            <w:tcW w:w="2408" w:type="dxa"/>
          </w:tcPr>
          <w:p>
            <w:pPr>
              <w:pStyle w:val="IsiTabel"/>
              <w:suppressAutoHyphens/>
              <w:jc w:val="left"/>
            </w:pPr>
            <w:r>
              <w:t xml:space="preserve">Kab. Bireuen</w:t>
            </w:r>
          </w:p>
        </w:tc>
        <w:tc>
          <w:tcPr>
            <w:tcW w:w="1206" w:type="dxa"/>
          </w:tcPr>
          <w:p>
            <w:pPr>
              <w:pStyle w:val="IsiTabel"/>
              <w:suppressAutoHyphens/>
              <w:jc w:val="right"/>
            </w:pPr>
            <w:r>
              <w:t xml:space="preserve">465.541</w:t>
            </w:r>
          </w:p>
        </w:tc>
        <w:tc>
          <w:tcPr>
            <w:tcW w:w="654" w:type="dxa"/>
          </w:tcPr>
          <w:p>
            <w:pPr>
              <w:pStyle w:val="IsiTabel"/>
              <w:suppressAutoHyphens/>
              <w:jc w:val="right"/>
            </w:pPr>
            <w:r>
              <w:t xml:space="preserve">204,5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Barat Daya</w:t>
            </w:r>
          </w:p>
        </w:tc>
        <w:tc>
          <w:tcPr>
            <w:tcW w:w="1206" w:type="dxa"/>
          </w:tcPr>
          <w:p>
            <w:pPr>
              <w:pStyle w:val="IsiTabel"/>
              <w:suppressAutoHyphens/>
              <w:jc w:val="right"/>
            </w:pPr>
            <w:r>
              <w:t xml:space="preserve">161.537</w:t>
            </w:r>
          </w:p>
        </w:tc>
        <w:tc>
          <w:tcPr>
            <w:tcW w:w="654" w:type="dxa"/>
          </w:tcPr>
          <w:p>
            <w:pPr>
              <w:pStyle w:val="IsiTabel"/>
              <w:suppressAutoHyphens/>
              <w:jc w:val="right"/>
            </w:pPr>
            <w:r>
              <w:t xml:space="preserve">229,1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gelombang ekstrem dan abrasi (a, b, c); karhutla (a, b); tsunami (a, c)</w:t>
            </w:r>
          </w:p>
        </w:tc>
      </w:tr>
      <w:tr>
        <w:trPr>
          <w:cantSplit/>
        </w:trPr>
        <w:tc>
          <w:tcPr>
            <w:tcW w:w="2408" w:type="dxa"/>
          </w:tcPr>
          <w:p>
            <w:pPr>
              <w:pStyle w:val="IsiTabel"/>
              <w:suppressAutoHyphens/>
              <w:jc w:val="left"/>
            </w:pPr>
            <w:r>
              <w:t xml:space="preserve">Kab. Gayo Lues</w:t>
            </w:r>
          </w:p>
        </w:tc>
        <w:tc>
          <w:tcPr>
            <w:tcW w:w="1206" w:type="dxa"/>
          </w:tcPr>
          <w:p>
            <w:pPr>
              <w:pStyle w:val="IsiTabel"/>
              <w:suppressAutoHyphens/>
              <w:jc w:val="right"/>
            </w:pPr>
            <w:r>
              <w:t xml:space="preserve">105.190</w:t>
            </w:r>
          </w:p>
        </w:tc>
        <w:tc>
          <w:tcPr>
            <w:tcW w:w="654" w:type="dxa"/>
          </w:tcPr>
          <w:p>
            <w:pPr>
              <w:pStyle w:val="IsiTabel"/>
              <w:suppressAutoHyphens/>
              <w:jc w:val="right"/>
            </w:pPr>
            <w:r>
              <w:t xml:space="preserve">170,3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Jaya</w:t>
            </w:r>
          </w:p>
        </w:tc>
        <w:tc>
          <w:tcPr>
            <w:tcW w:w="1206" w:type="dxa"/>
          </w:tcPr>
          <w:p>
            <w:pPr>
              <w:pStyle w:val="IsiTabel"/>
              <w:suppressAutoHyphens/>
              <w:jc w:val="right"/>
            </w:pPr>
            <w:r>
              <w:t xml:space="preserve">99.450</w:t>
            </w:r>
          </w:p>
        </w:tc>
        <w:tc>
          <w:tcPr>
            <w:tcW w:w="654" w:type="dxa"/>
          </w:tcPr>
          <w:p>
            <w:pPr>
              <w:pStyle w:val="IsiTabel"/>
              <w:suppressAutoHyphens/>
              <w:jc w:val="right"/>
            </w:pPr>
            <w:r>
              <w:t xml:space="preserve">181,3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Nagan Raya</w:t>
            </w:r>
          </w:p>
        </w:tc>
        <w:tc>
          <w:tcPr>
            <w:tcW w:w="1206" w:type="dxa"/>
          </w:tcPr>
          <w:p>
            <w:pPr>
              <w:pStyle w:val="IsiTabel"/>
              <w:suppressAutoHyphens/>
              <w:jc w:val="right"/>
            </w:pPr>
            <w:r>
              <w:t xml:space="preserve">180.144</w:t>
            </w:r>
          </w:p>
        </w:tc>
        <w:tc>
          <w:tcPr>
            <w:tcW w:w="654" w:type="dxa"/>
          </w:tcPr>
          <w:p>
            <w:pPr>
              <w:pStyle w:val="IsiTabel"/>
              <w:suppressAutoHyphens/>
              <w:jc w:val="right"/>
            </w:pPr>
            <w:r>
              <w:t xml:space="preserve">197,8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(a, b, c)</w:t>
            </w:r>
          </w:p>
        </w:tc>
      </w:tr>
      <w:tr>
        <w:trPr>
          <w:cantSplit/>
        </w:trPr>
        <w:tc>
          <w:tcPr>
            <w:tcW w:w="2408" w:type="dxa"/>
          </w:tcPr>
          <w:p>
            <w:pPr>
              <w:pStyle w:val="IsiTabel"/>
              <w:suppressAutoHyphens/>
              <w:jc w:val="left"/>
            </w:pPr>
            <w:r>
              <w:t xml:space="preserve">Kab. Aceh Tamiang</w:t>
            </w:r>
          </w:p>
        </w:tc>
        <w:tc>
          <w:tcPr>
            <w:tcW w:w="1206" w:type="dxa"/>
          </w:tcPr>
          <w:p>
            <w:pPr>
              <w:pStyle w:val="IsiTabel"/>
              <w:suppressAutoHyphens/>
              <w:jc w:val="right"/>
            </w:pPr>
            <w:r>
              <w:t xml:space="preserve">309.133</w:t>
            </w:r>
          </w:p>
        </w:tc>
        <w:tc>
          <w:tcPr>
            <w:tcW w:w="654" w:type="dxa"/>
          </w:tcPr>
          <w:p>
            <w:pPr>
              <w:pStyle w:val="IsiTabel"/>
              <w:suppressAutoHyphens/>
              <w:jc w:val="right"/>
            </w:pPr>
            <w:r>
              <w:t xml:space="preserve">144,8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Bener Meriah</w:t>
            </w:r>
          </w:p>
        </w:tc>
        <w:tc>
          <w:tcPr>
            <w:tcW w:w="1206" w:type="dxa"/>
          </w:tcPr>
          <w:p>
            <w:pPr>
              <w:pStyle w:val="IsiTabel"/>
              <w:suppressAutoHyphens/>
              <w:jc w:val="right"/>
            </w:pPr>
            <w:r>
              <w:t xml:space="preserve">171.026</w:t>
            </w:r>
          </w:p>
        </w:tc>
        <w:tc>
          <w:tcPr>
            <w:tcW w:w="654" w:type="dxa"/>
          </w:tcPr>
          <w:p>
            <w:pPr>
              <w:pStyle w:val="IsiTabel"/>
              <w:suppressAutoHyphens/>
              <w:jc w:val="right"/>
            </w:pPr>
            <w:r>
              <w:t xml:space="preserve">170,6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Pidie Jaya</w:t>
            </w:r>
          </w:p>
        </w:tc>
        <w:tc>
          <w:tcPr>
            <w:tcW w:w="1206" w:type="dxa"/>
          </w:tcPr>
          <w:p>
            <w:pPr>
              <w:pStyle w:val="IsiTabel"/>
              <w:suppressAutoHyphens/>
              <w:jc w:val="right"/>
            </w:pPr>
            <w:r>
              <w:t xml:space="preserve">159.101</w:t>
            </w:r>
          </w:p>
        </w:tc>
        <w:tc>
          <w:tcPr>
            <w:tcW w:w="654" w:type="dxa"/>
          </w:tcPr>
          <w:p>
            <w:pPr>
              <w:pStyle w:val="IsiTabel"/>
              <w:suppressAutoHyphens/>
              <w:jc w:val="right"/>
            </w:pPr>
            <w:r>
              <w:t xml:space="preserve">256,1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(a, b)</w:t>
            </w:r>
          </w:p>
        </w:tc>
      </w:tr>
      <w:tr>
        <w:trPr>
          <w:cantSplit/>
        </w:trPr>
        <w:tc>
          <w:tcPr>
            <w:tcW w:w="2408" w:type="dxa"/>
          </w:tcPr>
          <w:p>
            <w:pPr>
              <w:pStyle w:val="IsiTabel"/>
              <w:suppressAutoHyphens/>
              <w:jc w:val="left"/>
            </w:pPr>
            <w:r>
              <w:t xml:space="preserve">Kota Banda Aceh</w:t>
            </w:r>
          </w:p>
        </w:tc>
        <w:tc>
          <w:tcPr>
            <w:tcW w:w="1206" w:type="dxa"/>
          </w:tcPr>
          <w:p>
            <w:pPr>
              <w:pStyle w:val="IsiTabel"/>
              <w:suppressAutoHyphens/>
              <w:jc w:val="right"/>
            </w:pPr>
            <w:r>
              <w:t xml:space="preserve">280.246</w:t>
            </w:r>
          </w:p>
        </w:tc>
        <w:tc>
          <w:tcPr>
            <w:tcW w:w="654" w:type="dxa"/>
          </w:tcPr>
          <w:p>
            <w:pPr>
              <w:pStyle w:val="IsiTabel"/>
              <w:suppressAutoHyphens/>
              <w:jc w:val="right"/>
            </w:pPr>
            <w:r>
              <w:t xml:space="preserve">129,4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Sabang</w:t>
            </w:r>
          </w:p>
        </w:tc>
        <w:tc>
          <w:tcPr>
            <w:tcW w:w="1206" w:type="dxa"/>
          </w:tcPr>
          <w:p>
            <w:pPr>
              <w:pStyle w:val="IsiTabel"/>
              <w:suppressAutoHyphens/>
              <w:jc w:val="right"/>
            </w:pPr>
            <w:r>
              <w:t xml:space="preserve">43.816</w:t>
            </w:r>
          </w:p>
        </w:tc>
        <w:tc>
          <w:tcPr>
            <w:tcW w:w="654" w:type="dxa"/>
          </w:tcPr>
          <w:p>
            <w:pPr>
              <w:pStyle w:val="IsiTabel"/>
              <w:suppressAutoHyphens/>
              <w:jc w:val="right"/>
            </w:pPr>
            <w:r>
              <w:t xml:space="preserve">191,7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Lhokseumawe</w:t>
            </w:r>
          </w:p>
        </w:tc>
        <w:tc>
          <w:tcPr>
            <w:tcW w:w="1206" w:type="dxa"/>
          </w:tcPr>
          <w:p>
            <w:pPr>
              <w:pStyle w:val="IsiTabel"/>
              <w:suppressAutoHyphens/>
              <w:jc w:val="right"/>
            </w:pPr>
            <w:r>
              <w:t xml:space="preserve">202.574</w:t>
            </w:r>
          </w:p>
        </w:tc>
        <w:tc>
          <w:tcPr>
            <w:tcW w:w="654" w:type="dxa"/>
          </w:tcPr>
          <w:p>
            <w:pPr>
              <w:pStyle w:val="IsiTabel"/>
              <w:suppressAutoHyphens/>
              <w:jc w:val="right"/>
            </w:pPr>
            <w:r>
              <w:t xml:space="preserve">169,0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(a, b); tsunami (a, c)</w:t>
            </w:r>
          </w:p>
        </w:tc>
      </w:tr>
      <w:tr>
        <w:trPr>
          <w:cantSplit/>
        </w:trPr>
        <w:tc>
          <w:tcPr>
            <w:tcW w:w="2408" w:type="dxa"/>
          </w:tcPr>
          <w:p>
            <w:pPr>
              <w:pStyle w:val="IsiTabel"/>
              <w:suppressAutoHyphens/>
              <w:jc w:val="left"/>
            </w:pPr>
            <w:r>
              <w:t xml:space="preserve">Kota Langsa</w:t>
            </w:r>
          </w:p>
        </w:tc>
        <w:tc>
          <w:tcPr>
            <w:tcW w:w="1206" w:type="dxa"/>
          </w:tcPr>
          <w:p>
            <w:pPr>
              <w:pStyle w:val="IsiTabel"/>
              <w:suppressAutoHyphens/>
              <w:jc w:val="right"/>
            </w:pPr>
            <w:r>
              <w:t xml:space="preserve">201.239</w:t>
            </w:r>
          </w:p>
        </w:tc>
        <w:tc>
          <w:tcPr>
            <w:tcW w:w="654" w:type="dxa"/>
          </w:tcPr>
          <w:p>
            <w:pPr>
              <w:pStyle w:val="IsiTabel"/>
              <w:suppressAutoHyphens/>
              <w:jc w:val="right"/>
            </w:pPr>
            <w:r>
              <w:t xml:space="preserve">119,7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(a, b)</w:t>
            </w:r>
          </w:p>
        </w:tc>
      </w:tr>
      <w:tr>
        <w:trPr>
          <w:cantSplit/>
        </w:trPr>
        <w:tc>
          <w:tcPr>
            <w:tcW w:w="2408" w:type="dxa"/>
          </w:tcPr>
          <w:p>
            <w:pPr>
              <w:pStyle w:val="IsiTabel"/>
              <w:suppressAutoHyphens/>
              <w:jc w:val="left"/>
            </w:pPr>
            <w:r>
              <w:t xml:space="preserve">Kota Subulussalam</w:t>
            </w:r>
          </w:p>
        </w:tc>
        <w:tc>
          <w:tcPr>
            <w:tcW w:w="1206" w:type="dxa"/>
          </w:tcPr>
          <w:p>
            <w:pPr>
              <w:pStyle w:val="IsiTabel"/>
              <w:suppressAutoHyphens/>
              <w:jc w:val="right"/>
            </w:pPr>
            <w:r>
              <w:t xml:space="preserve">96.635</w:t>
            </w:r>
          </w:p>
        </w:tc>
        <w:tc>
          <w:tcPr>
            <w:tcW w:w="654" w:type="dxa"/>
          </w:tcPr>
          <w:p>
            <w:pPr>
              <w:pStyle w:val="IsiTabel"/>
              <w:suppressAutoHyphens/>
              <w:jc w:val="right"/>
            </w:pPr>
            <w:r>
              <w:t xml:space="preserve">165,8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(a, c); cuaca ekstrem (a, b); gempa bumi (a, c)</w:t>
            </w:r>
          </w:p>
        </w:tc>
      </w:tr>
      <w:tr>
        <w:trPr>
          <w:cantSplit/>
        </w:trPr>
        <w:tc>
          <w:tcPr>
            <w:tcW w:w="9354" w:type="dxa"/>
            <w:gridSpan w:val="5"/>
            <w:shd w:val="clear" w:color="auto" w:fill="E6EAF0"/>
          </w:tcPr>
          <w:p>
            <w:pPr>
              <w:pStyle w:val="IsiTabel"/>
              <w:keepNext/>
              <w:suppressAutoHyphens/>
              <w:ind w:left="0"/>
            </w:pPr>
            <w:r>
              <w:rPr>
                <w:b/>
                <w:bCs/>
              </w:rPr>
              <w:t xml:space="preserve">Sumatera Utara</w:t>
            </w:r>
          </w:p>
        </w:tc>
      </w:tr>
      <w:tr>
        <w:trPr>
          <w:cantSplit/>
        </w:trPr>
        <w:tc>
          <w:tcPr>
            <w:tcW w:w="2408" w:type="dxa"/>
          </w:tcPr>
          <w:p>
            <w:pPr>
              <w:pStyle w:val="IsiTabel"/>
              <w:suppressAutoHyphens/>
              <w:jc w:val="left"/>
            </w:pPr>
            <w:r>
              <w:t xml:space="preserve">Kab. Tapanuli Tengah</w:t>
            </w:r>
          </w:p>
        </w:tc>
        <w:tc>
          <w:tcPr>
            <w:tcW w:w="1206" w:type="dxa"/>
          </w:tcPr>
          <w:p>
            <w:pPr>
              <w:pStyle w:val="IsiTabel"/>
              <w:suppressAutoHyphens/>
              <w:jc w:val="right"/>
            </w:pPr>
            <w:r>
              <w:t xml:space="preserve">423.643</w:t>
            </w:r>
          </w:p>
        </w:tc>
        <w:tc>
          <w:tcPr>
            <w:tcW w:w="654" w:type="dxa"/>
          </w:tcPr>
          <w:p>
            <w:pPr>
              <w:pStyle w:val="IsiTabel"/>
              <w:suppressAutoHyphens/>
              <w:jc w:val="right"/>
            </w:pPr>
            <w:r>
              <w:t xml:space="preserve">230,4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(a, b)</w:t>
            </w:r>
          </w:p>
        </w:tc>
      </w:tr>
      <w:tr>
        <w:trPr>
          <w:cantSplit/>
        </w:trPr>
        <w:tc>
          <w:tcPr>
            <w:tcW w:w="2408" w:type="dxa"/>
          </w:tcPr>
          <w:p>
            <w:pPr>
              <w:pStyle w:val="IsiTabel"/>
              <w:suppressAutoHyphens/>
              <w:jc w:val="left"/>
            </w:pPr>
            <w:r>
              <w:t xml:space="preserve">Kab. Tapanuli Utara</w:t>
            </w:r>
          </w:p>
        </w:tc>
        <w:tc>
          <w:tcPr>
            <w:tcW w:w="1206" w:type="dxa"/>
          </w:tcPr>
          <w:p>
            <w:pPr>
              <w:pStyle w:val="IsiTabel"/>
              <w:suppressAutoHyphens/>
              <w:jc w:val="right"/>
            </w:pPr>
            <w:r>
              <w:t xml:space="preserve">331.091</w:t>
            </w:r>
          </w:p>
        </w:tc>
        <w:tc>
          <w:tcPr>
            <w:tcW w:w="654" w:type="dxa"/>
          </w:tcPr>
          <w:p>
            <w:pPr>
              <w:pStyle w:val="IsiTabel"/>
              <w:suppressAutoHyphens/>
              <w:jc w:val="right"/>
            </w:pPr>
            <w:r>
              <w:t xml:space="preserve">144,4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tanah longsor (a, b, c); cuaca ekstrem (a, b, c); gempa bumi (a, c)</w:t>
            </w:r>
          </w:p>
        </w:tc>
      </w:tr>
      <w:tr>
        <w:trPr>
          <w:cantSplit/>
        </w:trPr>
        <w:tc>
          <w:tcPr>
            <w:tcW w:w="2408" w:type="dxa"/>
          </w:tcPr>
          <w:p>
            <w:pPr>
              <w:pStyle w:val="IsiTabel"/>
              <w:suppressAutoHyphens/>
              <w:jc w:val="left"/>
            </w:pPr>
            <w:r>
              <w:t xml:space="preserve">Kab. Tapanuli Selatan</w:t>
            </w:r>
          </w:p>
        </w:tc>
        <w:tc>
          <w:tcPr>
            <w:tcW w:w="1206" w:type="dxa"/>
          </w:tcPr>
          <w:p>
            <w:pPr>
              <w:pStyle w:val="IsiTabel"/>
              <w:suppressAutoHyphens/>
              <w:jc w:val="right"/>
            </w:pPr>
            <w:r>
              <w:t xml:space="preserve">314.456</w:t>
            </w:r>
          </w:p>
        </w:tc>
        <w:tc>
          <w:tcPr>
            <w:tcW w:w="654" w:type="dxa"/>
          </w:tcPr>
          <w:p>
            <w:pPr>
              <w:pStyle w:val="IsiTabel"/>
              <w:suppressAutoHyphens/>
              <w:jc w:val="right"/>
            </w:pPr>
            <w:r>
              <w:t xml:space="preserve">177,4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Nias</w:t>
            </w:r>
          </w:p>
        </w:tc>
        <w:tc>
          <w:tcPr>
            <w:tcW w:w="1206" w:type="dxa"/>
          </w:tcPr>
          <w:p>
            <w:pPr>
              <w:pStyle w:val="IsiTabel"/>
              <w:suppressAutoHyphens/>
              <w:jc w:val="right"/>
            </w:pPr>
            <w:r>
              <w:t xml:space="preserve">145.606</w:t>
            </w:r>
          </w:p>
        </w:tc>
        <w:tc>
          <w:tcPr>
            <w:tcW w:w="654" w:type="dxa"/>
          </w:tcPr>
          <w:p>
            <w:pPr>
              <w:pStyle w:val="IsiTabel"/>
              <w:suppressAutoHyphens/>
              <w:jc w:val="right"/>
            </w:pPr>
            <w:r>
              <w:t xml:space="preserve">202,8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Langkat</w:t>
            </w:r>
          </w:p>
        </w:tc>
        <w:tc>
          <w:tcPr>
            <w:tcW w:w="1206" w:type="dxa"/>
          </w:tcPr>
          <w:p>
            <w:pPr>
              <w:pStyle w:val="IsiTabel"/>
              <w:suppressAutoHyphens/>
              <w:jc w:val="right"/>
            </w:pPr>
            <w:r>
              <w:t xml:space="preserve">1.139.418</w:t>
            </w:r>
          </w:p>
        </w:tc>
        <w:tc>
          <w:tcPr>
            <w:tcW w:w="654" w:type="dxa"/>
          </w:tcPr>
          <w:p>
            <w:pPr>
              <w:pStyle w:val="IsiTabel"/>
              <w:suppressAutoHyphens/>
              <w:jc w:val="right"/>
            </w:pPr>
            <w:r>
              <w:t xml:space="preserve">231,5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 c); cuaca ekstrem (a, b, c)</w:t>
            </w:r>
          </w:p>
        </w:tc>
      </w:tr>
      <w:tr>
        <w:trPr>
          <w:cantSplit/>
        </w:trPr>
        <w:tc>
          <w:tcPr>
            <w:tcW w:w="2408" w:type="dxa"/>
          </w:tcPr>
          <w:p>
            <w:pPr>
              <w:pStyle w:val="IsiTabel"/>
              <w:suppressAutoHyphens/>
              <w:jc w:val="left"/>
            </w:pPr>
            <w:r>
              <w:t xml:space="preserve">Kab. Karo</w:t>
            </w:r>
          </w:p>
        </w:tc>
        <w:tc>
          <w:tcPr>
            <w:tcW w:w="1206" w:type="dxa"/>
          </w:tcPr>
          <w:p>
            <w:pPr>
              <w:pStyle w:val="IsiTabel"/>
              <w:suppressAutoHyphens/>
              <w:jc w:val="right"/>
            </w:pPr>
            <w:r>
              <w:t xml:space="preserve">433.093</w:t>
            </w:r>
          </w:p>
        </w:tc>
        <w:tc>
          <w:tcPr>
            <w:tcW w:w="654" w:type="dxa"/>
          </w:tcPr>
          <w:p>
            <w:pPr>
              <w:pStyle w:val="IsiTabel"/>
              <w:suppressAutoHyphens/>
              <w:jc w:val="right"/>
            </w:pPr>
            <w:r>
              <w:t xml:space="preserve">124,7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 c); gunung api (b, c)</w:t>
            </w:r>
          </w:p>
        </w:tc>
      </w:tr>
      <w:tr>
        <w:trPr>
          <w:cantSplit/>
        </w:trPr>
        <w:tc>
          <w:tcPr>
            <w:tcW w:w="2408" w:type="dxa"/>
          </w:tcPr>
          <w:p>
            <w:pPr>
              <w:pStyle w:val="IsiTabel"/>
              <w:suppressAutoHyphens/>
              <w:jc w:val="left"/>
            </w:pPr>
            <w:r>
              <w:t xml:space="preserve">Kab. Deli Serdang</w:t>
            </w:r>
          </w:p>
        </w:tc>
        <w:tc>
          <w:tcPr>
            <w:tcW w:w="1206" w:type="dxa"/>
          </w:tcPr>
          <w:p>
            <w:pPr>
              <w:pStyle w:val="IsiTabel"/>
              <w:suppressAutoHyphens/>
              <w:jc w:val="right"/>
            </w:pPr>
            <w:r>
              <w:t xml:space="preserve">2.060.289</w:t>
            </w:r>
          </w:p>
        </w:tc>
        <w:tc>
          <w:tcPr>
            <w:tcW w:w="654" w:type="dxa"/>
          </w:tcPr>
          <w:p>
            <w:pPr>
              <w:pStyle w:val="IsiTabel"/>
              <w:suppressAutoHyphens/>
              <w:jc w:val="right"/>
            </w:pPr>
            <w:r>
              <w:t xml:space="preserve">209,7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Simalungun</w:t>
            </w:r>
          </w:p>
        </w:tc>
        <w:tc>
          <w:tcPr>
            <w:tcW w:w="1206" w:type="dxa"/>
          </w:tcPr>
          <w:p>
            <w:pPr>
              <w:pStyle w:val="IsiTabel"/>
              <w:suppressAutoHyphens/>
              <w:jc w:val="right"/>
            </w:pPr>
            <w:r>
              <w:t xml:space="preserve">1.096.512</w:t>
            </w:r>
          </w:p>
        </w:tc>
        <w:tc>
          <w:tcPr>
            <w:tcW w:w="654" w:type="dxa"/>
          </w:tcPr>
          <w:p>
            <w:pPr>
              <w:pStyle w:val="IsiTabel"/>
              <w:suppressAutoHyphens/>
              <w:jc w:val="right"/>
            </w:pPr>
            <w:r>
              <w:t xml:space="preserve">129,1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tanah longsor (a, b, c); cuaca ekstrem (a, b)</w:t>
            </w:r>
          </w:p>
        </w:tc>
      </w:tr>
      <w:tr>
        <w:trPr>
          <w:cantSplit/>
        </w:trPr>
        <w:tc>
          <w:tcPr>
            <w:tcW w:w="2408" w:type="dxa"/>
          </w:tcPr>
          <w:p>
            <w:pPr>
              <w:pStyle w:val="IsiTabel"/>
              <w:suppressAutoHyphens/>
              <w:jc w:val="left"/>
            </w:pPr>
            <w:r>
              <w:t xml:space="preserve">Kab. Asahan</w:t>
            </w:r>
          </w:p>
        </w:tc>
        <w:tc>
          <w:tcPr>
            <w:tcW w:w="1206" w:type="dxa"/>
          </w:tcPr>
          <w:p>
            <w:pPr>
              <w:pStyle w:val="IsiTabel"/>
              <w:suppressAutoHyphens/>
              <w:jc w:val="right"/>
            </w:pPr>
            <w:r>
              <w:t xml:space="preserve">825.709</w:t>
            </w:r>
          </w:p>
        </w:tc>
        <w:tc>
          <w:tcPr>
            <w:tcW w:w="654" w:type="dxa"/>
          </w:tcPr>
          <w:p>
            <w:pPr>
              <w:pStyle w:val="IsiTabel"/>
              <w:suppressAutoHyphens/>
              <w:jc w:val="right"/>
            </w:pPr>
            <w:r>
              <w:t xml:space="preserve">148,9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Labuhanbatu</w:t>
            </w:r>
          </w:p>
        </w:tc>
        <w:tc>
          <w:tcPr>
            <w:tcW w:w="1206" w:type="dxa"/>
          </w:tcPr>
          <w:p>
            <w:pPr>
              <w:pStyle w:val="IsiTabel"/>
              <w:suppressAutoHyphens/>
              <w:jc w:val="right"/>
            </w:pPr>
            <w:r>
              <w:t xml:space="preserve">532.771</w:t>
            </w:r>
          </w:p>
        </w:tc>
        <w:tc>
          <w:tcPr>
            <w:tcW w:w="654" w:type="dxa"/>
          </w:tcPr>
          <w:p>
            <w:pPr>
              <w:pStyle w:val="IsiTabel"/>
              <w:suppressAutoHyphens/>
              <w:jc w:val="right"/>
            </w:pPr>
            <w:r>
              <w:t xml:space="preserve">175,2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2408" w:type="dxa"/>
          </w:tcPr>
          <w:p>
            <w:pPr>
              <w:pStyle w:val="IsiTabel"/>
              <w:suppressAutoHyphens/>
              <w:jc w:val="left"/>
            </w:pPr>
            <w:r>
              <w:t xml:space="preserve">Kab. Dairi</w:t>
            </w:r>
          </w:p>
        </w:tc>
        <w:tc>
          <w:tcPr>
            <w:tcW w:w="1206" w:type="dxa"/>
          </w:tcPr>
          <w:p>
            <w:pPr>
              <w:pStyle w:val="IsiTabel"/>
              <w:suppressAutoHyphens/>
              <w:jc w:val="right"/>
            </w:pPr>
            <w:r>
              <w:t xml:space="preserve">328.132</w:t>
            </w:r>
          </w:p>
        </w:tc>
        <w:tc>
          <w:tcPr>
            <w:tcW w:w="654" w:type="dxa"/>
          </w:tcPr>
          <w:p>
            <w:pPr>
              <w:pStyle w:val="IsiTabel"/>
              <w:suppressAutoHyphens/>
              <w:jc w:val="right"/>
            </w:pPr>
            <w:r>
              <w:t xml:space="preserve">119,1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gempa bumi (a, c)</w:t>
            </w:r>
          </w:p>
        </w:tc>
      </w:tr>
      <w:tr>
        <w:trPr>
          <w:cantSplit/>
        </w:trPr>
        <w:tc>
          <w:tcPr>
            <w:tcW w:w="2408" w:type="dxa"/>
          </w:tcPr>
          <w:p>
            <w:pPr>
              <w:pStyle w:val="IsiTabel"/>
              <w:suppressAutoHyphens/>
              <w:jc w:val="left"/>
            </w:pPr>
            <w:r>
              <w:t xml:space="preserve">Kab. Toba</w:t>
            </w:r>
          </w:p>
        </w:tc>
        <w:tc>
          <w:tcPr>
            <w:tcW w:w="1206" w:type="dxa"/>
          </w:tcPr>
          <w:p>
            <w:pPr>
              <w:pStyle w:val="IsiTabel"/>
              <w:suppressAutoHyphens/>
              <w:jc w:val="right"/>
            </w:pPr>
            <w:r>
              <w:t xml:space="preserve">220.518</w:t>
            </w:r>
          </w:p>
        </w:tc>
        <w:tc>
          <w:tcPr>
            <w:tcW w:w="654" w:type="dxa"/>
          </w:tcPr>
          <w:p>
            <w:pPr>
              <w:pStyle w:val="IsiTabel"/>
              <w:suppressAutoHyphens/>
              <w:jc w:val="right"/>
            </w:pPr>
            <w:r>
              <w:t xml:space="preserve">130,6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 cuaca ekstrem (a, b, c)</w:t>
            </w:r>
          </w:p>
        </w:tc>
      </w:tr>
      <w:tr>
        <w:trPr>
          <w:cantSplit/>
        </w:trPr>
        <w:tc>
          <w:tcPr>
            <w:tcW w:w="2408" w:type="dxa"/>
          </w:tcPr>
          <w:p>
            <w:pPr>
              <w:pStyle w:val="IsiTabel"/>
              <w:suppressAutoHyphens/>
              <w:jc w:val="left"/>
            </w:pPr>
            <w:r>
              <w:t xml:space="preserve">Kab. Mandailing Natal</w:t>
            </w:r>
          </w:p>
        </w:tc>
        <w:tc>
          <w:tcPr>
            <w:tcW w:w="1206" w:type="dxa"/>
          </w:tcPr>
          <w:p>
            <w:pPr>
              <w:pStyle w:val="IsiTabel"/>
              <w:suppressAutoHyphens/>
              <w:jc w:val="right"/>
            </w:pPr>
            <w:r>
              <w:t xml:space="preserve">505.566</w:t>
            </w:r>
          </w:p>
        </w:tc>
        <w:tc>
          <w:tcPr>
            <w:tcW w:w="654" w:type="dxa"/>
          </w:tcPr>
          <w:p>
            <w:pPr>
              <w:pStyle w:val="IsiTabel"/>
              <w:suppressAutoHyphens/>
              <w:jc w:val="right"/>
            </w:pPr>
            <w:r>
              <w:t xml:space="preserve">274,8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 c); cuaca ekstrem (a, b); karhutla (b, c)</w:t>
            </w:r>
          </w:p>
        </w:tc>
      </w:tr>
      <w:tr>
        <w:trPr>
          <w:cantSplit/>
        </w:trPr>
        <w:tc>
          <w:tcPr>
            <w:tcW w:w="2408" w:type="dxa"/>
          </w:tcPr>
          <w:p>
            <w:pPr>
              <w:pStyle w:val="IsiTabel"/>
              <w:suppressAutoHyphens/>
              <w:jc w:val="left"/>
            </w:pPr>
            <w:r>
              <w:t xml:space="preserve">Kab. Nias Selatan</w:t>
            </w:r>
          </w:p>
        </w:tc>
        <w:tc>
          <w:tcPr>
            <w:tcW w:w="1206" w:type="dxa"/>
          </w:tcPr>
          <w:p>
            <w:pPr>
              <w:pStyle w:val="IsiTabel"/>
              <w:suppressAutoHyphens/>
              <w:jc w:val="right"/>
            </w:pPr>
            <w:r>
              <w:t xml:space="preserve">388.438</w:t>
            </w:r>
          </w:p>
        </w:tc>
        <w:tc>
          <w:tcPr>
            <w:tcW w:w="654" w:type="dxa"/>
          </w:tcPr>
          <w:p>
            <w:pPr>
              <w:pStyle w:val="IsiTabel"/>
              <w:suppressAutoHyphens/>
              <w:jc w:val="right"/>
            </w:pPr>
            <w:r>
              <w:t xml:space="preserve">207,0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w:t>
            </w:r>
          </w:p>
        </w:tc>
      </w:tr>
      <w:tr>
        <w:trPr>
          <w:cantSplit/>
        </w:trPr>
        <w:tc>
          <w:tcPr>
            <w:tcW w:w="2408" w:type="dxa"/>
          </w:tcPr>
          <w:p>
            <w:pPr>
              <w:pStyle w:val="IsiTabel"/>
              <w:suppressAutoHyphens/>
              <w:jc w:val="left"/>
            </w:pPr>
            <w:r>
              <w:t xml:space="preserve">Kab. Pakpak Bharat</w:t>
            </w:r>
          </w:p>
        </w:tc>
        <w:tc>
          <w:tcPr>
            <w:tcW w:w="1206" w:type="dxa"/>
          </w:tcPr>
          <w:p>
            <w:pPr>
              <w:pStyle w:val="IsiTabel"/>
              <w:suppressAutoHyphens/>
              <w:jc w:val="right"/>
            </w:pPr>
            <w:r>
              <w:t xml:space="preserve">55.744</w:t>
            </w:r>
          </w:p>
        </w:tc>
        <w:tc>
          <w:tcPr>
            <w:tcW w:w="654" w:type="dxa"/>
          </w:tcPr>
          <w:p>
            <w:pPr>
              <w:pStyle w:val="IsiTabel"/>
              <w:suppressAutoHyphens/>
              <w:jc w:val="right"/>
            </w:pPr>
            <w:r>
              <w:t xml:space="preserve">122,9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w:t>
            </w:r>
          </w:p>
        </w:tc>
      </w:tr>
      <w:tr>
        <w:trPr>
          <w:cantSplit/>
        </w:trPr>
        <w:tc>
          <w:tcPr>
            <w:tcW w:w="2408" w:type="dxa"/>
          </w:tcPr>
          <w:p>
            <w:pPr>
              <w:pStyle w:val="IsiTabel"/>
              <w:suppressAutoHyphens/>
              <w:jc w:val="left"/>
            </w:pPr>
            <w:r>
              <w:t xml:space="preserve">Kab. Humbang Hasundutan</w:t>
            </w:r>
          </w:p>
        </w:tc>
        <w:tc>
          <w:tcPr>
            <w:tcW w:w="1206" w:type="dxa"/>
          </w:tcPr>
          <w:p>
            <w:pPr>
              <w:pStyle w:val="IsiTabel"/>
              <w:suppressAutoHyphens/>
              <w:jc w:val="right"/>
            </w:pPr>
            <w:r>
              <w:t xml:space="preserve">215.796</w:t>
            </w:r>
          </w:p>
        </w:tc>
        <w:tc>
          <w:tcPr>
            <w:tcW w:w="654" w:type="dxa"/>
          </w:tcPr>
          <w:p>
            <w:pPr>
              <w:pStyle w:val="IsiTabel"/>
              <w:suppressAutoHyphens/>
              <w:jc w:val="right"/>
            </w:pPr>
            <w:r>
              <w:t xml:space="preserve">190,6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c); cuaca ekstrem (a, b)</w:t>
            </w:r>
          </w:p>
        </w:tc>
      </w:tr>
      <w:tr>
        <w:trPr>
          <w:cantSplit/>
        </w:trPr>
        <w:tc>
          <w:tcPr>
            <w:tcW w:w="2408" w:type="dxa"/>
          </w:tcPr>
          <w:p>
            <w:pPr>
              <w:pStyle w:val="IsiTabel"/>
              <w:suppressAutoHyphens/>
              <w:jc w:val="left"/>
            </w:pPr>
            <w:r>
              <w:t xml:space="preserve">Kab. Samosir</w:t>
            </w:r>
          </w:p>
        </w:tc>
        <w:tc>
          <w:tcPr>
            <w:tcW w:w="1206" w:type="dxa"/>
          </w:tcPr>
          <w:p>
            <w:pPr>
              <w:pStyle w:val="IsiTabel"/>
              <w:suppressAutoHyphens/>
              <w:jc w:val="right"/>
            </w:pPr>
            <w:r>
              <w:t xml:space="preserve">147.269</w:t>
            </w:r>
          </w:p>
        </w:tc>
        <w:tc>
          <w:tcPr>
            <w:tcW w:w="654" w:type="dxa"/>
          </w:tcPr>
          <w:p>
            <w:pPr>
              <w:pStyle w:val="IsiTabel"/>
              <w:suppressAutoHyphens/>
              <w:jc w:val="right"/>
            </w:pPr>
            <w:r>
              <w:t xml:space="preserve">185,4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(a, b, c); karhutla (a, b)</w:t>
            </w:r>
          </w:p>
        </w:tc>
      </w:tr>
      <w:tr>
        <w:trPr>
          <w:cantSplit/>
        </w:trPr>
        <w:tc>
          <w:tcPr>
            <w:tcW w:w="2408" w:type="dxa"/>
          </w:tcPr>
          <w:p>
            <w:pPr>
              <w:pStyle w:val="IsiTabel"/>
              <w:suppressAutoHyphens/>
              <w:jc w:val="left"/>
            </w:pPr>
            <w:r>
              <w:t xml:space="preserve">Kab. Serdang Bedagai</w:t>
            </w:r>
          </w:p>
        </w:tc>
        <w:tc>
          <w:tcPr>
            <w:tcW w:w="1206" w:type="dxa"/>
          </w:tcPr>
          <w:p>
            <w:pPr>
              <w:pStyle w:val="IsiTabel"/>
              <w:suppressAutoHyphens/>
              <w:jc w:val="right"/>
            </w:pPr>
            <w:r>
              <w:t xml:space="preserve">724.015</w:t>
            </w:r>
          </w:p>
        </w:tc>
        <w:tc>
          <w:tcPr>
            <w:tcW w:w="654" w:type="dxa"/>
          </w:tcPr>
          <w:p>
            <w:pPr>
              <w:pStyle w:val="IsiTabel"/>
              <w:suppressAutoHyphens/>
              <w:jc w:val="right"/>
            </w:pPr>
            <w:r>
              <w:t xml:space="preserve">140,3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Batu Bara</w:t>
            </w:r>
          </w:p>
        </w:tc>
        <w:tc>
          <w:tcPr>
            <w:tcW w:w="1206" w:type="dxa"/>
          </w:tcPr>
          <w:p>
            <w:pPr>
              <w:pStyle w:val="IsiTabel"/>
              <w:suppressAutoHyphens/>
              <w:jc w:val="right"/>
            </w:pPr>
            <w:r>
              <w:t xml:space="preserve">424.460</w:t>
            </w:r>
          </w:p>
        </w:tc>
        <w:tc>
          <w:tcPr>
            <w:tcW w:w="654" w:type="dxa"/>
          </w:tcPr>
          <w:p>
            <w:pPr>
              <w:pStyle w:val="IsiTabel"/>
              <w:suppressAutoHyphens/>
              <w:jc w:val="right"/>
            </w:pPr>
            <w:r>
              <w:t xml:space="preserve">103,2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cuaca ekstrem (a, b, c)</w:t>
            </w:r>
          </w:p>
        </w:tc>
      </w:tr>
      <w:tr>
        <w:trPr>
          <w:cantSplit/>
        </w:trPr>
        <w:tc>
          <w:tcPr>
            <w:tcW w:w="2408" w:type="dxa"/>
          </w:tcPr>
          <w:p>
            <w:pPr>
              <w:pStyle w:val="IsiTabel"/>
              <w:suppressAutoHyphens/>
              <w:jc w:val="left"/>
            </w:pPr>
            <w:r>
              <w:t xml:space="preserve">Kab. Padang Lawas Utara</w:t>
            </w:r>
          </w:p>
        </w:tc>
        <w:tc>
          <w:tcPr>
            <w:tcW w:w="1206" w:type="dxa"/>
          </w:tcPr>
          <w:p>
            <w:pPr>
              <w:pStyle w:val="IsiTabel"/>
              <w:suppressAutoHyphens/>
              <w:jc w:val="right"/>
            </w:pPr>
            <w:r>
              <w:t xml:space="preserve">276.827</w:t>
            </w:r>
          </w:p>
        </w:tc>
        <w:tc>
          <w:tcPr>
            <w:tcW w:w="654" w:type="dxa"/>
          </w:tcPr>
          <w:p>
            <w:pPr>
              <w:pStyle w:val="IsiTabel"/>
              <w:suppressAutoHyphens/>
              <w:jc w:val="right"/>
            </w:pPr>
            <w:r>
              <w:t xml:space="preserve">170,4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karhutla (a, b)</w:t>
            </w:r>
          </w:p>
        </w:tc>
      </w:tr>
      <w:tr>
        <w:trPr>
          <w:cantSplit/>
        </w:trPr>
        <w:tc>
          <w:tcPr>
            <w:tcW w:w="2408" w:type="dxa"/>
          </w:tcPr>
          <w:p>
            <w:pPr>
              <w:pStyle w:val="IsiTabel"/>
              <w:suppressAutoHyphens/>
              <w:jc w:val="left"/>
            </w:pPr>
            <w:r>
              <w:t xml:space="preserve">Kab. Padang Lawas</w:t>
            </w:r>
          </w:p>
        </w:tc>
        <w:tc>
          <w:tcPr>
            <w:tcW w:w="1206" w:type="dxa"/>
          </w:tcPr>
          <w:p>
            <w:pPr>
              <w:pStyle w:val="IsiTabel"/>
              <w:suppressAutoHyphens/>
              <w:jc w:val="right"/>
            </w:pPr>
            <w:r>
              <w:t xml:space="preserve">277.749</w:t>
            </w:r>
          </w:p>
        </w:tc>
        <w:tc>
          <w:tcPr>
            <w:tcW w:w="654" w:type="dxa"/>
          </w:tcPr>
          <w:p>
            <w:pPr>
              <w:pStyle w:val="IsiTabel"/>
              <w:suppressAutoHyphens/>
              <w:jc w:val="right"/>
            </w:pPr>
            <w:r>
              <w:t xml:space="preserve">170,5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c); cuaca ekstrem (b, c); karhutla (a, b)</w:t>
            </w:r>
          </w:p>
        </w:tc>
      </w:tr>
      <w:tr>
        <w:trPr>
          <w:cantSplit/>
        </w:trPr>
        <w:tc>
          <w:tcPr>
            <w:tcW w:w="2408" w:type="dxa"/>
          </w:tcPr>
          <w:p>
            <w:pPr>
              <w:pStyle w:val="IsiTabel"/>
              <w:suppressAutoHyphens/>
              <w:jc w:val="left"/>
            </w:pPr>
            <w:r>
              <w:t xml:space="preserve">Kab. Labuhanbatu Selatan</w:t>
            </w:r>
          </w:p>
        </w:tc>
        <w:tc>
          <w:tcPr>
            <w:tcW w:w="1206" w:type="dxa"/>
          </w:tcPr>
          <w:p>
            <w:pPr>
              <w:pStyle w:val="IsiTabel"/>
              <w:suppressAutoHyphens/>
              <w:jc w:val="right"/>
            </w:pPr>
            <w:r>
              <w:t xml:space="preserve">322.857</w:t>
            </w:r>
          </w:p>
        </w:tc>
        <w:tc>
          <w:tcPr>
            <w:tcW w:w="654" w:type="dxa"/>
          </w:tcPr>
          <w:p>
            <w:pPr>
              <w:pStyle w:val="IsiTabel"/>
              <w:suppressAutoHyphens/>
              <w:jc w:val="right"/>
            </w:pPr>
            <w:r>
              <w:t xml:space="preserve">169,9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Labuhanbatu Utara</w:t>
            </w:r>
          </w:p>
        </w:tc>
        <w:tc>
          <w:tcPr>
            <w:tcW w:w="1206" w:type="dxa"/>
          </w:tcPr>
          <w:p>
            <w:pPr>
              <w:pStyle w:val="IsiTabel"/>
              <w:suppressAutoHyphens/>
              <w:jc w:val="right"/>
            </w:pPr>
            <w:r>
              <w:t xml:space="preserve">409.120</w:t>
            </w:r>
          </w:p>
        </w:tc>
        <w:tc>
          <w:tcPr>
            <w:tcW w:w="654" w:type="dxa"/>
          </w:tcPr>
          <w:p>
            <w:pPr>
              <w:pStyle w:val="IsiTabel"/>
              <w:suppressAutoHyphens/>
              <w:jc w:val="right"/>
            </w:pPr>
            <w:r>
              <w:t xml:space="preserve">194,7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(b, c); karhutla (a, b)</w:t>
            </w:r>
          </w:p>
        </w:tc>
      </w:tr>
      <w:tr>
        <w:trPr>
          <w:cantSplit/>
        </w:trPr>
        <w:tc>
          <w:tcPr>
            <w:tcW w:w="2408" w:type="dxa"/>
          </w:tcPr>
          <w:p>
            <w:pPr>
              <w:pStyle w:val="IsiTabel"/>
              <w:suppressAutoHyphens/>
              <w:jc w:val="left"/>
            </w:pPr>
            <w:r>
              <w:t xml:space="preserve">Kab. Nias Utara</w:t>
            </w:r>
          </w:p>
        </w:tc>
        <w:tc>
          <w:tcPr>
            <w:tcW w:w="1206" w:type="dxa"/>
          </w:tcPr>
          <w:p>
            <w:pPr>
              <w:pStyle w:val="IsiTabel"/>
              <w:suppressAutoHyphens/>
              <w:jc w:val="right"/>
            </w:pPr>
            <w:r>
              <w:t xml:space="preserve">157.835</w:t>
            </w:r>
          </w:p>
        </w:tc>
        <w:tc>
          <w:tcPr>
            <w:tcW w:w="654" w:type="dxa"/>
          </w:tcPr>
          <w:p>
            <w:pPr>
              <w:pStyle w:val="IsiTabel"/>
              <w:suppressAutoHyphens/>
              <w:jc w:val="right"/>
            </w:pPr>
            <w:r>
              <w:t xml:space="preserve">202,3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tsunami (a, b)</w:t>
            </w:r>
          </w:p>
        </w:tc>
      </w:tr>
      <w:tr>
        <w:trPr>
          <w:cantSplit/>
        </w:trPr>
        <w:tc>
          <w:tcPr>
            <w:tcW w:w="2408" w:type="dxa"/>
          </w:tcPr>
          <w:p>
            <w:pPr>
              <w:pStyle w:val="IsiTabel"/>
              <w:suppressAutoHyphens/>
              <w:jc w:val="left"/>
            </w:pPr>
            <w:r>
              <w:t xml:space="preserve">Kab. Nias Barat</w:t>
            </w:r>
          </w:p>
        </w:tc>
        <w:tc>
          <w:tcPr>
            <w:tcW w:w="1206" w:type="dxa"/>
          </w:tcPr>
          <w:p>
            <w:pPr>
              <w:pStyle w:val="IsiTabel"/>
              <w:suppressAutoHyphens/>
              <w:jc w:val="right"/>
            </w:pPr>
            <w:r>
              <w:t xml:space="preserve">94.947</w:t>
            </w:r>
          </w:p>
        </w:tc>
        <w:tc>
          <w:tcPr>
            <w:tcW w:w="654" w:type="dxa"/>
          </w:tcPr>
          <w:p>
            <w:pPr>
              <w:pStyle w:val="IsiTabel"/>
              <w:suppressAutoHyphens/>
              <w:jc w:val="right"/>
            </w:pPr>
            <w:r>
              <w:t xml:space="preserve">181,6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tsunami (a, b)</w:t>
            </w:r>
          </w:p>
        </w:tc>
      </w:tr>
      <w:tr>
        <w:trPr>
          <w:cantSplit/>
        </w:trPr>
        <w:tc>
          <w:tcPr>
            <w:tcW w:w="2408" w:type="dxa"/>
          </w:tcPr>
          <w:p>
            <w:pPr>
              <w:pStyle w:val="IsiTabel"/>
              <w:suppressAutoHyphens/>
              <w:jc w:val="left"/>
            </w:pPr>
            <w:r>
              <w:t xml:space="preserve">Kota Medan</w:t>
            </w:r>
          </w:p>
        </w:tc>
        <w:tc>
          <w:tcPr>
            <w:tcW w:w="1206" w:type="dxa"/>
          </w:tcPr>
          <w:p>
            <w:pPr>
              <w:pStyle w:val="IsiTabel"/>
              <w:suppressAutoHyphens/>
              <w:jc w:val="right"/>
            </w:pPr>
            <w:r>
              <w:t xml:space="preserve">2.567.030</w:t>
            </w:r>
          </w:p>
        </w:tc>
        <w:tc>
          <w:tcPr>
            <w:tcW w:w="654" w:type="dxa"/>
          </w:tcPr>
          <w:p>
            <w:pPr>
              <w:pStyle w:val="IsiTabel"/>
              <w:suppressAutoHyphens/>
              <w:jc w:val="right"/>
            </w:pPr>
            <w:r>
              <w:t xml:space="preserve">103,7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Pematangsiantar</w:t>
            </w:r>
          </w:p>
        </w:tc>
        <w:tc>
          <w:tcPr>
            <w:tcW w:w="1206" w:type="dxa"/>
          </w:tcPr>
          <w:p>
            <w:pPr>
              <w:pStyle w:val="IsiTabel"/>
              <w:suppressAutoHyphens/>
              <w:jc w:val="right"/>
            </w:pPr>
            <w:r>
              <w:t xml:space="preserve">256.219</w:t>
            </w:r>
          </w:p>
        </w:tc>
        <w:tc>
          <w:tcPr>
            <w:tcW w:w="654" w:type="dxa"/>
          </w:tcPr>
          <w:p>
            <w:pPr>
              <w:pStyle w:val="IsiTabel"/>
              <w:suppressAutoHyphens/>
              <w:jc w:val="right"/>
            </w:pPr>
            <w:r>
              <w:t xml:space="preserve">93,2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Kota Sibolga</w:t>
            </w:r>
          </w:p>
        </w:tc>
        <w:tc>
          <w:tcPr>
            <w:tcW w:w="1206" w:type="dxa"/>
          </w:tcPr>
          <w:p>
            <w:pPr>
              <w:pStyle w:val="IsiTabel"/>
              <w:suppressAutoHyphens/>
              <w:jc w:val="right"/>
            </w:pPr>
            <w:r>
              <w:t xml:space="preserve">61.985</w:t>
            </w:r>
          </w:p>
        </w:tc>
        <w:tc>
          <w:tcPr>
            <w:tcW w:w="654" w:type="dxa"/>
          </w:tcPr>
          <w:p>
            <w:pPr>
              <w:pStyle w:val="IsiTabel"/>
              <w:suppressAutoHyphens/>
              <w:jc w:val="right"/>
            </w:pPr>
            <w:r>
              <w:t xml:space="preserve">191,3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 c); cuaca ekstrem (a, b); gelombang ekstrem dan abrasi (a, c)</w:t>
            </w:r>
          </w:p>
        </w:tc>
      </w:tr>
      <w:tr>
        <w:trPr>
          <w:cantSplit/>
        </w:trPr>
        <w:tc>
          <w:tcPr>
            <w:tcW w:w="2408" w:type="dxa"/>
          </w:tcPr>
          <w:p>
            <w:pPr>
              <w:pStyle w:val="IsiTabel"/>
              <w:suppressAutoHyphens/>
              <w:jc w:val="left"/>
            </w:pPr>
            <w:r>
              <w:t xml:space="preserve">Kota Tanjungbalai</w:t>
            </w:r>
          </w:p>
        </w:tc>
        <w:tc>
          <w:tcPr>
            <w:tcW w:w="1206" w:type="dxa"/>
          </w:tcPr>
          <w:p>
            <w:pPr>
              <w:pStyle w:val="IsiTabel"/>
              <w:suppressAutoHyphens/>
              <w:jc w:val="right"/>
            </w:pPr>
            <w:r>
              <w:t xml:space="preserve">165.515</w:t>
            </w:r>
          </w:p>
        </w:tc>
        <w:tc>
          <w:tcPr>
            <w:tcW w:w="654" w:type="dxa"/>
          </w:tcPr>
          <w:p>
            <w:pPr>
              <w:pStyle w:val="IsiTabel"/>
              <w:suppressAutoHyphens/>
              <w:jc w:val="right"/>
            </w:pPr>
            <w:r>
              <w:t xml:space="preserve">68,1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Kota Binjai</w:t>
            </w:r>
          </w:p>
        </w:tc>
        <w:tc>
          <w:tcPr>
            <w:tcW w:w="1206" w:type="dxa"/>
          </w:tcPr>
          <w:p>
            <w:pPr>
              <w:pStyle w:val="IsiTabel"/>
              <w:suppressAutoHyphens/>
              <w:jc w:val="right"/>
            </w:pPr>
            <w:r>
              <w:t xml:space="preserve">263.924</w:t>
            </w:r>
          </w:p>
        </w:tc>
        <w:tc>
          <w:tcPr>
            <w:tcW w:w="654" w:type="dxa"/>
          </w:tcPr>
          <w:p>
            <w:pPr>
              <w:pStyle w:val="IsiTabel"/>
              <w:suppressAutoHyphens/>
              <w:jc w:val="right"/>
            </w:pPr>
            <w:r>
              <w:t xml:space="preserve">154,8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(a, b)</w:t>
            </w:r>
          </w:p>
        </w:tc>
      </w:tr>
      <w:tr>
        <w:trPr>
          <w:cantSplit/>
        </w:trPr>
        <w:tc>
          <w:tcPr>
            <w:tcW w:w="2408" w:type="dxa"/>
          </w:tcPr>
          <w:p>
            <w:pPr>
              <w:pStyle w:val="IsiTabel"/>
              <w:suppressAutoHyphens/>
              <w:jc w:val="left"/>
            </w:pPr>
            <w:r>
              <w:t xml:space="preserve">Kota Tebing Tinggi</w:t>
            </w:r>
          </w:p>
        </w:tc>
        <w:tc>
          <w:tcPr>
            <w:tcW w:w="1206" w:type="dxa"/>
          </w:tcPr>
          <w:p>
            <w:pPr>
              <w:pStyle w:val="IsiTabel"/>
              <w:suppressAutoHyphens/>
              <w:jc w:val="right"/>
            </w:pPr>
            <w:r>
              <w:t xml:space="preserve">168.710</w:t>
            </w:r>
          </w:p>
        </w:tc>
        <w:tc>
          <w:tcPr>
            <w:tcW w:w="654" w:type="dxa"/>
          </w:tcPr>
          <w:p>
            <w:pPr>
              <w:pStyle w:val="IsiTabel"/>
              <w:suppressAutoHyphens/>
              <w:jc w:val="right"/>
            </w:pPr>
            <w:r>
              <w:t xml:space="preserve">58,0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Padangsidimpuan</w:t>
            </w:r>
          </w:p>
        </w:tc>
        <w:tc>
          <w:tcPr>
            <w:tcW w:w="1206" w:type="dxa"/>
          </w:tcPr>
          <w:p>
            <w:pPr>
              <w:pStyle w:val="IsiTabel"/>
              <w:suppressAutoHyphens/>
              <w:jc w:val="right"/>
            </w:pPr>
            <w:r>
              <w:t xml:space="preserve">239.255</w:t>
            </w:r>
          </w:p>
        </w:tc>
        <w:tc>
          <w:tcPr>
            <w:tcW w:w="654" w:type="dxa"/>
          </w:tcPr>
          <w:p>
            <w:pPr>
              <w:pStyle w:val="IsiTabel"/>
              <w:suppressAutoHyphens/>
              <w:jc w:val="right"/>
            </w:pPr>
            <w:r>
              <w:t xml:space="preserve">166,4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Kota Gunungsitoli</w:t>
            </w:r>
          </w:p>
        </w:tc>
        <w:tc>
          <w:tcPr>
            <w:tcW w:w="1206" w:type="dxa"/>
          </w:tcPr>
          <w:p>
            <w:pPr>
              <w:pStyle w:val="IsiTabel"/>
              <w:suppressAutoHyphens/>
              <w:jc w:val="right"/>
            </w:pPr>
            <w:r>
              <w:t xml:space="preserve">145.492</w:t>
            </w:r>
          </w:p>
        </w:tc>
        <w:tc>
          <w:tcPr>
            <w:tcW w:w="654" w:type="dxa"/>
          </w:tcPr>
          <w:p>
            <w:pPr>
              <w:pStyle w:val="IsiTabel"/>
              <w:suppressAutoHyphens/>
              <w:jc w:val="right"/>
            </w:pPr>
            <w:r>
              <w:t xml:space="preserve">181,4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cuaca ekstrem (a, b)</w:t>
            </w:r>
          </w:p>
        </w:tc>
      </w:tr>
      <w:tr>
        <w:trPr>
          <w:cantSplit/>
        </w:trPr>
        <w:tc>
          <w:tcPr>
            <w:tcW w:w="9354" w:type="dxa"/>
            <w:gridSpan w:val="5"/>
            <w:shd w:val="clear" w:color="auto" w:fill="E6EAF0"/>
          </w:tcPr>
          <w:p>
            <w:pPr>
              <w:pStyle w:val="IsiTabel"/>
              <w:keepNext/>
              <w:suppressAutoHyphens/>
              <w:ind w:left="0"/>
            </w:pPr>
            <w:r>
              <w:rPr>
                <w:b/>
                <w:bCs/>
              </w:rPr>
              <w:t xml:space="preserve">Sumatera Barat</w:t>
            </w:r>
          </w:p>
        </w:tc>
      </w:tr>
      <w:tr>
        <w:trPr>
          <w:cantSplit/>
        </w:trPr>
        <w:tc>
          <w:tcPr>
            <w:tcW w:w="2408" w:type="dxa"/>
          </w:tcPr>
          <w:p>
            <w:pPr>
              <w:pStyle w:val="IsiTabel"/>
              <w:suppressAutoHyphens/>
              <w:jc w:val="left"/>
            </w:pPr>
            <w:r>
              <w:t xml:space="preserve">Kab. Pesisir Selatan</w:t>
            </w:r>
          </w:p>
        </w:tc>
        <w:tc>
          <w:tcPr>
            <w:tcW w:w="1206" w:type="dxa"/>
          </w:tcPr>
          <w:p>
            <w:pPr>
              <w:pStyle w:val="IsiTabel"/>
              <w:suppressAutoHyphens/>
              <w:jc w:val="right"/>
            </w:pPr>
            <w:r>
              <w:t xml:space="preserve">535.959</w:t>
            </w:r>
          </w:p>
        </w:tc>
        <w:tc>
          <w:tcPr>
            <w:tcW w:w="654" w:type="dxa"/>
          </w:tcPr>
          <w:p>
            <w:pPr>
              <w:pStyle w:val="IsiTabel"/>
              <w:suppressAutoHyphens/>
              <w:jc w:val="right"/>
            </w:pPr>
            <w:r>
              <w:t xml:space="preserve">158,3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gempa bumi (a, c)</w:t>
            </w:r>
          </w:p>
        </w:tc>
      </w:tr>
      <w:tr>
        <w:trPr>
          <w:cantSplit/>
        </w:trPr>
        <w:tc>
          <w:tcPr>
            <w:tcW w:w="2408" w:type="dxa"/>
          </w:tcPr>
          <w:p>
            <w:pPr>
              <w:pStyle w:val="IsiTabel"/>
              <w:suppressAutoHyphens/>
              <w:jc w:val="left"/>
            </w:pPr>
            <w:r>
              <w:t xml:space="preserve">Kab. Solok</w:t>
            </w:r>
          </w:p>
        </w:tc>
        <w:tc>
          <w:tcPr>
            <w:tcW w:w="1206" w:type="dxa"/>
          </w:tcPr>
          <w:p>
            <w:pPr>
              <w:pStyle w:val="IsiTabel"/>
              <w:suppressAutoHyphens/>
              <w:jc w:val="right"/>
            </w:pPr>
            <w:r>
              <w:t xml:space="preserve">445.136</w:t>
            </w:r>
          </w:p>
        </w:tc>
        <w:tc>
          <w:tcPr>
            <w:tcW w:w="654" w:type="dxa"/>
          </w:tcPr>
          <w:p>
            <w:pPr>
              <w:pStyle w:val="IsiTabel"/>
              <w:suppressAutoHyphens/>
              <w:jc w:val="right"/>
            </w:pPr>
            <w:r>
              <w:t xml:space="preserve">183,2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 cuaca ekstrem (a, b, c); gempa bumi (a, c)</w:t>
            </w:r>
          </w:p>
        </w:tc>
      </w:tr>
      <w:tr>
        <w:trPr>
          <w:cantSplit/>
        </w:trPr>
        <w:tc>
          <w:tcPr>
            <w:tcW w:w="2408" w:type="dxa"/>
          </w:tcPr>
          <w:p>
            <w:pPr>
              <w:pStyle w:val="IsiTabel"/>
              <w:suppressAutoHyphens/>
              <w:jc w:val="left"/>
            </w:pPr>
            <w:r>
              <w:t xml:space="preserve">Kab. Sijunjung</w:t>
            </w:r>
          </w:p>
        </w:tc>
        <w:tc>
          <w:tcPr>
            <w:tcW w:w="1206" w:type="dxa"/>
          </w:tcPr>
          <w:p>
            <w:pPr>
              <w:pStyle w:val="IsiTabel"/>
              <w:suppressAutoHyphens/>
              <w:jc w:val="right"/>
            </w:pPr>
            <w:r>
              <w:t xml:space="preserve">250.873</w:t>
            </w:r>
          </w:p>
        </w:tc>
        <w:tc>
          <w:tcPr>
            <w:tcW w:w="654" w:type="dxa"/>
          </w:tcPr>
          <w:p>
            <w:pPr>
              <w:pStyle w:val="IsiTabel"/>
              <w:suppressAutoHyphens/>
              <w:jc w:val="right"/>
            </w:pPr>
            <w:r>
              <w:t xml:space="preserve">166,0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Tanah Datar</w:t>
            </w:r>
          </w:p>
        </w:tc>
        <w:tc>
          <w:tcPr>
            <w:tcW w:w="1206" w:type="dxa"/>
          </w:tcPr>
          <w:p>
            <w:pPr>
              <w:pStyle w:val="IsiTabel"/>
              <w:suppressAutoHyphens/>
              <w:jc w:val="right"/>
            </w:pPr>
            <w:r>
              <w:t xml:space="preserve">422.583</w:t>
            </w:r>
          </w:p>
        </w:tc>
        <w:tc>
          <w:tcPr>
            <w:tcW w:w="654" w:type="dxa"/>
          </w:tcPr>
          <w:p>
            <w:pPr>
              <w:pStyle w:val="IsiTabel"/>
              <w:suppressAutoHyphens/>
              <w:jc w:val="right"/>
            </w:pPr>
            <w:r>
              <w:t xml:space="preserve">219,5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(a, b, c); gunung api (a, b, c)</w:t>
            </w:r>
          </w:p>
        </w:tc>
      </w:tr>
      <w:tr>
        <w:trPr>
          <w:cantSplit/>
        </w:trPr>
        <w:tc>
          <w:tcPr>
            <w:tcW w:w="2408" w:type="dxa"/>
          </w:tcPr>
          <w:p>
            <w:pPr>
              <w:pStyle w:val="IsiTabel"/>
              <w:suppressAutoHyphens/>
              <w:jc w:val="left"/>
            </w:pPr>
            <w:r>
              <w:t xml:space="preserve">Kab. Padang Pariaman</w:t>
            </w:r>
          </w:p>
        </w:tc>
        <w:tc>
          <w:tcPr>
            <w:tcW w:w="1206" w:type="dxa"/>
          </w:tcPr>
          <w:p>
            <w:pPr>
              <w:pStyle w:val="IsiTabel"/>
              <w:suppressAutoHyphens/>
              <w:jc w:val="right"/>
            </w:pPr>
            <w:r>
              <w:t xml:space="preserve">486.557</w:t>
            </w:r>
          </w:p>
        </w:tc>
        <w:tc>
          <w:tcPr>
            <w:tcW w:w="654" w:type="dxa"/>
          </w:tcPr>
          <w:p>
            <w:pPr>
              <w:pStyle w:val="IsiTabel"/>
              <w:suppressAutoHyphens/>
              <w:jc w:val="right"/>
            </w:pPr>
            <w:r>
              <w:t xml:space="preserve">163,7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 gempa bumi (a, c); tsunami (b, c)</w:t>
            </w:r>
          </w:p>
        </w:tc>
      </w:tr>
      <w:tr>
        <w:trPr>
          <w:cantSplit/>
        </w:trPr>
        <w:tc>
          <w:tcPr>
            <w:tcW w:w="2408" w:type="dxa"/>
          </w:tcPr>
          <w:p>
            <w:pPr>
              <w:pStyle w:val="IsiTabel"/>
              <w:suppressAutoHyphens/>
              <w:jc w:val="left"/>
            </w:pPr>
            <w:r>
              <w:t xml:space="preserve">Kab. Agam</w:t>
            </w:r>
          </w:p>
        </w:tc>
        <w:tc>
          <w:tcPr>
            <w:tcW w:w="1206" w:type="dxa"/>
          </w:tcPr>
          <w:p>
            <w:pPr>
              <w:pStyle w:val="IsiTabel"/>
              <w:suppressAutoHyphens/>
              <w:jc w:val="right"/>
            </w:pPr>
            <w:r>
              <w:t xml:space="preserve">576.392</w:t>
            </w:r>
          </w:p>
        </w:tc>
        <w:tc>
          <w:tcPr>
            <w:tcW w:w="654" w:type="dxa"/>
          </w:tcPr>
          <w:p>
            <w:pPr>
              <w:pStyle w:val="IsiTabel"/>
              <w:suppressAutoHyphens/>
              <w:jc w:val="right"/>
            </w:pPr>
            <w:r>
              <w:t xml:space="preserve">240,3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gempa bumi (a, c)</w:t>
            </w:r>
          </w:p>
        </w:tc>
      </w:tr>
      <w:tr>
        <w:trPr>
          <w:cantSplit/>
        </w:trPr>
        <w:tc>
          <w:tcPr>
            <w:tcW w:w="2408" w:type="dxa"/>
          </w:tcPr>
          <w:p>
            <w:pPr>
              <w:pStyle w:val="IsiTabel"/>
              <w:suppressAutoHyphens/>
              <w:jc w:val="left"/>
            </w:pPr>
            <w:r>
              <w:t xml:space="preserve">Kab. Lima Puluh Kota</w:t>
            </w:r>
          </w:p>
        </w:tc>
        <w:tc>
          <w:tcPr>
            <w:tcW w:w="1206" w:type="dxa"/>
          </w:tcPr>
          <w:p>
            <w:pPr>
              <w:pStyle w:val="IsiTabel"/>
              <w:suppressAutoHyphens/>
              <w:jc w:val="right"/>
            </w:pPr>
            <w:r>
              <w:t xml:space="preserve">406.729</w:t>
            </w:r>
          </w:p>
        </w:tc>
        <w:tc>
          <w:tcPr>
            <w:tcW w:w="654" w:type="dxa"/>
          </w:tcPr>
          <w:p>
            <w:pPr>
              <w:pStyle w:val="IsiTabel"/>
              <w:suppressAutoHyphens/>
              <w:jc w:val="right"/>
            </w:pPr>
            <w:r>
              <w:t xml:space="preserve">197,5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cuaca ekstrem (a, b, c)</w:t>
            </w:r>
          </w:p>
        </w:tc>
      </w:tr>
      <w:tr>
        <w:trPr>
          <w:cantSplit/>
        </w:trPr>
        <w:tc>
          <w:tcPr>
            <w:tcW w:w="2408" w:type="dxa"/>
          </w:tcPr>
          <w:p>
            <w:pPr>
              <w:pStyle w:val="IsiTabel"/>
              <w:suppressAutoHyphens/>
              <w:jc w:val="left"/>
            </w:pPr>
            <w:r>
              <w:t xml:space="preserve">Kab. Pasaman</w:t>
            </w:r>
          </w:p>
        </w:tc>
        <w:tc>
          <w:tcPr>
            <w:tcW w:w="1206" w:type="dxa"/>
          </w:tcPr>
          <w:p>
            <w:pPr>
              <w:pStyle w:val="IsiTabel"/>
              <w:suppressAutoHyphens/>
              <w:jc w:val="right"/>
            </w:pPr>
            <w:r>
              <w:t xml:space="preserve">319.962</w:t>
            </w:r>
          </w:p>
        </w:tc>
        <w:tc>
          <w:tcPr>
            <w:tcW w:w="654" w:type="dxa"/>
          </w:tcPr>
          <w:p>
            <w:pPr>
              <w:pStyle w:val="IsiTabel"/>
              <w:suppressAutoHyphens/>
              <w:jc w:val="right"/>
            </w:pPr>
            <w:r>
              <w:t xml:space="preserve">213,9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(a, b); gempa bumi (a, c)</w:t>
            </w:r>
          </w:p>
        </w:tc>
      </w:tr>
      <w:tr>
        <w:trPr>
          <w:cantSplit/>
        </w:trPr>
        <w:tc>
          <w:tcPr>
            <w:tcW w:w="2408" w:type="dxa"/>
          </w:tcPr>
          <w:p>
            <w:pPr>
              <w:pStyle w:val="IsiTabel"/>
              <w:suppressAutoHyphens/>
              <w:jc w:val="left"/>
            </w:pPr>
            <w:r>
              <w:t xml:space="preserve">Kab. Kepulauan Mentawai</w:t>
            </w:r>
          </w:p>
        </w:tc>
        <w:tc>
          <w:tcPr>
            <w:tcW w:w="1206" w:type="dxa"/>
          </w:tcPr>
          <w:p>
            <w:pPr>
              <w:pStyle w:val="IsiTabel"/>
              <w:suppressAutoHyphens/>
              <w:jc w:val="right"/>
            </w:pPr>
            <w:r>
              <w:t xml:space="preserve">92.831</w:t>
            </w:r>
          </w:p>
        </w:tc>
        <w:tc>
          <w:tcPr>
            <w:tcW w:w="654" w:type="dxa"/>
          </w:tcPr>
          <w:p>
            <w:pPr>
              <w:pStyle w:val="IsiTabel"/>
              <w:suppressAutoHyphens/>
              <w:jc w:val="right"/>
            </w:pPr>
            <w:r>
              <w:t xml:space="preserve">201,4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 gelombang ekstrem dan abrasi (b, c); gempa bumi (a, c); tsunami (b, c)</w:t>
            </w:r>
          </w:p>
        </w:tc>
      </w:tr>
      <w:tr>
        <w:trPr>
          <w:cantSplit/>
        </w:trPr>
        <w:tc>
          <w:tcPr>
            <w:tcW w:w="2408" w:type="dxa"/>
          </w:tcPr>
          <w:p>
            <w:pPr>
              <w:pStyle w:val="IsiTabel"/>
              <w:suppressAutoHyphens/>
              <w:jc w:val="left"/>
            </w:pPr>
            <w:r>
              <w:t xml:space="preserve">Kab. Dharmasraya</w:t>
            </w:r>
          </w:p>
        </w:tc>
        <w:tc>
          <w:tcPr>
            <w:tcW w:w="1206" w:type="dxa"/>
          </w:tcPr>
          <w:p>
            <w:pPr>
              <w:pStyle w:val="IsiTabel"/>
              <w:suppressAutoHyphens/>
              <w:jc w:val="right"/>
            </w:pPr>
            <w:r>
              <w:t xml:space="preserve">240.693</w:t>
            </w:r>
          </w:p>
        </w:tc>
        <w:tc>
          <w:tcPr>
            <w:tcW w:w="654" w:type="dxa"/>
          </w:tcPr>
          <w:p>
            <w:pPr>
              <w:pStyle w:val="IsiTabel"/>
              <w:suppressAutoHyphens/>
              <w:jc w:val="right"/>
            </w:pPr>
            <w:r>
              <w:t xml:space="preserve">150,6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Solok Selatan</w:t>
            </w:r>
          </w:p>
        </w:tc>
        <w:tc>
          <w:tcPr>
            <w:tcW w:w="1206" w:type="dxa"/>
          </w:tcPr>
          <w:p>
            <w:pPr>
              <w:pStyle w:val="IsiTabel"/>
              <w:suppressAutoHyphens/>
              <w:jc w:val="right"/>
            </w:pPr>
            <w:r>
              <w:t xml:space="preserve">192.175</w:t>
            </w:r>
          </w:p>
        </w:tc>
        <w:tc>
          <w:tcPr>
            <w:tcW w:w="654" w:type="dxa"/>
          </w:tcPr>
          <w:p>
            <w:pPr>
              <w:pStyle w:val="IsiTabel"/>
              <w:suppressAutoHyphens/>
              <w:jc w:val="right"/>
            </w:pPr>
            <w:r>
              <w:t xml:space="preserve">172,2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 cuaca ekstrem (b, c)</w:t>
            </w:r>
          </w:p>
        </w:tc>
      </w:tr>
      <w:tr>
        <w:trPr>
          <w:cantSplit/>
        </w:trPr>
        <w:tc>
          <w:tcPr>
            <w:tcW w:w="2408" w:type="dxa"/>
          </w:tcPr>
          <w:p>
            <w:pPr>
              <w:pStyle w:val="IsiTabel"/>
              <w:suppressAutoHyphens/>
              <w:jc w:val="left"/>
            </w:pPr>
            <w:r>
              <w:t xml:space="preserve">Kab. Pasaman Barat</w:t>
            </w:r>
          </w:p>
        </w:tc>
        <w:tc>
          <w:tcPr>
            <w:tcW w:w="1206" w:type="dxa"/>
          </w:tcPr>
          <w:p>
            <w:pPr>
              <w:pStyle w:val="IsiTabel"/>
              <w:suppressAutoHyphens/>
              <w:jc w:val="right"/>
            </w:pPr>
            <w:r>
              <w:t xml:space="preserve">456.467</w:t>
            </w:r>
          </w:p>
        </w:tc>
        <w:tc>
          <w:tcPr>
            <w:tcW w:w="654" w:type="dxa"/>
          </w:tcPr>
          <w:p>
            <w:pPr>
              <w:pStyle w:val="IsiTabel"/>
              <w:suppressAutoHyphens/>
              <w:jc w:val="right"/>
            </w:pPr>
            <w:r>
              <w:t xml:space="preserve">254,2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 cuaca ekstrem (a, b, c); tsunami (a, b)</w:t>
            </w:r>
          </w:p>
        </w:tc>
      </w:tr>
      <w:tr>
        <w:trPr>
          <w:cantSplit/>
        </w:trPr>
        <w:tc>
          <w:tcPr>
            <w:tcW w:w="2408" w:type="dxa"/>
          </w:tcPr>
          <w:p>
            <w:pPr>
              <w:pStyle w:val="IsiTabel"/>
              <w:suppressAutoHyphens/>
              <w:jc w:val="left"/>
            </w:pPr>
            <w:r>
              <w:t xml:space="preserve">Kota Padang</w:t>
            </w:r>
          </w:p>
        </w:tc>
        <w:tc>
          <w:tcPr>
            <w:tcW w:w="1206" w:type="dxa"/>
          </w:tcPr>
          <w:p>
            <w:pPr>
              <w:pStyle w:val="IsiTabel"/>
              <w:suppressAutoHyphens/>
              <w:jc w:val="right"/>
            </w:pPr>
            <w:r>
              <w:t xml:space="preserve">948.308</w:t>
            </w:r>
          </w:p>
        </w:tc>
        <w:tc>
          <w:tcPr>
            <w:tcW w:w="654" w:type="dxa"/>
          </w:tcPr>
          <w:p>
            <w:pPr>
              <w:pStyle w:val="IsiTabel"/>
              <w:suppressAutoHyphens/>
              <w:jc w:val="right"/>
            </w:pPr>
            <w:r>
              <w:t xml:space="preserve">185,5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(a, b); gempa bumi (a, c)</w:t>
            </w:r>
          </w:p>
        </w:tc>
      </w:tr>
      <w:tr>
        <w:trPr>
          <w:cantSplit/>
        </w:trPr>
        <w:tc>
          <w:tcPr>
            <w:tcW w:w="2408" w:type="dxa"/>
          </w:tcPr>
          <w:p>
            <w:pPr>
              <w:pStyle w:val="IsiTabel"/>
              <w:suppressAutoHyphens/>
              <w:jc w:val="left"/>
            </w:pPr>
            <w:r>
              <w:t xml:space="preserve">Kota Solok</w:t>
            </w:r>
          </w:p>
        </w:tc>
        <w:tc>
          <w:tcPr>
            <w:tcW w:w="1206" w:type="dxa"/>
          </w:tcPr>
          <w:p>
            <w:pPr>
              <w:pStyle w:val="IsiTabel"/>
              <w:suppressAutoHyphens/>
              <w:jc w:val="right"/>
            </w:pPr>
            <w:r>
              <w:t xml:space="preserve">51.856</w:t>
            </w:r>
          </w:p>
        </w:tc>
        <w:tc>
          <w:tcPr>
            <w:tcW w:w="654" w:type="dxa"/>
          </w:tcPr>
          <w:p>
            <w:pPr>
              <w:pStyle w:val="IsiTabel"/>
              <w:suppressAutoHyphens/>
              <w:jc w:val="right"/>
            </w:pPr>
            <w:r>
              <w:t xml:space="preserve">159,1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Kota Sawahlunto</w:t>
            </w:r>
          </w:p>
        </w:tc>
        <w:tc>
          <w:tcPr>
            <w:tcW w:w="1206" w:type="dxa"/>
          </w:tcPr>
          <w:p>
            <w:pPr>
              <w:pStyle w:val="IsiTabel"/>
              <w:suppressAutoHyphens/>
              <w:jc w:val="right"/>
            </w:pPr>
            <w:r>
              <w:t xml:space="preserve">68.285</w:t>
            </w:r>
          </w:p>
        </w:tc>
        <w:tc>
          <w:tcPr>
            <w:tcW w:w="654" w:type="dxa"/>
          </w:tcPr>
          <w:p>
            <w:pPr>
              <w:pStyle w:val="IsiTabel"/>
              <w:suppressAutoHyphens/>
              <w:jc w:val="right"/>
            </w:pPr>
            <w:r>
              <w:t xml:space="preserve">162,9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Kota Padang Panjang</w:t>
            </w:r>
          </w:p>
        </w:tc>
        <w:tc>
          <w:tcPr>
            <w:tcW w:w="1206" w:type="dxa"/>
          </w:tcPr>
          <w:p>
            <w:pPr>
              <w:pStyle w:val="IsiTabel"/>
              <w:suppressAutoHyphens/>
              <w:jc w:val="right"/>
            </w:pPr>
            <w:r>
              <w:t xml:space="preserve">26.657</w:t>
            </w:r>
          </w:p>
        </w:tc>
        <w:tc>
          <w:tcPr>
            <w:tcW w:w="654" w:type="dxa"/>
          </w:tcPr>
          <w:p>
            <w:pPr>
              <w:pStyle w:val="IsiTabel"/>
              <w:suppressAutoHyphens/>
              <w:jc w:val="right"/>
            </w:pPr>
            <w:r>
              <w:t xml:space="preserve">117,3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Bukittinggi</w:t>
            </w:r>
          </w:p>
        </w:tc>
        <w:tc>
          <w:tcPr>
            <w:tcW w:w="1206" w:type="dxa"/>
          </w:tcPr>
          <w:p>
            <w:pPr>
              <w:pStyle w:val="IsiTabel"/>
              <w:suppressAutoHyphens/>
              <w:jc w:val="right"/>
            </w:pPr>
            <w:r>
              <w:t xml:space="preserve">107.227</w:t>
            </w:r>
          </w:p>
        </w:tc>
        <w:tc>
          <w:tcPr>
            <w:tcW w:w="654" w:type="dxa"/>
          </w:tcPr>
          <w:p>
            <w:pPr>
              <w:pStyle w:val="IsiTabel"/>
              <w:suppressAutoHyphens/>
              <w:jc w:val="right"/>
            </w:pPr>
            <w:r>
              <w:t xml:space="preserve">137,2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Payakumbuh</w:t>
            </w:r>
          </w:p>
        </w:tc>
        <w:tc>
          <w:tcPr>
            <w:tcW w:w="1206" w:type="dxa"/>
          </w:tcPr>
          <w:p>
            <w:pPr>
              <w:pStyle w:val="IsiTabel"/>
              <w:suppressAutoHyphens/>
              <w:jc w:val="right"/>
            </w:pPr>
            <w:r>
              <w:t xml:space="preserve">152.331</w:t>
            </w:r>
          </w:p>
        </w:tc>
        <w:tc>
          <w:tcPr>
            <w:tcW w:w="654" w:type="dxa"/>
          </w:tcPr>
          <w:p>
            <w:pPr>
              <w:pStyle w:val="IsiTabel"/>
              <w:suppressAutoHyphens/>
              <w:jc w:val="right"/>
            </w:pPr>
            <w:r>
              <w:t xml:space="preserve">130,1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Kota Pariaman</w:t>
            </w:r>
          </w:p>
        </w:tc>
        <w:tc>
          <w:tcPr>
            <w:tcW w:w="1206" w:type="dxa"/>
          </w:tcPr>
          <w:p>
            <w:pPr>
              <w:pStyle w:val="IsiTabel"/>
              <w:suppressAutoHyphens/>
              <w:jc w:val="right"/>
            </w:pPr>
            <w:r>
              <w:t xml:space="preserve">101.184</w:t>
            </w:r>
          </w:p>
        </w:tc>
        <w:tc>
          <w:tcPr>
            <w:tcW w:w="654" w:type="dxa"/>
          </w:tcPr>
          <w:p>
            <w:pPr>
              <w:pStyle w:val="IsiTabel"/>
              <w:suppressAutoHyphens/>
              <w:jc w:val="right"/>
            </w:pPr>
            <w:r>
              <w:t xml:space="preserve">146,5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tsunami (a, b)</w:t>
            </w:r>
          </w:p>
        </w:tc>
      </w:tr>
      <w:tr>
        <w:trPr>
          <w:cantSplit/>
        </w:trPr>
        <w:tc>
          <w:tcPr>
            <w:tcW w:w="9354" w:type="dxa"/>
            <w:gridSpan w:val="5"/>
            <w:shd w:val="clear" w:color="auto" w:fill="E6EAF0"/>
          </w:tcPr>
          <w:p>
            <w:pPr>
              <w:pStyle w:val="IsiTabel"/>
              <w:keepNext/>
              <w:suppressAutoHyphens/>
              <w:ind w:left="0"/>
            </w:pPr>
            <w:r>
              <w:rPr>
                <w:b/>
                <w:bCs/>
              </w:rPr>
              <w:t xml:space="preserve">Riau</w:t>
            </w:r>
          </w:p>
        </w:tc>
      </w:tr>
      <w:tr>
        <w:trPr>
          <w:cantSplit/>
        </w:trPr>
        <w:tc>
          <w:tcPr>
            <w:tcW w:w="2408" w:type="dxa"/>
          </w:tcPr>
          <w:p>
            <w:pPr>
              <w:pStyle w:val="IsiTabel"/>
              <w:suppressAutoHyphens/>
              <w:jc w:val="left"/>
            </w:pPr>
            <w:r>
              <w:t xml:space="preserve">Kab. Kampar</w:t>
            </w:r>
          </w:p>
        </w:tc>
        <w:tc>
          <w:tcPr>
            <w:tcW w:w="1206" w:type="dxa"/>
          </w:tcPr>
          <w:p>
            <w:pPr>
              <w:pStyle w:val="IsiTabel"/>
              <w:suppressAutoHyphens/>
              <w:jc w:val="right"/>
            </w:pPr>
            <w:r>
              <w:t xml:space="preserve">906.421</w:t>
            </w:r>
          </w:p>
        </w:tc>
        <w:tc>
          <w:tcPr>
            <w:tcW w:w="654" w:type="dxa"/>
          </w:tcPr>
          <w:p>
            <w:pPr>
              <w:pStyle w:val="IsiTabel"/>
              <w:suppressAutoHyphens/>
              <w:jc w:val="right"/>
            </w:pPr>
            <w:r>
              <w:t xml:space="preserve">145,8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Indragiri Hulu</w:t>
            </w:r>
          </w:p>
        </w:tc>
        <w:tc>
          <w:tcPr>
            <w:tcW w:w="1206" w:type="dxa"/>
          </w:tcPr>
          <w:p>
            <w:pPr>
              <w:pStyle w:val="IsiTabel"/>
              <w:suppressAutoHyphens/>
              <w:jc w:val="right"/>
            </w:pPr>
            <w:r>
              <w:t xml:space="preserve">468.538</w:t>
            </w:r>
          </w:p>
        </w:tc>
        <w:tc>
          <w:tcPr>
            <w:tcW w:w="654" w:type="dxa"/>
          </w:tcPr>
          <w:p>
            <w:pPr>
              <w:pStyle w:val="IsiTabel"/>
              <w:suppressAutoHyphens/>
              <w:jc w:val="right"/>
            </w:pPr>
            <w:r>
              <w:t xml:space="preserve">127,6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(a, b)</w:t>
            </w:r>
          </w:p>
        </w:tc>
      </w:tr>
      <w:tr>
        <w:trPr>
          <w:cantSplit/>
        </w:trPr>
        <w:tc>
          <w:tcPr>
            <w:tcW w:w="2408" w:type="dxa"/>
          </w:tcPr>
          <w:p>
            <w:pPr>
              <w:pStyle w:val="IsiTabel"/>
              <w:suppressAutoHyphens/>
              <w:jc w:val="left"/>
            </w:pPr>
            <w:r>
              <w:t xml:space="preserve">Kab. Bengkalis</w:t>
            </w:r>
          </w:p>
        </w:tc>
        <w:tc>
          <w:tcPr>
            <w:tcW w:w="1206" w:type="dxa"/>
          </w:tcPr>
          <w:p>
            <w:pPr>
              <w:pStyle w:val="IsiTabel"/>
              <w:suppressAutoHyphens/>
              <w:jc w:val="right"/>
            </w:pPr>
            <w:r>
              <w:t xml:space="preserve">602.530</w:t>
            </w:r>
          </w:p>
        </w:tc>
        <w:tc>
          <w:tcPr>
            <w:tcW w:w="654" w:type="dxa"/>
          </w:tcPr>
          <w:p>
            <w:pPr>
              <w:pStyle w:val="IsiTabel"/>
              <w:suppressAutoHyphens/>
              <w:jc w:val="right"/>
            </w:pPr>
            <w:r>
              <w:t xml:space="preserve">85,8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Indragiri Hilir</w:t>
            </w:r>
          </w:p>
        </w:tc>
        <w:tc>
          <w:tcPr>
            <w:tcW w:w="1206" w:type="dxa"/>
          </w:tcPr>
          <w:p>
            <w:pPr>
              <w:pStyle w:val="IsiTabel"/>
              <w:suppressAutoHyphens/>
              <w:jc w:val="right"/>
            </w:pPr>
            <w:r>
              <w:t xml:space="preserve">691.590</w:t>
            </w:r>
          </w:p>
        </w:tc>
        <w:tc>
          <w:tcPr>
            <w:tcW w:w="654" w:type="dxa"/>
          </w:tcPr>
          <w:p>
            <w:pPr>
              <w:pStyle w:val="IsiTabel"/>
              <w:suppressAutoHyphens/>
              <w:jc w:val="right"/>
            </w:pPr>
            <w:r>
              <w:t xml:space="preserve">157,5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 karhutla (a, b)</w:t>
            </w:r>
          </w:p>
        </w:tc>
      </w:tr>
      <w:tr>
        <w:trPr>
          <w:cantSplit/>
        </w:trPr>
        <w:tc>
          <w:tcPr>
            <w:tcW w:w="2408" w:type="dxa"/>
          </w:tcPr>
          <w:p>
            <w:pPr>
              <w:pStyle w:val="IsiTabel"/>
              <w:suppressAutoHyphens/>
              <w:jc w:val="left"/>
            </w:pPr>
            <w:r>
              <w:t xml:space="preserve">Kab. Pelalawan</w:t>
            </w:r>
          </w:p>
        </w:tc>
        <w:tc>
          <w:tcPr>
            <w:tcW w:w="1206" w:type="dxa"/>
          </w:tcPr>
          <w:p>
            <w:pPr>
              <w:pStyle w:val="IsiTabel"/>
              <w:suppressAutoHyphens/>
              <w:jc w:val="right"/>
            </w:pPr>
            <w:r>
              <w:t xml:space="preserve">422.194</w:t>
            </w:r>
          </w:p>
        </w:tc>
        <w:tc>
          <w:tcPr>
            <w:tcW w:w="654" w:type="dxa"/>
          </w:tcPr>
          <w:p>
            <w:pPr>
              <w:pStyle w:val="IsiTabel"/>
              <w:suppressAutoHyphens/>
              <w:jc w:val="right"/>
            </w:pPr>
            <w:r>
              <w:t xml:space="preserve">142,0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(a, b)</w:t>
            </w:r>
          </w:p>
        </w:tc>
      </w:tr>
      <w:tr>
        <w:trPr>
          <w:cantSplit/>
        </w:trPr>
        <w:tc>
          <w:tcPr>
            <w:tcW w:w="2408" w:type="dxa"/>
          </w:tcPr>
          <w:p>
            <w:pPr>
              <w:pStyle w:val="IsiTabel"/>
              <w:suppressAutoHyphens/>
              <w:jc w:val="left"/>
            </w:pPr>
            <w:r>
              <w:t xml:space="preserve">Kab. Rokan Hulu</w:t>
            </w:r>
          </w:p>
        </w:tc>
        <w:tc>
          <w:tcPr>
            <w:tcW w:w="1206" w:type="dxa"/>
          </w:tcPr>
          <w:p>
            <w:pPr>
              <w:pStyle w:val="IsiTabel"/>
              <w:suppressAutoHyphens/>
              <w:jc w:val="right"/>
            </w:pPr>
            <w:r>
              <w:t xml:space="preserve">588.898</w:t>
            </w:r>
          </w:p>
        </w:tc>
        <w:tc>
          <w:tcPr>
            <w:tcW w:w="654" w:type="dxa"/>
          </w:tcPr>
          <w:p>
            <w:pPr>
              <w:pStyle w:val="IsiTabel"/>
              <w:suppressAutoHyphens/>
              <w:jc w:val="right"/>
            </w:pPr>
            <w:r>
              <w:t xml:space="preserve">136,2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2408" w:type="dxa"/>
          </w:tcPr>
          <w:p>
            <w:pPr>
              <w:pStyle w:val="IsiTabel"/>
              <w:suppressAutoHyphens/>
              <w:jc w:val="left"/>
            </w:pPr>
            <w:r>
              <w:t xml:space="preserve">Kab. Rokan Hilir</w:t>
            </w:r>
          </w:p>
        </w:tc>
        <w:tc>
          <w:tcPr>
            <w:tcW w:w="1206" w:type="dxa"/>
          </w:tcPr>
          <w:p>
            <w:pPr>
              <w:pStyle w:val="IsiTabel"/>
              <w:suppressAutoHyphens/>
              <w:jc w:val="right"/>
            </w:pPr>
            <w:r>
              <w:t xml:space="preserve">679.747</w:t>
            </w:r>
          </w:p>
        </w:tc>
        <w:tc>
          <w:tcPr>
            <w:tcW w:w="654" w:type="dxa"/>
          </w:tcPr>
          <w:p>
            <w:pPr>
              <w:pStyle w:val="IsiTabel"/>
              <w:suppressAutoHyphens/>
              <w:jc w:val="right"/>
            </w:pPr>
            <w:r>
              <w:t xml:space="preserve">120,9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Siak</w:t>
            </w:r>
          </w:p>
        </w:tc>
        <w:tc>
          <w:tcPr>
            <w:tcW w:w="1206" w:type="dxa"/>
          </w:tcPr>
          <w:p>
            <w:pPr>
              <w:pStyle w:val="IsiTabel"/>
              <w:suppressAutoHyphens/>
              <w:jc w:val="right"/>
            </w:pPr>
            <w:r>
              <w:t xml:space="preserve">484.868</w:t>
            </w:r>
          </w:p>
        </w:tc>
        <w:tc>
          <w:tcPr>
            <w:tcW w:w="654" w:type="dxa"/>
          </w:tcPr>
          <w:p>
            <w:pPr>
              <w:pStyle w:val="IsiTabel"/>
              <w:suppressAutoHyphens/>
              <w:jc w:val="right"/>
            </w:pPr>
            <w:r>
              <w:t xml:space="preserve">80,9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Kuantan Singingi</w:t>
            </w:r>
          </w:p>
        </w:tc>
        <w:tc>
          <w:tcPr>
            <w:tcW w:w="1206" w:type="dxa"/>
          </w:tcPr>
          <w:p>
            <w:pPr>
              <w:pStyle w:val="IsiTabel"/>
              <w:suppressAutoHyphens/>
              <w:jc w:val="right"/>
            </w:pPr>
            <w:r>
              <w:t xml:space="preserve">357.336</w:t>
            </w:r>
          </w:p>
        </w:tc>
        <w:tc>
          <w:tcPr>
            <w:tcW w:w="654" w:type="dxa"/>
          </w:tcPr>
          <w:p>
            <w:pPr>
              <w:pStyle w:val="IsiTabel"/>
              <w:suppressAutoHyphens/>
              <w:jc w:val="right"/>
            </w:pPr>
            <w:r>
              <w:t xml:space="preserve">176,9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Kepulauan Meranti</w:t>
            </w:r>
          </w:p>
        </w:tc>
        <w:tc>
          <w:tcPr>
            <w:tcW w:w="1206" w:type="dxa"/>
          </w:tcPr>
          <w:p>
            <w:pPr>
              <w:pStyle w:val="IsiTabel"/>
              <w:suppressAutoHyphens/>
              <w:jc w:val="right"/>
            </w:pPr>
            <w:r>
              <w:t xml:space="preserve">217.397</w:t>
            </w:r>
          </w:p>
        </w:tc>
        <w:tc>
          <w:tcPr>
            <w:tcW w:w="654" w:type="dxa"/>
          </w:tcPr>
          <w:p>
            <w:pPr>
              <w:pStyle w:val="IsiTabel"/>
              <w:suppressAutoHyphens/>
              <w:jc w:val="right"/>
            </w:pPr>
            <w:r>
              <w:t xml:space="preserve">86,8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Kota Pekanbaru</w:t>
            </w:r>
          </w:p>
        </w:tc>
        <w:tc>
          <w:tcPr>
            <w:tcW w:w="1206" w:type="dxa"/>
          </w:tcPr>
          <w:p>
            <w:pPr>
              <w:pStyle w:val="IsiTabel"/>
              <w:suppressAutoHyphens/>
              <w:jc w:val="right"/>
            </w:pPr>
            <w:r>
              <w:t xml:space="preserve">1.027.469</w:t>
            </w:r>
          </w:p>
        </w:tc>
        <w:tc>
          <w:tcPr>
            <w:tcW w:w="654" w:type="dxa"/>
          </w:tcPr>
          <w:p>
            <w:pPr>
              <w:pStyle w:val="IsiTabel"/>
              <w:suppressAutoHyphens/>
              <w:jc w:val="right"/>
            </w:pPr>
            <w:r>
              <w:t xml:space="preserve">96,5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 c)</w:t>
            </w:r>
          </w:p>
        </w:tc>
      </w:tr>
      <w:tr>
        <w:trPr>
          <w:cantSplit/>
        </w:trPr>
        <w:tc>
          <w:tcPr>
            <w:tcW w:w="2408" w:type="dxa"/>
          </w:tcPr>
          <w:p>
            <w:pPr>
              <w:pStyle w:val="IsiTabel"/>
              <w:suppressAutoHyphens/>
              <w:jc w:val="left"/>
            </w:pPr>
            <w:r>
              <w:t xml:space="preserve">Kota Dumai</w:t>
            </w:r>
          </w:p>
        </w:tc>
        <w:tc>
          <w:tcPr>
            <w:tcW w:w="1206" w:type="dxa"/>
          </w:tcPr>
          <w:p>
            <w:pPr>
              <w:pStyle w:val="IsiTabel"/>
              <w:suppressAutoHyphens/>
              <w:jc w:val="right"/>
            </w:pPr>
            <w:r>
              <w:t xml:space="preserve">335.356</w:t>
            </w:r>
          </w:p>
        </w:tc>
        <w:tc>
          <w:tcPr>
            <w:tcW w:w="654" w:type="dxa"/>
          </w:tcPr>
          <w:p>
            <w:pPr>
              <w:pStyle w:val="IsiTabel"/>
              <w:suppressAutoHyphens/>
              <w:jc w:val="right"/>
            </w:pPr>
            <w:r>
              <w:t xml:space="preserve">61,1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9354" w:type="dxa"/>
            <w:gridSpan w:val="5"/>
            <w:shd w:val="clear" w:color="auto" w:fill="E6EAF0"/>
          </w:tcPr>
          <w:p>
            <w:pPr>
              <w:pStyle w:val="IsiTabel"/>
              <w:keepNext/>
              <w:suppressAutoHyphens/>
              <w:ind w:left="0"/>
            </w:pPr>
            <w:r>
              <w:rPr>
                <w:b/>
                <w:bCs/>
              </w:rPr>
              <w:t xml:space="preserve">Jambi</w:t>
            </w:r>
          </w:p>
        </w:tc>
      </w:tr>
      <w:tr>
        <w:trPr>
          <w:cantSplit/>
        </w:trPr>
        <w:tc>
          <w:tcPr>
            <w:tcW w:w="2408" w:type="dxa"/>
          </w:tcPr>
          <w:p>
            <w:pPr>
              <w:pStyle w:val="IsiTabel"/>
              <w:suppressAutoHyphens/>
              <w:jc w:val="left"/>
            </w:pPr>
            <w:r>
              <w:t xml:space="preserve">Kab. Kerinci</w:t>
            </w:r>
          </w:p>
        </w:tc>
        <w:tc>
          <w:tcPr>
            <w:tcW w:w="1206" w:type="dxa"/>
          </w:tcPr>
          <w:p>
            <w:pPr>
              <w:pStyle w:val="IsiTabel"/>
              <w:suppressAutoHyphens/>
              <w:jc w:val="right"/>
            </w:pPr>
            <w:r>
              <w:t xml:space="preserve">266.568</w:t>
            </w:r>
          </w:p>
        </w:tc>
        <w:tc>
          <w:tcPr>
            <w:tcW w:w="654" w:type="dxa"/>
          </w:tcPr>
          <w:p>
            <w:pPr>
              <w:pStyle w:val="IsiTabel"/>
              <w:suppressAutoHyphens/>
              <w:jc w:val="right"/>
            </w:pPr>
            <w:r>
              <w:t xml:space="preserve">189,9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gempa bumi (a, c)</w:t>
            </w:r>
          </w:p>
        </w:tc>
      </w:tr>
      <w:tr>
        <w:trPr>
          <w:cantSplit/>
        </w:trPr>
        <w:tc>
          <w:tcPr>
            <w:tcW w:w="2408" w:type="dxa"/>
          </w:tcPr>
          <w:p>
            <w:pPr>
              <w:pStyle w:val="IsiTabel"/>
              <w:suppressAutoHyphens/>
              <w:jc w:val="left"/>
            </w:pPr>
            <w:r>
              <w:t xml:space="preserve">Kab. Merangin</w:t>
            </w:r>
          </w:p>
        </w:tc>
        <w:tc>
          <w:tcPr>
            <w:tcW w:w="1206" w:type="dxa"/>
          </w:tcPr>
          <w:p>
            <w:pPr>
              <w:pStyle w:val="IsiTabel"/>
              <w:suppressAutoHyphens/>
              <w:jc w:val="right"/>
            </w:pPr>
            <w:r>
              <w:t xml:space="preserve">376.852</w:t>
            </w:r>
          </w:p>
        </w:tc>
        <w:tc>
          <w:tcPr>
            <w:tcW w:w="654" w:type="dxa"/>
          </w:tcPr>
          <w:p>
            <w:pPr>
              <w:pStyle w:val="IsiTabel"/>
              <w:suppressAutoHyphens/>
              <w:jc w:val="right"/>
            </w:pPr>
            <w:r>
              <w:t xml:space="preserve">186,9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 cuaca ekstrem (a, b); karhutla (a, b)</w:t>
            </w:r>
          </w:p>
        </w:tc>
      </w:tr>
      <w:tr>
        <w:trPr>
          <w:cantSplit/>
        </w:trPr>
        <w:tc>
          <w:tcPr>
            <w:tcW w:w="2408" w:type="dxa"/>
          </w:tcPr>
          <w:p>
            <w:pPr>
              <w:pStyle w:val="IsiTabel"/>
              <w:suppressAutoHyphens/>
              <w:jc w:val="left"/>
            </w:pPr>
            <w:r>
              <w:t xml:space="preserve">Kab. Sarolangun</w:t>
            </w:r>
          </w:p>
        </w:tc>
        <w:tc>
          <w:tcPr>
            <w:tcW w:w="1206" w:type="dxa"/>
          </w:tcPr>
          <w:p>
            <w:pPr>
              <w:pStyle w:val="IsiTabel"/>
              <w:suppressAutoHyphens/>
              <w:jc w:val="right"/>
            </w:pPr>
            <w:r>
              <w:t xml:space="preserve">307.641</w:t>
            </w:r>
          </w:p>
        </w:tc>
        <w:tc>
          <w:tcPr>
            <w:tcW w:w="654" w:type="dxa"/>
          </w:tcPr>
          <w:p>
            <w:pPr>
              <w:pStyle w:val="IsiTabel"/>
              <w:suppressAutoHyphens/>
              <w:jc w:val="right"/>
            </w:pPr>
            <w:r>
              <w:t xml:space="preserve">141,4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Batanghari</w:t>
            </w:r>
          </w:p>
        </w:tc>
        <w:tc>
          <w:tcPr>
            <w:tcW w:w="1206" w:type="dxa"/>
          </w:tcPr>
          <w:p>
            <w:pPr>
              <w:pStyle w:val="IsiTabel"/>
              <w:suppressAutoHyphens/>
              <w:jc w:val="right"/>
            </w:pPr>
            <w:r>
              <w:t xml:space="preserve">322.380</w:t>
            </w:r>
          </w:p>
        </w:tc>
        <w:tc>
          <w:tcPr>
            <w:tcW w:w="654" w:type="dxa"/>
          </w:tcPr>
          <w:p>
            <w:pPr>
              <w:pStyle w:val="IsiTabel"/>
              <w:suppressAutoHyphens/>
              <w:jc w:val="right"/>
            </w:pPr>
            <w:r>
              <w:t xml:space="preserve">116,0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karhutla (a, b)</w:t>
            </w:r>
          </w:p>
        </w:tc>
      </w:tr>
      <w:tr>
        <w:trPr>
          <w:cantSplit/>
        </w:trPr>
        <w:tc>
          <w:tcPr>
            <w:tcW w:w="2408" w:type="dxa"/>
          </w:tcPr>
          <w:p>
            <w:pPr>
              <w:pStyle w:val="IsiTabel"/>
              <w:suppressAutoHyphens/>
              <w:jc w:val="left"/>
            </w:pPr>
            <w:r>
              <w:t xml:space="preserve">Kab. Muaro Jambi</w:t>
            </w:r>
          </w:p>
        </w:tc>
        <w:tc>
          <w:tcPr>
            <w:tcW w:w="1206" w:type="dxa"/>
          </w:tcPr>
          <w:p>
            <w:pPr>
              <w:pStyle w:val="IsiTabel"/>
              <w:suppressAutoHyphens/>
              <w:jc w:val="right"/>
            </w:pPr>
            <w:r>
              <w:t xml:space="preserve">383.881</w:t>
            </w:r>
          </w:p>
        </w:tc>
        <w:tc>
          <w:tcPr>
            <w:tcW w:w="654" w:type="dxa"/>
          </w:tcPr>
          <w:p>
            <w:pPr>
              <w:pStyle w:val="IsiTabel"/>
              <w:suppressAutoHyphens/>
              <w:jc w:val="right"/>
            </w:pPr>
            <w:r>
              <w:t xml:space="preserve">90,0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Tanjung Jabung Barat</w:t>
            </w:r>
          </w:p>
        </w:tc>
        <w:tc>
          <w:tcPr>
            <w:tcW w:w="1206" w:type="dxa"/>
          </w:tcPr>
          <w:p>
            <w:pPr>
              <w:pStyle w:val="IsiTabel"/>
              <w:suppressAutoHyphens/>
              <w:jc w:val="right"/>
            </w:pPr>
            <w:r>
              <w:t xml:space="preserve">336.121</w:t>
            </w:r>
          </w:p>
        </w:tc>
        <w:tc>
          <w:tcPr>
            <w:tcW w:w="654" w:type="dxa"/>
          </w:tcPr>
          <w:p>
            <w:pPr>
              <w:pStyle w:val="IsiTabel"/>
              <w:suppressAutoHyphens/>
              <w:jc w:val="right"/>
            </w:pPr>
            <w:r>
              <w:t xml:space="preserve">97,5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Tanjung Jabung Timur</w:t>
            </w:r>
          </w:p>
        </w:tc>
        <w:tc>
          <w:tcPr>
            <w:tcW w:w="1206" w:type="dxa"/>
          </w:tcPr>
          <w:p>
            <w:pPr>
              <w:pStyle w:val="IsiTabel"/>
              <w:suppressAutoHyphens/>
              <w:jc w:val="right"/>
            </w:pPr>
            <w:r>
              <w:t xml:space="preserve">245.636</w:t>
            </w:r>
          </w:p>
        </w:tc>
        <w:tc>
          <w:tcPr>
            <w:tcW w:w="654" w:type="dxa"/>
          </w:tcPr>
          <w:p>
            <w:pPr>
              <w:pStyle w:val="IsiTabel"/>
              <w:suppressAutoHyphens/>
              <w:jc w:val="right"/>
            </w:pPr>
            <w:r>
              <w:t xml:space="preserve">99,8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karhutla (a, b)</w:t>
            </w:r>
          </w:p>
        </w:tc>
      </w:tr>
      <w:tr>
        <w:trPr>
          <w:cantSplit/>
        </w:trPr>
        <w:tc>
          <w:tcPr>
            <w:tcW w:w="2408" w:type="dxa"/>
          </w:tcPr>
          <w:p>
            <w:pPr>
              <w:pStyle w:val="IsiTabel"/>
              <w:suppressAutoHyphens/>
              <w:jc w:val="left"/>
            </w:pPr>
            <w:r>
              <w:t xml:space="preserve">Kab. Bungo</w:t>
            </w:r>
          </w:p>
        </w:tc>
        <w:tc>
          <w:tcPr>
            <w:tcW w:w="1206" w:type="dxa"/>
          </w:tcPr>
          <w:p>
            <w:pPr>
              <w:pStyle w:val="IsiTabel"/>
              <w:suppressAutoHyphens/>
              <w:jc w:val="right"/>
            </w:pPr>
            <w:r>
              <w:t xml:space="preserve">388.906</w:t>
            </w:r>
          </w:p>
        </w:tc>
        <w:tc>
          <w:tcPr>
            <w:tcW w:w="654" w:type="dxa"/>
          </w:tcPr>
          <w:p>
            <w:pPr>
              <w:pStyle w:val="IsiTabel"/>
              <w:suppressAutoHyphens/>
              <w:jc w:val="right"/>
            </w:pPr>
            <w:r>
              <w:t xml:space="preserve">148,2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Tebo</w:t>
            </w:r>
          </w:p>
        </w:tc>
        <w:tc>
          <w:tcPr>
            <w:tcW w:w="1206" w:type="dxa"/>
          </w:tcPr>
          <w:p>
            <w:pPr>
              <w:pStyle w:val="IsiTabel"/>
              <w:suppressAutoHyphens/>
              <w:jc w:val="right"/>
            </w:pPr>
            <w:r>
              <w:t xml:space="preserve">354.502</w:t>
            </w:r>
          </w:p>
        </w:tc>
        <w:tc>
          <w:tcPr>
            <w:tcW w:w="654" w:type="dxa"/>
          </w:tcPr>
          <w:p>
            <w:pPr>
              <w:pStyle w:val="IsiTabel"/>
              <w:suppressAutoHyphens/>
              <w:jc w:val="right"/>
            </w:pPr>
            <w:r>
              <w:t xml:space="preserve">176,1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karhutla (a, b)</w:t>
            </w:r>
          </w:p>
        </w:tc>
      </w:tr>
      <w:tr>
        <w:trPr>
          <w:cantSplit/>
        </w:trPr>
        <w:tc>
          <w:tcPr>
            <w:tcW w:w="2408" w:type="dxa"/>
          </w:tcPr>
          <w:p>
            <w:pPr>
              <w:pStyle w:val="IsiTabel"/>
              <w:suppressAutoHyphens/>
              <w:jc w:val="left"/>
            </w:pPr>
            <w:r>
              <w:t xml:space="preserve">Kota Jambi</w:t>
            </w:r>
          </w:p>
        </w:tc>
        <w:tc>
          <w:tcPr>
            <w:tcW w:w="1206" w:type="dxa"/>
          </w:tcPr>
          <w:p>
            <w:pPr>
              <w:pStyle w:val="IsiTabel"/>
              <w:suppressAutoHyphens/>
              <w:jc w:val="right"/>
            </w:pPr>
            <w:r>
              <w:t xml:space="preserve">678.445</w:t>
            </w:r>
          </w:p>
        </w:tc>
        <w:tc>
          <w:tcPr>
            <w:tcW w:w="654" w:type="dxa"/>
          </w:tcPr>
          <w:p>
            <w:pPr>
              <w:pStyle w:val="IsiTabel"/>
              <w:suppressAutoHyphens/>
              <w:jc w:val="right"/>
            </w:pPr>
            <w:r>
              <w:t xml:space="preserve">92,3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w:t>
            </w:r>
          </w:p>
        </w:tc>
      </w:tr>
      <w:tr>
        <w:trPr>
          <w:cantSplit/>
        </w:trPr>
        <w:tc>
          <w:tcPr>
            <w:tcW w:w="2408" w:type="dxa"/>
          </w:tcPr>
          <w:p>
            <w:pPr>
              <w:pStyle w:val="IsiTabel"/>
              <w:suppressAutoHyphens/>
              <w:jc w:val="left"/>
            </w:pPr>
            <w:r>
              <w:t xml:space="preserve">Kota Sungai Penuh</w:t>
            </w:r>
          </w:p>
        </w:tc>
        <w:tc>
          <w:tcPr>
            <w:tcW w:w="1206" w:type="dxa"/>
          </w:tcPr>
          <w:p>
            <w:pPr>
              <w:pStyle w:val="IsiTabel"/>
              <w:suppressAutoHyphens/>
              <w:jc w:val="right"/>
            </w:pPr>
            <w:r>
              <w:t xml:space="preserve">101.698</w:t>
            </w:r>
          </w:p>
        </w:tc>
        <w:tc>
          <w:tcPr>
            <w:tcW w:w="654" w:type="dxa"/>
          </w:tcPr>
          <w:p>
            <w:pPr>
              <w:pStyle w:val="IsiTabel"/>
              <w:suppressAutoHyphens/>
              <w:jc w:val="right"/>
            </w:pPr>
            <w:r>
              <w:t xml:space="preserve">118,8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9354" w:type="dxa"/>
            <w:gridSpan w:val="5"/>
            <w:shd w:val="clear" w:color="auto" w:fill="E6EAF0"/>
          </w:tcPr>
          <w:p>
            <w:pPr>
              <w:pStyle w:val="IsiTabel"/>
              <w:keepNext/>
              <w:suppressAutoHyphens/>
              <w:ind w:left="0"/>
            </w:pPr>
            <w:r>
              <w:rPr>
                <w:b/>
                <w:bCs/>
              </w:rPr>
              <w:t xml:space="preserve">Sumatera Selatan</w:t>
            </w:r>
          </w:p>
        </w:tc>
      </w:tr>
      <w:tr>
        <w:trPr>
          <w:cantSplit/>
        </w:trPr>
        <w:tc>
          <w:tcPr>
            <w:tcW w:w="2408" w:type="dxa"/>
          </w:tcPr>
          <w:p>
            <w:pPr>
              <w:pStyle w:val="IsiTabel"/>
              <w:suppressAutoHyphens/>
              <w:jc w:val="left"/>
            </w:pPr>
            <w:r>
              <w:t xml:space="preserve">Kab. Ogan Komering Ulu</w:t>
            </w:r>
          </w:p>
        </w:tc>
        <w:tc>
          <w:tcPr>
            <w:tcW w:w="1206" w:type="dxa"/>
          </w:tcPr>
          <w:p>
            <w:pPr>
              <w:pStyle w:val="IsiTabel"/>
              <w:suppressAutoHyphens/>
              <w:jc w:val="right"/>
            </w:pPr>
            <w:r>
              <w:t xml:space="preserve">387.388</w:t>
            </w:r>
          </w:p>
        </w:tc>
        <w:tc>
          <w:tcPr>
            <w:tcW w:w="654" w:type="dxa"/>
          </w:tcPr>
          <w:p>
            <w:pPr>
              <w:pStyle w:val="IsiTabel"/>
              <w:suppressAutoHyphens/>
              <w:jc w:val="right"/>
            </w:pPr>
            <w:r>
              <w:t xml:space="preserve">185,3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Ogan Komering Ilir</w:t>
            </w:r>
          </w:p>
        </w:tc>
        <w:tc>
          <w:tcPr>
            <w:tcW w:w="1206" w:type="dxa"/>
          </w:tcPr>
          <w:p>
            <w:pPr>
              <w:pStyle w:val="IsiTabel"/>
              <w:suppressAutoHyphens/>
              <w:jc w:val="right"/>
            </w:pPr>
            <w:r>
              <w:t xml:space="preserve">810.629</w:t>
            </w:r>
          </w:p>
        </w:tc>
        <w:tc>
          <w:tcPr>
            <w:tcW w:w="654" w:type="dxa"/>
          </w:tcPr>
          <w:p>
            <w:pPr>
              <w:pStyle w:val="IsiTabel"/>
              <w:suppressAutoHyphens/>
              <w:jc w:val="right"/>
            </w:pPr>
            <w:r>
              <w:t xml:space="preserve">135,5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Muara Enim</w:t>
            </w:r>
          </w:p>
        </w:tc>
        <w:tc>
          <w:tcPr>
            <w:tcW w:w="1206" w:type="dxa"/>
          </w:tcPr>
          <w:p>
            <w:pPr>
              <w:pStyle w:val="IsiTabel"/>
              <w:suppressAutoHyphens/>
              <w:jc w:val="right"/>
            </w:pPr>
            <w:r>
              <w:t xml:space="preserve">655.658</w:t>
            </w:r>
          </w:p>
        </w:tc>
        <w:tc>
          <w:tcPr>
            <w:tcW w:w="654" w:type="dxa"/>
          </w:tcPr>
          <w:p>
            <w:pPr>
              <w:pStyle w:val="IsiTabel"/>
              <w:suppressAutoHyphens/>
              <w:jc w:val="right"/>
            </w:pPr>
            <w:r>
              <w:t xml:space="preserve">168,4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Lahat</w:t>
            </w:r>
          </w:p>
        </w:tc>
        <w:tc>
          <w:tcPr>
            <w:tcW w:w="1206" w:type="dxa"/>
          </w:tcPr>
          <w:p>
            <w:pPr>
              <w:pStyle w:val="IsiTabel"/>
              <w:suppressAutoHyphens/>
              <w:jc w:val="right"/>
            </w:pPr>
            <w:r>
              <w:t xml:space="preserve">456.207</w:t>
            </w:r>
          </w:p>
        </w:tc>
        <w:tc>
          <w:tcPr>
            <w:tcW w:w="654" w:type="dxa"/>
          </w:tcPr>
          <w:p>
            <w:pPr>
              <w:pStyle w:val="IsiTabel"/>
              <w:suppressAutoHyphens/>
              <w:jc w:val="right"/>
            </w:pPr>
            <w:r>
              <w:t xml:space="preserve">196,4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Musi Rawas</w:t>
            </w:r>
          </w:p>
        </w:tc>
        <w:tc>
          <w:tcPr>
            <w:tcW w:w="1206" w:type="dxa"/>
          </w:tcPr>
          <w:p>
            <w:pPr>
              <w:pStyle w:val="IsiTabel"/>
              <w:suppressAutoHyphens/>
              <w:jc w:val="right"/>
            </w:pPr>
            <w:r>
              <w:t xml:space="preserve">430.499</w:t>
            </w:r>
          </w:p>
        </w:tc>
        <w:tc>
          <w:tcPr>
            <w:tcW w:w="654" w:type="dxa"/>
          </w:tcPr>
          <w:p>
            <w:pPr>
              <w:pStyle w:val="IsiTabel"/>
              <w:suppressAutoHyphens/>
              <w:jc w:val="right"/>
            </w:pPr>
            <w:r>
              <w:t xml:space="preserve">151,7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Musi Banyuasin</w:t>
            </w:r>
          </w:p>
        </w:tc>
        <w:tc>
          <w:tcPr>
            <w:tcW w:w="1206" w:type="dxa"/>
          </w:tcPr>
          <w:p>
            <w:pPr>
              <w:pStyle w:val="IsiTabel"/>
              <w:suppressAutoHyphens/>
              <w:jc w:val="right"/>
            </w:pPr>
            <w:r>
              <w:t xml:space="preserve">661.705</w:t>
            </w:r>
          </w:p>
        </w:tc>
        <w:tc>
          <w:tcPr>
            <w:tcW w:w="654" w:type="dxa"/>
          </w:tcPr>
          <w:p>
            <w:pPr>
              <w:pStyle w:val="IsiTabel"/>
              <w:suppressAutoHyphens/>
              <w:jc w:val="right"/>
            </w:pPr>
            <w:r>
              <w:t xml:space="preserve">108,2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Banyuasin</w:t>
            </w:r>
          </w:p>
        </w:tc>
        <w:tc>
          <w:tcPr>
            <w:tcW w:w="1206" w:type="dxa"/>
          </w:tcPr>
          <w:p>
            <w:pPr>
              <w:pStyle w:val="IsiTabel"/>
              <w:suppressAutoHyphens/>
              <w:jc w:val="right"/>
            </w:pPr>
            <w:r>
              <w:t xml:space="preserve">935.021</w:t>
            </w:r>
          </w:p>
        </w:tc>
        <w:tc>
          <w:tcPr>
            <w:tcW w:w="654" w:type="dxa"/>
          </w:tcPr>
          <w:p>
            <w:pPr>
              <w:pStyle w:val="IsiTabel"/>
              <w:suppressAutoHyphens/>
              <w:jc w:val="right"/>
            </w:pPr>
            <w:r>
              <w:t xml:space="preserve">102,8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 c)</w:t>
            </w:r>
          </w:p>
        </w:tc>
      </w:tr>
      <w:tr>
        <w:trPr>
          <w:cantSplit/>
        </w:trPr>
        <w:tc>
          <w:tcPr>
            <w:tcW w:w="2408" w:type="dxa"/>
          </w:tcPr>
          <w:p>
            <w:pPr>
              <w:pStyle w:val="IsiTabel"/>
              <w:suppressAutoHyphens/>
              <w:jc w:val="left"/>
            </w:pPr>
            <w:r>
              <w:t xml:space="preserve">Kab. Ogan Komering Ulu Timur</w:t>
            </w:r>
          </w:p>
        </w:tc>
        <w:tc>
          <w:tcPr>
            <w:tcW w:w="1206" w:type="dxa"/>
          </w:tcPr>
          <w:p>
            <w:pPr>
              <w:pStyle w:val="IsiTabel"/>
              <w:suppressAutoHyphens/>
              <w:jc w:val="right"/>
            </w:pPr>
            <w:r>
              <w:t xml:space="preserve">699.794</w:t>
            </w:r>
          </w:p>
        </w:tc>
        <w:tc>
          <w:tcPr>
            <w:tcW w:w="654" w:type="dxa"/>
          </w:tcPr>
          <w:p>
            <w:pPr>
              <w:pStyle w:val="IsiTabel"/>
              <w:suppressAutoHyphens/>
              <w:jc w:val="right"/>
            </w:pPr>
            <w:r>
              <w:t xml:space="preserve">139,1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Ogan Komering Ulu Selatan</w:t>
            </w:r>
          </w:p>
        </w:tc>
        <w:tc>
          <w:tcPr>
            <w:tcW w:w="1206" w:type="dxa"/>
          </w:tcPr>
          <w:p>
            <w:pPr>
              <w:pStyle w:val="IsiTabel"/>
              <w:suppressAutoHyphens/>
              <w:jc w:val="right"/>
            </w:pPr>
            <w:r>
              <w:t xml:space="preserve">436.570</w:t>
            </w:r>
          </w:p>
        </w:tc>
        <w:tc>
          <w:tcPr>
            <w:tcW w:w="654" w:type="dxa"/>
          </w:tcPr>
          <w:p>
            <w:pPr>
              <w:pStyle w:val="IsiTabel"/>
              <w:suppressAutoHyphens/>
              <w:jc w:val="right"/>
            </w:pPr>
            <w:r>
              <w:t xml:space="preserve">113,6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Ogan Ilir</w:t>
            </w:r>
          </w:p>
        </w:tc>
        <w:tc>
          <w:tcPr>
            <w:tcW w:w="1206" w:type="dxa"/>
          </w:tcPr>
          <w:p>
            <w:pPr>
              <w:pStyle w:val="IsiTabel"/>
              <w:suppressAutoHyphens/>
              <w:jc w:val="right"/>
            </w:pPr>
            <w:r>
              <w:t xml:space="preserve">451.006</w:t>
            </w:r>
          </w:p>
        </w:tc>
        <w:tc>
          <w:tcPr>
            <w:tcW w:w="654" w:type="dxa"/>
          </w:tcPr>
          <w:p>
            <w:pPr>
              <w:pStyle w:val="IsiTabel"/>
              <w:suppressAutoHyphens/>
              <w:jc w:val="right"/>
            </w:pPr>
            <w:r>
              <w:t xml:space="preserve">85,6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Empat Lawang</w:t>
            </w:r>
          </w:p>
        </w:tc>
        <w:tc>
          <w:tcPr>
            <w:tcW w:w="1206" w:type="dxa"/>
          </w:tcPr>
          <w:p>
            <w:pPr>
              <w:pStyle w:val="IsiTabel"/>
              <w:suppressAutoHyphens/>
              <w:jc w:val="right"/>
            </w:pPr>
            <w:r>
              <w:t xml:space="preserve">349.148</w:t>
            </w:r>
          </w:p>
        </w:tc>
        <w:tc>
          <w:tcPr>
            <w:tcW w:w="654" w:type="dxa"/>
          </w:tcPr>
          <w:p>
            <w:pPr>
              <w:pStyle w:val="IsiTabel"/>
              <w:suppressAutoHyphens/>
              <w:jc w:val="right"/>
            </w:pPr>
            <w:r>
              <w:t xml:space="preserve">193,3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Penukal Abab Lematang Ilir</w:t>
            </w:r>
          </w:p>
        </w:tc>
        <w:tc>
          <w:tcPr>
            <w:tcW w:w="1206" w:type="dxa"/>
          </w:tcPr>
          <w:p>
            <w:pPr>
              <w:pStyle w:val="IsiTabel"/>
              <w:suppressAutoHyphens/>
              <w:jc w:val="right"/>
            </w:pPr>
            <w:r>
              <w:t xml:space="preserve">208.064</w:t>
            </w:r>
          </w:p>
        </w:tc>
        <w:tc>
          <w:tcPr>
            <w:tcW w:w="654" w:type="dxa"/>
          </w:tcPr>
          <w:p>
            <w:pPr>
              <w:pStyle w:val="IsiTabel"/>
              <w:suppressAutoHyphens/>
              <w:jc w:val="right"/>
            </w:pPr>
            <w:r>
              <w:t xml:space="preserve">121,7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Musi Rawas Utara</w:t>
            </w:r>
          </w:p>
        </w:tc>
        <w:tc>
          <w:tcPr>
            <w:tcW w:w="1206" w:type="dxa"/>
          </w:tcPr>
          <w:p>
            <w:pPr>
              <w:pStyle w:val="IsiTabel"/>
              <w:suppressAutoHyphens/>
              <w:jc w:val="right"/>
            </w:pPr>
            <w:r>
              <w:t xml:space="preserve">202.136</w:t>
            </w:r>
          </w:p>
        </w:tc>
        <w:tc>
          <w:tcPr>
            <w:tcW w:w="654" w:type="dxa"/>
          </w:tcPr>
          <w:p>
            <w:pPr>
              <w:pStyle w:val="IsiTabel"/>
              <w:suppressAutoHyphens/>
              <w:jc w:val="right"/>
            </w:pPr>
            <w:r>
              <w:t xml:space="preserve">133,5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karhutla (a, b)</w:t>
            </w:r>
          </w:p>
        </w:tc>
      </w:tr>
      <w:tr>
        <w:trPr>
          <w:cantSplit/>
        </w:trPr>
        <w:tc>
          <w:tcPr>
            <w:tcW w:w="2408" w:type="dxa"/>
          </w:tcPr>
          <w:p>
            <w:pPr>
              <w:pStyle w:val="IsiTabel"/>
              <w:suppressAutoHyphens/>
              <w:jc w:val="left"/>
            </w:pPr>
            <w:r>
              <w:t xml:space="preserve">Kota Palembang</w:t>
            </w:r>
          </w:p>
        </w:tc>
        <w:tc>
          <w:tcPr>
            <w:tcW w:w="1206" w:type="dxa"/>
          </w:tcPr>
          <w:p>
            <w:pPr>
              <w:pStyle w:val="IsiTabel"/>
              <w:suppressAutoHyphens/>
              <w:jc w:val="right"/>
            </w:pPr>
            <w:r>
              <w:t xml:space="preserve">1.715.970</w:t>
            </w:r>
          </w:p>
        </w:tc>
        <w:tc>
          <w:tcPr>
            <w:tcW w:w="654" w:type="dxa"/>
          </w:tcPr>
          <w:p>
            <w:pPr>
              <w:pStyle w:val="IsiTabel"/>
              <w:suppressAutoHyphens/>
              <w:jc w:val="right"/>
            </w:pPr>
            <w:r>
              <w:t xml:space="preserve">105,2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karhutla (a, b, c)</w:t>
            </w:r>
          </w:p>
        </w:tc>
      </w:tr>
      <w:tr>
        <w:trPr>
          <w:cantSplit/>
        </w:trPr>
        <w:tc>
          <w:tcPr>
            <w:tcW w:w="2408" w:type="dxa"/>
          </w:tcPr>
          <w:p>
            <w:pPr>
              <w:pStyle w:val="IsiTabel"/>
              <w:suppressAutoHyphens/>
              <w:jc w:val="left"/>
            </w:pPr>
            <w:r>
              <w:t xml:space="preserve">Kota Pagar Alam</w:t>
            </w:r>
          </w:p>
        </w:tc>
        <w:tc>
          <w:tcPr>
            <w:tcW w:w="1206" w:type="dxa"/>
          </w:tcPr>
          <w:p>
            <w:pPr>
              <w:pStyle w:val="IsiTabel"/>
              <w:suppressAutoHyphens/>
              <w:jc w:val="right"/>
            </w:pPr>
            <w:r>
              <w:t xml:space="preserve">152.205</w:t>
            </w:r>
          </w:p>
        </w:tc>
        <w:tc>
          <w:tcPr>
            <w:tcW w:w="654" w:type="dxa"/>
          </w:tcPr>
          <w:p>
            <w:pPr>
              <w:pStyle w:val="IsiTabel"/>
              <w:suppressAutoHyphens/>
              <w:jc w:val="right"/>
            </w:pPr>
            <w:r>
              <w:t xml:space="preserve">161,6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Lubuk Linggau</w:t>
            </w:r>
          </w:p>
        </w:tc>
        <w:tc>
          <w:tcPr>
            <w:tcW w:w="1206" w:type="dxa"/>
          </w:tcPr>
          <w:p>
            <w:pPr>
              <w:pStyle w:val="IsiTabel"/>
              <w:suppressAutoHyphens/>
              <w:jc w:val="right"/>
            </w:pPr>
            <w:r>
              <w:t xml:space="preserve">242.671</w:t>
            </w:r>
          </w:p>
        </w:tc>
        <w:tc>
          <w:tcPr>
            <w:tcW w:w="654" w:type="dxa"/>
          </w:tcPr>
          <w:p>
            <w:pPr>
              <w:pStyle w:val="IsiTabel"/>
              <w:suppressAutoHyphens/>
              <w:jc w:val="right"/>
            </w:pPr>
            <w:r>
              <w:t xml:space="preserve">151,4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Kota Prabumulih</w:t>
            </w:r>
          </w:p>
        </w:tc>
        <w:tc>
          <w:tcPr>
            <w:tcW w:w="1206" w:type="dxa"/>
          </w:tcPr>
          <w:p>
            <w:pPr>
              <w:pStyle w:val="IsiTabel"/>
              <w:suppressAutoHyphens/>
              <w:jc w:val="right"/>
            </w:pPr>
            <w:r>
              <w:t xml:space="preserve">202.769</w:t>
            </w:r>
          </w:p>
        </w:tc>
        <w:tc>
          <w:tcPr>
            <w:tcW w:w="654" w:type="dxa"/>
          </w:tcPr>
          <w:p>
            <w:pPr>
              <w:pStyle w:val="IsiTabel"/>
              <w:suppressAutoHyphens/>
              <w:jc w:val="right"/>
            </w:pPr>
            <w:r>
              <w:t xml:space="preserve">121,0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9354" w:type="dxa"/>
            <w:gridSpan w:val="5"/>
            <w:shd w:val="clear" w:color="auto" w:fill="E6EAF0"/>
          </w:tcPr>
          <w:p>
            <w:pPr>
              <w:pStyle w:val="IsiTabel"/>
              <w:keepNext/>
              <w:suppressAutoHyphens/>
              <w:ind w:left="0"/>
            </w:pPr>
            <w:r>
              <w:rPr>
                <w:b/>
                <w:bCs/>
              </w:rPr>
              <w:t xml:space="preserve">Bengkulu</w:t>
            </w:r>
          </w:p>
        </w:tc>
      </w:tr>
      <w:tr>
        <w:trPr>
          <w:cantSplit/>
        </w:trPr>
        <w:tc>
          <w:tcPr>
            <w:tcW w:w="2408" w:type="dxa"/>
          </w:tcPr>
          <w:p>
            <w:pPr>
              <w:pStyle w:val="IsiTabel"/>
              <w:suppressAutoHyphens/>
              <w:jc w:val="left"/>
            </w:pPr>
            <w:r>
              <w:t xml:space="preserve">Kab. Bengkulu Selatan</w:t>
            </w:r>
          </w:p>
        </w:tc>
        <w:tc>
          <w:tcPr>
            <w:tcW w:w="1206" w:type="dxa"/>
          </w:tcPr>
          <w:p>
            <w:pPr>
              <w:pStyle w:val="IsiTabel"/>
              <w:suppressAutoHyphens/>
              <w:jc w:val="right"/>
            </w:pPr>
            <w:r>
              <w:t xml:space="preserve">180.891</w:t>
            </w:r>
          </w:p>
        </w:tc>
        <w:tc>
          <w:tcPr>
            <w:tcW w:w="654" w:type="dxa"/>
          </w:tcPr>
          <w:p>
            <w:pPr>
              <w:pStyle w:val="IsiTabel"/>
              <w:suppressAutoHyphens/>
              <w:jc w:val="right"/>
            </w:pPr>
            <w:r>
              <w:t xml:space="preserve">174,1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Rejang Lebong</w:t>
            </w:r>
          </w:p>
        </w:tc>
        <w:tc>
          <w:tcPr>
            <w:tcW w:w="1206" w:type="dxa"/>
          </w:tcPr>
          <w:p>
            <w:pPr>
              <w:pStyle w:val="IsiTabel"/>
              <w:suppressAutoHyphens/>
              <w:jc w:val="right"/>
            </w:pPr>
            <w:r>
              <w:t xml:space="preserve">281.924</w:t>
            </w:r>
          </w:p>
        </w:tc>
        <w:tc>
          <w:tcPr>
            <w:tcW w:w="654" w:type="dxa"/>
          </w:tcPr>
          <w:p>
            <w:pPr>
              <w:pStyle w:val="IsiTabel"/>
              <w:suppressAutoHyphens/>
              <w:jc w:val="right"/>
            </w:pPr>
            <w:r>
              <w:t xml:space="preserve">163,1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Bengkulu Utara</w:t>
            </w:r>
          </w:p>
        </w:tc>
        <w:tc>
          <w:tcPr>
            <w:tcW w:w="1206" w:type="dxa"/>
          </w:tcPr>
          <w:p>
            <w:pPr>
              <w:pStyle w:val="IsiTabel"/>
              <w:suppressAutoHyphens/>
              <w:jc w:val="right"/>
            </w:pPr>
            <w:r>
              <w:t xml:space="preserve">316.333</w:t>
            </w:r>
          </w:p>
        </w:tc>
        <w:tc>
          <w:tcPr>
            <w:tcW w:w="654" w:type="dxa"/>
          </w:tcPr>
          <w:p>
            <w:pPr>
              <w:pStyle w:val="IsiTabel"/>
              <w:suppressAutoHyphens/>
              <w:jc w:val="right"/>
            </w:pPr>
            <w:r>
              <w:t xml:space="preserve">220,5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Kaur</w:t>
            </w:r>
          </w:p>
        </w:tc>
        <w:tc>
          <w:tcPr>
            <w:tcW w:w="1206" w:type="dxa"/>
          </w:tcPr>
          <w:p>
            <w:pPr>
              <w:pStyle w:val="IsiTabel"/>
              <w:suppressAutoHyphens/>
              <w:jc w:val="right"/>
            </w:pPr>
            <w:r>
              <w:t xml:space="preserve">136.567</w:t>
            </w:r>
          </w:p>
        </w:tc>
        <w:tc>
          <w:tcPr>
            <w:tcW w:w="654" w:type="dxa"/>
          </w:tcPr>
          <w:p>
            <w:pPr>
              <w:pStyle w:val="IsiTabel"/>
              <w:suppressAutoHyphens/>
              <w:jc w:val="right"/>
            </w:pPr>
            <w:r>
              <w:t xml:space="preserve">195,2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Seluma</w:t>
            </w:r>
          </w:p>
        </w:tc>
        <w:tc>
          <w:tcPr>
            <w:tcW w:w="1206" w:type="dxa"/>
          </w:tcPr>
          <w:p>
            <w:pPr>
              <w:pStyle w:val="IsiTabel"/>
              <w:suppressAutoHyphens/>
              <w:jc w:val="right"/>
            </w:pPr>
            <w:r>
              <w:t xml:space="preserve">215.244</w:t>
            </w:r>
          </w:p>
        </w:tc>
        <w:tc>
          <w:tcPr>
            <w:tcW w:w="654" w:type="dxa"/>
          </w:tcPr>
          <w:p>
            <w:pPr>
              <w:pStyle w:val="IsiTabel"/>
              <w:suppressAutoHyphens/>
              <w:jc w:val="right"/>
            </w:pPr>
            <w:r>
              <w:t xml:space="preserve">156,1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Mukomuko</w:t>
            </w:r>
          </w:p>
        </w:tc>
        <w:tc>
          <w:tcPr>
            <w:tcW w:w="1206" w:type="dxa"/>
          </w:tcPr>
          <w:p>
            <w:pPr>
              <w:pStyle w:val="IsiTabel"/>
              <w:suppressAutoHyphens/>
              <w:jc w:val="right"/>
            </w:pPr>
            <w:r>
              <w:t xml:space="preserve">201.154</w:t>
            </w:r>
          </w:p>
        </w:tc>
        <w:tc>
          <w:tcPr>
            <w:tcW w:w="654" w:type="dxa"/>
          </w:tcPr>
          <w:p>
            <w:pPr>
              <w:pStyle w:val="IsiTabel"/>
              <w:suppressAutoHyphens/>
              <w:jc w:val="right"/>
            </w:pPr>
            <w:r>
              <w:t xml:space="preserve">228,3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Lebong</w:t>
            </w:r>
          </w:p>
        </w:tc>
        <w:tc>
          <w:tcPr>
            <w:tcW w:w="1206" w:type="dxa"/>
          </w:tcPr>
          <w:p>
            <w:pPr>
              <w:pStyle w:val="IsiTabel"/>
              <w:suppressAutoHyphens/>
              <w:jc w:val="right"/>
            </w:pPr>
            <w:r>
              <w:t xml:space="preserve">113.923</w:t>
            </w:r>
          </w:p>
        </w:tc>
        <w:tc>
          <w:tcPr>
            <w:tcW w:w="654" w:type="dxa"/>
          </w:tcPr>
          <w:p>
            <w:pPr>
              <w:pStyle w:val="IsiTabel"/>
              <w:suppressAutoHyphens/>
              <w:jc w:val="right"/>
            </w:pPr>
            <w:r>
              <w:t xml:space="preserve">155,7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Kepahiang</w:t>
            </w:r>
          </w:p>
        </w:tc>
        <w:tc>
          <w:tcPr>
            <w:tcW w:w="1206" w:type="dxa"/>
          </w:tcPr>
          <w:p>
            <w:pPr>
              <w:pStyle w:val="IsiTabel"/>
              <w:suppressAutoHyphens/>
              <w:jc w:val="right"/>
            </w:pPr>
            <w:r>
              <w:t xml:space="preserve">167.490</w:t>
            </w:r>
          </w:p>
        </w:tc>
        <w:tc>
          <w:tcPr>
            <w:tcW w:w="654" w:type="dxa"/>
          </w:tcPr>
          <w:p>
            <w:pPr>
              <w:pStyle w:val="IsiTabel"/>
              <w:suppressAutoHyphens/>
              <w:jc w:val="right"/>
            </w:pPr>
            <w:r>
              <w:t xml:space="preserve">125,7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Bengkulu Tengah</w:t>
            </w:r>
          </w:p>
        </w:tc>
        <w:tc>
          <w:tcPr>
            <w:tcW w:w="1206" w:type="dxa"/>
          </w:tcPr>
          <w:p>
            <w:pPr>
              <w:pStyle w:val="IsiTabel"/>
              <w:suppressAutoHyphens/>
              <w:jc w:val="right"/>
            </w:pPr>
            <w:r>
              <w:t xml:space="preserve">118.796</w:t>
            </w:r>
          </w:p>
        </w:tc>
        <w:tc>
          <w:tcPr>
            <w:tcW w:w="654" w:type="dxa"/>
          </w:tcPr>
          <w:p>
            <w:pPr>
              <w:pStyle w:val="IsiTabel"/>
              <w:suppressAutoHyphens/>
              <w:jc w:val="right"/>
            </w:pPr>
            <w:r>
              <w:t xml:space="preserve">215,1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Bengkulu</w:t>
            </w:r>
          </w:p>
        </w:tc>
        <w:tc>
          <w:tcPr>
            <w:tcW w:w="1206" w:type="dxa"/>
          </w:tcPr>
          <w:p>
            <w:pPr>
              <w:pStyle w:val="IsiTabel"/>
              <w:suppressAutoHyphens/>
              <w:jc w:val="right"/>
            </w:pPr>
            <w:r>
              <w:t xml:space="preserve">401.395</w:t>
            </w:r>
          </w:p>
        </w:tc>
        <w:tc>
          <w:tcPr>
            <w:tcW w:w="654" w:type="dxa"/>
          </w:tcPr>
          <w:p>
            <w:pPr>
              <w:pStyle w:val="IsiTabel"/>
              <w:suppressAutoHyphens/>
              <w:jc w:val="right"/>
            </w:pPr>
            <w:r>
              <w:t xml:space="preserve">202,2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(a, b, c); tsunami (a, b)</w:t>
            </w:r>
          </w:p>
        </w:tc>
      </w:tr>
      <w:tr>
        <w:trPr>
          <w:cantSplit/>
        </w:trPr>
        <w:tc>
          <w:tcPr>
            <w:tcW w:w="9354" w:type="dxa"/>
            <w:gridSpan w:val="5"/>
            <w:shd w:val="clear" w:color="auto" w:fill="E6EAF0"/>
          </w:tcPr>
          <w:p>
            <w:pPr>
              <w:pStyle w:val="IsiTabel"/>
              <w:keepNext/>
              <w:suppressAutoHyphens/>
              <w:ind w:left="0"/>
            </w:pPr>
            <w:r>
              <w:rPr>
                <w:b/>
                <w:bCs/>
              </w:rPr>
              <w:t xml:space="preserve">Lampung</w:t>
            </w:r>
          </w:p>
        </w:tc>
      </w:tr>
      <w:tr>
        <w:trPr>
          <w:cantSplit/>
        </w:trPr>
        <w:tc>
          <w:tcPr>
            <w:tcW w:w="2408" w:type="dxa"/>
          </w:tcPr>
          <w:p>
            <w:pPr>
              <w:pStyle w:val="IsiTabel"/>
              <w:suppressAutoHyphens/>
              <w:jc w:val="left"/>
            </w:pPr>
            <w:r>
              <w:t xml:space="preserve">Kab. Lampung Selatan</w:t>
            </w:r>
          </w:p>
        </w:tc>
        <w:tc>
          <w:tcPr>
            <w:tcW w:w="1206" w:type="dxa"/>
          </w:tcPr>
          <w:p>
            <w:pPr>
              <w:pStyle w:val="IsiTabel"/>
              <w:suppressAutoHyphens/>
              <w:jc w:val="right"/>
            </w:pPr>
            <w:r>
              <w:t xml:space="preserve">1.178.120</w:t>
            </w:r>
          </w:p>
        </w:tc>
        <w:tc>
          <w:tcPr>
            <w:tcW w:w="654" w:type="dxa"/>
          </w:tcPr>
          <w:p>
            <w:pPr>
              <w:pStyle w:val="IsiTabel"/>
              <w:suppressAutoHyphens/>
              <w:jc w:val="right"/>
            </w:pPr>
            <w:r>
              <w:t xml:space="preserve">205,4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Lampung Tengah</w:t>
            </w:r>
          </w:p>
        </w:tc>
        <w:tc>
          <w:tcPr>
            <w:tcW w:w="1206" w:type="dxa"/>
          </w:tcPr>
          <w:p>
            <w:pPr>
              <w:pStyle w:val="IsiTabel"/>
              <w:suppressAutoHyphens/>
              <w:jc w:val="right"/>
            </w:pPr>
            <w:r>
              <w:t xml:space="preserve">1.539.679</w:t>
            </w:r>
          </w:p>
        </w:tc>
        <w:tc>
          <w:tcPr>
            <w:tcW w:w="654" w:type="dxa"/>
          </w:tcPr>
          <w:p>
            <w:pPr>
              <w:pStyle w:val="IsiTabel"/>
              <w:suppressAutoHyphens/>
              <w:jc w:val="right"/>
            </w:pPr>
            <w:r>
              <w:t xml:space="preserve">115,1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Lampung Utara</w:t>
            </w:r>
          </w:p>
        </w:tc>
        <w:tc>
          <w:tcPr>
            <w:tcW w:w="1206" w:type="dxa"/>
          </w:tcPr>
          <w:p>
            <w:pPr>
              <w:pStyle w:val="IsiTabel"/>
              <w:suppressAutoHyphens/>
              <w:jc w:val="right"/>
            </w:pPr>
            <w:r>
              <w:t xml:space="preserve">678.756</w:t>
            </w:r>
          </w:p>
        </w:tc>
        <w:tc>
          <w:tcPr>
            <w:tcW w:w="654" w:type="dxa"/>
          </w:tcPr>
          <w:p>
            <w:pPr>
              <w:pStyle w:val="IsiTabel"/>
              <w:suppressAutoHyphens/>
              <w:jc w:val="right"/>
            </w:pPr>
            <w:r>
              <w:t xml:space="preserve">162,0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Lampung Barat</w:t>
            </w:r>
          </w:p>
        </w:tc>
        <w:tc>
          <w:tcPr>
            <w:tcW w:w="1206" w:type="dxa"/>
          </w:tcPr>
          <w:p>
            <w:pPr>
              <w:pStyle w:val="IsiTabel"/>
              <w:suppressAutoHyphens/>
              <w:jc w:val="right"/>
            </w:pPr>
            <w:r>
              <w:t xml:space="preserve">296.651</w:t>
            </w:r>
          </w:p>
        </w:tc>
        <w:tc>
          <w:tcPr>
            <w:tcW w:w="654" w:type="dxa"/>
          </w:tcPr>
          <w:p>
            <w:pPr>
              <w:pStyle w:val="IsiTabel"/>
              <w:suppressAutoHyphens/>
              <w:jc w:val="right"/>
            </w:pPr>
            <w:r>
              <w:t xml:space="preserve">132,9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Tulang Bawang</w:t>
            </w:r>
          </w:p>
        </w:tc>
        <w:tc>
          <w:tcPr>
            <w:tcW w:w="1206" w:type="dxa"/>
          </w:tcPr>
          <w:p>
            <w:pPr>
              <w:pStyle w:val="IsiTabel"/>
              <w:suppressAutoHyphens/>
              <w:jc w:val="right"/>
            </w:pPr>
            <w:r>
              <w:t xml:space="preserve">453.426</w:t>
            </w:r>
          </w:p>
        </w:tc>
        <w:tc>
          <w:tcPr>
            <w:tcW w:w="654" w:type="dxa"/>
          </w:tcPr>
          <w:p>
            <w:pPr>
              <w:pStyle w:val="IsiTabel"/>
              <w:suppressAutoHyphens/>
              <w:jc w:val="right"/>
            </w:pPr>
            <w:r>
              <w:t xml:space="preserve">90,0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Tanggamus</w:t>
            </w:r>
          </w:p>
        </w:tc>
        <w:tc>
          <w:tcPr>
            <w:tcW w:w="1206" w:type="dxa"/>
          </w:tcPr>
          <w:p>
            <w:pPr>
              <w:pStyle w:val="IsiTabel"/>
              <w:suppressAutoHyphens/>
              <w:jc w:val="right"/>
            </w:pPr>
            <w:r>
              <w:t xml:space="preserve">688.392</w:t>
            </w:r>
          </w:p>
        </w:tc>
        <w:tc>
          <w:tcPr>
            <w:tcW w:w="654" w:type="dxa"/>
          </w:tcPr>
          <w:p>
            <w:pPr>
              <w:pStyle w:val="IsiTabel"/>
              <w:suppressAutoHyphens/>
              <w:jc w:val="right"/>
            </w:pPr>
            <w:r>
              <w:t xml:space="preserve">126,2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Lampung Timur</w:t>
            </w:r>
          </w:p>
        </w:tc>
        <w:tc>
          <w:tcPr>
            <w:tcW w:w="1206" w:type="dxa"/>
          </w:tcPr>
          <w:p>
            <w:pPr>
              <w:pStyle w:val="IsiTabel"/>
              <w:suppressAutoHyphens/>
              <w:jc w:val="right"/>
            </w:pPr>
            <w:r>
              <w:t xml:space="preserve">1.152.456</w:t>
            </w:r>
          </w:p>
        </w:tc>
        <w:tc>
          <w:tcPr>
            <w:tcW w:w="654" w:type="dxa"/>
          </w:tcPr>
          <w:p>
            <w:pPr>
              <w:pStyle w:val="IsiTabel"/>
              <w:suppressAutoHyphens/>
              <w:jc w:val="right"/>
            </w:pPr>
            <w:r>
              <w:t xml:space="preserve">106,1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Kab. Way Kanan</w:t>
            </w:r>
          </w:p>
        </w:tc>
        <w:tc>
          <w:tcPr>
            <w:tcW w:w="1206" w:type="dxa"/>
          </w:tcPr>
          <w:p>
            <w:pPr>
              <w:pStyle w:val="IsiTabel"/>
              <w:suppressAutoHyphens/>
              <w:jc w:val="right"/>
            </w:pPr>
            <w:r>
              <w:t xml:space="preserve">503.240</w:t>
            </w:r>
          </w:p>
        </w:tc>
        <w:tc>
          <w:tcPr>
            <w:tcW w:w="654" w:type="dxa"/>
          </w:tcPr>
          <w:p>
            <w:pPr>
              <w:pStyle w:val="IsiTabel"/>
              <w:suppressAutoHyphens/>
              <w:jc w:val="right"/>
            </w:pPr>
            <w:r>
              <w:t xml:space="preserve">103,5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Pesawaran</w:t>
            </w:r>
          </w:p>
        </w:tc>
        <w:tc>
          <w:tcPr>
            <w:tcW w:w="1206" w:type="dxa"/>
          </w:tcPr>
          <w:p>
            <w:pPr>
              <w:pStyle w:val="IsiTabel"/>
              <w:suppressAutoHyphens/>
              <w:jc w:val="right"/>
            </w:pPr>
            <w:r>
              <w:t xml:space="preserve">519.889</w:t>
            </w:r>
          </w:p>
        </w:tc>
        <w:tc>
          <w:tcPr>
            <w:tcW w:w="654" w:type="dxa"/>
          </w:tcPr>
          <w:p>
            <w:pPr>
              <w:pStyle w:val="IsiTabel"/>
              <w:suppressAutoHyphens/>
              <w:jc w:val="right"/>
            </w:pPr>
            <w:r>
              <w:t xml:space="preserve">176,8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Pringsewu</w:t>
            </w:r>
          </w:p>
        </w:tc>
        <w:tc>
          <w:tcPr>
            <w:tcW w:w="1206" w:type="dxa"/>
          </w:tcPr>
          <w:p>
            <w:pPr>
              <w:pStyle w:val="IsiTabel"/>
              <w:suppressAutoHyphens/>
              <w:jc w:val="right"/>
            </w:pPr>
            <w:r>
              <w:t xml:space="preserve">420.261</w:t>
            </w:r>
          </w:p>
        </w:tc>
        <w:tc>
          <w:tcPr>
            <w:tcW w:w="654" w:type="dxa"/>
          </w:tcPr>
          <w:p>
            <w:pPr>
              <w:pStyle w:val="IsiTabel"/>
              <w:suppressAutoHyphens/>
              <w:jc w:val="right"/>
            </w:pPr>
            <w:r>
              <w:t xml:space="preserve">135,1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Kab. Mesuji</w:t>
            </w:r>
          </w:p>
        </w:tc>
        <w:tc>
          <w:tcPr>
            <w:tcW w:w="1206" w:type="dxa"/>
          </w:tcPr>
          <w:p>
            <w:pPr>
              <w:pStyle w:val="IsiTabel"/>
              <w:suppressAutoHyphens/>
              <w:jc w:val="right"/>
            </w:pPr>
            <w:r>
              <w:t xml:space="preserve">244.487</w:t>
            </w:r>
          </w:p>
        </w:tc>
        <w:tc>
          <w:tcPr>
            <w:tcW w:w="654" w:type="dxa"/>
          </w:tcPr>
          <w:p>
            <w:pPr>
              <w:pStyle w:val="IsiTabel"/>
              <w:suppressAutoHyphens/>
              <w:jc w:val="right"/>
            </w:pPr>
            <w:r>
              <w:t xml:space="preserve">75,6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Tulang Bawang Barat</w:t>
            </w:r>
          </w:p>
        </w:tc>
        <w:tc>
          <w:tcPr>
            <w:tcW w:w="1206" w:type="dxa"/>
          </w:tcPr>
          <w:p>
            <w:pPr>
              <w:pStyle w:val="IsiTabel"/>
              <w:suppressAutoHyphens/>
              <w:jc w:val="right"/>
            </w:pPr>
            <w:r>
              <w:t xml:space="preserve">304.002</w:t>
            </w:r>
          </w:p>
        </w:tc>
        <w:tc>
          <w:tcPr>
            <w:tcW w:w="654" w:type="dxa"/>
          </w:tcPr>
          <w:p>
            <w:pPr>
              <w:pStyle w:val="IsiTabel"/>
              <w:suppressAutoHyphens/>
              <w:jc w:val="right"/>
            </w:pPr>
            <w:r>
              <w:t xml:space="preserve">85,2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Pesisir Barat</w:t>
            </w:r>
          </w:p>
        </w:tc>
        <w:tc>
          <w:tcPr>
            <w:tcW w:w="1206" w:type="dxa"/>
          </w:tcPr>
          <w:p>
            <w:pPr>
              <w:pStyle w:val="IsiTabel"/>
              <w:suppressAutoHyphens/>
              <w:jc w:val="right"/>
            </w:pPr>
            <w:r>
              <w:t xml:space="preserve">174.946</w:t>
            </w:r>
          </w:p>
        </w:tc>
        <w:tc>
          <w:tcPr>
            <w:tcW w:w="654" w:type="dxa"/>
          </w:tcPr>
          <w:p>
            <w:pPr>
              <w:pStyle w:val="IsiTabel"/>
              <w:suppressAutoHyphens/>
              <w:jc w:val="right"/>
            </w:pPr>
            <w:r>
              <w:t xml:space="preserve">199,5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 cuaca ekstrem (a, b); gelombang ekstrem dan abrasi (a, b); tsunami (a, b)</w:t>
            </w:r>
          </w:p>
        </w:tc>
      </w:tr>
      <w:tr>
        <w:trPr>
          <w:cantSplit/>
        </w:trPr>
        <w:tc>
          <w:tcPr>
            <w:tcW w:w="2408" w:type="dxa"/>
          </w:tcPr>
          <w:p>
            <w:pPr>
              <w:pStyle w:val="IsiTabel"/>
              <w:suppressAutoHyphens/>
              <w:jc w:val="left"/>
            </w:pPr>
            <w:r>
              <w:t xml:space="preserve">Kota Bandar Lampung</w:t>
            </w:r>
          </w:p>
        </w:tc>
        <w:tc>
          <w:tcPr>
            <w:tcW w:w="1206" w:type="dxa"/>
          </w:tcPr>
          <w:p>
            <w:pPr>
              <w:pStyle w:val="IsiTabel"/>
              <w:suppressAutoHyphens/>
              <w:jc w:val="right"/>
            </w:pPr>
            <w:r>
              <w:t xml:space="preserve">1.199.897</w:t>
            </w:r>
          </w:p>
        </w:tc>
        <w:tc>
          <w:tcPr>
            <w:tcW w:w="654" w:type="dxa"/>
          </w:tcPr>
          <w:p>
            <w:pPr>
              <w:pStyle w:val="IsiTabel"/>
              <w:suppressAutoHyphens/>
              <w:jc w:val="right"/>
            </w:pPr>
            <w:r>
              <w:t xml:space="preserve">116,0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Metro</w:t>
            </w:r>
          </w:p>
        </w:tc>
        <w:tc>
          <w:tcPr>
            <w:tcW w:w="1206" w:type="dxa"/>
          </w:tcPr>
          <w:p>
            <w:pPr>
              <w:pStyle w:val="IsiTabel"/>
              <w:suppressAutoHyphens/>
              <w:jc w:val="right"/>
            </w:pPr>
            <w:r>
              <w:t xml:space="preserve">205.342</w:t>
            </w:r>
          </w:p>
        </w:tc>
        <w:tc>
          <w:tcPr>
            <w:tcW w:w="654" w:type="dxa"/>
          </w:tcPr>
          <w:p>
            <w:pPr>
              <w:pStyle w:val="IsiTabel"/>
              <w:suppressAutoHyphens/>
              <w:jc w:val="right"/>
            </w:pPr>
            <w:r>
              <w:t xml:space="preserve">39,4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Kep. Bangka Belitung</w:t>
            </w:r>
          </w:p>
        </w:tc>
      </w:tr>
      <w:tr>
        <w:trPr>
          <w:cantSplit/>
        </w:trPr>
        <w:tc>
          <w:tcPr>
            <w:tcW w:w="2408" w:type="dxa"/>
          </w:tcPr>
          <w:p>
            <w:pPr>
              <w:pStyle w:val="IsiTabel"/>
              <w:suppressAutoHyphens/>
              <w:jc w:val="left"/>
            </w:pPr>
            <w:r>
              <w:t xml:space="preserve">Kab. Bangka</w:t>
            </w:r>
          </w:p>
        </w:tc>
        <w:tc>
          <w:tcPr>
            <w:tcW w:w="1206" w:type="dxa"/>
          </w:tcPr>
          <w:p>
            <w:pPr>
              <w:pStyle w:val="IsiTabel"/>
              <w:suppressAutoHyphens/>
              <w:jc w:val="right"/>
            </w:pPr>
            <w:r>
              <w:t xml:space="preserve">348.459</w:t>
            </w:r>
          </w:p>
        </w:tc>
        <w:tc>
          <w:tcPr>
            <w:tcW w:w="654" w:type="dxa"/>
          </w:tcPr>
          <w:p>
            <w:pPr>
              <w:pStyle w:val="IsiTabel"/>
              <w:suppressAutoHyphens/>
              <w:jc w:val="right"/>
            </w:pPr>
            <w:r>
              <w:t xml:space="preserve">100,0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Belitung</w:t>
            </w:r>
          </w:p>
        </w:tc>
        <w:tc>
          <w:tcPr>
            <w:tcW w:w="1206" w:type="dxa"/>
          </w:tcPr>
          <w:p>
            <w:pPr>
              <w:pStyle w:val="IsiTabel"/>
              <w:suppressAutoHyphens/>
              <w:jc w:val="right"/>
            </w:pPr>
            <w:r>
              <w:t xml:space="preserve">192.339</w:t>
            </w:r>
          </w:p>
        </w:tc>
        <w:tc>
          <w:tcPr>
            <w:tcW w:w="654" w:type="dxa"/>
          </w:tcPr>
          <w:p>
            <w:pPr>
              <w:pStyle w:val="IsiTabel"/>
              <w:suppressAutoHyphens/>
              <w:jc w:val="right"/>
            </w:pPr>
            <w:r>
              <w:t xml:space="preserve">99,0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Bangka Selatan</w:t>
            </w:r>
          </w:p>
        </w:tc>
        <w:tc>
          <w:tcPr>
            <w:tcW w:w="1206" w:type="dxa"/>
          </w:tcPr>
          <w:p>
            <w:pPr>
              <w:pStyle w:val="IsiTabel"/>
              <w:suppressAutoHyphens/>
              <w:jc w:val="right"/>
            </w:pPr>
            <w:r>
              <w:t xml:space="preserve">209.786</w:t>
            </w:r>
          </w:p>
        </w:tc>
        <w:tc>
          <w:tcPr>
            <w:tcW w:w="654" w:type="dxa"/>
          </w:tcPr>
          <w:p>
            <w:pPr>
              <w:pStyle w:val="IsiTabel"/>
              <w:suppressAutoHyphens/>
              <w:jc w:val="right"/>
            </w:pPr>
            <w:r>
              <w:t xml:space="preserve">159,5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Bangka Tengah</w:t>
            </w:r>
          </w:p>
        </w:tc>
        <w:tc>
          <w:tcPr>
            <w:tcW w:w="1206" w:type="dxa"/>
          </w:tcPr>
          <w:p>
            <w:pPr>
              <w:pStyle w:val="IsiTabel"/>
              <w:suppressAutoHyphens/>
              <w:jc w:val="right"/>
            </w:pPr>
            <w:r>
              <w:t xml:space="preserve">218.132</w:t>
            </w:r>
          </w:p>
        </w:tc>
        <w:tc>
          <w:tcPr>
            <w:tcW w:w="654" w:type="dxa"/>
          </w:tcPr>
          <w:p>
            <w:pPr>
              <w:pStyle w:val="IsiTabel"/>
              <w:suppressAutoHyphens/>
              <w:jc w:val="right"/>
            </w:pPr>
            <w:r>
              <w:t xml:space="preserve">140,1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(a, b); karhutla (a, b)</w:t>
            </w:r>
          </w:p>
        </w:tc>
      </w:tr>
      <w:tr>
        <w:trPr>
          <w:cantSplit/>
        </w:trPr>
        <w:tc>
          <w:tcPr>
            <w:tcW w:w="2408" w:type="dxa"/>
          </w:tcPr>
          <w:p>
            <w:pPr>
              <w:pStyle w:val="IsiTabel"/>
              <w:suppressAutoHyphens/>
              <w:jc w:val="left"/>
            </w:pPr>
            <w:r>
              <w:t xml:space="preserve">Kab. Bangka Barat</w:t>
            </w:r>
          </w:p>
        </w:tc>
        <w:tc>
          <w:tcPr>
            <w:tcW w:w="1206" w:type="dxa"/>
          </w:tcPr>
          <w:p>
            <w:pPr>
              <w:pStyle w:val="IsiTabel"/>
              <w:suppressAutoHyphens/>
              <w:jc w:val="right"/>
            </w:pPr>
            <w:r>
              <w:t xml:space="preserve">217.119</w:t>
            </w:r>
          </w:p>
        </w:tc>
        <w:tc>
          <w:tcPr>
            <w:tcW w:w="654" w:type="dxa"/>
          </w:tcPr>
          <w:p>
            <w:pPr>
              <w:pStyle w:val="IsiTabel"/>
              <w:suppressAutoHyphens/>
              <w:jc w:val="right"/>
            </w:pPr>
            <w:r>
              <w:t xml:space="preserve">96,7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Belitung Timur</w:t>
            </w:r>
          </w:p>
        </w:tc>
        <w:tc>
          <w:tcPr>
            <w:tcW w:w="1206" w:type="dxa"/>
          </w:tcPr>
          <w:p>
            <w:pPr>
              <w:pStyle w:val="IsiTabel"/>
              <w:suppressAutoHyphens/>
              <w:jc w:val="right"/>
            </w:pPr>
            <w:r>
              <w:t xml:space="preserve">134.592</w:t>
            </w:r>
          </w:p>
        </w:tc>
        <w:tc>
          <w:tcPr>
            <w:tcW w:w="654" w:type="dxa"/>
          </w:tcPr>
          <w:p>
            <w:pPr>
              <w:pStyle w:val="IsiTabel"/>
              <w:suppressAutoHyphens/>
              <w:jc w:val="right"/>
            </w:pPr>
            <w:r>
              <w:t xml:space="preserve">112,4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karhutla (b, c)</w:t>
            </w:r>
          </w:p>
        </w:tc>
      </w:tr>
      <w:tr>
        <w:trPr>
          <w:cantSplit/>
        </w:trPr>
        <w:tc>
          <w:tcPr>
            <w:tcW w:w="2408" w:type="dxa"/>
          </w:tcPr>
          <w:p>
            <w:pPr>
              <w:pStyle w:val="IsiTabel"/>
              <w:suppressAutoHyphens/>
              <w:jc w:val="left"/>
            </w:pPr>
            <w:r>
              <w:t xml:space="preserve">Kota Pangkal Pinang</w:t>
            </w:r>
          </w:p>
        </w:tc>
        <w:tc>
          <w:tcPr>
            <w:tcW w:w="1206" w:type="dxa"/>
          </w:tcPr>
          <w:p>
            <w:pPr>
              <w:pStyle w:val="IsiTabel"/>
              <w:suppressAutoHyphens/>
              <w:jc w:val="right"/>
            </w:pPr>
            <w:r>
              <w:t xml:space="preserve">221.190</w:t>
            </w:r>
          </w:p>
        </w:tc>
        <w:tc>
          <w:tcPr>
            <w:tcW w:w="654" w:type="dxa"/>
          </w:tcPr>
          <w:p>
            <w:pPr>
              <w:pStyle w:val="IsiTabel"/>
              <w:suppressAutoHyphens/>
              <w:jc w:val="right"/>
            </w:pPr>
            <w:r>
              <w:t xml:space="preserve">84,3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9354" w:type="dxa"/>
            <w:gridSpan w:val="5"/>
            <w:shd w:val="clear" w:color="auto" w:fill="E6EAF0"/>
          </w:tcPr>
          <w:p>
            <w:pPr>
              <w:pStyle w:val="IsiTabel"/>
              <w:keepNext/>
              <w:suppressAutoHyphens/>
              <w:ind w:left="0"/>
            </w:pPr>
            <w:r>
              <w:rPr>
                <w:b/>
                <w:bCs/>
              </w:rPr>
              <w:t xml:space="preserve">Kepulauan Riau</w:t>
            </w:r>
          </w:p>
        </w:tc>
      </w:tr>
      <w:tr>
        <w:trPr>
          <w:cantSplit/>
        </w:trPr>
        <w:tc>
          <w:tcPr>
            <w:tcW w:w="2408" w:type="dxa"/>
          </w:tcPr>
          <w:p>
            <w:pPr>
              <w:pStyle w:val="IsiTabel"/>
              <w:suppressAutoHyphens/>
              <w:jc w:val="left"/>
            </w:pPr>
            <w:r>
              <w:t xml:space="preserve">Kab. Bintan</w:t>
            </w:r>
          </w:p>
        </w:tc>
        <w:tc>
          <w:tcPr>
            <w:tcW w:w="1206" w:type="dxa"/>
          </w:tcPr>
          <w:p>
            <w:pPr>
              <w:pStyle w:val="IsiTabel"/>
              <w:suppressAutoHyphens/>
              <w:jc w:val="right"/>
            </w:pPr>
            <w:r>
              <w:t xml:space="preserve">165.515</w:t>
            </w:r>
          </w:p>
        </w:tc>
        <w:tc>
          <w:tcPr>
            <w:tcW w:w="654" w:type="dxa"/>
          </w:tcPr>
          <w:p>
            <w:pPr>
              <w:pStyle w:val="IsiTabel"/>
              <w:suppressAutoHyphens/>
              <w:jc w:val="right"/>
            </w:pPr>
            <w:r>
              <w:t xml:space="preserve">117,2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gelombang ekstrem dan abrasi (b, c)</w:t>
            </w:r>
          </w:p>
        </w:tc>
      </w:tr>
      <w:tr>
        <w:trPr>
          <w:cantSplit/>
        </w:trPr>
        <w:tc>
          <w:tcPr>
            <w:tcW w:w="2408" w:type="dxa"/>
          </w:tcPr>
          <w:p>
            <w:pPr>
              <w:pStyle w:val="IsiTabel"/>
              <w:suppressAutoHyphens/>
              <w:jc w:val="left"/>
            </w:pPr>
            <w:r>
              <w:t xml:space="preserve">Kab. Karimun</w:t>
            </w:r>
          </w:p>
        </w:tc>
        <w:tc>
          <w:tcPr>
            <w:tcW w:w="1206" w:type="dxa"/>
          </w:tcPr>
          <w:p>
            <w:pPr>
              <w:pStyle w:val="IsiTabel"/>
              <w:suppressAutoHyphens/>
              <w:jc w:val="right"/>
            </w:pPr>
            <w:r>
              <w:t xml:space="preserve">268.236</w:t>
            </w:r>
          </w:p>
        </w:tc>
        <w:tc>
          <w:tcPr>
            <w:tcW w:w="654" w:type="dxa"/>
          </w:tcPr>
          <w:p>
            <w:pPr>
              <w:pStyle w:val="IsiTabel"/>
              <w:suppressAutoHyphens/>
              <w:jc w:val="right"/>
            </w:pPr>
            <w:r>
              <w:t xml:space="preserve">153,2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2408" w:type="dxa"/>
          </w:tcPr>
          <w:p>
            <w:pPr>
              <w:pStyle w:val="IsiTabel"/>
              <w:suppressAutoHyphens/>
              <w:jc w:val="left"/>
            </w:pPr>
            <w:r>
              <w:t xml:space="preserve">Kab. Natuna</w:t>
            </w:r>
          </w:p>
        </w:tc>
        <w:tc>
          <w:tcPr>
            <w:tcW w:w="1206" w:type="dxa"/>
          </w:tcPr>
          <w:p>
            <w:pPr>
              <w:pStyle w:val="IsiTabel"/>
              <w:suppressAutoHyphens/>
              <w:jc w:val="right"/>
            </w:pPr>
            <w:r>
              <w:t xml:space="preserve">85.821</w:t>
            </w:r>
          </w:p>
        </w:tc>
        <w:tc>
          <w:tcPr>
            <w:tcW w:w="654" w:type="dxa"/>
          </w:tcPr>
          <w:p>
            <w:pPr>
              <w:pStyle w:val="IsiTabel"/>
              <w:suppressAutoHyphens/>
              <w:jc w:val="right"/>
            </w:pPr>
            <w:r>
              <w:t xml:space="preserve">140,3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Lingga</w:t>
            </w:r>
          </w:p>
        </w:tc>
        <w:tc>
          <w:tcPr>
            <w:tcW w:w="1206" w:type="dxa"/>
          </w:tcPr>
          <w:p>
            <w:pPr>
              <w:pStyle w:val="IsiTabel"/>
              <w:suppressAutoHyphens/>
              <w:jc w:val="right"/>
            </w:pPr>
            <w:r>
              <w:t xml:space="preserve">102.971</w:t>
            </w:r>
          </w:p>
        </w:tc>
        <w:tc>
          <w:tcPr>
            <w:tcW w:w="654" w:type="dxa"/>
          </w:tcPr>
          <w:p>
            <w:pPr>
              <w:pStyle w:val="IsiTabel"/>
              <w:suppressAutoHyphens/>
              <w:jc w:val="right"/>
            </w:pPr>
            <w:r>
              <w:t xml:space="preserve">138,3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gelombang ekstrem dan abrasi (a, b, c)</w:t>
            </w:r>
          </w:p>
        </w:tc>
      </w:tr>
      <w:tr>
        <w:trPr>
          <w:cantSplit/>
        </w:trPr>
        <w:tc>
          <w:tcPr>
            <w:tcW w:w="2408" w:type="dxa"/>
          </w:tcPr>
          <w:p>
            <w:pPr>
              <w:pStyle w:val="IsiTabel"/>
              <w:suppressAutoHyphens/>
              <w:jc w:val="left"/>
            </w:pPr>
            <w:r>
              <w:t xml:space="preserve">Kab. Kepulauan Anambas</w:t>
            </w:r>
          </w:p>
        </w:tc>
        <w:tc>
          <w:tcPr>
            <w:tcW w:w="1206" w:type="dxa"/>
          </w:tcPr>
          <w:p>
            <w:pPr>
              <w:pStyle w:val="IsiTabel"/>
              <w:suppressAutoHyphens/>
              <w:jc w:val="right"/>
            </w:pPr>
            <w:r>
              <w:t xml:space="preserve">49.816</w:t>
            </w:r>
          </w:p>
        </w:tc>
        <w:tc>
          <w:tcPr>
            <w:tcW w:w="654" w:type="dxa"/>
          </w:tcPr>
          <w:p>
            <w:pPr>
              <w:pStyle w:val="IsiTabel"/>
              <w:suppressAutoHyphens/>
              <w:jc w:val="right"/>
            </w:pPr>
            <w:r>
              <w:t xml:space="preserve">114,8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Batam</w:t>
            </w:r>
          </w:p>
        </w:tc>
        <w:tc>
          <w:tcPr>
            <w:tcW w:w="1206" w:type="dxa"/>
          </w:tcPr>
          <w:p>
            <w:pPr>
              <w:pStyle w:val="IsiTabel"/>
              <w:suppressAutoHyphens/>
              <w:jc w:val="right"/>
            </w:pPr>
            <w:r>
              <w:t xml:space="preserve">1.256.320</w:t>
            </w:r>
          </w:p>
        </w:tc>
        <w:tc>
          <w:tcPr>
            <w:tcW w:w="654" w:type="dxa"/>
          </w:tcPr>
          <w:p>
            <w:pPr>
              <w:pStyle w:val="IsiTabel"/>
              <w:suppressAutoHyphens/>
              <w:jc w:val="right"/>
            </w:pPr>
            <w:r>
              <w:t xml:space="preserve">147,2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Tanjung Pinang</w:t>
            </w:r>
          </w:p>
        </w:tc>
        <w:tc>
          <w:tcPr>
            <w:tcW w:w="1206" w:type="dxa"/>
          </w:tcPr>
          <w:p>
            <w:pPr>
              <w:pStyle w:val="IsiTabel"/>
              <w:suppressAutoHyphens/>
              <w:jc w:val="right"/>
            </w:pPr>
            <w:r>
              <w:t xml:space="preserve">244.501</w:t>
            </w:r>
          </w:p>
        </w:tc>
        <w:tc>
          <w:tcPr>
            <w:tcW w:w="654" w:type="dxa"/>
          </w:tcPr>
          <w:p>
            <w:pPr>
              <w:pStyle w:val="IsiTabel"/>
              <w:suppressAutoHyphens/>
              <w:jc w:val="right"/>
            </w:pPr>
            <w:r>
              <w:t xml:space="preserve">117,7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 karhutla (a, b)</w:t>
            </w:r>
          </w:p>
        </w:tc>
      </w:tr>
      <w:tr>
        <w:trPr>
          <w:cantSplit/>
        </w:trPr>
        <w:tc>
          <w:tcPr>
            <w:tcW w:w="9354" w:type="dxa"/>
            <w:gridSpan w:val="5"/>
            <w:shd w:val="clear" w:color="auto" w:fill="E6EAF0"/>
          </w:tcPr>
          <w:p>
            <w:pPr>
              <w:pStyle w:val="IsiTabel"/>
              <w:keepNext/>
              <w:suppressAutoHyphens/>
              <w:ind w:left="0"/>
            </w:pPr>
            <w:r>
              <w:rPr>
                <w:b/>
                <w:bCs/>
              </w:rPr>
              <w:t xml:space="preserve">DKI Jakarta</w:t>
            </w:r>
          </w:p>
        </w:tc>
      </w:tr>
      <w:tr>
        <w:trPr>
          <w:cantSplit/>
        </w:trPr>
        <w:tc>
          <w:tcPr>
            <w:tcW w:w="2408" w:type="dxa"/>
          </w:tcPr>
          <w:p>
            <w:pPr>
              <w:pStyle w:val="IsiTabel"/>
              <w:suppressAutoHyphens/>
              <w:jc w:val="left"/>
            </w:pPr>
            <w:r>
              <w:t xml:space="preserve">Kab. Administrasi Kepulauan Seribu</w:t>
            </w:r>
          </w:p>
        </w:tc>
        <w:tc>
          <w:tcPr>
            <w:tcW w:w="1206" w:type="dxa"/>
          </w:tcPr>
          <w:p>
            <w:pPr>
              <w:pStyle w:val="IsiTabel"/>
              <w:suppressAutoHyphens/>
              <w:jc w:val="right"/>
            </w:pPr>
            <w:r>
              <w:t xml:space="preserve">5.689</w:t>
            </w:r>
          </w:p>
        </w:tc>
        <w:tc>
          <w:tcPr>
            <w:tcW w:w="654" w:type="dxa"/>
          </w:tcPr>
          <w:p>
            <w:pPr>
              <w:pStyle w:val="IsiTabel"/>
              <w:suppressAutoHyphens/>
              <w:jc w:val="right"/>
            </w:pPr>
            <w:r>
              <w:t xml:space="preserve">40,8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Administrasi Jakarta Pusat</w:t>
            </w:r>
          </w:p>
        </w:tc>
        <w:tc>
          <w:tcPr>
            <w:tcW w:w="1206" w:type="dxa"/>
          </w:tcPr>
          <w:p>
            <w:pPr>
              <w:pStyle w:val="IsiTabel"/>
              <w:suppressAutoHyphens/>
              <w:jc w:val="right"/>
            </w:pPr>
            <w:r>
              <w:t xml:space="preserve">1.039.730</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Administrasi Jakarta Utara</w:t>
            </w:r>
          </w:p>
        </w:tc>
        <w:tc>
          <w:tcPr>
            <w:tcW w:w="1206" w:type="dxa"/>
          </w:tcPr>
          <w:p>
            <w:pPr>
              <w:pStyle w:val="IsiTabel"/>
              <w:suppressAutoHyphens/>
              <w:jc w:val="right"/>
            </w:pPr>
            <w:r>
              <w:t xml:space="preserve">2.057.774</w:t>
            </w:r>
          </w:p>
        </w:tc>
        <w:tc>
          <w:tcPr>
            <w:tcW w:w="654" w:type="dxa"/>
          </w:tcPr>
          <w:p>
            <w:pPr>
              <w:pStyle w:val="IsiTabel"/>
              <w:suppressAutoHyphens/>
              <w:jc w:val="right"/>
            </w:pPr>
            <w:r>
              <w:t xml:space="preserve">85,3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Administrasi Jakarta Barat</w:t>
            </w:r>
          </w:p>
        </w:tc>
        <w:tc>
          <w:tcPr>
            <w:tcW w:w="1206" w:type="dxa"/>
          </w:tcPr>
          <w:p>
            <w:pPr>
              <w:pStyle w:val="IsiTabel"/>
              <w:suppressAutoHyphens/>
              <w:jc w:val="right"/>
            </w:pPr>
            <w:r>
              <w:t xml:space="preserve">2.494.927</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Administrasi Jakarta Selatan</w:t>
            </w:r>
          </w:p>
        </w:tc>
        <w:tc>
          <w:tcPr>
            <w:tcW w:w="1206" w:type="dxa"/>
          </w:tcPr>
          <w:p>
            <w:pPr>
              <w:pStyle w:val="IsiTabel"/>
              <w:suppressAutoHyphens/>
              <w:jc w:val="right"/>
            </w:pPr>
            <w:r>
              <w:t xml:space="preserve">2.345.448</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Administrasi Jakarta Timur</w:t>
            </w:r>
          </w:p>
        </w:tc>
        <w:tc>
          <w:tcPr>
            <w:tcW w:w="1206" w:type="dxa"/>
          </w:tcPr>
          <w:p>
            <w:pPr>
              <w:pStyle w:val="IsiTabel"/>
              <w:suppressAutoHyphens/>
              <w:jc w:val="right"/>
            </w:pPr>
            <w:r>
              <w:t xml:space="preserve">3.203.632</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9354" w:type="dxa"/>
            <w:gridSpan w:val="5"/>
            <w:shd w:val="clear" w:color="auto" w:fill="E6EAF0"/>
          </w:tcPr>
          <w:p>
            <w:pPr>
              <w:pStyle w:val="IsiTabel"/>
              <w:keepNext/>
              <w:suppressAutoHyphens/>
              <w:ind w:left="0"/>
            </w:pPr>
            <w:r>
              <w:rPr>
                <w:b/>
                <w:bCs/>
              </w:rPr>
              <w:t xml:space="preserve">Jawa Barat</w:t>
            </w:r>
          </w:p>
        </w:tc>
      </w:tr>
      <w:tr>
        <w:trPr>
          <w:cantSplit/>
        </w:trPr>
        <w:tc>
          <w:tcPr>
            <w:tcW w:w="2408" w:type="dxa"/>
          </w:tcPr>
          <w:p>
            <w:pPr>
              <w:pStyle w:val="IsiTabel"/>
              <w:suppressAutoHyphens/>
              <w:jc w:val="left"/>
            </w:pPr>
            <w:r>
              <w:t xml:space="preserve">Kab. Bogor</w:t>
            </w:r>
          </w:p>
        </w:tc>
        <w:tc>
          <w:tcPr>
            <w:tcW w:w="1206" w:type="dxa"/>
          </w:tcPr>
          <w:p>
            <w:pPr>
              <w:pStyle w:val="IsiTabel"/>
              <w:suppressAutoHyphens/>
              <w:jc w:val="right"/>
            </w:pPr>
            <w:r>
              <w:t xml:space="preserve">5.964.481</w:t>
            </w:r>
          </w:p>
        </w:tc>
        <w:tc>
          <w:tcPr>
            <w:tcW w:w="654" w:type="dxa"/>
          </w:tcPr>
          <w:p>
            <w:pPr>
              <w:pStyle w:val="IsiTabel"/>
              <w:suppressAutoHyphens/>
              <w:jc w:val="right"/>
            </w:pPr>
            <w:r>
              <w:t xml:space="preserve">122,6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Sukabumi</w:t>
            </w:r>
          </w:p>
        </w:tc>
        <w:tc>
          <w:tcPr>
            <w:tcW w:w="1206" w:type="dxa"/>
          </w:tcPr>
          <w:p>
            <w:pPr>
              <w:pStyle w:val="IsiTabel"/>
              <w:suppressAutoHyphens/>
              <w:jc w:val="right"/>
            </w:pPr>
            <w:r>
              <w:t xml:space="preserve">2.930.871</w:t>
            </w:r>
          </w:p>
        </w:tc>
        <w:tc>
          <w:tcPr>
            <w:tcW w:w="654" w:type="dxa"/>
          </w:tcPr>
          <w:p>
            <w:pPr>
              <w:pStyle w:val="IsiTabel"/>
              <w:suppressAutoHyphens/>
              <w:jc w:val="right"/>
            </w:pPr>
            <w:r>
              <w:t xml:space="preserve">198,9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kekeringan (a, b); cuaca ekstrem (b, c); gelombang ekstrem dan abrasi (b, c); gempa bumi (a, c)</w:t>
            </w:r>
          </w:p>
        </w:tc>
      </w:tr>
      <w:tr>
        <w:trPr>
          <w:cantSplit/>
        </w:trPr>
        <w:tc>
          <w:tcPr>
            <w:tcW w:w="2408" w:type="dxa"/>
          </w:tcPr>
          <w:p>
            <w:pPr>
              <w:pStyle w:val="IsiTabel"/>
              <w:suppressAutoHyphens/>
              <w:jc w:val="left"/>
            </w:pPr>
            <w:r>
              <w:t xml:space="preserve">Kab. Cianjur</w:t>
            </w:r>
          </w:p>
        </w:tc>
        <w:tc>
          <w:tcPr>
            <w:tcW w:w="1206" w:type="dxa"/>
          </w:tcPr>
          <w:p>
            <w:pPr>
              <w:pStyle w:val="IsiTabel"/>
              <w:suppressAutoHyphens/>
              <w:jc w:val="right"/>
            </w:pPr>
            <w:r>
              <w:t xml:space="preserve">2.630.626</w:t>
            </w:r>
          </w:p>
        </w:tc>
        <w:tc>
          <w:tcPr>
            <w:tcW w:w="654" w:type="dxa"/>
          </w:tcPr>
          <w:p>
            <w:pPr>
              <w:pStyle w:val="IsiTabel"/>
              <w:suppressAutoHyphens/>
              <w:jc w:val="right"/>
            </w:pPr>
            <w:r>
              <w:t xml:space="preserve">136,3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Bandung</w:t>
            </w:r>
          </w:p>
        </w:tc>
        <w:tc>
          <w:tcPr>
            <w:tcW w:w="1206" w:type="dxa"/>
          </w:tcPr>
          <w:p>
            <w:pPr>
              <w:pStyle w:val="IsiTabel"/>
              <w:suppressAutoHyphens/>
              <w:jc w:val="right"/>
            </w:pPr>
            <w:r>
              <w:t xml:space="preserve">3.755.528</w:t>
            </w:r>
          </w:p>
        </w:tc>
        <w:tc>
          <w:tcPr>
            <w:tcW w:w="654" w:type="dxa"/>
          </w:tcPr>
          <w:p>
            <w:pPr>
              <w:pStyle w:val="IsiTabel"/>
              <w:suppressAutoHyphens/>
              <w:jc w:val="right"/>
            </w:pPr>
            <w:r>
              <w:t xml:space="preserve">112,3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Garut</w:t>
            </w:r>
          </w:p>
        </w:tc>
        <w:tc>
          <w:tcPr>
            <w:tcW w:w="1206" w:type="dxa"/>
          </w:tcPr>
          <w:p>
            <w:pPr>
              <w:pStyle w:val="IsiTabel"/>
              <w:suppressAutoHyphens/>
              <w:jc w:val="right"/>
            </w:pPr>
            <w:r>
              <w:t xml:space="preserve">2.762.991</w:t>
            </w:r>
          </w:p>
        </w:tc>
        <w:tc>
          <w:tcPr>
            <w:tcW w:w="654" w:type="dxa"/>
          </w:tcPr>
          <w:p>
            <w:pPr>
              <w:pStyle w:val="IsiTabel"/>
              <w:suppressAutoHyphens/>
              <w:jc w:val="right"/>
            </w:pPr>
            <w:r>
              <w:t xml:space="preserve">133,8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Tasikmalaya</w:t>
            </w:r>
          </w:p>
        </w:tc>
        <w:tc>
          <w:tcPr>
            <w:tcW w:w="1206" w:type="dxa"/>
          </w:tcPr>
          <w:p>
            <w:pPr>
              <w:pStyle w:val="IsiTabel"/>
              <w:suppressAutoHyphens/>
              <w:jc w:val="right"/>
            </w:pPr>
            <w:r>
              <w:t xml:space="preserve">1.977.508</w:t>
            </w:r>
          </w:p>
        </w:tc>
        <w:tc>
          <w:tcPr>
            <w:tcW w:w="654" w:type="dxa"/>
          </w:tcPr>
          <w:p>
            <w:pPr>
              <w:pStyle w:val="IsiTabel"/>
              <w:suppressAutoHyphens/>
              <w:jc w:val="right"/>
            </w:pPr>
            <w:r>
              <w:t xml:space="preserve">156,2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Ciamis</w:t>
            </w:r>
          </w:p>
        </w:tc>
        <w:tc>
          <w:tcPr>
            <w:tcW w:w="1206" w:type="dxa"/>
          </w:tcPr>
          <w:p>
            <w:pPr>
              <w:pStyle w:val="IsiTabel"/>
              <w:suppressAutoHyphens/>
              <w:jc w:val="right"/>
            </w:pPr>
            <w:r>
              <w:t xml:space="preserve">1.290.179</w:t>
            </w:r>
          </w:p>
        </w:tc>
        <w:tc>
          <w:tcPr>
            <w:tcW w:w="654" w:type="dxa"/>
          </w:tcPr>
          <w:p>
            <w:pPr>
              <w:pStyle w:val="IsiTabel"/>
              <w:suppressAutoHyphens/>
              <w:jc w:val="right"/>
            </w:pPr>
            <w:r>
              <w:t xml:space="preserve">85,5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Kuningan</w:t>
            </w:r>
          </w:p>
        </w:tc>
        <w:tc>
          <w:tcPr>
            <w:tcW w:w="1206" w:type="dxa"/>
          </w:tcPr>
          <w:p>
            <w:pPr>
              <w:pStyle w:val="IsiTabel"/>
              <w:suppressAutoHyphens/>
              <w:jc w:val="right"/>
            </w:pPr>
            <w:r>
              <w:t xml:space="preserve">1.239.663</w:t>
            </w:r>
          </w:p>
        </w:tc>
        <w:tc>
          <w:tcPr>
            <w:tcW w:w="654" w:type="dxa"/>
          </w:tcPr>
          <w:p>
            <w:pPr>
              <w:pStyle w:val="IsiTabel"/>
              <w:suppressAutoHyphens/>
              <w:jc w:val="right"/>
            </w:pPr>
            <w:r>
              <w:t xml:space="preserve">93,7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Cirebon</w:t>
            </w:r>
          </w:p>
        </w:tc>
        <w:tc>
          <w:tcPr>
            <w:tcW w:w="1206" w:type="dxa"/>
          </w:tcPr>
          <w:p>
            <w:pPr>
              <w:pStyle w:val="IsiTabel"/>
              <w:suppressAutoHyphens/>
              <w:jc w:val="right"/>
            </w:pPr>
            <w:r>
              <w:t xml:space="preserve">2.395.666</w:t>
            </w:r>
          </w:p>
        </w:tc>
        <w:tc>
          <w:tcPr>
            <w:tcW w:w="654" w:type="dxa"/>
          </w:tcPr>
          <w:p>
            <w:pPr>
              <w:pStyle w:val="IsiTabel"/>
              <w:suppressAutoHyphens/>
              <w:jc w:val="right"/>
            </w:pPr>
            <w:r>
              <w:t xml:space="preserve">109,7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(a, b, c)</w:t>
            </w:r>
          </w:p>
        </w:tc>
      </w:tr>
      <w:tr>
        <w:trPr>
          <w:cantSplit/>
        </w:trPr>
        <w:tc>
          <w:tcPr>
            <w:tcW w:w="2408" w:type="dxa"/>
          </w:tcPr>
          <w:p>
            <w:pPr>
              <w:pStyle w:val="IsiTabel"/>
              <w:suppressAutoHyphens/>
              <w:jc w:val="left"/>
            </w:pPr>
            <w:r>
              <w:t xml:space="preserve">Kab. Majalengka</w:t>
            </w:r>
          </w:p>
        </w:tc>
        <w:tc>
          <w:tcPr>
            <w:tcW w:w="1206" w:type="dxa"/>
          </w:tcPr>
          <w:p>
            <w:pPr>
              <w:pStyle w:val="IsiTabel"/>
              <w:suppressAutoHyphens/>
              <w:jc w:val="right"/>
            </w:pPr>
            <w:r>
              <w:t xml:space="preserve">1.385.298</w:t>
            </w:r>
          </w:p>
        </w:tc>
        <w:tc>
          <w:tcPr>
            <w:tcW w:w="654" w:type="dxa"/>
          </w:tcPr>
          <w:p>
            <w:pPr>
              <w:pStyle w:val="IsiTabel"/>
              <w:suppressAutoHyphens/>
              <w:jc w:val="right"/>
            </w:pPr>
            <w:r>
              <w:t xml:space="preserve">100,6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Sumedang</w:t>
            </w:r>
          </w:p>
        </w:tc>
        <w:tc>
          <w:tcPr>
            <w:tcW w:w="1206" w:type="dxa"/>
          </w:tcPr>
          <w:p>
            <w:pPr>
              <w:pStyle w:val="IsiTabel"/>
              <w:suppressAutoHyphens/>
              <w:jc w:val="right"/>
            </w:pPr>
            <w:r>
              <w:t xml:space="preserve">1.270.326</w:t>
            </w:r>
          </w:p>
        </w:tc>
        <w:tc>
          <w:tcPr>
            <w:tcW w:w="654" w:type="dxa"/>
          </w:tcPr>
          <w:p>
            <w:pPr>
              <w:pStyle w:val="IsiTabel"/>
              <w:suppressAutoHyphens/>
              <w:jc w:val="right"/>
            </w:pPr>
            <w:r>
              <w:t xml:space="preserve">102,9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Indramayu</w:t>
            </w:r>
          </w:p>
        </w:tc>
        <w:tc>
          <w:tcPr>
            <w:tcW w:w="1206" w:type="dxa"/>
          </w:tcPr>
          <w:p>
            <w:pPr>
              <w:pStyle w:val="IsiTabel"/>
              <w:suppressAutoHyphens/>
              <w:jc w:val="right"/>
            </w:pPr>
            <w:r>
              <w:t xml:space="preserve">1.938.627</w:t>
            </w:r>
          </w:p>
        </w:tc>
        <w:tc>
          <w:tcPr>
            <w:tcW w:w="654" w:type="dxa"/>
          </w:tcPr>
          <w:p>
            <w:pPr>
              <w:pStyle w:val="IsiTabel"/>
              <w:suppressAutoHyphens/>
              <w:jc w:val="right"/>
            </w:pPr>
            <w:r>
              <w:t xml:space="preserve">83,9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Subang</w:t>
            </w:r>
          </w:p>
        </w:tc>
        <w:tc>
          <w:tcPr>
            <w:tcW w:w="1206" w:type="dxa"/>
          </w:tcPr>
          <w:p>
            <w:pPr>
              <w:pStyle w:val="IsiTabel"/>
              <w:suppressAutoHyphens/>
              <w:jc w:val="right"/>
            </w:pPr>
            <w:r>
              <w:t xml:space="preserve">1.706.899</w:t>
            </w:r>
          </w:p>
        </w:tc>
        <w:tc>
          <w:tcPr>
            <w:tcW w:w="654" w:type="dxa"/>
          </w:tcPr>
          <w:p>
            <w:pPr>
              <w:pStyle w:val="IsiTabel"/>
              <w:suppressAutoHyphens/>
              <w:jc w:val="right"/>
            </w:pPr>
            <w:r>
              <w:t xml:space="preserve">165,5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Purwakarta</w:t>
            </w:r>
          </w:p>
        </w:tc>
        <w:tc>
          <w:tcPr>
            <w:tcW w:w="1206" w:type="dxa"/>
          </w:tcPr>
          <w:p>
            <w:pPr>
              <w:pStyle w:val="IsiTabel"/>
              <w:suppressAutoHyphens/>
              <w:jc w:val="right"/>
            </w:pPr>
            <w:r>
              <w:t xml:space="preserve">1.036.204</w:t>
            </w:r>
          </w:p>
        </w:tc>
        <w:tc>
          <w:tcPr>
            <w:tcW w:w="654" w:type="dxa"/>
          </w:tcPr>
          <w:p>
            <w:pPr>
              <w:pStyle w:val="IsiTabel"/>
              <w:suppressAutoHyphens/>
              <w:jc w:val="right"/>
            </w:pPr>
            <w:r>
              <w:t xml:space="preserve">102,7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w:t>
            </w:r>
          </w:p>
        </w:tc>
      </w:tr>
      <w:tr>
        <w:trPr>
          <w:cantSplit/>
        </w:trPr>
        <w:tc>
          <w:tcPr>
            <w:tcW w:w="2408" w:type="dxa"/>
          </w:tcPr>
          <w:p>
            <w:pPr>
              <w:pStyle w:val="IsiTabel"/>
              <w:suppressAutoHyphens/>
              <w:jc w:val="left"/>
            </w:pPr>
            <w:r>
              <w:t xml:space="preserve">Kab. Karawang</w:t>
            </w:r>
          </w:p>
        </w:tc>
        <w:tc>
          <w:tcPr>
            <w:tcW w:w="1206" w:type="dxa"/>
          </w:tcPr>
          <w:p>
            <w:pPr>
              <w:pStyle w:val="IsiTabel"/>
              <w:suppressAutoHyphens/>
              <w:jc w:val="right"/>
            </w:pPr>
            <w:r>
              <w:t xml:space="preserve">2.568.344</w:t>
            </w:r>
          </w:p>
        </w:tc>
        <w:tc>
          <w:tcPr>
            <w:tcW w:w="654" w:type="dxa"/>
          </w:tcPr>
          <w:p>
            <w:pPr>
              <w:pStyle w:val="IsiTabel"/>
              <w:suppressAutoHyphens/>
              <w:jc w:val="right"/>
            </w:pPr>
            <w:r>
              <w:t xml:space="preserve">147,4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kekeringan (a, b); cuaca ekstrem (a, b, c); gelombang ekstrem dan abrasi (a, b, c)</w:t>
            </w:r>
          </w:p>
        </w:tc>
      </w:tr>
      <w:tr>
        <w:trPr>
          <w:cantSplit/>
        </w:trPr>
        <w:tc>
          <w:tcPr>
            <w:tcW w:w="2408" w:type="dxa"/>
          </w:tcPr>
          <w:p>
            <w:pPr>
              <w:pStyle w:val="IsiTabel"/>
              <w:suppressAutoHyphens/>
              <w:jc w:val="left"/>
            </w:pPr>
            <w:r>
              <w:t xml:space="preserve">Kab. Bekasi</w:t>
            </w:r>
          </w:p>
        </w:tc>
        <w:tc>
          <w:tcPr>
            <w:tcW w:w="1206" w:type="dxa"/>
          </w:tcPr>
          <w:p>
            <w:pPr>
              <w:pStyle w:val="IsiTabel"/>
              <w:suppressAutoHyphens/>
              <w:jc w:val="right"/>
            </w:pPr>
            <w:r>
              <w:t xml:space="preserve">3.317.430</w:t>
            </w:r>
          </w:p>
        </w:tc>
        <w:tc>
          <w:tcPr>
            <w:tcW w:w="654" w:type="dxa"/>
          </w:tcPr>
          <w:p>
            <w:pPr>
              <w:pStyle w:val="IsiTabel"/>
              <w:suppressAutoHyphens/>
              <w:jc w:val="right"/>
            </w:pPr>
            <w:r>
              <w:t xml:space="preserve">105,5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Bandung Barat</w:t>
            </w:r>
          </w:p>
        </w:tc>
        <w:tc>
          <w:tcPr>
            <w:tcW w:w="1206" w:type="dxa"/>
          </w:tcPr>
          <w:p>
            <w:pPr>
              <w:pStyle w:val="IsiTabel"/>
              <w:suppressAutoHyphens/>
              <w:jc w:val="right"/>
            </w:pPr>
            <w:r>
              <w:t xml:space="preserve">1.993.454</w:t>
            </w:r>
          </w:p>
        </w:tc>
        <w:tc>
          <w:tcPr>
            <w:tcW w:w="654" w:type="dxa"/>
          </w:tcPr>
          <w:p>
            <w:pPr>
              <w:pStyle w:val="IsiTabel"/>
              <w:suppressAutoHyphens/>
              <w:jc w:val="right"/>
            </w:pPr>
            <w:r>
              <w:t xml:space="preserve">124,4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 c); cuaca ekstrem (a, b, c)</w:t>
            </w:r>
          </w:p>
        </w:tc>
      </w:tr>
      <w:tr>
        <w:trPr>
          <w:cantSplit/>
        </w:trPr>
        <w:tc>
          <w:tcPr>
            <w:tcW w:w="2408" w:type="dxa"/>
          </w:tcPr>
          <w:p>
            <w:pPr>
              <w:pStyle w:val="IsiTabel"/>
              <w:suppressAutoHyphens/>
              <w:jc w:val="left"/>
            </w:pPr>
            <w:r>
              <w:t xml:space="preserve">Kab. Pangandaran</w:t>
            </w:r>
          </w:p>
        </w:tc>
        <w:tc>
          <w:tcPr>
            <w:tcW w:w="1206" w:type="dxa"/>
          </w:tcPr>
          <w:p>
            <w:pPr>
              <w:pStyle w:val="IsiTabel"/>
              <w:suppressAutoHyphens/>
              <w:jc w:val="right"/>
            </w:pPr>
            <w:r>
              <w:t xml:space="preserve">446.889</w:t>
            </w:r>
          </w:p>
        </w:tc>
        <w:tc>
          <w:tcPr>
            <w:tcW w:w="654" w:type="dxa"/>
          </w:tcPr>
          <w:p>
            <w:pPr>
              <w:pStyle w:val="IsiTabel"/>
              <w:suppressAutoHyphens/>
              <w:jc w:val="right"/>
            </w:pPr>
            <w:r>
              <w:t xml:space="preserve">118,2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w:t>
            </w:r>
          </w:p>
        </w:tc>
      </w:tr>
      <w:tr>
        <w:trPr>
          <w:cantSplit/>
        </w:trPr>
        <w:tc>
          <w:tcPr>
            <w:tcW w:w="2408" w:type="dxa"/>
          </w:tcPr>
          <w:p>
            <w:pPr>
              <w:pStyle w:val="IsiTabel"/>
              <w:suppressAutoHyphens/>
              <w:jc w:val="left"/>
            </w:pPr>
            <w:r>
              <w:t xml:space="preserve">Kota Bogor</w:t>
            </w:r>
          </w:p>
        </w:tc>
        <w:tc>
          <w:tcPr>
            <w:tcW w:w="1206" w:type="dxa"/>
          </w:tcPr>
          <w:p>
            <w:pPr>
              <w:pStyle w:val="IsiTabel"/>
              <w:suppressAutoHyphens/>
              <w:jc w:val="right"/>
            </w:pPr>
            <w:r>
              <w:t xml:space="preserve">1.069.415</w:t>
            </w:r>
          </w:p>
        </w:tc>
        <w:tc>
          <w:tcPr>
            <w:tcW w:w="654" w:type="dxa"/>
          </w:tcPr>
          <w:p>
            <w:pPr>
              <w:pStyle w:val="IsiTabel"/>
              <w:suppressAutoHyphens/>
              <w:jc w:val="right"/>
            </w:pPr>
            <w:r>
              <w:t xml:space="preserve">54,6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Sukabumi</w:t>
            </w:r>
          </w:p>
        </w:tc>
        <w:tc>
          <w:tcPr>
            <w:tcW w:w="1206" w:type="dxa"/>
          </w:tcPr>
          <w:p>
            <w:pPr>
              <w:pStyle w:val="IsiTabel"/>
              <w:suppressAutoHyphens/>
              <w:jc w:val="right"/>
            </w:pPr>
            <w:r>
              <w:t xml:space="preserve">314.355</w:t>
            </w:r>
          </w:p>
        </w:tc>
        <w:tc>
          <w:tcPr>
            <w:tcW w:w="654" w:type="dxa"/>
          </w:tcPr>
          <w:p>
            <w:pPr>
              <w:pStyle w:val="IsiTabel"/>
              <w:suppressAutoHyphens/>
              <w:jc w:val="right"/>
            </w:pPr>
            <w:r>
              <w:t xml:space="preserve">61,1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Bandung</w:t>
            </w:r>
          </w:p>
        </w:tc>
        <w:tc>
          <w:tcPr>
            <w:tcW w:w="1206" w:type="dxa"/>
          </w:tcPr>
          <w:p>
            <w:pPr>
              <w:pStyle w:val="IsiTabel"/>
              <w:suppressAutoHyphens/>
              <w:jc w:val="right"/>
            </w:pPr>
            <w:r>
              <w:t xml:space="preserve">2.635.928</w:t>
            </w:r>
          </w:p>
        </w:tc>
        <w:tc>
          <w:tcPr>
            <w:tcW w:w="654" w:type="dxa"/>
          </w:tcPr>
          <w:p>
            <w:pPr>
              <w:pStyle w:val="IsiTabel"/>
              <w:suppressAutoHyphens/>
              <w:jc w:val="right"/>
            </w:pPr>
            <w:r>
              <w:t xml:space="preserve">76,5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gempa bumi (a, c)</w:t>
            </w:r>
          </w:p>
        </w:tc>
      </w:tr>
      <w:tr>
        <w:trPr>
          <w:cantSplit/>
        </w:trPr>
        <w:tc>
          <w:tcPr>
            <w:tcW w:w="2408" w:type="dxa"/>
          </w:tcPr>
          <w:p>
            <w:pPr>
              <w:pStyle w:val="IsiTabel"/>
              <w:suppressAutoHyphens/>
              <w:jc w:val="left"/>
            </w:pPr>
            <w:r>
              <w:t xml:space="preserve">Kota Cirebon</w:t>
            </w:r>
          </w:p>
        </w:tc>
        <w:tc>
          <w:tcPr>
            <w:tcW w:w="1206" w:type="dxa"/>
          </w:tcPr>
          <w:p>
            <w:pPr>
              <w:pStyle w:val="IsiTabel"/>
              <w:suppressAutoHyphens/>
              <w:jc w:val="right"/>
            </w:pPr>
            <w:r>
              <w:t xml:space="preserve">385.993</w:t>
            </w:r>
          </w:p>
        </w:tc>
        <w:tc>
          <w:tcPr>
            <w:tcW w:w="654" w:type="dxa"/>
          </w:tcPr>
          <w:p>
            <w:pPr>
              <w:pStyle w:val="IsiTabel"/>
              <w:suppressAutoHyphens/>
              <w:jc w:val="right"/>
            </w:pPr>
            <w:r>
              <w:t xml:space="preserve">93,3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Bekasi</w:t>
            </w:r>
          </w:p>
        </w:tc>
        <w:tc>
          <w:tcPr>
            <w:tcW w:w="1206" w:type="dxa"/>
          </w:tcPr>
          <w:p>
            <w:pPr>
              <w:pStyle w:val="IsiTabel"/>
              <w:suppressAutoHyphens/>
              <w:jc w:val="right"/>
            </w:pPr>
            <w:r>
              <w:t xml:space="preserve">2.545.113</w:t>
            </w:r>
          </w:p>
        </w:tc>
        <w:tc>
          <w:tcPr>
            <w:tcW w:w="654" w:type="dxa"/>
          </w:tcPr>
          <w:p>
            <w:pPr>
              <w:pStyle w:val="IsiTabel"/>
              <w:suppressAutoHyphens/>
              <w:jc w:val="right"/>
            </w:pPr>
            <w:r>
              <w:t xml:space="preserve">67,8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Depok</w:t>
            </w:r>
          </w:p>
        </w:tc>
        <w:tc>
          <w:tcPr>
            <w:tcW w:w="1206" w:type="dxa"/>
          </w:tcPr>
          <w:p>
            <w:pPr>
              <w:pStyle w:val="IsiTabel"/>
              <w:suppressAutoHyphens/>
              <w:jc w:val="right"/>
            </w:pPr>
            <w:r>
              <w:t xml:space="preserve">1.984.199</w:t>
            </w:r>
          </w:p>
        </w:tc>
        <w:tc>
          <w:tcPr>
            <w:tcW w:w="654" w:type="dxa"/>
          </w:tcPr>
          <w:p>
            <w:pPr>
              <w:pStyle w:val="IsiTabel"/>
              <w:suppressAutoHyphens/>
              <w:jc w:val="right"/>
            </w:pPr>
            <w:r>
              <w:t xml:space="preserve">60,0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Kota Cimahi</w:t>
            </w:r>
          </w:p>
        </w:tc>
        <w:tc>
          <w:tcPr>
            <w:tcW w:w="1206" w:type="dxa"/>
          </w:tcPr>
          <w:p>
            <w:pPr>
              <w:pStyle w:val="IsiTabel"/>
              <w:suppressAutoHyphens/>
              <w:jc w:val="right"/>
            </w:pPr>
            <w:r>
              <w:t xml:space="preserve">492.926</w:t>
            </w:r>
          </w:p>
        </w:tc>
        <w:tc>
          <w:tcPr>
            <w:tcW w:w="654" w:type="dxa"/>
          </w:tcPr>
          <w:p>
            <w:pPr>
              <w:pStyle w:val="IsiTabel"/>
              <w:suppressAutoHyphens/>
              <w:jc w:val="right"/>
            </w:pPr>
            <w:r>
              <w:t xml:space="preserve">57,6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Kota Tasikmalaya</w:t>
            </w:r>
          </w:p>
        </w:tc>
        <w:tc>
          <w:tcPr>
            <w:tcW w:w="1206" w:type="dxa"/>
          </w:tcPr>
          <w:p>
            <w:pPr>
              <w:pStyle w:val="IsiTabel"/>
              <w:suppressAutoHyphens/>
              <w:jc w:val="right"/>
            </w:pPr>
            <w:r>
              <w:t xml:space="preserve">755.376</w:t>
            </w:r>
          </w:p>
        </w:tc>
        <w:tc>
          <w:tcPr>
            <w:tcW w:w="654" w:type="dxa"/>
          </w:tcPr>
          <w:p>
            <w:pPr>
              <w:pStyle w:val="IsiTabel"/>
              <w:suppressAutoHyphens/>
              <w:jc w:val="right"/>
            </w:pPr>
            <w:r>
              <w:t xml:space="preserve">90,8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 gempa bumi (a, c)</w:t>
            </w:r>
          </w:p>
        </w:tc>
      </w:tr>
      <w:tr>
        <w:trPr>
          <w:cantSplit/>
        </w:trPr>
        <w:tc>
          <w:tcPr>
            <w:tcW w:w="2408" w:type="dxa"/>
          </w:tcPr>
          <w:p>
            <w:pPr>
              <w:pStyle w:val="IsiTabel"/>
              <w:suppressAutoHyphens/>
              <w:jc w:val="left"/>
            </w:pPr>
            <w:r>
              <w:t xml:space="preserve">Kota Banjar</w:t>
            </w:r>
          </w:p>
        </w:tc>
        <w:tc>
          <w:tcPr>
            <w:tcW w:w="1206" w:type="dxa"/>
          </w:tcPr>
          <w:p>
            <w:pPr>
              <w:pStyle w:val="IsiTabel"/>
              <w:suppressAutoHyphens/>
              <w:jc w:val="right"/>
            </w:pPr>
            <w:r>
              <w:t xml:space="preserve">208.161</w:t>
            </w:r>
          </w:p>
        </w:tc>
        <w:tc>
          <w:tcPr>
            <w:tcW w:w="654" w:type="dxa"/>
          </w:tcPr>
          <w:p>
            <w:pPr>
              <w:pStyle w:val="IsiTabel"/>
              <w:suppressAutoHyphens/>
              <w:jc w:val="right"/>
            </w:pPr>
            <w:r>
              <w:t xml:space="preserve">100,8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9354" w:type="dxa"/>
            <w:gridSpan w:val="5"/>
            <w:shd w:val="clear" w:color="auto" w:fill="E6EAF0"/>
          </w:tcPr>
          <w:p>
            <w:pPr>
              <w:pStyle w:val="IsiTabel"/>
              <w:keepNext/>
              <w:suppressAutoHyphens/>
              <w:ind w:left="0"/>
            </w:pPr>
            <w:r>
              <w:rPr>
                <w:b/>
                <w:bCs/>
              </w:rPr>
              <w:t xml:space="preserve">Jawa Tengah</w:t>
            </w:r>
          </w:p>
        </w:tc>
      </w:tr>
      <w:tr>
        <w:trPr>
          <w:cantSplit/>
        </w:trPr>
        <w:tc>
          <w:tcPr>
            <w:tcW w:w="2408" w:type="dxa"/>
          </w:tcPr>
          <w:p>
            <w:pPr>
              <w:pStyle w:val="IsiTabel"/>
              <w:suppressAutoHyphens/>
              <w:jc w:val="left"/>
            </w:pPr>
            <w:r>
              <w:t xml:space="preserve">Kab. Cilacap</w:t>
            </w:r>
          </w:p>
        </w:tc>
        <w:tc>
          <w:tcPr>
            <w:tcW w:w="1206" w:type="dxa"/>
          </w:tcPr>
          <w:p>
            <w:pPr>
              <w:pStyle w:val="IsiTabel"/>
              <w:suppressAutoHyphens/>
              <w:jc w:val="right"/>
            </w:pPr>
            <w:r>
              <w:t xml:space="preserve">2.063.051</w:t>
            </w:r>
          </w:p>
        </w:tc>
        <w:tc>
          <w:tcPr>
            <w:tcW w:w="654" w:type="dxa"/>
          </w:tcPr>
          <w:p>
            <w:pPr>
              <w:pStyle w:val="IsiTabel"/>
              <w:suppressAutoHyphens/>
              <w:jc w:val="right"/>
            </w:pPr>
            <w:r>
              <w:t xml:space="preserve">108,7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w:t>
            </w:r>
          </w:p>
        </w:tc>
      </w:tr>
      <w:tr>
        <w:trPr>
          <w:cantSplit/>
        </w:trPr>
        <w:tc>
          <w:tcPr>
            <w:tcW w:w="2408" w:type="dxa"/>
          </w:tcPr>
          <w:p>
            <w:pPr>
              <w:pStyle w:val="IsiTabel"/>
              <w:suppressAutoHyphens/>
              <w:jc w:val="left"/>
            </w:pPr>
            <w:r>
              <w:t xml:space="preserve">Kab. Banyumas</w:t>
            </w:r>
          </w:p>
        </w:tc>
        <w:tc>
          <w:tcPr>
            <w:tcW w:w="1206" w:type="dxa"/>
          </w:tcPr>
          <w:p>
            <w:pPr>
              <w:pStyle w:val="IsiTabel"/>
              <w:suppressAutoHyphens/>
              <w:jc w:val="right"/>
            </w:pPr>
            <w:r>
              <w:t xml:space="preserve">1.882.056</w:t>
            </w:r>
          </w:p>
        </w:tc>
        <w:tc>
          <w:tcPr>
            <w:tcW w:w="654" w:type="dxa"/>
          </w:tcPr>
          <w:p>
            <w:pPr>
              <w:pStyle w:val="IsiTabel"/>
              <w:suppressAutoHyphens/>
              <w:jc w:val="right"/>
            </w:pPr>
            <w:r>
              <w:t xml:space="preserve">82,9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Purbalingga</w:t>
            </w:r>
          </w:p>
        </w:tc>
        <w:tc>
          <w:tcPr>
            <w:tcW w:w="1206" w:type="dxa"/>
          </w:tcPr>
          <w:p>
            <w:pPr>
              <w:pStyle w:val="IsiTabel"/>
              <w:suppressAutoHyphens/>
              <w:jc w:val="right"/>
            </w:pPr>
            <w:r>
              <w:t xml:space="preserve">1.079.550</w:t>
            </w:r>
          </w:p>
        </w:tc>
        <w:tc>
          <w:tcPr>
            <w:tcW w:w="654" w:type="dxa"/>
          </w:tcPr>
          <w:p>
            <w:pPr>
              <w:pStyle w:val="IsiTabel"/>
              <w:suppressAutoHyphens/>
              <w:jc w:val="right"/>
            </w:pPr>
            <w:r>
              <w:t xml:space="preserve">130,2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Banjarnegara</w:t>
            </w:r>
          </w:p>
        </w:tc>
        <w:tc>
          <w:tcPr>
            <w:tcW w:w="1206" w:type="dxa"/>
          </w:tcPr>
          <w:p>
            <w:pPr>
              <w:pStyle w:val="IsiTabel"/>
              <w:suppressAutoHyphens/>
              <w:jc w:val="right"/>
            </w:pPr>
            <w:r>
              <w:t xml:space="preserve">1.065.819</w:t>
            </w:r>
          </w:p>
        </w:tc>
        <w:tc>
          <w:tcPr>
            <w:tcW w:w="654" w:type="dxa"/>
          </w:tcPr>
          <w:p>
            <w:pPr>
              <w:pStyle w:val="IsiTabel"/>
              <w:suppressAutoHyphens/>
              <w:jc w:val="right"/>
            </w:pPr>
            <w:r>
              <w:t xml:space="preserve">87,6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Kebumen</w:t>
            </w:r>
          </w:p>
        </w:tc>
        <w:tc>
          <w:tcPr>
            <w:tcW w:w="1206" w:type="dxa"/>
          </w:tcPr>
          <w:p>
            <w:pPr>
              <w:pStyle w:val="IsiTabel"/>
              <w:suppressAutoHyphens/>
              <w:jc w:val="right"/>
            </w:pPr>
            <w:r>
              <w:t xml:space="preserve">1.443.425</w:t>
            </w:r>
          </w:p>
        </w:tc>
        <w:tc>
          <w:tcPr>
            <w:tcW w:w="654" w:type="dxa"/>
          </w:tcPr>
          <w:p>
            <w:pPr>
              <w:pStyle w:val="IsiTabel"/>
              <w:suppressAutoHyphens/>
              <w:jc w:val="right"/>
            </w:pPr>
            <w:r>
              <w:t xml:space="preserve">78,9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Purworejo</w:t>
            </w:r>
          </w:p>
        </w:tc>
        <w:tc>
          <w:tcPr>
            <w:tcW w:w="1206" w:type="dxa"/>
          </w:tcPr>
          <w:p>
            <w:pPr>
              <w:pStyle w:val="IsiTabel"/>
              <w:suppressAutoHyphens/>
              <w:jc w:val="right"/>
            </w:pPr>
            <w:r>
              <w:t xml:space="preserve">816.325</w:t>
            </w:r>
          </w:p>
        </w:tc>
        <w:tc>
          <w:tcPr>
            <w:tcW w:w="654" w:type="dxa"/>
          </w:tcPr>
          <w:p>
            <w:pPr>
              <w:pStyle w:val="IsiTabel"/>
              <w:suppressAutoHyphens/>
              <w:jc w:val="right"/>
            </w:pPr>
            <w:r>
              <w:t xml:space="preserve">86,5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w:t>
            </w:r>
          </w:p>
        </w:tc>
      </w:tr>
      <w:tr>
        <w:trPr>
          <w:cantSplit/>
        </w:trPr>
        <w:tc>
          <w:tcPr>
            <w:tcW w:w="2408" w:type="dxa"/>
          </w:tcPr>
          <w:p>
            <w:pPr>
              <w:pStyle w:val="IsiTabel"/>
              <w:suppressAutoHyphens/>
              <w:jc w:val="left"/>
            </w:pPr>
            <w:r>
              <w:t xml:space="preserve">Kab. Wonosobo</w:t>
            </w:r>
          </w:p>
        </w:tc>
        <w:tc>
          <w:tcPr>
            <w:tcW w:w="1206" w:type="dxa"/>
          </w:tcPr>
          <w:p>
            <w:pPr>
              <w:pStyle w:val="IsiTabel"/>
              <w:suppressAutoHyphens/>
              <w:jc w:val="right"/>
            </w:pPr>
            <w:r>
              <w:t xml:space="preserve">949.943</w:t>
            </w:r>
          </w:p>
        </w:tc>
        <w:tc>
          <w:tcPr>
            <w:tcW w:w="654" w:type="dxa"/>
          </w:tcPr>
          <w:p>
            <w:pPr>
              <w:pStyle w:val="IsiTabel"/>
              <w:suppressAutoHyphens/>
              <w:jc w:val="right"/>
            </w:pPr>
            <w:r>
              <w:t xml:space="preserve">74,6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Magelang</w:t>
            </w:r>
          </w:p>
        </w:tc>
        <w:tc>
          <w:tcPr>
            <w:tcW w:w="1206" w:type="dxa"/>
          </w:tcPr>
          <w:p>
            <w:pPr>
              <w:pStyle w:val="IsiTabel"/>
              <w:suppressAutoHyphens/>
              <w:jc w:val="right"/>
            </w:pPr>
            <w:r>
              <w:t xml:space="preserve">1.401.756</w:t>
            </w:r>
          </w:p>
        </w:tc>
        <w:tc>
          <w:tcPr>
            <w:tcW w:w="654" w:type="dxa"/>
          </w:tcPr>
          <w:p>
            <w:pPr>
              <w:pStyle w:val="IsiTabel"/>
              <w:suppressAutoHyphens/>
              <w:jc w:val="right"/>
            </w:pPr>
            <w:r>
              <w:t xml:space="preserve">76,9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 gunung api (b, c)</w:t>
            </w:r>
          </w:p>
        </w:tc>
      </w:tr>
      <w:tr>
        <w:trPr>
          <w:cantSplit/>
        </w:trPr>
        <w:tc>
          <w:tcPr>
            <w:tcW w:w="2408" w:type="dxa"/>
          </w:tcPr>
          <w:p>
            <w:pPr>
              <w:pStyle w:val="IsiTabel"/>
              <w:suppressAutoHyphens/>
              <w:jc w:val="left"/>
            </w:pPr>
            <w:r>
              <w:t xml:space="preserve">Kab. Boyolali</w:t>
            </w:r>
          </w:p>
        </w:tc>
        <w:tc>
          <w:tcPr>
            <w:tcW w:w="1206" w:type="dxa"/>
          </w:tcPr>
          <w:p>
            <w:pPr>
              <w:pStyle w:val="IsiTabel"/>
              <w:suppressAutoHyphens/>
              <w:jc w:val="right"/>
            </w:pPr>
            <w:r>
              <w:t xml:space="preserve">1.134.097</w:t>
            </w:r>
          </w:p>
        </w:tc>
        <w:tc>
          <w:tcPr>
            <w:tcW w:w="654" w:type="dxa"/>
          </w:tcPr>
          <w:p>
            <w:pPr>
              <w:pStyle w:val="IsiTabel"/>
              <w:suppressAutoHyphens/>
              <w:jc w:val="right"/>
            </w:pPr>
            <w:r>
              <w:t xml:space="preserve">71,4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Klaten</w:t>
            </w:r>
          </w:p>
        </w:tc>
        <w:tc>
          <w:tcPr>
            <w:tcW w:w="1206" w:type="dxa"/>
          </w:tcPr>
          <w:p>
            <w:pPr>
              <w:pStyle w:val="IsiTabel"/>
              <w:suppressAutoHyphens/>
              <w:jc w:val="right"/>
            </w:pPr>
            <w:r>
              <w:t xml:space="preserve">1.337.767</w:t>
            </w:r>
          </w:p>
        </w:tc>
        <w:tc>
          <w:tcPr>
            <w:tcW w:w="654" w:type="dxa"/>
          </w:tcPr>
          <w:p>
            <w:pPr>
              <w:pStyle w:val="IsiTabel"/>
              <w:suppressAutoHyphens/>
              <w:jc w:val="right"/>
            </w:pPr>
            <w:r>
              <w:t xml:space="preserve">74,3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gunung api (b, c)</w:t>
            </w:r>
          </w:p>
        </w:tc>
      </w:tr>
      <w:tr>
        <w:trPr>
          <w:cantSplit/>
        </w:trPr>
        <w:tc>
          <w:tcPr>
            <w:tcW w:w="2408" w:type="dxa"/>
          </w:tcPr>
          <w:p>
            <w:pPr>
              <w:pStyle w:val="IsiTabel"/>
              <w:suppressAutoHyphens/>
              <w:jc w:val="left"/>
            </w:pPr>
            <w:r>
              <w:t xml:space="preserve">Kab. Sukoharjo</w:t>
            </w:r>
          </w:p>
        </w:tc>
        <w:tc>
          <w:tcPr>
            <w:tcW w:w="1206" w:type="dxa"/>
          </w:tcPr>
          <w:p>
            <w:pPr>
              <w:pStyle w:val="IsiTabel"/>
              <w:suppressAutoHyphens/>
              <w:jc w:val="right"/>
            </w:pPr>
            <w:r>
              <w:t xml:space="preserve">1.059.775</w:t>
            </w:r>
          </w:p>
        </w:tc>
        <w:tc>
          <w:tcPr>
            <w:tcW w:w="654" w:type="dxa"/>
          </w:tcPr>
          <w:p>
            <w:pPr>
              <w:pStyle w:val="IsiTabel"/>
              <w:suppressAutoHyphens/>
              <w:jc w:val="right"/>
            </w:pPr>
            <w:r>
              <w:t xml:space="preserve">87,0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Wonogiri</w:t>
            </w:r>
          </w:p>
        </w:tc>
        <w:tc>
          <w:tcPr>
            <w:tcW w:w="1206" w:type="dxa"/>
          </w:tcPr>
          <w:p>
            <w:pPr>
              <w:pStyle w:val="IsiTabel"/>
              <w:suppressAutoHyphens/>
              <w:jc w:val="right"/>
            </w:pPr>
            <w:r>
              <w:t xml:space="preserve">1.128.384</w:t>
            </w:r>
          </w:p>
        </w:tc>
        <w:tc>
          <w:tcPr>
            <w:tcW w:w="654" w:type="dxa"/>
          </w:tcPr>
          <w:p>
            <w:pPr>
              <w:pStyle w:val="IsiTabel"/>
              <w:suppressAutoHyphens/>
              <w:jc w:val="right"/>
            </w:pPr>
            <w:r>
              <w:t xml:space="preserve">83,4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Karanganyar</w:t>
            </w:r>
          </w:p>
        </w:tc>
        <w:tc>
          <w:tcPr>
            <w:tcW w:w="1206" w:type="dxa"/>
          </w:tcPr>
          <w:p>
            <w:pPr>
              <w:pStyle w:val="IsiTabel"/>
              <w:suppressAutoHyphens/>
              <w:jc w:val="right"/>
            </w:pPr>
            <w:r>
              <w:t xml:space="preserve">1.060.008</w:t>
            </w:r>
          </w:p>
        </w:tc>
        <w:tc>
          <w:tcPr>
            <w:tcW w:w="654" w:type="dxa"/>
          </w:tcPr>
          <w:p>
            <w:pPr>
              <w:pStyle w:val="IsiTabel"/>
              <w:suppressAutoHyphens/>
              <w:jc w:val="right"/>
            </w:pPr>
            <w:r>
              <w:t xml:space="preserve">82,1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Sragen</w:t>
            </w:r>
          </w:p>
        </w:tc>
        <w:tc>
          <w:tcPr>
            <w:tcW w:w="1206" w:type="dxa"/>
          </w:tcPr>
          <w:p>
            <w:pPr>
              <w:pStyle w:val="IsiTabel"/>
              <w:suppressAutoHyphens/>
              <w:jc w:val="right"/>
            </w:pPr>
            <w:r>
              <w:t xml:space="preserve">1.039.914</w:t>
            </w:r>
          </w:p>
        </w:tc>
        <w:tc>
          <w:tcPr>
            <w:tcW w:w="654" w:type="dxa"/>
          </w:tcPr>
          <w:p>
            <w:pPr>
              <w:pStyle w:val="IsiTabel"/>
              <w:suppressAutoHyphens/>
              <w:jc w:val="right"/>
            </w:pPr>
            <w:r>
              <w:t xml:space="preserve">97,4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Grobogan</w:t>
            </w:r>
          </w:p>
        </w:tc>
        <w:tc>
          <w:tcPr>
            <w:tcW w:w="1206" w:type="dxa"/>
          </w:tcPr>
          <w:p>
            <w:pPr>
              <w:pStyle w:val="IsiTabel"/>
              <w:suppressAutoHyphens/>
              <w:jc w:val="right"/>
            </w:pPr>
            <w:r>
              <w:t xml:space="preserve">1.554.094</w:t>
            </w:r>
          </w:p>
        </w:tc>
        <w:tc>
          <w:tcPr>
            <w:tcW w:w="654" w:type="dxa"/>
          </w:tcPr>
          <w:p>
            <w:pPr>
              <w:pStyle w:val="IsiTabel"/>
              <w:suppressAutoHyphens/>
              <w:jc w:val="right"/>
            </w:pPr>
            <w:r>
              <w:t xml:space="preserve">65,6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karhutla (b, c)</w:t>
            </w:r>
          </w:p>
        </w:tc>
      </w:tr>
      <w:tr>
        <w:trPr>
          <w:cantSplit/>
        </w:trPr>
        <w:tc>
          <w:tcPr>
            <w:tcW w:w="2408" w:type="dxa"/>
          </w:tcPr>
          <w:p>
            <w:pPr>
              <w:pStyle w:val="IsiTabel"/>
              <w:suppressAutoHyphens/>
              <w:jc w:val="left"/>
            </w:pPr>
            <w:r>
              <w:t xml:space="preserve">Kab. Blora</w:t>
            </w:r>
          </w:p>
        </w:tc>
        <w:tc>
          <w:tcPr>
            <w:tcW w:w="1206" w:type="dxa"/>
          </w:tcPr>
          <w:p>
            <w:pPr>
              <w:pStyle w:val="IsiTabel"/>
              <w:suppressAutoHyphens/>
              <w:jc w:val="right"/>
            </w:pPr>
            <w:r>
              <w:t xml:space="preserve">934.292</w:t>
            </w:r>
          </w:p>
        </w:tc>
        <w:tc>
          <w:tcPr>
            <w:tcW w:w="654" w:type="dxa"/>
          </w:tcPr>
          <w:p>
            <w:pPr>
              <w:pStyle w:val="IsiTabel"/>
              <w:suppressAutoHyphens/>
              <w:jc w:val="right"/>
            </w:pPr>
            <w:r>
              <w:t xml:space="preserve">82,5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Rembang</w:t>
            </w:r>
          </w:p>
        </w:tc>
        <w:tc>
          <w:tcPr>
            <w:tcW w:w="1206" w:type="dxa"/>
          </w:tcPr>
          <w:p>
            <w:pPr>
              <w:pStyle w:val="IsiTabel"/>
              <w:suppressAutoHyphens/>
              <w:jc w:val="right"/>
            </w:pPr>
            <w:r>
              <w:t xml:space="preserve">696.695</w:t>
            </w:r>
          </w:p>
        </w:tc>
        <w:tc>
          <w:tcPr>
            <w:tcW w:w="654" w:type="dxa"/>
          </w:tcPr>
          <w:p>
            <w:pPr>
              <w:pStyle w:val="IsiTabel"/>
              <w:suppressAutoHyphens/>
              <w:jc w:val="right"/>
            </w:pPr>
            <w:r>
              <w:t xml:space="preserve">82,0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gelombang ekstrem dan abrasi (b, c)</w:t>
            </w:r>
          </w:p>
        </w:tc>
      </w:tr>
      <w:tr>
        <w:trPr>
          <w:cantSplit/>
        </w:trPr>
        <w:tc>
          <w:tcPr>
            <w:tcW w:w="2408" w:type="dxa"/>
          </w:tcPr>
          <w:p>
            <w:pPr>
              <w:pStyle w:val="IsiTabel"/>
              <w:suppressAutoHyphens/>
              <w:jc w:val="left"/>
            </w:pPr>
            <w:r>
              <w:t xml:space="preserve">Kab. Pati</w:t>
            </w:r>
          </w:p>
        </w:tc>
        <w:tc>
          <w:tcPr>
            <w:tcW w:w="1206" w:type="dxa"/>
          </w:tcPr>
          <w:p>
            <w:pPr>
              <w:pStyle w:val="IsiTabel"/>
              <w:suppressAutoHyphens/>
              <w:jc w:val="right"/>
            </w:pPr>
            <w:r>
              <w:t xml:space="preserve">1.397.194</w:t>
            </w:r>
          </w:p>
        </w:tc>
        <w:tc>
          <w:tcPr>
            <w:tcW w:w="654" w:type="dxa"/>
          </w:tcPr>
          <w:p>
            <w:pPr>
              <w:pStyle w:val="IsiTabel"/>
              <w:suppressAutoHyphens/>
              <w:jc w:val="right"/>
            </w:pPr>
            <w:r>
              <w:t xml:space="preserve">125,8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Kudus</w:t>
            </w:r>
          </w:p>
        </w:tc>
        <w:tc>
          <w:tcPr>
            <w:tcW w:w="1206" w:type="dxa"/>
          </w:tcPr>
          <w:p>
            <w:pPr>
              <w:pStyle w:val="IsiTabel"/>
              <w:suppressAutoHyphens/>
              <w:jc w:val="right"/>
            </w:pPr>
            <w:r>
              <w:t xml:space="preserve">904.771</w:t>
            </w:r>
          </w:p>
        </w:tc>
        <w:tc>
          <w:tcPr>
            <w:tcW w:w="654" w:type="dxa"/>
          </w:tcPr>
          <w:p>
            <w:pPr>
              <w:pStyle w:val="IsiTabel"/>
              <w:suppressAutoHyphens/>
              <w:jc w:val="right"/>
            </w:pPr>
            <w:r>
              <w:t xml:space="preserve">69,1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Jepara</w:t>
            </w:r>
          </w:p>
        </w:tc>
        <w:tc>
          <w:tcPr>
            <w:tcW w:w="1206" w:type="dxa"/>
          </w:tcPr>
          <w:p>
            <w:pPr>
              <w:pStyle w:val="IsiTabel"/>
              <w:suppressAutoHyphens/>
              <w:jc w:val="right"/>
            </w:pPr>
            <w:r>
              <w:t xml:space="preserve">1.264.350</w:t>
            </w:r>
          </w:p>
        </w:tc>
        <w:tc>
          <w:tcPr>
            <w:tcW w:w="654" w:type="dxa"/>
          </w:tcPr>
          <w:p>
            <w:pPr>
              <w:pStyle w:val="IsiTabel"/>
              <w:suppressAutoHyphens/>
              <w:jc w:val="right"/>
            </w:pPr>
            <w:r>
              <w:t xml:space="preserve">121,2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kekeringan (a, b); cuaca ekstrem (b, c); karhutla (b, c)</w:t>
            </w:r>
          </w:p>
        </w:tc>
      </w:tr>
      <w:tr>
        <w:trPr>
          <w:cantSplit/>
        </w:trPr>
        <w:tc>
          <w:tcPr>
            <w:tcW w:w="2408" w:type="dxa"/>
          </w:tcPr>
          <w:p>
            <w:pPr>
              <w:pStyle w:val="IsiTabel"/>
              <w:suppressAutoHyphens/>
              <w:jc w:val="left"/>
            </w:pPr>
            <w:r>
              <w:t xml:space="preserve">Kab. Demak</w:t>
            </w:r>
          </w:p>
        </w:tc>
        <w:tc>
          <w:tcPr>
            <w:tcW w:w="1206" w:type="dxa"/>
          </w:tcPr>
          <w:p>
            <w:pPr>
              <w:pStyle w:val="IsiTabel"/>
              <w:suppressAutoHyphens/>
              <w:jc w:val="right"/>
            </w:pPr>
            <w:r>
              <w:t xml:space="preserve">1.263.207</w:t>
            </w:r>
          </w:p>
        </w:tc>
        <w:tc>
          <w:tcPr>
            <w:tcW w:w="654" w:type="dxa"/>
          </w:tcPr>
          <w:p>
            <w:pPr>
              <w:pStyle w:val="IsiTabel"/>
              <w:suppressAutoHyphens/>
              <w:jc w:val="right"/>
            </w:pPr>
            <w:r>
              <w:t xml:space="preserve">86,0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gelombang ekstrem dan abrasi (b, c)</w:t>
            </w:r>
          </w:p>
        </w:tc>
      </w:tr>
      <w:tr>
        <w:trPr>
          <w:cantSplit/>
        </w:trPr>
        <w:tc>
          <w:tcPr>
            <w:tcW w:w="2408" w:type="dxa"/>
          </w:tcPr>
          <w:p>
            <w:pPr>
              <w:pStyle w:val="IsiTabel"/>
              <w:suppressAutoHyphens/>
              <w:jc w:val="left"/>
            </w:pPr>
            <w:r>
              <w:t xml:space="preserve">Kab. Semarang</w:t>
            </w:r>
          </w:p>
        </w:tc>
        <w:tc>
          <w:tcPr>
            <w:tcW w:w="1206" w:type="dxa"/>
          </w:tcPr>
          <w:p>
            <w:pPr>
              <w:pStyle w:val="IsiTabel"/>
              <w:suppressAutoHyphens/>
              <w:jc w:val="right"/>
            </w:pPr>
            <w:r>
              <w:t xml:space="preserve">1.129.845</w:t>
            </w:r>
          </w:p>
        </w:tc>
        <w:tc>
          <w:tcPr>
            <w:tcW w:w="654" w:type="dxa"/>
          </w:tcPr>
          <w:p>
            <w:pPr>
              <w:pStyle w:val="IsiTabel"/>
              <w:suppressAutoHyphens/>
              <w:jc w:val="right"/>
            </w:pPr>
            <w:r>
              <w:t xml:space="preserve">83,4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karhutla (b, c)</w:t>
            </w:r>
          </w:p>
        </w:tc>
      </w:tr>
      <w:tr>
        <w:trPr>
          <w:cantSplit/>
        </w:trPr>
        <w:tc>
          <w:tcPr>
            <w:tcW w:w="2408" w:type="dxa"/>
          </w:tcPr>
          <w:p>
            <w:pPr>
              <w:pStyle w:val="IsiTabel"/>
              <w:suppressAutoHyphens/>
              <w:jc w:val="left"/>
            </w:pPr>
            <w:r>
              <w:t xml:space="preserve">Kab. Temanggung</w:t>
            </w:r>
          </w:p>
        </w:tc>
        <w:tc>
          <w:tcPr>
            <w:tcW w:w="1206" w:type="dxa"/>
          </w:tcPr>
          <w:p>
            <w:pPr>
              <w:pStyle w:val="IsiTabel"/>
              <w:suppressAutoHyphens/>
              <w:jc w:val="right"/>
            </w:pPr>
            <w:r>
              <w:t xml:space="preserve">839.804</w:t>
            </w:r>
          </w:p>
        </w:tc>
        <w:tc>
          <w:tcPr>
            <w:tcW w:w="654" w:type="dxa"/>
          </w:tcPr>
          <w:p>
            <w:pPr>
              <w:pStyle w:val="IsiTabel"/>
              <w:suppressAutoHyphens/>
              <w:jc w:val="right"/>
            </w:pPr>
            <w:r>
              <w:t xml:space="preserve">113,3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kekeringan (a, b); cuaca ekstrem (a, b, c); karhutla (b, c)</w:t>
            </w:r>
          </w:p>
        </w:tc>
      </w:tr>
      <w:tr>
        <w:trPr>
          <w:cantSplit/>
        </w:trPr>
        <w:tc>
          <w:tcPr>
            <w:tcW w:w="2408" w:type="dxa"/>
          </w:tcPr>
          <w:p>
            <w:pPr>
              <w:pStyle w:val="IsiTabel"/>
              <w:suppressAutoHyphens/>
              <w:jc w:val="left"/>
            </w:pPr>
            <w:r>
              <w:t xml:space="preserve">Kab. Kendal</w:t>
            </w:r>
          </w:p>
        </w:tc>
        <w:tc>
          <w:tcPr>
            <w:tcW w:w="1206" w:type="dxa"/>
          </w:tcPr>
          <w:p>
            <w:pPr>
              <w:pStyle w:val="IsiTabel"/>
              <w:suppressAutoHyphens/>
              <w:jc w:val="right"/>
            </w:pPr>
            <w:r>
              <w:t xml:space="preserve">1.072.302</w:t>
            </w:r>
          </w:p>
        </w:tc>
        <w:tc>
          <w:tcPr>
            <w:tcW w:w="654" w:type="dxa"/>
          </w:tcPr>
          <w:p>
            <w:pPr>
              <w:pStyle w:val="IsiTabel"/>
              <w:suppressAutoHyphens/>
              <w:jc w:val="right"/>
            </w:pPr>
            <w:r>
              <w:t xml:space="preserve">109,8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Batang</w:t>
            </w:r>
          </w:p>
        </w:tc>
        <w:tc>
          <w:tcPr>
            <w:tcW w:w="1206" w:type="dxa"/>
          </w:tcPr>
          <w:p>
            <w:pPr>
              <w:pStyle w:val="IsiTabel"/>
              <w:suppressAutoHyphens/>
              <w:jc w:val="right"/>
            </w:pPr>
            <w:r>
              <w:t xml:space="preserve">856.939</w:t>
            </w:r>
          </w:p>
        </w:tc>
        <w:tc>
          <w:tcPr>
            <w:tcW w:w="654" w:type="dxa"/>
          </w:tcPr>
          <w:p>
            <w:pPr>
              <w:pStyle w:val="IsiTabel"/>
              <w:suppressAutoHyphens/>
              <w:jc w:val="right"/>
            </w:pPr>
            <w:r>
              <w:t xml:space="preserve">140,6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Pekalongan</w:t>
            </w:r>
          </w:p>
        </w:tc>
        <w:tc>
          <w:tcPr>
            <w:tcW w:w="1206" w:type="dxa"/>
          </w:tcPr>
          <w:p>
            <w:pPr>
              <w:pStyle w:val="IsiTabel"/>
              <w:suppressAutoHyphens/>
              <w:jc w:val="right"/>
            </w:pPr>
            <w:r>
              <w:t xml:space="preserve">1.103.256</w:t>
            </w:r>
          </w:p>
        </w:tc>
        <w:tc>
          <w:tcPr>
            <w:tcW w:w="654" w:type="dxa"/>
          </w:tcPr>
          <w:p>
            <w:pPr>
              <w:pStyle w:val="IsiTabel"/>
              <w:suppressAutoHyphens/>
              <w:jc w:val="right"/>
            </w:pPr>
            <w:r>
              <w:t xml:space="preserve">102,1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Pemalang</w:t>
            </w:r>
          </w:p>
        </w:tc>
        <w:tc>
          <w:tcPr>
            <w:tcW w:w="1206" w:type="dxa"/>
          </w:tcPr>
          <w:p>
            <w:pPr>
              <w:pStyle w:val="IsiTabel"/>
              <w:suppressAutoHyphens/>
              <w:jc w:val="right"/>
            </w:pPr>
            <w:r>
              <w:t xml:space="preserve">1.550.131</w:t>
            </w:r>
          </w:p>
        </w:tc>
        <w:tc>
          <w:tcPr>
            <w:tcW w:w="654" w:type="dxa"/>
          </w:tcPr>
          <w:p>
            <w:pPr>
              <w:pStyle w:val="IsiTabel"/>
              <w:suppressAutoHyphens/>
              <w:jc w:val="right"/>
            </w:pPr>
            <w:r>
              <w:t xml:space="preserve">97,5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Tegal</w:t>
            </w:r>
          </w:p>
        </w:tc>
        <w:tc>
          <w:tcPr>
            <w:tcW w:w="1206" w:type="dxa"/>
          </w:tcPr>
          <w:p>
            <w:pPr>
              <w:pStyle w:val="IsiTabel"/>
              <w:suppressAutoHyphens/>
              <w:jc w:val="right"/>
            </w:pPr>
            <w:r>
              <w:t xml:space="preserve">1.654.229</w:t>
            </w:r>
          </w:p>
        </w:tc>
        <w:tc>
          <w:tcPr>
            <w:tcW w:w="654" w:type="dxa"/>
          </w:tcPr>
          <w:p>
            <w:pPr>
              <w:pStyle w:val="IsiTabel"/>
              <w:suppressAutoHyphens/>
              <w:jc w:val="right"/>
            </w:pPr>
            <w:r>
              <w:t xml:space="preserve">110,9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Brebes</w:t>
            </w:r>
          </w:p>
        </w:tc>
        <w:tc>
          <w:tcPr>
            <w:tcW w:w="1206" w:type="dxa"/>
          </w:tcPr>
          <w:p>
            <w:pPr>
              <w:pStyle w:val="IsiTabel"/>
              <w:suppressAutoHyphens/>
              <w:jc w:val="right"/>
            </w:pPr>
            <w:r>
              <w:t xml:space="preserve">2.105.951</w:t>
            </w:r>
          </w:p>
        </w:tc>
        <w:tc>
          <w:tcPr>
            <w:tcW w:w="654" w:type="dxa"/>
          </w:tcPr>
          <w:p>
            <w:pPr>
              <w:pStyle w:val="IsiTabel"/>
              <w:suppressAutoHyphens/>
              <w:jc w:val="right"/>
            </w:pPr>
            <w:r>
              <w:t xml:space="preserve">131,6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w:t>
            </w:r>
          </w:p>
        </w:tc>
      </w:tr>
      <w:tr>
        <w:trPr>
          <w:cantSplit/>
        </w:trPr>
        <w:tc>
          <w:tcPr>
            <w:tcW w:w="2408" w:type="dxa"/>
          </w:tcPr>
          <w:p>
            <w:pPr>
              <w:pStyle w:val="IsiTabel"/>
              <w:suppressAutoHyphens/>
              <w:jc w:val="left"/>
            </w:pPr>
            <w:r>
              <w:t xml:space="preserve">Kota Magelang</w:t>
            </w:r>
          </w:p>
        </w:tc>
        <w:tc>
          <w:tcPr>
            <w:tcW w:w="1206" w:type="dxa"/>
          </w:tcPr>
          <w:p>
            <w:pPr>
              <w:pStyle w:val="IsiTabel"/>
              <w:suppressAutoHyphens/>
              <w:jc w:val="right"/>
            </w:pPr>
            <w:r>
              <w:t xml:space="preserve">104.192</w:t>
            </w:r>
          </w:p>
        </w:tc>
        <w:tc>
          <w:tcPr>
            <w:tcW w:w="654" w:type="dxa"/>
          </w:tcPr>
          <w:p>
            <w:pPr>
              <w:pStyle w:val="IsiTabel"/>
              <w:suppressAutoHyphens/>
              <w:jc w:val="right"/>
            </w:pPr>
            <w:r>
              <w:t xml:space="preserve">92,3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Surakarta</w:t>
            </w:r>
          </w:p>
        </w:tc>
        <w:tc>
          <w:tcPr>
            <w:tcW w:w="1206" w:type="dxa"/>
          </w:tcPr>
          <w:p>
            <w:pPr>
              <w:pStyle w:val="IsiTabel"/>
              <w:suppressAutoHyphens/>
              <w:jc w:val="right"/>
            </w:pPr>
            <w:r>
              <w:t xml:space="preserve">377.759</w:t>
            </w:r>
          </w:p>
        </w:tc>
        <w:tc>
          <w:tcPr>
            <w:tcW w:w="654" w:type="dxa"/>
          </w:tcPr>
          <w:p>
            <w:pPr>
              <w:pStyle w:val="IsiTabel"/>
              <w:suppressAutoHyphens/>
              <w:jc w:val="right"/>
            </w:pPr>
            <w:r>
              <w:t xml:space="preserve">51,1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Kota Salatiga</w:t>
            </w:r>
          </w:p>
        </w:tc>
        <w:tc>
          <w:tcPr>
            <w:tcW w:w="1206" w:type="dxa"/>
          </w:tcPr>
          <w:p>
            <w:pPr>
              <w:pStyle w:val="IsiTabel"/>
              <w:suppressAutoHyphens/>
              <w:jc w:val="right"/>
            </w:pPr>
            <w:r>
              <w:t xml:space="preserve">204.575</w:t>
            </w:r>
          </w:p>
        </w:tc>
        <w:tc>
          <w:tcPr>
            <w:tcW w:w="654" w:type="dxa"/>
          </w:tcPr>
          <w:p>
            <w:pPr>
              <w:pStyle w:val="IsiTabel"/>
              <w:suppressAutoHyphens/>
              <w:jc w:val="right"/>
            </w:pPr>
            <w:r>
              <w:t xml:space="preserve">98,8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Semarang</w:t>
            </w:r>
          </w:p>
        </w:tc>
        <w:tc>
          <w:tcPr>
            <w:tcW w:w="1206" w:type="dxa"/>
          </w:tcPr>
          <w:p>
            <w:pPr>
              <w:pStyle w:val="IsiTabel"/>
              <w:suppressAutoHyphens/>
              <w:jc w:val="right"/>
            </w:pPr>
            <w:r>
              <w:t xml:space="preserve">1.726.629</w:t>
            </w:r>
          </w:p>
        </w:tc>
        <w:tc>
          <w:tcPr>
            <w:tcW w:w="654" w:type="dxa"/>
          </w:tcPr>
          <w:p>
            <w:pPr>
              <w:pStyle w:val="IsiTabel"/>
              <w:suppressAutoHyphens/>
              <w:jc w:val="right"/>
            </w:pPr>
            <w:r>
              <w:t xml:space="preserve">82,8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w:t>
            </w:r>
          </w:p>
        </w:tc>
      </w:tr>
      <w:tr>
        <w:trPr>
          <w:cantSplit/>
        </w:trPr>
        <w:tc>
          <w:tcPr>
            <w:tcW w:w="2408" w:type="dxa"/>
          </w:tcPr>
          <w:p>
            <w:pPr>
              <w:pStyle w:val="IsiTabel"/>
              <w:suppressAutoHyphens/>
              <w:jc w:val="left"/>
            </w:pPr>
            <w:r>
              <w:t xml:space="preserve">Kota Pekalongan</w:t>
            </w:r>
          </w:p>
        </w:tc>
        <w:tc>
          <w:tcPr>
            <w:tcW w:w="1206" w:type="dxa"/>
          </w:tcPr>
          <w:p>
            <w:pPr>
              <w:pStyle w:val="IsiTabel"/>
              <w:suppressAutoHyphens/>
              <w:jc w:val="right"/>
            </w:pPr>
            <w:r>
              <w:t xml:space="preserve">255.801</w:t>
            </w:r>
          </w:p>
        </w:tc>
        <w:tc>
          <w:tcPr>
            <w:tcW w:w="654" w:type="dxa"/>
          </w:tcPr>
          <w:p>
            <w:pPr>
              <w:pStyle w:val="IsiTabel"/>
              <w:suppressAutoHyphens/>
              <w:jc w:val="right"/>
            </w:pPr>
            <w:r>
              <w:t xml:space="preserve">81,2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gelombang ekstrem dan abrasi (b, c)</w:t>
            </w:r>
          </w:p>
        </w:tc>
      </w:tr>
      <w:tr>
        <w:trPr>
          <w:cantSplit/>
        </w:trPr>
        <w:tc>
          <w:tcPr>
            <w:tcW w:w="2408" w:type="dxa"/>
          </w:tcPr>
          <w:p>
            <w:pPr>
              <w:pStyle w:val="IsiTabel"/>
              <w:suppressAutoHyphens/>
              <w:jc w:val="left"/>
            </w:pPr>
            <w:r>
              <w:t xml:space="preserve">Kota Tegal</w:t>
            </w:r>
          </w:p>
        </w:tc>
        <w:tc>
          <w:tcPr>
            <w:tcW w:w="1206" w:type="dxa"/>
          </w:tcPr>
          <w:p>
            <w:pPr>
              <w:pStyle w:val="IsiTabel"/>
              <w:suppressAutoHyphens/>
              <w:jc w:val="right"/>
            </w:pPr>
            <w:r>
              <w:t xml:space="preserve">312.640</w:t>
            </w:r>
          </w:p>
        </w:tc>
        <w:tc>
          <w:tcPr>
            <w:tcW w:w="654" w:type="dxa"/>
          </w:tcPr>
          <w:p>
            <w:pPr>
              <w:pStyle w:val="IsiTabel"/>
              <w:suppressAutoHyphens/>
              <w:jc w:val="right"/>
            </w:pPr>
            <w:r>
              <w:t xml:space="preserve">83,7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gelombang ekstrem dan abrasi (b, c)</w:t>
            </w:r>
          </w:p>
        </w:tc>
      </w:tr>
      <w:tr>
        <w:trPr>
          <w:cantSplit/>
        </w:trPr>
        <w:tc>
          <w:tcPr>
            <w:tcW w:w="9354" w:type="dxa"/>
            <w:gridSpan w:val="5"/>
            <w:shd w:val="clear" w:color="auto" w:fill="E6EAF0"/>
          </w:tcPr>
          <w:p>
            <w:pPr>
              <w:pStyle w:val="IsiTabel"/>
              <w:keepNext/>
              <w:suppressAutoHyphens/>
              <w:ind w:left="0"/>
            </w:pPr>
            <w:r>
              <w:rPr>
                <w:b/>
                <w:bCs/>
              </w:rPr>
              <w:t xml:space="preserve">DI Yogyakarta</w:t>
            </w:r>
          </w:p>
        </w:tc>
      </w:tr>
      <w:tr>
        <w:trPr>
          <w:cantSplit/>
        </w:trPr>
        <w:tc>
          <w:tcPr>
            <w:tcW w:w="2408" w:type="dxa"/>
          </w:tcPr>
          <w:p>
            <w:pPr>
              <w:pStyle w:val="IsiTabel"/>
              <w:suppressAutoHyphens/>
              <w:jc w:val="left"/>
            </w:pPr>
            <w:r>
              <w:t xml:space="preserve">Kab. Kulon Progo</w:t>
            </w:r>
          </w:p>
        </w:tc>
        <w:tc>
          <w:tcPr>
            <w:tcW w:w="1206" w:type="dxa"/>
          </w:tcPr>
          <w:p>
            <w:pPr>
              <w:pStyle w:val="IsiTabel"/>
              <w:suppressAutoHyphens/>
              <w:jc w:val="right"/>
            </w:pPr>
            <w:r>
              <w:t xml:space="preserve">470.913</w:t>
            </w:r>
          </w:p>
        </w:tc>
        <w:tc>
          <w:tcPr>
            <w:tcW w:w="654" w:type="dxa"/>
          </w:tcPr>
          <w:p>
            <w:pPr>
              <w:pStyle w:val="IsiTabel"/>
              <w:suppressAutoHyphens/>
              <w:jc w:val="right"/>
            </w:pPr>
            <w:r>
              <w:t xml:space="preserve">107,5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Bantul</w:t>
            </w:r>
          </w:p>
        </w:tc>
        <w:tc>
          <w:tcPr>
            <w:tcW w:w="1206" w:type="dxa"/>
          </w:tcPr>
          <w:p>
            <w:pPr>
              <w:pStyle w:val="IsiTabel"/>
              <w:suppressAutoHyphens/>
              <w:jc w:val="right"/>
            </w:pPr>
            <w:r>
              <w:t xml:space="preserve">1.208.541</w:t>
            </w:r>
          </w:p>
        </w:tc>
        <w:tc>
          <w:tcPr>
            <w:tcW w:w="654" w:type="dxa"/>
          </w:tcPr>
          <w:p>
            <w:pPr>
              <w:pStyle w:val="IsiTabel"/>
              <w:suppressAutoHyphens/>
              <w:jc w:val="right"/>
            </w:pPr>
            <w:r>
              <w:t xml:space="preserve">96,0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Gunungkidul</w:t>
            </w:r>
          </w:p>
        </w:tc>
        <w:tc>
          <w:tcPr>
            <w:tcW w:w="1206" w:type="dxa"/>
          </w:tcPr>
          <w:p>
            <w:pPr>
              <w:pStyle w:val="IsiTabel"/>
              <w:suppressAutoHyphens/>
              <w:jc w:val="right"/>
            </w:pPr>
            <w:r>
              <w:t xml:space="preserve">810.910</w:t>
            </w:r>
          </w:p>
        </w:tc>
        <w:tc>
          <w:tcPr>
            <w:tcW w:w="654" w:type="dxa"/>
          </w:tcPr>
          <w:p>
            <w:pPr>
              <w:pStyle w:val="IsiTabel"/>
              <w:suppressAutoHyphens/>
              <w:jc w:val="right"/>
            </w:pPr>
            <w:r>
              <w:t xml:space="preserve">86,9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Sleman</w:t>
            </w:r>
          </w:p>
        </w:tc>
        <w:tc>
          <w:tcPr>
            <w:tcW w:w="1206" w:type="dxa"/>
          </w:tcPr>
          <w:p>
            <w:pPr>
              <w:pStyle w:val="IsiTabel"/>
              <w:suppressAutoHyphens/>
              <w:jc w:val="right"/>
            </w:pPr>
            <w:r>
              <w:t xml:space="preserve">1.249.372</w:t>
            </w:r>
          </w:p>
        </w:tc>
        <w:tc>
          <w:tcPr>
            <w:tcW w:w="654" w:type="dxa"/>
          </w:tcPr>
          <w:p>
            <w:pPr>
              <w:pStyle w:val="IsiTabel"/>
              <w:suppressAutoHyphens/>
              <w:jc w:val="right"/>
            </w:pPr>
            <w:r>
              <w:t xml:space="preserve">102,3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gunung api (b, c)</w:t>
            </w:r>
          </w:p>
        </w:tc>
      </w:tr>
      <w:tr>
        <w:trPr>
          <w:cantSplit/>
        </w:trPr>
        <w:tc>
          <w:tcPr>
            <w:tcW w:w="2408" w:type="dxa"/>
          </w:tcPr>
          <w:p>
            <w:pPr>
              <w:pStyle w:val="IsiTabel"/>
              <w:suppressAutoHyphens/>
              <w:jc w:val="left"/>
            </w:pPr>
            <w:r>
              <w:t xml:space="preserve">Kota Yogyakarta</w:t>
            </w:r>
          </w:p>
        </w:tc>
        <w:tc>
          <w:tcPr>
            <w:tcW w:w="1206" w:type="dxa"/>
          </w:tcPr>
          <w:p>
            <w:pPr>
              <w:pStyle w:val="IsiTabel"/>
              <w:suppressAutoHyphens/>
              <w:jc w:val="right"/>
            </w:pPr>
            <w:r>
              <w:t xml:space="preserve">174.017</w:t>
            </w:r>
          </w:p>
        </w:tc>
        <w:tc>
          <w:tcPr>
            <w:tcW w:w="654" w:type="dxa"/>
          </w:tcPr>
          <w:p>
            <w:pPr>
              <w:pStyle w:val="IsiTabel"/>
              <w:suppressAutoHyphens/>
              <w:jc w:val="right"/>
            </w:pPr>
            <w:r>
              <w:t xml:space="preserve">51,8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9354" w:type="dxa"/>
            <w:gridSpan w:val="5"/>
            <w:shd w:val="clear" w:color="auto" w:fill="E6EAF0"/>
          </w:tcPr>
          <w:p>
            <w:pPr>
              <w:pStyle w:val="IsiTabel"/>
              <w:keepNext/>
              <w:suppressAutoHyphens/>
              <w:ind w:left="0"/>
            </w:pPr>
            <w:r>
              <w:rPr>
                <w:b/>
                <w:bCs/>
              </w:rPr>
              <w:t xml:space="preserve">Jawa Timur</w:t>
            </w:r>
          </w:p>
        </w:tc>
      </w:tr>
      <w:tr>
        <w:trPr>
          <w:cantSplit/>
        </w:trPr>
        <w:tc>
          <w:tcPr>
            <w:tcW w:w="2408" w:type="dxa"/>
          </w:tcPr>
          <w:p>
            <w:pPr>
              <w:pStyle w:val="IsiTabel"/>
              <w:suppressAutoHyphens/>
              <w:jc w:val="left"/>
            </w:pPr>
            <w:r>
              <w:t xml:space="preserve">Kab. Pacitan</w:t>
            </w:r>
          </w:p>
        </w:tc>
        <w:tc>
          <w:tcPr>
            <w:tcW w:w="1206" w:type="dxa"/>
          </w:tcPr>
          <w:p>
            <w:pPr>
              <w:pStyle w:val="IsiTabel"/>
              <w:suppressAutoHyphens/>
              <w:jc w:val="right"/>
            </w:pPr>
            <w:r>
              <w:t xml:space="preserve">620.553</w:t>
            </w:r>
          </w:p>
        </w:tc>
        <w:tc>
          <w:tcPr>
            <w:tcW w:w="654" w:type="dxa"/>
          </w:tcPr>
          <w:p>
            <w:pPr>
              <w:pStyle w:val="IsiTabel"/>
              <w:suppressAutoHyphens/>
              <w:jc w:val="right"/>
            </w:pPr>
            <w:r>
              <w:t xml:space="preserve">103,9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Ponorogo</w:t>
            </w:r>
          </w:p>
        </w:tc>
        <w:tc>
          <w:tcPr>
            <w:tcW w:w="1206" w:type="dxa"/>
          </w:tcPr>
          <w:p>
            <w:pPr>
              <w:pStyle w:val="IsiTabel"/>
              <w:suppressAutoHyphens/>
              <w:jc w:val="right"/>
            </w:pPr>
            <w:r>
              <w:t xml:space="preserve">1.037.355</w:t>
            </w:r>
          </w:p>
        </w:tc>
        <w:tc>
          <w:tcPr>
            <w:tcW w:w="654" w:type="dxa"/>
          </w:tcPr>
          <w:p>
            <w:pPr>
              <w:pStyle w:val="IsiTabel"/>
              <w:suppressAutoHyphens/>
              <w:jc w:val="right"/>
            </w:pPr>
            <w:r>
              <w:t xml:space="preserve">111,5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 karhutla (b, c)</w:t>
            </w:r>
          </w:p>
        </w:tc>
      </w:tr>
      <w:tr>
        <w:trPr>
          <w:cantSplit/>
        </w:trPr>
        <w:tc>
          <w:tcPr>
            <w:tcW w:w="2408" w:type="dxa"/>
          </w:tcPr>
          <w:p>
            <w:pPr>
              <w:pStyle w:val="IsiTabel"/>
              <w:suppressAutoHyphens/>
              <w:jc w:val="left"/>
            </w:pPr>
            <w:r>
              <w:t xml:space="preserve">Kab. Trenggalek</w:t>
            </w:r>
          </w:p>
        </w:tc>
        <w:tc>
          <w:tcPr>
            <w:tcW w:w="1206" w:type="dxa"/>
          </w:tcPr>
          <w:p>
            <w:pPr>
              <w:pStyle w:val="IsiTabel"/>
              <w:suppressAutoHyphens/>
              <w:jc w:val="right"/>
            </w:pPr>
            <w:r>
              <w:t xml:space="preserve">771.853</w:t>
            </w:r>
          </w:p>
        </w:tc>
        <w:tc>
          <w:tcPr>
            <w:tcW w:w="654" w:type="dxa"/>
          </w:tcPr>
          <w:p>
            <w:pPr>
              <w:pStyle w:val="IsiTabel"/>
              <w:suppressAutoHyphens/>
              <w:jc w:val="right"/>
            </w:pPr>
            <w:r>
              <w:t xml:space="preserve">120,9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Tulungagung</w:t>
            </w:r>
          </w:p>
        </w:tc>
        <w:tc>
          <w:tcPr>
            <w:tcW w:w="1206" w:type="dxa"/>
          </w:tcPr>
          <w:p>
            <w:pPr>
              <w:pStyle w:val="IsiTabel"/>
              <w:suppressAutoHyphens/>
              <w:jc w:val="right"/>
            </w:pPr>
            <w:r>
              <w:t xml:space="preserve">1.161.072</w:t>
            </w:r>
          </w:p>
        </w:tc>
        <w:tc>
          <w:tcPr>
            <w:tcW w:w="654" w:type="dxa"/>
          </w:tcPr>
          <w:p>
            <w:pPr>
              <w:pStyle w:val="IsiTabel"/>
              <w:suppressAutoHyphens/>
              <w:jc w:val="right"/>
            </w:pPr>
            <w:r>
              <w:t xml:space="preserve">132,3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Blitar</w:t>
            </w:r>
          </w:p>
        </w:tc>
        <w:tc>
          <w:tcPr>
            <w:tcW w:w="1206" w:type="dxa"/>
          </w:tcPr>
          <w:p>
            <w:pPr>
              <w:pStyle w:val="IsiTabel"/>
              <w:suppressAutoHyphens/>
              <w:jc w:val="right"/>
            </w:pPr>
            <w:r>
              <w:t xml:space="preserve">1.337.793</w:t>
            </w:r>
          </w:p>
        </w:tc>
        <w:tc>
          <w:tcPr>
            <w:tcW w:w="654" w:type="dxa"/>
          </w:tcPr>
          <w:p>
            <w:pPr>
              <w:pStyle w:val="IsiTabel"/>
              <w:suppressAutoHyphens/>
              <w:jc w:val="right"/>
            </w:pPr>
            <w:r>
              <w:t xml:space="preserve">130,2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Kediri</w:t>
            </w:r>
          </w:p>
        </w:tc>
        <w:tc>
          <w:tcPr>
            <w:tcW w:w="1206" w:type="dxa"/>
          </w:tcPr>
          <w:p>
            <w:pPr>
              <w:pStyle w:val="IsiTabel"/>
              <w:suppressAutoHyphens/>
              <w:jc w:val="right"/>
            </w:pPr>
            <w:r>
              <w:t xml:space="preserve">1.689.129</w:t>
            </w:r>
          </w:p>
        </w:tc>
        <w:tc>
          <w:tcPr>
            <w:tcW w:w="654" w:type="dxa"/>
          </w:tcPr>
          <w:p>
            <w:pPr>
              <w:pStyle w:val="IsiTabel"/>
              <w:suppressAutoHyphens/>
              <w:jc w:val="right"/>
            </w:pPr>
            <w:r>
              <w:t xml:space="preserve">103,8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Malang</w:t>
            </w:r>
          </w:p>
        </w:tc>
        <w:tc>
          <w:tcPr>
            <w:tcW w:w="1206" w:type="dxa"/>
          </w:tcPr>
          <w:p>
            <w:pPr>
              <w:pStyle w:val="IsiTabel"/>
              <w:suppressAutoHyphens/>
              <w:jc w:val="right"/>
            </w:pPr>
            <w:r>
              <w:t xml:space="preserve">2.871.534</w:t>
            </w:r>
          </w:p>
        </w:tc>
        <w:tc>
          <w:tcPr>
            <w:tcW w:w="654" w:type="dxa"/>
          </w:tcPr>
          <w:p>
            <w:pPr>
              <w:pStyle w:val="IsiTabel"/>
              <w:suppressAutoHyphens/>
              <w:jc w:val="right"/>
            </w:pPr>
            <w:r>
              <w:t xml:space="preserve">142,2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Lumajang</w:t>
            </w:r>
          </w:p>
        </w:tc>
        <w:tc>
          <w:tcPr>
            <w:tcW w:w="1206" w:type="dxa"/>
          </w:tcPr>
          <w:p>
            <w:pPr>
              <w:pStyle w:val="IsiTabel"/>
              <w:suppressAutoHyphens/>
              <w:jc w:val="right"/>
            </w:pPr>
            <w:r>
              <w:t xml:space="preserve">1.180.661</w:t>
            </w:r>
          </w:p>
        </w:tc>
        <w:tc>
          <w:tcPr>
            <w:tcW w:w="654" w:type="dxa"/>
          </w:tcPr>
          <w:p>
            <w:pPr>
              <w:pStyle w:val="IsiTabel"/>
              <w:suppressAutoHyphens/>
              <w:jc w:val="right"/>
            </w:pPr>
            <w:r>
              <w:t xml:space="preserve">116,9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gunung api (b, c)</w:t>
            </w:r>
          </w:p>
        </w:tc>
      </w:tr>
      <w:tr>
        <w:trPr>
          <w:cantSplit/>
        </w:trPr>
        <w:tc>
          <w:tcPr>
            <w:tcW w:w="2408" w:type="dxa"/>
          </w:tcPr>
          <w:p>
            <w:pPr>
              <w:pStyle w:val="IsiTabel"/>
              <w:suppressAutoHyphens/>
              <w:jc w:val="left"/>
            </w:pPr>
            <w:r>
              <w:t xml:space="preserve">Kab. Jember</w:t>
            </w:r>
          </w:p>
        </w:tc>
        <w:tc>
          <w:tcPr>
            <w:tcW w:w="1206" w:type="dxa"/>
          </w:tcPr>
          <w:p>
            <w:pPr>
              <w:pStyle w:val="IsiTabel"/>
              <w:suppressAutoHyphens/>
              <w:jc w:val="right"/>
            </w:pPr>
            <w:r>
              <w:t xml:space="preserve">2.714.752</w:t>
            </w:r>
          </w:p>
        </w:tc>
        <w:tc>
          <w:tcPr>
            <w:tcW w:w="654" w:type="dxa"/>
          </w:tcPr>
          <w:p>
            <w:pPr>
              <w:pStyle w:val="IsiTabel"/>
              <w:suppressAutoHyphens/>
              <w:jc w:val="right"/>
            </w:pPr>
            <w:r>
              <w:t xml:space="preserve">161,9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w:t>
            </w:r>
          </w:p>
        </w:tc>
      </w:tr>
      <w:tr>
        <w:trPr>
          <w:cantSplit/>
        </w:trPr>
        <w:tc>
          <w:tcPr>
            <w:tcW w:w="2408" w:type="dxa"/>
          </w:tcPr>
          <w:p>
            <w:pPr>
              <w:pStyle w:val="IsiTabel"/>
              <w:suppressAutoHyphens/>
              <w:jc w:val="left"/>
            </w:pPr>
            <w:r>
              <w:t xml:space="preserve">Kab. Banyuwangi</w:t>
            </w:r>
          </w:p>
        </w:tc>
        <w:tc>
          <w:tcPr>
            <w:tcW w:w="1206" w:type="dxa"/>
          </w:tcPr>
          <w:p>
            <w:pPr>
              <w:pStyle w:val="IsiTabel"/>
              <w:suppressAutoHyphens/>
              <w:jc w:val="right"/>
            </w:pPr>
            <w:r>
              <w:t xml:space="preserve">1.819.039</w:t>
            </w:r>
          </w:p>
        </w:tc>
        <w:tc>
          <w:tcPr>
            <w:tcW w:w="654" w:type="dxa"/>
          </w:tcPr>
          <w:p>
            <w:pPr>
              <w:pStyle w:val="IsiTabel"/>
              <w:suppressAutoHyphens/>
              <w:jc w:val="right"/>
            </w:pPr>
            <w:r>
              <w:t xml:space="preserve">126,2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Bondowoso</w:t>
            </w:r>
          </w:p>
        </w:tc>
        <w:tc>
          <w:tcPr>
            <w:tcW w:w="1206" w:type="dxa"/>
          </w:tcPr>
          <w:p>
            <w:pPr>
              <w:pStyle w:val="IsiTabel"/>
              <w:suppressAutoHyphens/>
              <w:jc w:val="right"/>
            </w:pPr>
            <w:r>
              <w:t xml:space="preserve">812.538</w:t>
            </w:r>
          </w:p>
        </w:tc>
        <w:tc>
          <w:tcPr>
            <w:tcW w:w="654" w:type="dxa"/>
          </w:tcPr>
          <w:p>
            <w:pPr>
              <w:pStyle w:val="IsiTabel"/>
              <w:suppressAutoHyphens/>
              <w:jc w:val="right"/>
            </w:pPr>
            <w:r>
              <w:t xml:space="preserve">104,2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Situbondo</w:t>
            </w:r>
          </w:p>
        </w:tc>
        <w:tc>
          <w:tcPr>
            <w:tcW w:w="1206" w:type="dxa"/>
          </w:tcPr>
          <w:p>
            <w:pPr>
              <w:pStyle w:val="IsiTabel"/>
              <w:suppressAutoHyphens/>
              <w:jc w:val="right"/>
            </w:pPr>
            <w:r>
              <w:t xml:space="preserve">733.518</w:t>
            </w:r>
          </w:p>
        </w:tc>
        <w:tc>
          <w:tcPr>
            <w:tcW w:w="654" w:type="dxa"/>
          </w:tcPr>
          <w:p>
            <w:pPr>
              <w:pStyle w:val="IsiTabel"/>
              <w:suppressAutoHyphens/>
              <w:jc w:val="right"/>
            </w:pPr>
            <w:r>
              <w:t xml:space="preserve">138,4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Probolinggo</w:t>
            </w:r>
          </w:p>
        </w:tc>
        <w:tc>
          <w:tcPr>
            <w:tcW w:w="1206" w:type="dxa"/>
          </w:tcPr>
          <w:p>
            <w:pPr>
              <w:pStyle w:val="IsiTabel"/>
              <w:suppressAutoHyphens/>
              <w:jc w:val="right"/>
            </w:pPr>
            <w:r>
              <w:t xml:space="preserve">1.183.546</w:t>
            </w:r>
          </w:p>
        </w:tc>
        <w:tc>
          <w:tcPr>
            <w:tcW w:w="654" w:type="dxa"/>
          </w:tcPr>
          <w:p>
            <w:pPr>
              <w:pStyle w:val="IsiTabel"/>
              <w:suppressAutoHyphens/>
              <w:jc w:val="right"/>
            </w:pPr>
            <w:r>
              <w:t xml:space="preserve">142,9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Pasuruan</w:t>
            </w:r>
          </w:p>
        </w:tc>
        <w:tc>
          <w:tcPr>
            <w:tcW w:w="1206" w:type="dxa"/>
          </w:tcPr>
          <w:p>
            <w:pPr>
              <w:pStyle w:val="IsiTabel"/>
              <w:suppressAutoHyphens/>
              <w:jc w:val="right"/>
            </w:pPr>
            <w:r>
              <w:t xml:space="preserve">1.738.876</w:t>
            </w:r>
          </w:p>
        </w:tc>
        <w:tc>
          <w:tcPr>
            <w:tcW w:w="654" w:type="dxa"/>
          </w:tcPr>
          <w:p>
            <w:pPr>
              <w:pStyle w:val="IsiTabel"/>
              <w:suppressAutoHyphens/>
              <w:jc w:val="right"/>
            </w:pPr>
            <w:r>
              <w:t xml:space="preserve">116,8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Sidoarjo</w:t>
            </w:r>
          </w:p>
        </w:tc>
        <w:tc>
          <w:tcPr>
            <w:tcW w:w="1206" w:type="dxa"/>
          </w:tcPr>
          <w:p>
            <w:pPr>
              <w:pStyle w:val="IsiTabel"/>
              <w:suppressAutoHyphens/>
              <w:jc w:val="right"/>
            </w:pPr>
            <w:r>
              <w:t xml:space="preserve">2.236.675</w:t>
            </w:r>
          </w:p>
        </w:tc>
        <w:tc>
          <w:tcPr>
            <w:tcW w:w="654" w:type="dxa"/>
          </w:tcPr>
          <w:p>
            <w:pPr>
              <w:pStyle w:val="IsiTabel"/>
              <w:suppressAutoHyphens/>
              <w:jc w:val="right"/>
            </w:pPr>
            <w:r>
              <w:t xml:space="preserve">91,7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Mojokerto</w:t>
            </w:r>
          </w:p>
        </w:tc>
        <w:tc>
          <w:tcPr>
            <w:tcW w:w="1206" w:type="dxa"/>
          </w:tcPr>
          <w:p>
            <w:pPr>
              <w:pStyle w:val="IsiTabel"/>
              <w:suppressAutoHyphens/>
              <w:jc w:val="right"/>
            </w:pPr>
            <w:r>
              <w:t xml:space="preserve">1.219.471</w:t>
            </w:r>
          </w:p>
        </w:tc>
        <w:tc>
          <w:tcPr>
            <w:tcW w:w="654" w:type="dxa"/>
          </w:tcPr>
          <w:p>
            <w:pPr>
              <w:pStyle w:val="IsiTabel"/>
              <w:suppressAutoHyphens/>
              <w:jc w:val="right"/>
            </w:pPr>
            <w:r>
              <w:t xml:space="preserve">97,2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Jombang</w:t>
            </w:r>
          </w:p>
        </w:tc>
        <w:tc>
          <w:tcPr>
            <w:tcW w:w="1206" w:type="dxa"/>
          </w:tcPr>
          <w:p>
            <w:pPr>
              <w:pStyle w:val="IsiTabel"/>
              <w:suppressAutoHyphens/>
              <w:jc w:val="right"/>
            </w:pPr>
            <w:r>
              <w:t xml:space="preserve">1.403.699</w:t>
            </w:r>
          </w:p>
        </w:tc>
        <w:tc>
          <w:tcPr>
            <w:tcW w:w="654" w:type="dxa"/>
          </w:tcPr>
          <w:p>
            <w:pPr>
              <w:pStyle w:val="IsiTabel"/>
              <w:suppressAutoHyphens/>
              <w:jc w:val="right"/>
            </w:pPr>
            <w:r>
              <w:t xml:space="preserve">118,7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cuaca ekstrem (a, b, c); karhutla (a, b)</w:t>
            </w:r>
          </w:p>
        </w:tc>
      </w:tr>
      <w:tr>
        <w:trPr>
          <w:cantSplit/>
        </w:trPr>
        <w:tc>
          <w:tcPr>
            <w:tcW w:w="2408" w:type="dxa"/>
          </w:tcPr>
          <w:p>
            <w:pPr>
              <w:pStyle w:val="IsiTabel"/>
              <w:suppressAutoHyphens/>
              <w:jc w:val="left"/>
            </w:pPr>
            <w:r>
              <w:t xml:space="preserve">Kab. Nganjuk</w:t>
            </w:r>
          </w:p>
        </w:tc>
        <w:tc>
          <w:tcPr>
            <w:tcW w:w="1206" w:type="dxa"/>
          </w:tcPr>
          <w:p>
            <w:pPr>
              <w:pStyle w:val="IsiTabel"/>
              <w:suppressAutoHyphens/>
              <w:jc w:val="right"/>
            </w:pPr>
            <w:r>
              <w:t xml:space="preserve">1.171.411</w:t>
            </w:r>
          </w:p>
        </w:tc>
        <w:tc>
          <w:tcPr>
            <w:tcW w:w="654" w:type="dxa"/>
          </w:tcPr>
          <w:p>
            <w:pPr>
              <w:pStyle w:val="IsiTabel"/>
              <w:suppressAutoHyphens/>
              <w:jc w:val="right"/>
            </w:pPr>
            <w:r>
              <w:t xml:space="preserve">95,6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Madiun</w:t>
            </w:r>
          </w:p>
        </w:tc>
        <w:tc>
          <w:tcPr>
            <w:tcW w:w="1206" w:type="dxa"/>
          </w:tcPr>
          <w:p>
            <w:pPr>
              <w:pStyle w:val="IsiTabel"/>
              <w:suppressAutoHyphens/>
              <w:jc w:val="right"/>
            </w:pPr>
            <w:r>
              <w:t xml:space="preserve">759.708</w:t>
            </w:r>
          </w:p>
        </w:tc>
        <w:tc>
          <w:tcPr>
            <w:tcW w:w="654" w:type="dxa"/>
          </w:tcPr>
          <w:p>
            <w:pPr>
              <w:pStyle w:val="IsiTabel"/>
              <w:suppressAutoHyphens/>
              <w:jc w:val="right"/>
            </w:pPr>
            <w:r>
              <w:t xml:space="preserve">114,3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Magetan</w:t>
            </w:r>
          </w:p>
        </w:tc>
        <w:tc>
          <w:tcPr>
            <w:tcW w:w="1206" w:type="dxa"/>
          </w:tcPr>
          <w:p>
            <w:pPr>
              <w:pStyle w:val="IsiTabel"/>
              <w:suppressAutoHyphens/>
              <w:jc w:val="right"/>
            </w:pPr>
            <w:r>
              <w:t xml:space="preserve">736.501</w:t>
            </w:r>
          </w:p>
        </w:tc>
        <w:tc>
          <w:tcPr>
            <w:tcW w:w="654" w:type="dxa"/>
          </w:tcPr>
          <w:p>
            <w:pPr>
              <w:pStyle w:val="IsiTabel"/>
              <w:suppressAutoHyphens/>
              <w:jc w:val="right"/>
            </w:pPr>
            <w:r>
              <w:t xml:space="preserve">95,8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Ngawi</w:t>
            </w:r>
          </w:p>
        </w:tc>
        <w:tc>
          <w:tcPr>
            <w:tcW w:w="1206" w:type="dxa"/>
          </w:tcPr>
          <w:p>
            <w:pPr>
              <w:pStyle w:val="IsiTabel"/>
              <w:suppressAutoHyphens/>
              <w:jc w:val="right"/>
            </w:pPr>
            <w:r>
              <w:t xml:space="preserve">924.016</w:t>
            </w:r>
          </w:p>
        </w:tc>
        <w:tc>
          <w:tcPr>
            <w:tcW w:w="654" w:type="dxa"/>
          </w:tcPr>
          <w:p>
            <w:pPr>
              <w:pStyle w:val="IsiTabel"/>
              <w:suppressAutoHyphens/>
              <w:jc w:val="right"/>
            </w:pPr>
            <w:r>
              <w:t xml:space="preserve">129,3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Bojonegoro</w:t>
            </w:r>
          </w:p>
        </w:tc>
        <w:tc>
          <w:tcPr>
            <w:tcW w:w="1206" w:type="dxa"/>
          </w:tcPr>
          <w:p>
            <w:pPr>
              <w:pStyle w:val="IsiTabel"/>
              <w:suppressAutoHyphens/>
              <w:jc w:val="right"/>
            </w:pPr>
            <w:r>
              <w:t xml:space="preserve">1.386.844</w:t>
            </w:r>
          </w:p>
        </w:tc>
        <w:tc>
          <w:tcPr>
            <w:tcW w:w="654" w:type="dxa"/>
          </w:tcPr>
          <w:p>
            <w:pPr>
              <w:pStyle w:val="IsiTabel"/>
              <w:suppressAutoHyphens/>
              <w:jc w:val="right"/>
            </w:pPr>
            <w:r>
              <w:t xml:space="preserve">97,3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Tuban</w:t>
            </w:r>
          </w:p>
        </w:tc>
        <w:tc>
          <w:tcPr>
            <w:tcW w:w="1206" w:type="dxa"/>
          </w:tcPr>
          <w:p>
            <w:pPr>
              <w:pStyle w:val="IsiTabel"/>
              <w:suppressAutoHyphens/>
              <w:jc w:val="right"/>
            </w:pPr>
            <w:r>
              <w:t xml:space="preserve">1.263.996</w:t>
            </w:r>
          </w:p>
        </w:tc>
        <w:tc>
          <w:tcPr>
            <w:tcW w:w="654" w:type="dxa"/>
          </w:tcPr>
          <w:p>
            <w:pPr>
              <w:pStyle w:val="IsiTabel"/>
              <w:suppressAutoHyphens/>
              <w:jc w:val="right"/>
            </w:pPr>
            <w:r>
              <w:t xml:space="preserve">104,8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gelombang ekstrem dan abrasi (b, c)</w:t>
            </w:r>
          </w:p>
        </w:tc>
      </w:tr>
      <w:tr>
        <w:trPr>
          <w:cantSplit/>
        </w:trPr>
        <w:tc>
          <w:tcPr>
            <w:tcW w:w="2408" w:type="dxa"/>
          </w:tcPr>
          <w:p>
            <w:pPr>
              <w:pStyle w:val="IsiTabel"/>
              <w:suppressAutoHyphens/>
              <w:jc w:val="left"/>
            </w:pPr>
            <w:r>
              <w:t xml:space="preserve">Kab. Lamongan</w:t>
            </w:r>
          </w:p>
        </w:tc>
        <w:tc>
          <w:tcPr>
            <w:tcW w:w="1206" w:type="dxa"/>
          </w:tcPr>
          <w:p>
            <w:pPr>
              <w:pStyle w:val="IsiTabel"/>
              <w:suppressAutoHyphens/>
              <w:jc w:val="right"/>
            </w:pPr>
            <w:r>
              <w:t xml:space="preserve">1.423.186</w:t>
            </w:r>
          </w:p>
        </w:tc>
        <w:tc>
          <w:tcPr>
            <w:tcW w:w="654" w:type="dxa"/>
          </w:tcPr>
          <w:p>
            <w:pPr>
              <w:pStyle w:val="IsiTabel"/>
              <w:suppressAutoHyphens/>
              <w:jc w:val="right"/>
            </w:pPr>
            <w:r>
              <w:t xml:space="preserve">136,2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Gresik</w:t>
            </w:r>
          </w:p>
        </w:tc>
        <w:tc>
          <w:tcPr>
            <w:tcW w:w="1206" w:type="dxa"/>
          </w:tcPr>
          <w:p>
            <w:pPr>
              <w:pStyle w:val="IsiTabel"/>
              <w:suppressAutoHyphens/>
              <w:jc w:val="right"/>
            </w:pPr>
            <w:r>
              <w:t xml:space="preserve">1.380.228</w:t>
            </w:r>
          </w:p>
        </w:tc>
        <w:tc>
          <w:tcPr>
            <w:tcW w:w="654" w:type="dxa"/>
          </w:tcPr>
          <w:p>
            <w:pPr>
              <w:pStyle w:val="IsiTabel"/>
              <w:suppressAutoHyphens/>
              <w:jc w:val="right"/>
            </w:pPr>
            <w:r>
              <w:t xml:space="preserve">119,7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Bangkalan</w:t>
            </w:r>
          </w:p>
        </w:tc>
        <w:tc>
          <w:tcPr>
            <w:tcW w:w="1206" w:type="dxa"/>
          </w:tcPr>
          <w:p>
            <w:pPr>
              <w:pStyle w:val="IsiTabel"/>
              <w:suppressAutoHyphens/>
              <w:jc w:val="right"/>
            </w:pPr>
            <w:r>
              <w:t xml:space="preserve">1.124.346</w:t>
            </w:r>
          </w:p>
        </w:tc>
        <w:tc>
          <w:tcPr>
            <w:tcW w:w="654" w:type="dxa"/>
          </w:tcPr>
          <w:p>
            <w:pPr>
              <w:pStyle w:val="IsiTabel"/>
              <w:suppressAutoHyphens/>
              <w:jc w:val="right"/>
            </w:pPr>
            <w:r>
              <w:t xml:space="preserve">98,9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Sampang</w:t>
            </w:r>
          </w:p>
        </w:tc>
        <w:tc>
          <w:tcPr>
            <w:tcW w:w="1206" w:type="dxa"/>
          </w:tcPr>
          <w:p>
            <w:pPr>
              <w:pStyle w:val="IsiTabel"/>
              <w:suppressAutoHyphens/>
              <w:jc w:val="right"/>
            </w:pPr>
            <w:r>
              <w:t xml:space="preserve">1.030.392</w:t>
            </w:r>
          </w:p>
        </w:tc>
        <w:tc>
          <w:tcPr>
            <w:tcW w:w="654" w:type="dxa"/>
          </w:tcPr>
          <w:p>
            <w:pPr>
              <w:pStyle w:val="IsiTabel"/>
              <w:suppressAutoHyphens/>
              <w:jc w:val="right"/>
            </w:pPr>
            <w:r>
              <w:t xml:space="preserve">89,9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Pamekasan</w:t>
            </w:r>
          </w:p>
        </w:tc>
        <w:tc>
          <w:tcPr>
            <w:tcW w:w="1206" w:type="dxa"/>
          </w:tcPr>
          <w:p>
            <w:pPr>
              <w:pStyle w:val="IsiTabel"/>
              <w:suppressAutoHyphens/>
              <w:jc w:val="right"/>
            </w:pPr>
            <w:r>
              <w:t xml:space="preserve">909.188</w:t>
            </w:r>
          </w:p>
        </w:tc>
        <w:tc>
          <w:tcPr>
            <w:tcW w:w="654" w:type="dxa"/>
          </w:tcPr>
          <w:p>
            <w:pPr>
              <w:pStyle w:val="IsiTabel"/>
              <w:suppressAutoHyphens/>
              <w:jc w:val="right"/>
            </w:pPr>
            <w:r>
              <w:t xml:space="preserve">86,5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karhutla (b, c)</w:t>
            </w:r>
          </w:p>
        </w:tc>
      </w:tr>
      <w:tr>
        <w:trPr>
          <w:cantSplit/>
        </w:trPr>
        <w:tc>
          <w:tcPr>
            <w:tcW w:w="2408" w:type="dxa"/>
          </w:tcPr>
          <w:p>
            <w:pPr>
              <w:pStyle w:val="IsiTabel"/>
              <w:suppressAutoHyphens/>
              <w:jc w:val="left"/>
            </w:pPr>
            <w:r>
              <w:t xml:space="preserve">Kab. Sumenep</w:t>
            </w:r>
          </w:p>
        </w:tc>
        <w:tc>
          <w:tcPr>
            <w:tcW w:w="1206" w:type="dxa"/>
          </w:tcPr>
          <w:p>
            <w:pPr>
              <w:pStyle w:val="IsiTabel"/>
              <w:suppressAutoHyphens/>
              <w:jc w:val="right"/>
            </w:pPr>
            <w:r>
              <w:t xml:space="preserve">1.179.478</w:t>
            </w:r>
          </w:p>
        </w:tc>
        <w:tc>
          <w:tcPr>
            <w:tcW w:w="654" w:type="dxa"/>
          </w:tcPr>
          <w:p>
            <w:pPr>
              <w:pStyle w:val="IsiTabel"/>
              <w:suppressAutoHyphens/>
              <w:jc w:val="right"/>
            </w:pPr>
            <w:r>
              <w:t xml:space="preserve">112,7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Kediri</w:t>
            </w:r>
          </w:p>
        </w:tc>
        <w:tc>
          <w:tcPr>
            <w:tcW w:w="1206" w:type="dxa"/>
          </w:tcPr>
          <w:p>
            <w:pPr>
              <w:pStyle w:val="IsiTabel"/>
              <w:suppressAutoHyphens/>
              <w:jc w:val="right"/>
            </w:pPr>
            <w:r>
              <w:t xml:space="preserve">310.024</w:t>
            </w:r>
          </w:p>
        </w:tc>
        <w:tc>
          <w:tcPr>
            <w:tcW w:w="654" w:type="dxa"/>
          </w:tcPr>
          <w:p>
            <w:pPr>
              <w:pStyle w:val="IsiTabel"/>
              <w:suppressAutoHyphens/>
              <w:jc w:val="right"/>
            </w:pPr>
            <w:r>
              <w:t xml:space="preserve">75,1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Blitar</w:t>
            </w:r>
          </w:p>
        </w:tc>
        <w:tc>
          <w:tcPr>
            <w:tcW w:w="1206" w:type="dxa"/>
          </w:tcPr>
          <w:p>
            <w:pPr>
              <w:pStyle w:val="IsiTabel"/>
              <w:suppressAutoHyphens/>
              <w:jc w:val="right"/>
            </w:pPr>
            <w:r>
              <w:t xml:space="preserve">140.608</w:t>
            </w:r>
          </w:p>
        </w:tc>
        <w:tc>
          <w:tcPr>
            <w:tcW w:w="654" w:type="dxa"/>
          </w:tcPr>
          <w:p>
            <w:pPr>
              <w:pStyle w:val="IsiTabel"/>
              <w:suppressAutoHyphens/>
              <w:jc w:val="right"/>
            </w:pPr>
            <w:r>
              <w:t xml:space="preserve">69,7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Kota Malang</w:t>
            </w:r>
          </w:p>
        </w:tc>
        <w:tc>
          <w:tcPr>
            <w:tcW w:w="1206" w:type="dxa"/>
          </w:tcPr>
          <w:p>
            <w:pPr>
              <w:pStyle w:val="IsiTabel"/>
              <w:suppressAutoHyphens/>
              <w:jc w:val="right"/>
            </w:pPr>
            <w:r>
              <w:t xml:space="preserve">855.305</w:t>
            </w:r>
          </w:p>
        </w:tc>
        <w:tc>
          <w:tcPr>
            <w:tcW w:w="654" w:type="dxa"/>
          </w:tcPr>
          <w:p>
            <w:pPr>
              <w:pStyle w:val="IsiTabel"/>
              <w:suppressAutoHyphens/>
              <w:jc w:val="right"/>
            </w:pPr>
            <w:r>
              <w:t xml:space="preserve">67,7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Probolinggo</w:t>
            </w:r>
          </w:p>
        </w:tc>
        <w:tc>
          <w:tcPr>
            <w:tcW w:w="1206" w:type="dxa"/>
          </w:tcPr>
          <w:p>
            <w:pPr>
              <w:pStyle w:val="IsiTabel"/>
              <w:suppressAutoHyphens/>
              <w:jc w:val="right"/>
            </w:pPr>
            <w:r>
              <w:t xml:space="preserve">276.824</w:t>
            </w:r>
          </w:p>
        </w:tc>
        <w:tc>
          <w:tcPr>
            <w:tcW w:w="654" w:type="dxa"/>
          </w:tcPr>
          <w:p>
            <w:pPr>
              <w:pStyle w:val="IsiTabel"/>
              <w:suppressAutoHyphens/>
              <w:jc w:val="right"/>
            </w:pPr>
            <w:r>
              <w:t xml:space="preserve">110,6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c)</w:t>
            </w:r>
          </w:p>
        </w:tc>
      </w:tr>
      <w:tr>
        <w:trPr>
          <w:cantSplit/>
        </w:trPr>
        <w:tc>
          <w:tcPr>
            <w:tcW w:w="2408" w:type="dxa"/>
          </w:tcPr>
          <w:p>
            <w:pPr>
              <w:pStyle w:val="IsiTabel"/>
              <w:suppressAutoHyphens/>
              <w:jc w:val="left"/>
            </w:pPr>
            <w:r>
              <w:t xml:space="preserve">Kota Pasuruan</w:t>
            </w:r>
          </w:p>
        </w:tc>
        <w:tc>
          <w:tcPr>
            <w:tcW w:w="1206" w:type="dxa"/>
          </w:tcPr>
          <w:p>
            <w:pPr>
              <w:pStyle w:val="IsiTabel"/>
              <w:suppressAutoHyphens/>
              <w:jc w:val="right"/>
            </w:pPr>
            <w:r>
              <w:t xml:space="preserve">206.135</w:t>
            </w:r>
          </w:p>
        </w:tc>
        <w:tc>
          <w:tcPr>
            <w:tcW w:w="654" w:type="dxa"/>
          </w:tcPr>
          <w:p>
            <w:pPr>
              <w:pStyle w:val="IsiTabel"/>
              <w:suppressAutoHyphens/>
              <w:jc w:val="right"/>
            </w:pPr>
            <w:r>
              <w:t xml:space="preserve">90,5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Mojokerto</w:t>
            </w:r>
          </w:p>
        </w:tc>
        <w:tc>
          <w:tcPr>
            <w:tcW w:w="1206" w:type="dxa"/>
          </w:tcPr>
          <w:p>
            <w:pPr>
              <w:pStyle w:val="IsiTabel"/>
              <w:suppressAutoHyphens/>
              <w:jc w:val="right"/>
            </w:pPr>
            <w:r>
              <w:t xml:space="preserve">153.871</w:t>
            </w:r>
          </w:p>
        </w:tc>
        <w:tc>
          <w:tcPr>
            <w:tcW w:w="654" w:type="dxa"/>
          </w:tcPr>
          <w:p>
            <w:pPr>
              <w:pStyle w:val="IsiTabel"/>
              <w:suppressAutoHyphens/>
              <w:jc w:val="right"/>
            </w:pPr>
            <w:r>
              <w:t xml:space="preserve">116,3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Madiun</w:t>
            </w:r>
          </w:p>
        </w:tc>
        <w:tc>
          <w:tcPr>
            <w:tcW w:w="1206" w:type="dxa"/>
          </w:tcPr>
          <w:p>
            <w:pPr>
              <w:pStyle w:val="IsiTabel"/>
              <w:suppressAutoHyphens/>
              <w:jc w:val="right"/>
            </w:pPr>
            <w:r>
              <w:t xml:space="preserve">215.264</w:t>
            </w:r>
          </w:p>
        </w:tc>
        <w:tc>
          <w:tcPr>
            <w:tcW w:w="654" w:type="dxa"/>
          </w:tcPr>
          <w:p>
            <w:pPr>
              <w:pStyle w:val="IsiTabel"/>
              <w:suppressAutoHyphens/>
              <w:jc w:val="right"/>
            </w:pPr>
            <w:r>
              <w:t xml:space="preserve">66,8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Kota Surabaya</w:t>
            </w:r>
          </w:p>
        </w:tc>
        <w:tc>
          <w:tcPr>
            <w:tcW w:w="1206" w:type="dxa"/>
          </w:tcPr>
          <w:p>
            <w:pPr>
              <w:pStyle w:val="IsiTabel"/>
              <w:suppressAutoHyphens/>
              <w:jc w:val="right"/>
            </w:pPr>
            <w:r>
              <w:t xml:space="preserve">3.007.494</w:t>
            </w:r>
          </w:p>
        </w:tc>
        <w:tc>
          <w:tcPr>
            <w:tcW w:w="654" w:type="dxa"/>
          </w:tcPr>
          <w:p>
            <w:pPr>
              <w:pStyle w:val="IsiTabel"/>
              <w:suppressAutoHyphens/>
              <w:jc w:val="right"/>
            </w:pPr>
            <w:r>
              <w:t xml:space="preserve">96,8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Batu</w:t>
            </w:r>
          </w:p>
        </w:tc>
        <w:tc>
          <w:tcPr>
            <w:tcW w:w="1206" w:type="dxa"/>
          </w:tcPr>
          <w:p>
            <w:pPr>
              <w:pStyle w:val="IsiTabel"/>
              <w:suppressAutoHyphens/>
              <w:jc w:val="right"/>
            </w:pPr>
            <w:r>
              <w:t xml:space="preserve">224.884</w:t>
            </w:r>
          </w:p>
        </w:tc>
        <w:tc>
          <w:tcPr>
            <w:tcW w:w="654" w:type="dxa"/>
          </w:tcPr>
          <w:p>
            <w:pPr>
              <w:pStyle w:val="IsiTabel"/>
              <w:suppressAutoHyphens/>
              <w:jc w:val="right"/>
            </w:pPr>
            <w:r>
              <w:t xml:space="preserve">83,6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9354" w:type="dxa"/>
            <w:gridSpan w:val="5"/>
            <w:shd w:val="clear" w:color="auto" w:fill="E6EAF0"/>
          </w:tcPr>
          <w:p>
            <w:pPr>
              <w:pStyle w:val="IsiTabel"/>
              <w:keepNext/>
              <w:suppressAutoHyphens/>
              <w:ind w:left="0"/>
            </w:pPr>
            <w:r>
              <w:rPr>
                <w:b/>
                <w:bCs/>
              </w:rPr>
              <w:t xml:space="preserve">Banten</w:t>
            </w:r>
          </w:p>
        </w:tc>
      </w:tr>
      <w:tr>
        <w:trPr>
          <w:cantSplit/>
        </w:trPr>
        <w:tc>
          <w:tcPr>
            <w:tcW w:w="2408" w:type="dxa"/>
          </w:tcPr>
          <w:p>
            <w:pPr>
              <w:pStyle w:val="IsiTabel"/>
              <w:suppressAutoHyphens/>
              <w:jc w:val="left"/>
            </w:pPr>
            <w:r>
              <w:t xml:space="preserve">Kab. Pandeglang</w:t>
            </w:r>
          </w:p>
        </w:tc>
        <w:tc>
          <w:tcPr>
            <w:tcW w:w="1206" w:type="dxa"/>
          </w:tcPr>
          <w:p>
            <w:pPr>
              <w:pStyle w:val="IsiTabel"/>
              <w:suppressAutoHyphens/>
              <w:jc w:val="right"/>
            </w:pPr>
            <w:r>
              <w:t xml:space="preserve">1.367.727</w:t>
            </w:r>
          </w:p>
        </w:tc>
        <w:tc>
          <w:tcPr>
            <w:tcW w:w="654" w:type="dxa"/>
          </w:tcPr>
          <w:p>
            <w:pPr>
              <w:pStyle w:val="IsiTabel"/>
              <w:suppressAutoHyphens/>
              <w:jc w:val="right"/>
            </w:pPr>
            <w:r>
              <w:t xml:space="preserve">116,8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tsunami (b, c)</w:t>
            </w:r>
          </w:p>
        </w:tc>
      </w:tr>
      <w:tr>
        <w:trPr>
          <w:cantSplit/>
        </w:trPr>
        <w:tc>
          <w:tcPr>
            <w:tcW w:w="2408" w:type="dxa"/>
          </w:tcPr>
          <w:p>
            <w:pPr>
              <w:pStyle w:val="IsiTabel"/>
              <w:suppressAutoHyphens/>
              <w:jc w:val="left"/>
            </w:pPr>
            <w:r>
              <w:t xml:space="preserve">Kab. Lebak</w:t>
            </w:r>
          </w:p>
        </w:tc>
        <w:tc>
          <w:tcPr>
            <w:tcW w:w="1206" w:type="dxa"/>
          </w:tcPr>
          <w:p>
            <w:pPr>
              <w:pStyle w:val="IsiTabel"/>
              <w:suppressAutoHyphens/>
              <w:jc w:val="right"/>
            </w:pPr>
            <w:r>
              <w:t xml:space="preserve">1.440.420</w:t>
            </w:r>
          </w:p>
        </w:tc>
        <w:tc>
          <w:tcPr>
            <w:tcW w:w="654" w:type="dxa"/>
          </w:tcPr>
          <w:p>
            <w:pPr>
              <w:pStyle w:val="IsiTabel"/>
              <w:suppressAutoHyphens/>
              <w:jc w:val="right"/>
            </w:pPr>
            <w:r>
              <w:t xml:space="preserve">146,0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Tangerang</w:t>
            </w:r>
          </w:p>
        </w:tc>
        <w:tc>
          <w:tcPr>
            <w:tcW w:w="1206" w:type="dxa"/>
          </w:tcPr>
          <w:p>
            <w:pPr>
              <w:pStyle w:val="IsiTabel"/>
              <w:suppressAutoHyphens/>
              <w:jc w:val="right"/>
            </w:pPr>
            <w:r>
              <w:t xml:space="preserve">3.374.527</w:t>
            </w:r>
          </w:p>
        </w:tc>
        <w:tc>
          <w:tcPr>
            <w:tcW w:w="654" w:type="dxa"/>
          </w:tcPr>
          <w:p>
            <w:pPr>
              <w:pStyle w:val="IsiTabel"/>
              <w:suppressAutoHyphens/>
              <w:jc w:val="right"/>
            </w:pPr>
            <w:r>
              <w:t xml:space="preserve">73,1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Serang</w:t>
            </w:r>
          </w:p>
        </w:tc>
        <w:tc>
          <w:tcPr>
            <w:tcW w:w="1206" w:type="dxa"/>
          </w:tcPr>
          <w:p>
            <w:pPr>
              <w:pStyle w:val="IsiTabel"/>
              <w:suppressAutoHyphens/>
              <w:jc w:val="right"/>
            </w:pPr>
            <w:r>
              <w:t xml:space="preserve">1.729.201</w:t>
            </w:r>
          </w:p>
        </w:tc>
        <w:tc>
          <w:tcPr>
            <w:tcW w:w="654" w:type="dxa"/>
          </w:tcPr>
          <w:p>
            <w:pPr>
              <w:pStyle w:val="IsiTabel"/>
              <w:suppressAutoHyphens/>
              <w:jc w:val="right"/>
            </w:pPr>
            <w:r>
              <w:t xml:space="preserve">138,4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Kota Tangerang</w:t>
            </w:r>
          </w:p>
        </w:tc>
        <w:tc>
          <w:tcPr>
            <w:tcW w:w="1206" w:type="dxa"/>
          </w:tcPr>
          <w:p>
            <w:pPr>
              <w:pStyle w:val="IsiTabel"/>
              <w:suppressAutoHyphens/>
              <w:jc w:val="right"/>
            </w:pPr>
            <w:r>
              <w:t xml:space="preserve">2.054.134</w:t>
            </w:r>
          </w:p>
        </w:tc>
        <w:tc>
          <w:tcPr>
            <w:tcW w:w="654" w:type="dxa"/>
          </w:tcPr>
          <w:p>
            <w:pPr>
              <w:pStyle w:val="IsiTabel"/>
              <w:suppressAutoHyphens/>
              <w:jc w:val="right"/>
            </w:pPr>
            <w:r>
              <w:t xml:space="preserve">68,0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Cilegon</w:t>
            </w:r>
          </w:p>
        </w:tc>
        <w:tc>
          <w:tcPr>
            <w:tcW w:w="1206" w:type="dxa"/>
          </w:tcPr>
          <w:p>
            <w:pPr>
              <w:pStyle w:val="IsiTabel"/>
              <w:suppressAutoHyphens/>
              <w:jc w:val="right"/>
            </w:pPr>
            <w:r>
              <w:t xml:space="preserve">445.707</w:t>
            </w:r>
          </w:p>
        </w:tc>
        <w:tc>
          <w:tcPr>
            <w:tcW w:w="654" w:type="dxa"/>
          </w:tcPr>
          <w:p>
            <w:pPr>
              <w:pStyle w:val="IsiTabel"/>
              <w:suppressAutoHyphens/>
              <w:jc w:val="right"/>
            </w:pPr>
            <w:r>
              <w:t xml:space="preserve">112,9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Serang</w:t>
            </w:r>
          </w:p>
        </w:tc>
        <w:tc>
          <w:tcPr>
            <w:tcW w:w="1206" w:type="dxa"/>
          </w:tcPr>
          <w:p>
            <w:pPr>
              <w:pStyle w:val="IsiTabel"/>
              <w:suppressAutoHyphens/>
              <w:jc w:val="right"/>
            </w:pPr>
            <w:r>
              <w:t xml:space="preserve">745.813</w:t>
            </w:r>
          </w:p>
        </w:tc>
        <w:tc>
          <w:tcPr>
            <w:tcW w:w="654" w:type="dxa"/>
          </w:tcPr>
          <w:p>
            <w:pPr>
              <w:pStyle w:val="IsiTabel"/>
              <w:suppressAutoHyphens/>
              <w:jc w:val="right"/>
            </w:pPr>
            <w:r>
              <w:t xml:space="preserve">109,5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Tangerang Selatan</w:t>
            </w:r>
          </w:p>
        </w:tc>
        <w:tc>
          <w:tcPr>
            <w:tcW w:w="1206" w:type="dxa"/>
          </w:tcPr>
          <w:p>
            <w:pPr>
              <w:pStyle w:val="IsiTabel"/>
              <w:suppressAutoHyphens/>
              <w:jc w:val="right"/>
            </w:pPr>
            <w:r>
              <w:t xml:space="preserve">1.627.394</w:t>
            </w:r>
          </w:p>
        </w:tc>
        <w:tc>
          <w:tcPr>
            <w:tcW w:w="654" w:type="dxa"/>
          </w:tcPr>
          <w:p>
            <w:pPr>
              <w:pStyle w:val="IsiTabel"/>
              <w:suppressAutoHyphens/>
              <w:jc w:val="right"/>
            </w:pPr>
            <w:r>
              <w:t xml:space="preserve">63,8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Bali</w:t>
            </w:r>
          </w:p>
        </w:tc>
      </w:tr>
      <w:tr>
        <w:trPr>
          <w:cantSplit/>
        </w:trPr>
        <w:tc>
          <w:tcPr>
            <w:tcW w:w="2408" w:type="dxa"/>
          </w:tcPr>
          <w:p>
            <w:pPr>
              <w:pStyle w:val="IsiTabel"/>
              <w:suppressAutoHyphens/>
              <w:jc w:val="left"/>
            </w:pPr>
            <w:r>
              <w:t xml:space="preserve">Kab. Jembrana</w:t>
            </w:r>
          </w:p>
        </w:tc>
        <w:tc>
          <w:tcPr>
            <w:tcW w:w="1206" w:type="dxa"/>
          </w:tcPr>
          <w:p>
            <w:pPr>
              <w:pStyle w:val="IsiTabel"/>
              <w:suppressAutoHyphens/>
              <w:jc w:val="right"/>
            </w:pPr>
            <w:r>
              <w:t xml:space="preserve">324.797</w:t>
            </w:r>
          </w:p>
        </w:tc>
        <w:tc>
          <w:tcPr>
            <w:tcW w:w="654" w:type="dxa"/>
          </w:tcPr>
          <w:p>
            <w:pPr>
              <w:pStyle w:val="IsiTabel"/>
              <w:suppressAutoHyphens/>
              <w:jc w:val="right"/>
            </w:pPr>
            <w:r>
              <w:t xml:space="preserve">153,5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(a, b); cuaca ekstrem (a, b, c); gelombang ekstrem dan abrasi (a, b, c); tsunami (a, b)</w:t>
            </w:r>
          </w:p>
        </w:tc>
      </w:tr>
      <w:tr>
        <w:trPr>
          <w:cantSplit/>
        </w:trPr>
        <w:tc>
          <w:tcPr>
            <w:tcW w:w="2408" w:type="dxa"/>
          </w:tcPr>
          <w:p>
            <w:pPr>
              <w:pStyle w:val="IsiTabel"/>
              <w:suppressAutoHyphens/>
              <w:jc w:val="left"/>
            </w:pPr>
            <w:r>
              <w:t xml:space="preserve">Kab. Tabanan</w:t>
            </w:r>
          </w:p>
        </w:tc>
        <w:tc>
          <w:tcPr>
            <w:tcW w:w="1206" w:type="dxa"/>
          </w:tcPr>
          <w:p>
            <w:pPr>
              <w:pStyle w:val="IsiTabel"/>
              <w:suppressAutoHyphens/>
              <w:jc w:val="right"/>
            </w:pPr>
            <w:r>
              <w:t xml:space="preserve">493.497</w:t>
            </w:r>
          </w:p>
        </w:tc>
        <w:tc>
          <w:tcPr>
            <w:tcW w:w="654" w:type="dxa"/>
          </w:tcPr>
          <w:p>
            <w:pPr>
              <w:pStyle w:val="IsiTabel"/>
              <w:suppressAutoHyphens/>
              <w:jc w:val="right"/>
            </w:pPr>
            <w:r>
              <w:t xml:space="preserve">116,7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w:t>
            </w:r>
          </w:p>
        </w:tc>
      </w:tr>
      <w:tr>
        <w:trPr>
          <w:cantSplit/>
        </w:trPr>
        <w:tc>
          <w:tcPr>
            <w:tcW w:w="2408" w:type="dxa"/>
          </w:tcPr>
          <w:p>
            <w:pPr>
              <w:pStyle w:val="IsiTabel"/>
              <w:suppressAutoHyphens/>
              <w:jc w:val="left"/>
            </w:pPr>
            <w:r>
              <w:t xml:space="preserve">Kab. Badung</w:t>
            </w:r>
          </w:p>
        </w:tc>
        <w:tc>
          <w:tcPr>
            <w:tcW w:w="1206" w:type="dxa"/>
          </w:tcPr>
          <w:p>
            <w:pPr>
              <w:pStyle w:val="IsiTabel"/>
              <w:suppressAutoHyphens/>
              <w:jc w:val="right"/>
            </w:pPr>
            <w:r>
              <w:t xml:space="preserve">616.277</w:t>
            </w:r>
          </w:p>
        </w:tc>
        <w:tc>
          <w:tcPr>
            <w:tcW w:w="654" w:type="dxa"/>
          </w:tcPr>
          <w:p>
            <w:pPr>
              <w:pStyle w:val="IsiTabel"/>
              <w:suppressAutoHyphens/>
              <w:jc w:val="right"/>
            </w:pPr>
            <w:r>
              <w:t xml:space="preserve">114,5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Gianyar</w:t>
            </w:r>
          </w:p>
        </w:tc>
        <w:tc>
          <w:tcPr>
            <w:tcW w:w="1206" w:type="dxa"/>
          </w:tcPr>
          <w:p>
            <w:pPr>
              <w:pStyle w:val="IsiTabel"/>
              <w:suppressAutoHyphens/>
              <w:jc w:val="right"/>
            </w:pPr>
            <w:r>
              <w:t xml:space="preserve">548.956</w:t>
            </w:r>
          </w:p>
        </w:tc>
        <w:tc>
          <w:tcPr>
            <w:tcW w:w="654" w:type="dxa"/>
          </w:tcPr>
          <w:p>
            <w:pPr>
              <w:pStyle w:val="IsiTabel"/>
              <w:suppressAutoHyphens/>
              <w:jc w:val="right"/>
            </w:pPr>
            <w:r>
              <w:t xml:space="preserve">120,1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w:t>
            </w:r>
          </w:p>
        </w:tc>
      </w:tr>
      <w:tr>
        <w:trPr>
          <w:cantSplit/>
        </w:trPr>
        <w:tc>
          <w:tcPr>
            <w:tcW w:w="2408" w:type="dxa"/>
          </w:tcPr>
          <w:p>
            <w:pPr>
              <w:pStyle w:val="IsiTabel"/>
              <w:suppressAutoHyphens/>
              <w:jc w:val="left"/>
            </w:pPr>
            <w:r>
              <w:t xml:space="preserve">Kab. Klungkung</w:t>
            </w:r>
          </w:p>
        </w:tc>
        <w:tc>
          <w:tcPr>
            <w:tcW w:w="1206" w:type="dxa"/>
          </w:tcPr>
          <w:p>
            <w:pPr>
              <w:pStyle w:val="IsiTabel"/>
              <w:suppressAutoHyphens/>
              <w:jc w:val="right"/>
            </w:pPr>
            <w:r>
              <w:t xml:space="preserve">218.743</w:t>
            </w:r>
          </w:p>
        </w:tc>
        <w:tc>
          <w:tcPr>
            <w:tcW w:w="654" w:type="dxa"/>
          </w:tcPr>
          <w:p>
            <w:pPr>
              <w:pStyle w:val="IsiTabel"/>
              <w:suppressAutoHyphens/>
              <w:jc w:val="right"/>
            </w:pPr>
            <w:r>
              <w:t xml:space="preserve">149,5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Bangli</w:t>
            </w:r>
          </w:p>
        </w:tc>
        <w:tc>
          <w:tcPr>
            <w:tcW w:w="1206" w:type="dxa"/>
          </w:tcPr>
          <w:p>
            <w:pPr>
              <w:pStyle w:val="IsiTabel"/>
              <w:suppressAutoHyphens/>
              <w:jc w:val="right"/>
            </w:pPr>
            <w:r>
              <w:t xml:space="preserve">277.249</w:t>
            </w:r>
          </w:p>
        </w:tc>
        <w:tc>
          <w:tcPr>
            <w:tcW w:w="654" w:type="dxa"/>
          </w:tcPr>
          <w:p>
            <w:pPr>
              <w:pStyle w:val="IsiTabel"/>
              <w:suppressAutoHyphens/>
              <w:jc w:val="right"/>
            </w:pPr>
            <w:r>
              <w:t xml:space="preserve">102,8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Karangasem</w:t>
            </w:r>
          </w:p>
        </w:tc>
        <w:tc>
          <w:tcPr>
            <w:tcW w:w="1206" w:type="dxa"/>
          </w:tcPr>
          <w:p>
            <w:pPr>
              <w:pStyle w:val="IsiTabel"/>
              <w:suppressAutoHyphens/>
              <w:jc w:val="right"/>
            </w:pPr>
            <w:r>
              <w:t xml:space="preserve">533.001</w:t>
            </w:r>
          </w:p>
        </w:tc>
        <w:tc>
          <w:tcPr>
            <w:tcW w:w="654" w:type="dxa"/>
          </w:tcPr>
          <w:p>
            <w:pPr>
              <w:pStyle w:val="IsiTabel"/>
              <w:suppressAutoHyphens/>
              <w:jc w:val="right"/>
            </w:pPr>
            <w:r>
              <w:t xml:space="preserve">131,4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Buleleng</w:t>
            </w:r>
          </w:p>
        </w:tc>
        <w:tc>
          <w:tcPr>
            <w:tcW w:w="1206" w:type="dxa"/>
          </w:tcPr>
          <w:p>
            <w:pPr>
              <w:pStyle w:val="IsiTabel"/>
              <w:suppressAutoHyphens/>
              <w:jc w:val="right"/>
            </w:pPr>
            <w:r>
              <w:t xml:space="preserve">847.925</w:t>
            </w:r>
          </w:p>
        </w:tc>
        <w:tc>
          <w:tcPr>
            <w:tcW w:w="654" w:type="dxa"/>
          </w:tcPr>
          <w:p>
            <w:pPr>
              <w:pStyle w:val="IsiTabel"/>
              <w:suppressAutoHyphens/>
              <w:jc w:val="right"/>
            </w:pPr>
            <w:r>
              <w:t xml:space="preserve">118,3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Denpasar</w:t>
            </w:r>
          </w:p>
        </w:tc>
        <w:tc>
          <w:tcPr>
            <w:tcW w:w="1206" w:type="dxa"/>
          </w:tcPr>
          <w:p>
            <w:pPr>
              <w:pStyle w:val="IsiTabel"/>
              <w:suppressAutoHyphens/>
              <w:jc w:val="right"/>
            </w:pPr>
            <w:r>
              <w:t xml:space="preserve">730.574</w:t>
            </w:r>
          </w:p>
        </w:tc>
        <w:tc>
          <w:tcPr>
            <w:tcW w:w="654" w:type="dxa"/>
          </w:tcPr>
          <w:p>
            <w:pPr>
              <w:pStyle w:val="IsiTabel"/>
              <w:suppressAutoHyphens/>
              <w:jc w:val="right"/>
            </w:pPr>
            <w:r>
              <w:t xml:space="preserve">103,3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9354" w:type="dxa"/>
            <w:gridSpan w:val="5"/>
            <w:shd w:val="clear" w:color="auto" w:fill="E6EAF0"/>
          </w:tcPr>
          <w:p>
            <w:pPr>
              <w:pStyle w:val="IsiTabel"/>
              <w:keepNext/>
              <w:suppressAutoHyphens/>
              <w:ind w:left="0"/>
            </w:pPr>
            <w:r>
              <w:rPr>
                <w:b/>
                <w:bCs/>
              </w:rPr>
              <w:t xml:space="preserve">Nusa Tenggara Barat</w:t>
            </w:r>
          </w:p>
        </w:tc>
      </w:tr>
      <w:tr>
        <w:trPr>
          <w:cantSplit/>
        </w:trPr>
        <w:tc>
          <w:tcPr>
            <w:tcW w:w="2408" w:type="dxa"/>
          </w:tcPr>
          <w:p>
            <w:pPr>
              <w:pStyle w:val="IsiTabel"/>
              <w:suppressAutoHyphens/>
              <w:jc w:val="left"/>
            </w:pPr>
            <w:r>
              <w:t xml:space="preserve">Kab. Lombok Barat</w:t>
            </w:r>
          </w:p>
        </w:tc>
        <w:tc>
          <w:tcPr>
            <w:tcW w:w="1206" w:type="dxa"/>
          </w:tcPr>
          <w:p>
            <w:pPr>
              <w:pStyle w:val="IsiTabel"/>
              <w:suppressAutoHyphens/>
              <w:jc w:val="right"/>
            </w:pPr>
            <w:r>
              <w:t xml:space="preserve">753.200</w:t>
            </w:r>
          </w:p>
        </w:tc>
        <w:tc>
          <w:tcPr>
            <w:tcW w:w="654" w:type="dxa"/>
          </w:tcPr>
          <w:p>
            <w:pPr>
              <w:pStyle w:val="IsiTabel"/>
              <w:suppressAutoHyphens/>
              <w:jc w:val="right"/>
            </w:pPr>
            <w:r>
              <w:t xml:space="preserve">119,7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Lombok Tengah</w:t>
            </w:r>
          </w:p>
        </w:tc>
        <w:tc>
          <w:tcPr>
            <w:tcW w:w="1206" w:type="dxa"/>
          </w:tcPr>
          <w:p>
            <w:pPr>
              <w:pStyle w:val="IsiTabel"/>
              <w:suppressAutoHyphens/>
              <w:jc w:val="right"/>
            </w:pPr>
            <w:r>
              <w:t xml:space="preserve">1.124.011</w:t>
            </w:r>
          </w:p>
        </w:tc>
        <w:tc>
          <w:tcPr>
            <w:tcW w:w="654" w:type="dxa"/>
          </w:tcPr>
          <w:p>
            <w:pPr>
              <w:pStyle w:val="IsiTabel"/>
              <w:suppressAutoHyphens/>
              <w:jc w:val="right"/>
            </w:pPr>
            <w:r>
              <w:t xml:space="preserve">165,1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w:t>
            </w:r>
          </w:p>
        </w:tc>
      </w:tr>
      <w:tr>
        <w:trPr>
          <w:cantSplit/>
        </w:trPr>
        <w:tc>
          <w:tcPr>
            <w:tcW w:w="2408" w:type="dxa"/>
          </w:tcPr>
          <w:p>
            <w:pPr>
              <w:pStyle w:val="IsiTabel"/>
              <w:suppressAutoHyphens/>
              <w:jc w:val="left"/>
            </w:pPr>
            <w:r>
              <w:t xml:space="preserve">Kab. Lombok Timur</w:t>
            </w:r>
          </w:p>
        </w:tc>
        <w:tc>
          <w:tcPr>
            <w:tcW w:w="1206" w:type="dxa"/>
          </w:tcPr>
          <w:p>
            <w:pPr>
              <w:pStyle w:val="IsiTabel"/>
              <w:suppressAutoHyphens/>
              <w:jc w:val="right"/>
            </w:pPr>
            <w:r>
              <w:t xml:space="preserve">1.408.364</w:t>
            </w:r>
          </w:p>
        </w:tc>
        <w:tc>
          <w:tcPr>
            <w:tcW w:w="654" w:type="dxa"/>
          </w:tcPr>
          <w:p>
            <w:pPr>
              <w:pStyle w:val="IsiTabel"/>
              <w:suppressAutoHyphens/>
              <w:jc w:val="right"/>
            </w:pPr>
            <w:r>
              <w:t xml:space="preserve">172,8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Sumbawa</w:t>
            </w:r>
          </w:p>
        </w:tc>
        <w:tc>
          <w:tcPr>
            <w:tcW w:w="1206" w:type="dxa"/>
          </w:tcPr>
          <w:p>
            <w:pPr>
              <w:pStyle w:val="IsiTabel"/>
              <w:suppressAutoHyphens/>
              <w:jc w:val="right"/>
            </w:pPr>
            <w:r>
              <w:t xml:space="preserve">540.875</w:t>
            </w:r>
          </w:p>
        </w:tc>
        <w:tc>
          <w:tcPr>
            <w:tcW w:w="654" w:type="dxa"/>
          </w:tcPr>
          <w:p>
            <w:pPr>
              <w:pStyle w:val="IsiTabel"/>
              <w:suppressAutoHyphens/>
              <w:jc w:val="right"/>
            </w:pPr>
            <w:r>
              <w:t xml:space="preserve">195,1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Dompu</w:t>
            </w:r>
          </w:p>
        </w:tc>
        <w:tc>
          <w:tcPr>
            <w:tcW w:w="1206" w:type="dxa"/>
          </w:tcPr>
          <w:p>
            <w:pPr>
              <w:pStyle w:val="IsiTabel"/>
              <w:suppressAutoHyphens/>
              <w:jc w:val="right"/>
            </w:pPr>
            <w:r>
              <w:t xml:space="preserve">254.030</w:t>
            </w:r>
          </w:p>
        </w:tc>
        <w:tc>
          <w:tcPr>
            <w:tcW w:w="654" w:type="dxa"/>
          </w:tcPr>
          <w:p>
            <w:pPr>
              <w:pStyle w:val="IsiTabel"/>
              <w:suppressAutoHyphens/>
              <w:jc w:val="right"/>
            </w:pPr>
            <w:r>
              <w:t xml:space="preserve">169,0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Bima</w:t>
            </w:r>
          </w:p>
        </w:tc>
        <w:tc>
          <w:tcPr>
            <w:tcW w:w="1206" w:type="dxa"/>
          </w:tcPr>
          <w:p>
            <w:pPr>
              <w:pStyle w:val="IsiTabel"/>
              <w:suppressAutoHyphens/>
              <w:jc w:val="right"/>
            </w:pPr>
            <w:r>
              <w:t xml:space="preserve">539.401</w:t>
            </w:r>
          </w:p>
        </w:tc>
        <w:tc>
          <w:tcPr>
            <w:tcW w:w="654" w:type="dxa"/>
          </w:tcPr>
          <w:p>
            <w:pPr>
              <w:pStyle w:val="IsiTabel"/>
              <w:suppressAutoHyphens/>
              <w:jc w:val="right"/>
            </w:pPr>
            <w:r>
              <w:t xml:space="preserve">194,3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Sumbawa Barat</w:t>
            </w:r>
          </w:p>
        </w:tc>
        <w:tc>
          <w:tcPr>
            <w:tcW w:w="1206" w:type="dxa"/>
          </w:tcPr>
          <w:p>
            <w:pPr>
              <w:pStyle w:val="IsiTabel"/>
              <w:suppressAutoHyphens/>
              <w:jc w:val="right"/>
            </w:pPr>
            <w:r>
              <w:t xml:space="preserve">155.455</w:t>
            </w:r>
          </w:p>
        </w:tc>
        <w:tc>
          <w:tcPr>
            <w:tcW w:w="654" w:type="dxa"/>
          </w:tcPr>
          <w:p>
            <w:pPr>
              <w:pStyle w:val="IsiTabel"/>
              <w:suppressAutoHyphens/>
              <w:jc w:val="right"/>
            </w:pPr>
            <w:r>
              <w:t xml:space="preserve">144,2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Lombok Utara</w:t>
            </w:r>
          </w:p>
        </w:tc>
        <w:tc>
          <w:tcPr>
            <w:tcW w:w="1206" w:type="dxa"/>
          </w:tcPr>
          <w:p>
            <w:pPr>
              <w:pStyle w:val="IsiTabel"/>
              <w:suppressAutoHyphens/>
              <w:jc w:val="right"/>
            </w:pPr>
            <w:r>
              <w:t xml:space="preserve">252.004</w:t>
            </w:r>
          </w:p>
        </w:tc>
        <w:tc>
          <w:tcPr>
            <w:tcW w:w="654" w:type="dxa"/>
          </w:tcPr>
          <w:p>
            <w:pPr>
              <w:pStyle w:val="IsiTabel"/>
              <w:suppressAutoHyphens/>
              <w:jc w:val="right"/>
            </w:pPr>
            <w:r>
              <w:t xml:space="preserve">118,4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Mataram</w:t>
            </w:r>
          </w:p>
        </w:tc>
        <w:tc>
          <w:tcPr>
            <w:tcW w:w="1206" w:type="dxa"/>
          </w:tcPr>
          <w:p>
            <w:pPr>
              <w:pStyle w:val="IsiTabel"/>
              <w:suppressAutoHyphens/>
              <w:jc w:val="right"/>
            </w:pPr>
            <w:r>
              <w:t xml:space="preserve">445.067</w:t>
            </w:r>
          </w:p>
        </w:tc>
        <w:tc>
          <w:tcPr>
            <w:tcW w:w="654" w:type="dxa"/>
          </w:tcPr>
          <w:p>
            <w:pPr>
              <w:pStyle w:val="IsiTabel"/>
              <w:suppressAutoHyphens/>
              <w:jc w:val="right"/>
            </w:pPr>
            <w:r>
              <w:t xml:space="preserve">133,5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gelombang ekstrem dan abrasi (b, c); gempa bumi (a, c)</w:t>
            </w:r>
          </w:p>
        </w:tc>
      </w:tr>
      <w:tr>
        <w:trPr>
          <w:cantSplit/>
        </w:trPr>
        <w:tc>
          <w:tcPr>
            <w:tcW w:w="2408" w:type="dxa"/>
          </w:tcPr>
          <w:p>
            <w:pPr>
              <w:pStyle w:val="IsiTabel"/>
              <w:suppressAutoHyphens/>
              <w:jc w:val="left"/>
            </w:pPr>
            <w:r>
              <w:t xml:space="preserve">Kota Bima</w:t>
            </w:r>
          </w:p>
        </w:tc>
        <w:tc>
          <w:tcPr>
            <w:tcW w:w="1206" w:type="dxa"/>
          </w:tcPr>
          <w:p>
            <w:pPr>
              <w:pStyle w:val="IsiTabel"/>
              <w:suppressAutoHyphens/>
              <w:jc w:val="right"/>
            </w:pPr>
            <w:r>
              <w:t xml:space="preserve">169.654</w:t>
            </w:r>
          </w:p>
        </w:tc>
        <w:tc>
          <w:tcPr>
            <w:tcW w:w="654" w:type="dxa"/>
          </w:tcPr>
          <w:p>
            <w:pPr>
              <w:pStyle w:val="IsiTabel"/>
              <w:suppressAutoHyphens/>
              <w:jc w:val="right"/>
            </w:pPr>
            <w:r>
              <w:t xml:space="preserve">148,2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9354" w:type="dxa"/>
            <w:gridSpan w:val="5"/>
            <w:shd w:val="clear" w:color="auto" w:fill="E6EAF0"/>
          </w:tcPr>
          <w:p>
            <w:pPr>
              <w:pStyle w:val="IsiTabel"/>
              <w:keepNext/>
              <w:suppressAutoHyphens/>
              <w:ind w:left="0"/>
            </w:pPr>
            <w:r>
              <w:rPr>
                <w:b/>
                <w:bCs/>
              </w:rPr>
              <w:t xml:space="preserve">Nusa Tenggara Timur</w:t>
            </w:r>
          </w:p>
        </w:tc>
      </w:tr>
      <w:tr>
        <w:trPr>
          <w:cantSplit/>
        </w:trPr>
        <w:tc>
          <w:tcPr>
            <w:tcW w:w="2408" w:type="dxa"/>
          </w:tcPr>
          <w:p>
            <w:pPr>
              <w:pStyle w:val="IsiTabel"/>
              <w:suppressAutoHyphens/>
              <w:jc w:val="left"/>
            </w:pPr>
            <w:r>
              <w:t xml:space="preserve">Kab. Kupang</w:t>
            </w:r>
          </w:p>
        </w:tc>
        <w:tc>
          <w:tcPr>
            <w:tcW w:w="1206" w:type="dxa"/>
          </w:tcPr>
          <w:p>
            <w:pPr>
              <w:pStyle w:val="IsiTabel"/>
              <w:suppressAutoHyphens/>
              <w:jc w:val="right"/>
            </w:pPr>
            <w:r>
              <w:t xml:space="preserve">399.335</w:t>
            </w:r>
          </w:p>
        </w:tc>
        <w:tc>
          <w:tcPr>
            <w:tcW w:w="654" w:type="dxa"/>
          </w:tcPr>
          <w:p>
            <w:pPr>
              <w:pStyle w:val="IsiTabel"/>
              <w:suppressAutoHyphens/>
              <w:jc w:val="right"/>
            </w:pPr>
            <w:r>
              <w:t xml:space="preserve">215,8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Timor Tengah Selatan</w:t>
            </w:r>
          </w:p>
        </w:tc>
        <w:tc>
          <w:tcPr>
            <w:tcW w:w="1206" w:type="dxa"/>
          </w:tcPr>
          <w:p>
            <w:pPr>
              <w:pStyle w:val="IsiTabel"/>
              <w:suppressAutoHyphens/>
              <w:jc w:val="right"/>
            </w:pPr>
            <w:r>
              <w:t xml:space="preserve">484.152</w:t>
            </w:r>
          </w:p>
        </w:tc>
        <w:tc>
          <w:tcPr>
            <w:tcW w:w="654" w:type="dxa"/>
          </w:tcPr>
          <w:p>
            <w:pPr>
              <w:pStyle w:val="IsiTabel"/>
              <w:suppressAutoHyphens/>
              <w:jc w:val="right"/>
            </w:pPr>
            <w:r>
              <w:t xml:space="preserve">111,6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Timor Tengah Utara</w:t>
            </w:r>
          </w:p>
        </w:tc>
        <w:tc>
          <w:tcPr>
            <w:tcW w:w="1206" w:type="dxa"/>
          </w:tcPr>
          <w:p>
            <w:pPr>
              <w:pStyle w:val="IsiTabel"/>
              <w:suppressAutoHyphens/>
              <w:jc w:val="right"/>
            </w:pPr>
            <w:r>
              <w:t xml:space="preserve">279.696</w:t>
            </w:r>
          </w:p>
        </w:tc>
        <w:tc>
          <w:tcPr>
            <w:tcW w:w="654" w:type="dxa"/>
          </w:tcPr>
          <w:p>
            <w:pPr>
              <w:pStyle w:val="IsiTabel"/>
              <w:suppressAutoHyphens/>
              <w:jc w:val="right"/>
            </w:pPr>
            <w:r>
              <w:t xml:space="preserve">194,0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(b, c); kekeringan (a, b); cuaca ekstrem (a, b)</w:t>
            </w:r>
          </w:p>
        </w:tc>
      </w:tr>
      <w:tr>
        <w:trPr>
          <w:cantSplit/>
        </w:trPr>
        <w:tc>
          <w:tcPr>
            <w:tcW w:w="2408" w:type="dxa"/>
          </w:tcPr>
          <w:p>
            <w:pPr>
              <w:pStyle w:val="IsiTabel"/>
              <w:suppressAutoHyphens/>
              <w:jc w:val="left"/>
            </w:pPr>
            <w:r>
              <w:t xml:space="preserve">Kab. Belu</w:t>
            </w:r>
          </w:p>
        </w:tc>
        <w:tc>
          <w:tcPr>
            <w:tcW w:w="1206" w:type="dxa"/>
          </w:tcPr>
          <w:p>
            <w:pPr>
              <w:pStyle w:val="IsiTabel"/>
              <w:suppressAutoHyphens/>
              <w:jc w:val="right"/>
            </w:pPr>
            <w:r>
              <w:t xml:space="preserve">232.406</w:t>
            </w:r>
          </w:p>
        </w:tc>
        <w:tc>
          <w:tcPr>
            <w:tcW w:w="654" w:type="dxa"/>
          </w:tcPr>
          <w:p>
            <w:pPr>
              <w:pStyle w:val="IsiTabel"/>
              <w:suppressAutoHyphens/>
              <w:jc w:val="right"/>
            </w:pPr>
            <w:r>
              <w:t xml:space="preserve">190,4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Alor</w:t>
            </w:r>
          </w:p>
        </w:tc>
        <w:tc>
          <w:tcPr>
            <w:tcW w:w="1206" w:type="dxa"/>
          </w:tcPr>
          <w:p>
            <w:pPr>
              <w:pStyle w:val="IsiTabel"/>
              <w:suppressAutoHyphens/>
              <w:jc w:val="right"/>
            </w:pPr>
            <w:r>
              <w:t xml:space="preserve">226.062</w:t>
            </w:r>
          </w:p>
        </w:tc>
        <w:tc>
          <w:tcPr>
            <w:tcW w:w="654" w:type="dxa"/>
          </w:tcPr>
          <w:p>
            <w:pPr>
              <w:pStyle w:val="IsiTabel"/>
              <w:suppressAutoHyphens/>
              <w:jc w:val="right"/>
            </w:pPr>
            <w:r>
              <w:t xml:space="preserve">196,3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Flores Timur</w:t>
            </w:r>
          </w:p>
        </w:tc>
        <w:tc>
          <w:tcPr>
            <w:tcW w:w="1206" w:type="dxa"/>
          </w:tcPr>
          <w:p>
            <w:pPr>
              <w:pStyle w:val="IsiTabel"/>
              <w:suppressAutoHyphens/>
              <w:jc w:val="right"/>
            </w:pPr>
            <w:r>
              <w:t xml:space="preserve">295.999</w:t>
            </w:r>
          </w:p>
        </w:tc>
        <w:tc>
          <w:tcPr>
            <w:tcW w:w="654" w:type="dxa"/>
          </w:tcPr>
          <w:p>
            <w:pPr>
              <w:pStyle w:val="IsiTabel"/>
              <w:suppressAutoHyphens/>
              <w:jc w:val="right"/>
            </w:pPr>
            <w:r>
              <w:t xml:space="preserve">200,9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(b, c); gunung api (a, b, c)</w:t>
            </w:r>
          </w:p>
        </w:tc>
      </w:tr>
      <w:tr>
        <w:trPr>
          <w:cantSplit/>
        </w:trPr>
        <w:tc>
          <w:tcPr>
            <w:tcW w:w="2408" w:type="dxa"/>
          </w:tcPr>
          <w:p>
            <w:pPr>
              <w:pStyle w:val="IsiTabel"/>
              <w:suppressAutoHyphens/>
              <w:jc w:val="left"/>
            </w:pPr>
            <w:r>
              <w:t xml:space="preserve">Kab. Sikka</w:t>
            </w:r>
          </w:p>
        </w:tc>
        <w:tc>
          <w:tcPr>
            <w:tcW w:w="1206" w:type="dxa"/>
          </w:tcPr>
          <w:p>
            <w:pPr>
              <w:pStyle w:val="IsiTabel"/>
              <w:suppressAutoHyphens/>
              <w:jc w:val="right"/>
            </w:pPr>
            <w:r>
              <w:t xml:space="preserve">341.499</w:t>
            </w:r>
          </w:p>
        </w:tc>
        <w:tc>
          <w:tcPr>
            <w:tcW w:w="654" w:type="dxa"/>
          </w:tcPr>
          <w:p>
            <w:pPr>
              <w:pStyle w:val="IsiTabel"/>
              <w:suppressAutoHyphens/>
              <w:jc w:val="right"/>
            </w:pPr>
            <w:r>
              <w:t xml:space="preserve">180,1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 gelombang ekstrem dan abrasi (a, b, c); gunung api (a, c)</w:t>
            </w:r>
          </w:p>
        </w:tc>
      </w:tr>
      <w:tr>
        <w:trPr>
          <w:cantSplit/>
        </w:trPr>
        <w:tc>
          <w:tcPr>
            <w:tcW w:w="2408" w:type="dxa"/>
          </w:tcPr>
          <w:p>
            <w:pPr>
              <w:pStyle w:val="IsiTabel"/>
              <w:suppressAutoHyphens/>
              <w:jc w:val="left"/>
            </w:pPr>
            <w:r>
              <w:t xml:space="preserve">Kab. Ende</w:t>
            </w:r>
          </w:p>
        </w:tc>
        <w:tc>
          <w:tcPr>
            <w:tcW w:w="1206" w:type="dxa"/>
          </w:tcPr>
          <w:p>
            <w:pPr>
              <w:pStyle w:val="IsiTabel"/>
              <w:suppressAutoHyphens/>
              <w:jc w:val="right"/>
            </w:pPr>
            <w:r>
              <w:t xml:space="preserve">285.817</w:t>
            </w:r>
          </w:p>
        </w:tc>
        <w:tc>
          <w:tcPr>
            <w:tcW w:w="654" w:type="dxa"/>
          </w:tcPr>
          <w:p>
            <w:pPr>
              <w:pStyle w:val="IsiTabel"/>
              <w:suppressAutoHyphens/>
              <w:jc w:val="right"/>
            </w:pPr>
            <w:r>
              <w:t xml:space="preserve">205,7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Ngada</w:t>
            </w:r>
          </w:p>
        </w:tc>
        <w:tc>
          <w:tcPr>
            <w:tcW w:w="1206" w:type="dxa"/>
          </w:tcPr>
          <w:p>
            <w:pPr>
              <w:pStyle w:val="IsiTabel"/>
              <w:suppressAutoHyphens/>
              <w:jc w:val="right"/>
            </w:pPr>
            <w:r>
              <w:t xml:space="preserve">177.735</w:t>
            </w:r>
          </w:p>
        </w:tc>
        <w:tc>
          <w:tcPr>
            <w:tcW w:w="654" w:type="dxa"/>
          </w:tcPr>
          <w:p>
            <w:pPr>
              <w:pStyle w:val="IsiTabel"/>
              <w:suppressAutoHyphens/>
              <w:jc w:val="right"/>
            </w:pPr>
            <w:r>
              <w:t xml:space="preserve">240,3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Manggarai</w:t>
            </w:r>
          </w:p>
        </w:tc>
        <w:tc>
          <w:tcPr>
            <w:tcW w:w="1206" w:type="dxa"/>
          </w:tcPr>
          <w:p>
            <w:pPr>
              <w:pStyle w:val="IsiTabel"/>
              <w:suppressAutoHyphens/>
              <w:jc w:val="right"/>
            </w:pPr>
            <w:r>
              <w:t xml:space="preserve">328.377</w:t>
            </w:r>
          </w:p>
        </w:tc>
        <w:tc>
          <w:tcPr>
            <w:tcW w:w="654" w:type="dxa"/>
          </w:tcPr>
          <w:p>
            <w:pPr>
              <w:pStyle w:val="IsiTabel"/>
              <w:suppressAutoHyphens/>
              <w:jc w:val="right"/>
            </w:pPr>
            <w:r>
              <w:t xml:space="preserve">241,9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(b, c)</w:t>
            </w:r>
          </w:p>
        </w:tc>
      </w:tr>
      <w:tr>
        <w:trPr>
          <w:cantSplit/>
        </w:trPr>
        <w:tc>
          <w:tcPr>
            <w:tcW w:w="2408" w:type="dxa"/>
          </w:tcPr>
          <w:p>
            <w:pPr>
              <w:pStyle w:val="IsiTabel"/>
              <w:suppressAutoHyphens/>
              <w:jc w:val="left"/>
            </w:pPr>
            <w:r>
              <w:t xml:space="preserve">Kab. Sumba Timur</w:t>
            </w:r>
          </w:p>
        </w:tc>
        <w:tc>
          <w:tcPr>
            <w:tcW w:w="1206" w:type="dxa"/>
          </w:tcPr>
          <w:p>
            <w:pPr>
              <w:pStyle w:val="IsiTabel"/>
              <w:suppressAutoHyphens/>
              <w:jc w:val="right"/>
            </w:pPr>
            <w:r>
              <w:t xml:space="preserve">260.611</w:t>
            </w:r>
          </w:p>
        </w:tc>
        <w:tc>
          <w:tcPr>
            <w:tcW w:w="654" w:type="dxa"/>
          </w:tcPr>
          <w:p>
            <w:pPr>
              <w:pStyle w:val="IsiTabel"/>
              <w:suppressAutoHyphens/>
              <w:jc w:val="right"/>
            </w:pPr>
            <w:r>
              <w:t xml:space="preserve">174,6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Sumba Barat</w:t>
            </w:r>
          </w:p>
        </w:tc>
        <w:tc>
          <w:tcPr>
            <w:tcW w:w="1206" w:type="dxa"/>
          </w:tcPr>
          <w:p>
            <w:pPr>
              <w:pStyle w:val="IsiTabel"/>
              <w:suppressAutoHyphens/>
              <w:jc w:val="right"/>
            </w:pPr>
            <w:r>
              <w:t xml:space="preserve">153.189</w:t>
            </w:r>
          </w:p>
        </w:tc>
        <w:tc>
          <w:tcPr>
            <w:tcW w:w="654" w:type="dxa"/>
          </w:tcPr>
          <w:p>
            <w:pPr>
              <w:pStyle w:val="IsiTabel"/>
              <w:suppressAutoHyphens/>
              <w:jc w:val="right"/>
            </w:pPr>
            <w:r>
              <w:t xml:space="preserve">193,3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Lembata</w:t>
            </w:r>
          </w:p>
        </w:tc>
        <w:tc>
          <w:tcPr>
            <w:tcW w:w="1206" w:type="dxa"/>
          </w:tcPr>
          <w:p>
            <w:pPr>
              <w:pStyle w:val="IsiTabel"/>
              <w:suppressAutoHyphens/>
              <w:jc w:val="right"/>
            </w:pPr>
            <w:r>
              <w:t xml:space="preserve">145.821</w:t>
            </w:r>
          </w:p>
        </w:tc>
        <w:tc>
          <w:tcPr>
            <w:tcW w:w="654" w:type="dxa"/>
          </w:tcPr>
          <w:p>
            <w:pPr>
              <w:pStyle w:val="IsiTabel"/>
              <w:suppressAutoHyphens/>
              <w:jc w:val="right"/>
            </w:pPr>
            <w:r>
              <w:t xml:space="preserve">205,3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 gelombang ekstrem dan abrasi (b, c)</w:t>
            </w:r>
          </w:p>
        </w:tc>
      </w:tr>
      <w:tr>
        <w:trPr>
          <w:cantSplit/>
        </w:trPr>
        <w:tc>
          <w:tcPr>
            <w:tcW w:w="2408" w:type="dxa"/>
          </w:tcPr>
          <w:p>
            <w:pPr>
              <w:pStyle w:val="IsiTabel"/>
              <w:suppressAutoHyphens/>
              <w:jc w:val="left"/>
            </w:pPr>
            <w:r>
              <w:t xml:space="preserve">Kab. Rote Ndao</w:t>
            </w:r>
          </w:p>
        </w:tc>
        <w:tc>
          <w:tcPr>
            <w:tcW w:w="1206" w:type="dxa"/>
          </w:tcPr>
          <w:p>
            <w:pPr>
              <w:pStyle w:val="IsiTabel"/>
              <w:suppressAutoHyphens/>
              <w:jc w:val="right"/>
            </w:pPr>
            <w:r>
              <w:t xml:space="preserve">153.674</w:t>
            </w:r>
          </w:p>
        </w:tc>
        <w:tc>
          <w:tcPr>
            <w:tcW w:w="654" w:type="dxa"/>
          </w:tcPr>
          <w:p>
            <w:pPr>
              <w:pStyle w:val="IsiTabel"/>
              <w:suppressAutoHyphens/>
              <w:jc w:val="right"/>
            </w:pPr>
            <w:r>
              <w:t xml:space="preserve">188,1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Manggarai Barat</w:t>
            </w:r>
          </w:p>
        </w:tc>
        <w:tc>
          <w:tcPr>
            <w:tcW w:w="1206" w:type="dxa"/>
          </w:tcPr>
          <w:p>
            <w:pPr>
              <w:pStyle w:val="IsiTabel"/>
              <w:suppressAutoHyphens/>
              <w:jc w:val="right"/>
            </w:pPr>
            <w:r>
              <w:t xml:space="preserve">270.961</w:t>
            </w:r>
          </w:p>
        </w:tc>
        <w:tc>
          <w:tcPr>
            <w:tcW w:w="654" w:type="dxa"/>
          </w:tcPr>
          <w:p>
            <w:pPr>
              <w:pStyle w:val="IsiTabel"/>
              <w:suppressAutoHyphens/>
              <w:jc w:val="right"/>
            </w:pPr>
            <w:r>
              <w:t xml:space="preserve">188,8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Nagekeo</w:t>
            </w:r>
          </w:p>
        </w:tc>
        <w:tc>
          <w:tcPr>
            <w:tcW w:w="1206" w:type="dxa"/>
          </w:tcPr>
          <w:p>
            <w:pPr>
              <w:pStyle w:val="IsiTabel"/>
              <w:suppressAutoHyphens/>
              <w:jc w:val="right"/>
            </w:pPr>
            <w:r>
              <w:t xml:space="preserve">171.197</w:t>
            </w:r>
          </w:p>
        </w:tc>
        <w:tc>
          <w:tcPr>
            <w:tcW w:w="654" w:type="dxa"/>
          </w:tcPr>
          <w:p>
            <w:pPr>
              <w:pStyle w:val="IsiTabel"/>
              <w:suppressAutoHyphens/>
              <w:jc w:val="right"/>
            </w:pPr>
            <w:r>
              <w:t xml:space="preserve">206,6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c)</w:t>
            </w:r>
          </w:p>
        </w:tc>
      </w:tr>
      <w:tr>
        <w:trPr>
          <w:cantSplit/>
        </w:trPr>
        <w:tc>
          <w:tcPr>
            <w:tcW w:w="2408" w:type="dxa"/>
          </w:tcPr>
          <w:p>
            <w:pPr>
              <w:pStyle w:val="IsiTabel"/>
              <w:suppressAutoHyphens/>
              <w:jc w:val="left"/>
            </w:pPr>
            <w:r>
              <w:t xml:space="preserve">Kab. Sumba Tengah</w:t>
            </w:r>
          </w:p>
        </w:tc>
        <w:tc>
          <w:tcPr>
            <w:tcW w:w="1206" w:type="dxa"/>
          </w:tcPr>
          <w:p>
            <w:pPr>
              <w:pStyle w:val="IsiTabel"/>
              <w:suppressAutoHyphens/>
              <w:jc w:val="right"/>
            </w:pPr>
            <w:r>
              <w:t xml:space="preserve">91.420</w:t>
            </w:r>
          </w:p>
        </w:tc>
        <w:tc>
          <w:tcPr>
            <w:tcW w:w="654" w:type="dxa"/>
          </w:tcPr>
          <w:p>
            <w:pPr>
              <w:pStyle w:val="IsiTabel"/>
              <w:suppressAutoHyphens/>
              <w:jc w:val="right"/>
            </w:pPr>
            <w:r>
              <w:t xml:space="preserve">197,6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Sumba Barat Daya</w:t>
            </w:r>
          </w:p>
        </w:tc>
        <w:tc>
          <w:tcPr>
            <w:tcW w:w="1206" w:type="dxa"/>
          </w:tcPr>
          <w:p>
            <w:pPr>
              <w:pStyle w:val="IsiTabel"/>
              <w:suppressAutoHyphens/>
              <w:jc w:val="right"/>
            </w:pPr>
            <w:r>
              <w:t xml:space="preserve">326.211</w:t>
            </w:r>
          </w:p>
        </w:tc>
        <w:tc>
          <w:tcPr>
            <w:tcW w:w="654" w:type="dxa"/>
          </w:tcPr>
          <w:p>
            <w:pPr>
              <w:pStyle w:val="IsiTabel"/>
              <w:suppressAutoHyphens/>
              <w:jc w:val="right"/>
            </w:pPr>
            <w:r>
              <w:t xml:space="preserve">220,5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Manggarai Timur</w:t>
            </w:r>
          </w:p>
        </w:tc>
        <w:tc>
          <w:tcPr>
            <w:tcW w:w="1206" w:type="dxa"/>
          </w:tcPr>
          <w:p>
            <w:pPr>
              <w:pStyle w:val="IsiTabel"/>
              <w:suppressAutoHyphens/>
              <w:jc w:val="right"/>
            </w:pPr>
            <w:r>
              <w:t xml:space="preserve">298.572</w:t>
            </w:r>
          </w:p>
        </w:tc>
        <w:tc>
          <w:tcPr>
            <w:tcW w:w="654" w:type="dxa"/>
          </w:tcPr>
          <w:p>
            <w:pPr>
              <w:pStyle w:val="IsiTabel"/>
              <w:suppressAutoHyphens/>
              <w:jc w:val="right"/>
            </w:pPr>
            <w:r>
              <w:t xml:space="preserve">172,9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Sabu Raijua</w:t>
            </w:r>
          </w:p>
        </w:tc>
        <w:tc>
          <w:tcPr>
            <w:tcW w:w="1206" w:type="dxa"/>
          </w:tcPr>
          <w:p>
            <w:pPr>
              <w:pStyle w:val="IsiTabel"/>
              <w:suppressAutoHyphens/>
              <w:jc w:val="right"/>
            </w:pPr>
            <w:r>
              <w:t xml:space="preserve">95.748</w:t>
            </w:r>
          </w:p>
        </w:tc>
        <w:tc>
          <w:tcPr>
            <w:tcW w:w="654" w:type="dxa"/>
          </w:tcPr>
          <w:p>
            <w:pPr>
              <w:pStyle w:val="IsiTabel"/>
              <w:suppressAutoHyphens/>
              <w:jc w:val="right"/>
            </w:pPr>
            <w:r>
              <w:t xml:space="preserve">198,0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kekeringan (a, b); tsunami (a, b)</w:t>
            </w:r>
          </w:p>
        </w:tc>
      </w:tr>
      <w:tr>
        <w:trPr>
          <w:cantSplit/>
        </w:trPr>
        <w:tc>
          <w:tcPr>
            <w:tcW w:w="2408" w:type="dxa"/>
          </w:tcPr>
          <w:p>
            <w:pPr>
              <w:pStyle w:val="IsiTabel"/>
              <w:suppressAutoHyphens/>
              <w:jc w:val="left"/>
            </w:pPr>
            <w:r>
              <w:t xml:space="preserve">Kab. Malaka</w:t>
            </w:r>
          </w:p>
        </w:tc>
        <w:tc>
          <w:tcPr>
            <w:tcW w:w="1206" w:type="dxa"/>
          </w:tcPr>
          <w:p>
            <w:pPr>
              <w:pStyle w:val="IsiTabel"/>
              <w:suppressAutoHyphens/>
              <w:jc w:val="right"/>
            </w:pPr>
            <w:r>
              <w:t xml:space="preserve">192.961</w:t>
            </w:r>
          </w:p>
        </w:tc>
        <w:tc>
          <w:tcPr>
            <w:tcW w:w="654" w:type="dxa"/>
          </w:tcPr>
          <w:p>
            <w:pPr>
              <w:pStyle w:val="IsiTabel"/>
              <w:suppressAutoHyphens/>
              <w:jc w:val="right"/>
            </w:pPr>
            <w:r>
              <w:t xml:space="preserve">233,1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Kupang</w:t>
            </w:r>
          </w:p>
        </w:tc>
        <w:tc>
          <w:tcPr>
            <w:tcW w:w="1206" w:type="dxa"/>
          </w:tcPr>
          <w:p>
            <w:pPr>
              <w:pStyle w:val="IsiTabel"/>
              <w:suppressAutoHyphens/>
              <w:jc w:val="right"/>
            </w:pPr>
            <w:r>
              <w:t xml:space="preserve">458.951</w:t>
            </w:r>
          </w:p>
        </w:tc>
        <w:tc>
          <w:tcPr>
            <w:tcW w:w="654" w:type="dxa"/>
          </w:tcPr>
          <w:p>
            <w:pPr>
              <w:pStyle w:val="IsiTabel"/>
              <w:suppressAutoHyphens/>
              <w:jc w:val="right"/>
            </w:pPr>
            <w:r>
              <w:t xml:space="preserve">187,5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(a, b, c)</w:t>
            </w:r>
          </w:p>
        </w:tc>
      </w:tr>
      <w:tr>
        <w:trPr>
          <w:cantSplit/>
        </w:trPr>
        <w:tc>
          <w:tcPr>
            <w:tcW w:w="9354" w:type="dxa"/>
            <w:gridSpan w:val="5"/>
            <w:shd w:val="clear" w:color="auto" w:fill="E6EAF0"/>
          </w:tcPr>
          <w:p>
            <w:pPr>
              <w:pStyle w:val="IsiTabel"/>
              <w:keepNext/>
              <w:suppressAutoHyphens/>
              <w:ind w:left="0"/>
            </w:pPr>
            <w:r>
              <w:rPr>
                <w:b/>
                <w:bCs/>
              </w:rPr>
              <w:t xml:space="preserve">Kalimantan Barat</w:t>
            </w:r>
          </w:p>
        </w:tc>
      </w:tr>
      <w:tr>
        <w:trPr>
          <w:cantSplit/>
        </w:trPr>
        <w:tc>
          <w:tcPr>
            <w:tcW w:w="2408" w:type="dxa"/>
          </w:tcPr>
          <w:p>
            <w:pPr>
              <w:pStyle w:val="IsiTabel"/>
              <w:suppressAutoHyphens/>
              <w:jc w:val="left"/>
            </w:pPr>
            <w:r>
              <w:t xml:space="preserve">Kab. Sambas</w:t>
            </w:r>
          </w:p>
        </w:tc>
        <w:tc>
          <w:tcPr>
            <w:tcW w:w="1206" w:type="dxa"/>
          </w:tcPr>
          <w:p>
            <w:pPr>
              <w:pStyle w:val="IsiTabel"/>
              <w:suppressAutoHyphens/>
              <w:jc w:val="right"/>
            </w:pPr>
            <w:r>
              <w:t xml:space="preserve">666.289</w:t>
            </w:r>
          </w:p>
        </w:tc>
        <w:tc>
          <w:tcPr>
            <w:tcW w:w="654" w:type="dxa"/>
          </w:tcPr>
          <w:p>
            <w:pPr>
              <w:pStyle w:val="IsiTabel"/>
              <w:suppressAutoHyphens/>
              <w:jc w:val="right"/>
            </w:pPr>
            <w:r>
              <w:t xml:space="preserve">109,6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2408" w:type="dxa"/>
          </w:tcPr>
          <w:p>
            <w:pPr>
              <w:pStyle w:val="IsiTabel"/>
              <w:suppressAutoHyphens/>
              <w:jc w:val="left"/>
            </w:pPr>
            <w:r>
              <w:t xml:space="preserve">Kab. Mempawah</w:t>
            </w:r>
          </w:p>
        </w:tc>
        <w:tc>
          <w:tcPr>
            <w:tcW w:w="1206" w:type="dxa"/>
          </w:tcPr>
          <w:p>
            <w:pPr>
              <w:pStyle w:val="IsiTabel"/>
              <w:suppressAutoHyphens/>
              <w:jc w:val="right"/>
            </w:pPr>
            <w:r>
              <w:t xml:space="preserve">306.788</w:t>
            </w:r>
          </w:p>
        </w:tc>
        <w:tc>
          <w:tcPr>
            <w:tcW w:w="654" w:type="dxa"/>
          </w:tcPr>
          <w:p>
            <w:pPr>
              <w:pStyle w:val="IsiTabel"/>
              <w:suppressAutoHyphens/>
              <w:jc w:val="right"/>
            </w:pPr>
            <w:r>
              <w:t xml:space="preserve">90,3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karhutla (a, b, c)</w:t>
            </w:r>
          </w:p>
        </w:tc>
      </w:tr>
      <w:tr>
        <w:trPr>
          <w:cantSplit/>
        </w:trPr>
        <w:tc>
          <w:tcPr>
            <w:tcW w:w="2408" w:type="dxa"/>
          </w:tcPr>
          <w:p>
            <w:pPr>
              <w:pStyle w:val="IsiTabel"/>
              <w:suppressAutoHyphens/>
              <w:jc w:val="left"/>
            </w:pPr>
            <w:r>
              <w:t xml:space="preserve">Kab. Sanggau</w:t>
            </w:r>
          </w:p>
        </w:tc>
        <w:tc>
          <w:tcPr>
            <w:tcW w:w="1206" w:type="dxa"/>
          </w:tcPr>
          <w:p>
            <w:pPr>
              <w:pStyle w:val="IsiTabel"/>
              <w:suppressAutoHyphens/>
              <w:jc w:val="right"/>
            </w:pPr>
            <w:r>
              <w:t xml:space="preserve">511.514</w:t>
            </w:r>
          </w:p>
        </w:tc>
        <w:tc>
          <w:tcPr>
            <w:tcW w:w="654" w:type="dxa"/>
          </w:tcPr>
          <w:p>
            <w:pPr>
              <w:pStyle w:val="IsiTabel"/>
              <w:suppressAutoHyphens/>
              <w:jc w:val="right"/>
            </w:pPr>
            <w:r>
              <w:t xml:space="preserve">113,4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2408" w:type="dxa"/>
          </w:tcPr>
          <w:p>
            <w:pPr>
              <w:pStyle w:val="IsiTabel"/>
              <w:suppressAutoHyphens/>
              <w:jc w:val="left"/>
            </w:pPr>
            <w:r>
              <w:t xml:space="preserve">Kab. Ketapang</w:t>
            </w:r>
          </w:p>
        </w:tc>
        <w:tc>
          <w:tcPr>
            <w:tcW w:w="1206" w:type="dxa"/>
          </w:tcPr>
          <w:p>
            <w:pPr>
              <w:pStyle w:val="IsiTabel"/>
              <w:suppressAutoHyphens/>
              <w:jc w:val="right"/>
            </w:pPr>
            <w:r>
              <w:t xml:space="preserve">614.433</w:t>
            </w:r>
          </w:p>
        </w:tc>
        <w:tc>
          <w:tcPr>
            <w:tcW w:w="654" w:type="dxa"/>
          </w:tcPr>
          <w:p>
            <w:pPr>
              <w:pStyle w:val="IsiTabel"/>
              <w:suppressAutoHyphens/>
              <w:jc w:val="right"/>
            </w:pPr>
            <w:r>
              <w:t xml:space="preserve">101,1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karhutla (a, b, c)</w:t>
            </w:r>
          </w:p>
        </w:tc>
      </w:tr>
      <w:tr>
        <w:trPr>
          <w:cantSplit/>
        </w:trPr>
        <w:tc>
          <w:tcPr>
            <w:tcW w:w="2408" w:type="dxa"/>
          </w:tcPr>
          <w:p>
            <w:pPr>
              <w:pStyle w:val="IsiTabel"/>
              <w:suppressAutoHyphens/>
              <w:jc w:val="left"/>
            </w:pPr>
            <w:r>
              <w:t xml:space="preserve">Kab. Sintang</w:t>
            </w:r>
          </w:p>
        </w:tc>
        <w:tc>
          <w:tcPr>
            <w:tcW w:w="1206" w:type="dxa"/>
          </w:tcPr>
          <w:p>
            <w:pPr>
              <w:pStyle w:val="IsiTabel"/>
              <w:suppressAutoHyphens/>
              <w:jc w:val="right"/>
            </w:pPr>
            <w:r>
              <w:t xml:space="preserve">448.448</w:t>
            </w:r>
          </w:p>
        </w:tc>
        <w:tc>
          <w:tcPr>
            <w:tcW w:w="654" w:type="dxa"/>
          </w:tcPr>
          <w:p>
            <w:pPr>
              <w:pStyle w:val="IsiTabel"/>
              <w:suppressAutoHyphens/>
              <w:jc w:val="right"/>
            </w:pPr>
            <w:r>
              <w:t xml:space="preserve">107,8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Kapuas Hulu</w:t>
            </w:r>
          </w:p>
        </w:tc>
        <w:tc>
          <w:tcPr>
            <w:tcW w:w="1206" w:type="dxa"/>
          </w:tcPr>
          <w:p>
            <w:pPr>
              <w:pStyle w:val="IsiTabel"/>
              <w:suppressAutoHyphens/>
              <w:jc w:val="right"/>
            </w:pPr>
            <w:r>
              <w:t xml:space="preserve">267.978</w:t>
            </w:r>
          </w:p>
        </w:tc>
        <w:tc>
          <w:tcPr>
            <w:tcW w:w="654" w:type="dxa"/>
          </w:tcPr>
          <w:p>
            <w:pPr>
              <w:pStyle w:val="IsiTabel"/>
              <w:suppressAutoHyphens/>
              <w:jc w:val="right"/>
            </w:pPr>
            <w:r>
              <w:t xml:space="preserve">137,6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karhutla (b, c)</w:t>
            </w:r>
          </w:p>
        </w:tc>
      </w:tr>
      <w:tr>
        <w:trPr>
          <w:cantSplit/>
        </w:trPr>
        <w:tc>
          <w:tcPr>
            <w:tcW w:w="2408" w:type="dxa"/>
          </w:tcPr>
          <w:p>
            <w:pPr>
              <w:pStyle w:val="IsiTabel"/>
              <w:suppressAutoHyphens/>
              <w:jc w:val="left"/>
            </w:pPr>
            <w:r>
              <w:t xml:space="preserve">Kab. Bengkayang</w:t>
            </w:r>
          </w:p>
        </w:tc>
        <w:tc>
          <w:tcPr>
            <w:tcW w:w="1206" w:type="dxa"/>
          </w:tcPr>
          <w:p>
            <w:pPr>
              <w:pStyle w:val="IsiTabel"/>
              <w:suppressAutoHyphens/>
              <w:jc w:val="right"/>
            </w:pPr>
            <w:r>
              <w:t xml:space="preserve">308.313</w:t>
            </w:r>
          </w:p>
        </w:tc>
        <w:tc>
          <w:tcPr>
            <w:tcW w:w="654" w:type="dxa"/>
          </w:tcPr>
          <w:p>
            <w:pPr>
              <w:pStyle w:val="IsiTabel"/>
              <w:suppressAutoHyphens/>
              <w:jc w:val="right"/>
            </w:pPr>
            <w:r>
              <w:t xml:space="preserve">103,1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Landak</w:t>
            </w:r>
          </w:p>
        </w:tc>
        <w:tc>
          <w:tcPr>
            <w:tcW w:w="1206" w:type="dxa"/>
          </w:tcPr>
          <w:p>
            <w:pPr>
              <w:pStyle w:val="IsiTabel"/>
              <w:suppressAutoHyphens/>
              <w:jc w:val="right"/>
            </w:pPr>
            <w:r>
              <w:t xml:space="preserve">423.146</w:t>
            </w:r>
          </w:p>
        </w:tc>
        <w:tc>
          <w:tcPr>
            <w:tcW w:w="654" w:type="dxa"/>
          </w:tcPr>
          <w:p>
            <w:pPr>
              <w:pStyle w:val="IsiTabel"/>
              <w:suppressAutoHyphens/>
              <w:jc w:val="right"/>
            </w:pPr>
            <w:r>
              <w:t xml:space="preserve">140,6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Sekadau</w:t>
            </w:r>
          </w:p>
        </w:tc>
        <w:tc>
          <w:tcPr>
            <w:tcW w:w="1206" w:type="dxa"/>
          </w:tcPr>
          <w:p>
            <w:pPr>
              <w:pStyle w:val="IsiTabel"/>
              <w:suppressAutoHyphens/>
              <w:jc w:val="right"/>
            </w:pPr>
            <w:r>
              <w:t xml:space="preserve">223.415</w:t>
            </w:r>
          </w:p>
        </w:tc>
        <w:tc>
          <w:tcPr>
            <w:tcW w:w="654" w:type="dxa"/>
          </w:tcPr>
          <w:p>
            <w:pPr>
              <w:pStyle w:val="IsiTabel"/>
              <w:suppressAutoHyphens/>
              <w:jc w:val="right"/>
            </w:pPr>
            <w:r>
              <w:t xml:space="preserve">105,6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Melawi</w:t>
            </w:r>
          </w:p>
        </w:tc>
        <w:tc>
          <w:tcPr>
            <w:tcW w:w="1206" w:type="dxa"/>
          </w:tcPr>
          <w:p>
            <w:pPr>
              <w:pStyle w:val="IsiTabel"/>
              <w:suppressAutoHyphens/>
              <w:jc w:val="right"/>
            </w:pPr>
            <w:r>
              <w:t xml:space="preserve">240.451</w:t>
            </w:r>
          </w:p>
        </w:tc>
        <w:tc>
          <w:tcPr>
            <w:tcW w:w="654" w:type="dxa"/>
          </w:tcPr>
          <w:p>
            <w:pPr>
              <w:pStyle w:val="IsiTabel"/>
              <w:suppressAutoHyphens/>
              <w:jc w:val="right"/>
            </w:pPr>
            <w:r>
              <w:t xml:space="preserve">137,8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cuaca ekstrem (a, b); karhutla (a, b, c)</w:t>
            </w:r>
          </w:p>
        </w:tc>
      </w:tr>
      <w:tr>
        <w:trPr>
          <w:cantSplit/>
        </w:trPr>
        <w:tc>
          <w:tcPr>
            <w:tcW w:w="2408" w:type="dxa"/>
          </w:tcPr>
          <w:p>
            <w:pPr>
              <w:pStyle w:val="IsiTabel"/>
              <w:suppressAutoHyphens/>
              <w:jc w:val="left"/>
            </w:pPr>
            <w:r>
              <w:t xml:space="preserve">Kab. Kayong Utara</w:t>
            </w:r>
          </w:p>
        </w:tc>
        <w:tc>
          <w:tcPr>
            <w:tcW w:w="1206" w:type="dxa"/>
          </w:tcPr>
          <w:p>
            <w:pPr>
              <w:pStyle w:val="IsiTabel"/>
              <w:suppressAutoHyphens/>
              <w:jc w:val="right"/>
            </w:pPr>
            <w:r>
              <w:t xml:space="preserve">133.856</w:t>
            </w:r>
          </w:p>
        </w:tc>
        <w:tc>
          <w:tcPr>
            <w:tcW w:w="654" w:type="dxa"/>
          </w:tcPr>
          <w:p>
            <w:pPr>
              <w:pStyle w:val="IsiTabel"/>
              <w:suppressAutoHyphens/>
              <w:jc w:val="right"/>
            </w:pPr>
            <w:r>
              <w:t xml:space="preserve">127,9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Kubu Raya</w:t>
            </w:r>
          </w:p>
        </w:tc>
        <w:tc>
          <w:tcPr>
            <w:tcW w:w="1206" w:type="dxa"/>
          </w:tcPr>
          <w:p>
            <w:pPr>
              <w:pStyle w:val="IsiTabel"/>
              <w:suppressAutoHyphens/>
              <w:jc w:val="right"/>
            </w:pPr>
            <w:r>
              <w:t xml:space="preserve">642.542</w:t>
            </w:r>
          </w:p>
        </w:tc>
        <w:tc>
          <w:tcPr>
            <w:tcW w:w="654" w:type="dxa"/>
          </w:tcPr>
          <w:p>
            <w:pPr>
              <w:pStyle w:val="IsiTabel"/>
              <w:suppressAutoHyphens/>
              <w:jc w:val="right"/>
            </w:pPr>
            <w:r>
              <w:t xml:space="preserve">117,9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 karhutla (a, b)</w:t>
            </w:r>
          </w:p>
        </w:tc>
      </w:tr>
      <w:tr>
        <w:trPr>
          <w:cantSplit/>
        </w:trPr>
        <w:tc>
          <w:tcPr>
            <w:tcW w:w="2408" w:type="dxa"/>
          </w:tcPr>
          <w:p>
            <w:pPr>
              <w:pStyle w:val="IsiTabel"/>
              <w:suppressAutoHyphens/>
              <w:jc w:val="left"/>
            </w:pPr>
            <w:r>
              <w:t xml:space="preserve">Kota Pontianak</w:t>
            </w:r>
          </w:p>
        </w:tc>
        <w:tc>
          <w:tcPr>
            <w:tcW w:w="1206" w:type="dxa"/>
          </w:tcPr>
          <w:p>
            <w:pPr>
              <w:pStyle w:val="IsiTabel"/>
              <w:suppressAutoHyphens/>
              <w:jc w:val="right"/>
            </w:pPr>
            <w:r>
              <w:t xml:space="preserve">711.260</w:t>
            </w:r>
          </w:p>
        </w:tc>
        <w:tc>
          <w:tcPr>
            <w:tcW w:w="654" w:type="dxa"/>
          </w:tcPr>
          <w:p>
            <w:pPr>
              <w:pStyle w:val="IsiTabel"/>
              <w:suppressAutoHyphens/>
              <w:jc w:val="right"/>
            </w:pPr>
            <w:r>
              <w:t xml:space="preserve">50,1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karhutla (b, c)</w:t>
            </w:r>
          </w:p>
        </w:tc>
      </w:tr>
      <w:tr>
        <w:trPr>
          <w:cantSplit/>
        </w:trPr>
        <w:tc>
          <w:tcPr>
            <w:tcW w:w="2408" w:type="dxa"/>
          </w:tcPr>
          <w:p>
            <w:pPr>
              <w:pStyle w:val="IsiTabel"/>
              <w:suppressAutoHyphens/>
              <w:jc w:val="left"/>
            </w:pPr>
            <w:r>
              <w:t xml:space="preserve">Kota Singkawang</w:t>
            </w:r>
          </w:p>
        </w:tc>
        <w:tc>
          <w:tcPr>
            <w:tcW w:w="1206" w:type="dxa"/>
          </w:tcPr>
          <w:p>
            <w:pPr>
              <w:pStyle w:val="IsiTabel"/>
              <w:suppressAutoHyphens/>
              <w:jc w:val="right"/>
            </w:pPr>
            <w:r>
              <w:t xml:space="preserve">252.270</w:t>
            </w:r>
          </w:p>
        </w:tc>
        <w:tc>
          <w:tcPr>
            <w:tcW w:w="654" w:type="dxa"/>
          </w:tcPr>
          <w:p>
            <w:pPr>
              <w:pStyle w:val="IsiTabel"/>
              <w:suppressAutoHyphens/>
              <w:jc w:val="right"/>
            </w:pPr>
            <w:r>
              <w:t xml:space="preserve">143,6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9354" w:type="dxa"/>
            <w:gridSpan w:val="5"/>
            <w:shd w:val="clear" w:color="auto" w:fill="E6EAF0"/>
          </w:tcPr>
          <w:p>
            <w:pPr>
              <w:pStyle w:val="IsiTabel"/>
              <w:keepNext/>
              <w:suppressAutoHyphens/>
              <w:ind w:left="0"/>
            </w:pPr>
            <w:r>
              <w:rPr>
                <w:b/>
                <w:bCs/>
              </w:rPr>
              <w:t xml:space="preserve">Kalimantan Tengah</w:t>
            </w:r>
          </w:p>
        </w:tc>
      </w:tr>
      <w:tr>
        <w:trPr>
          <w:cantSplit/>
        </w:trPr>
        <w:tc>
          <w:tcPr>
            <w:tcW w:w="2408" w:type="dxa"/>
          </w:tcPr>
          <w:p>
            <w:pPr>
              <w:pStyle w:val="IsiTabel"/>
              <w:suppressAutoHyphens/>
              <w:jc w:val="left"/>
            </w:pPr>
            <w:r>
              <w:t xml:space="preserve">Kab. Kotawaringin Barat</w:t>
            </w:r>
          </w:p>
        </w:tc>
        <w:tc>
          <w:tcPr>
            <w:tcW w:w="1206" w:type="dxa"/>
          </w:tcPr>
          <w:p>
            <w:pPr>
              <w:pStyle w:val="IsiTabel"/>
              <w:suppressAutoHyphens/>
              <w:jc w:val="right"/>
            </w:pPr>
            <w:r>
              <w:t xml:space="preserve">285.869</w:t>
            </w:r>
          </w:p>
        </w:tc>
        <w:tc>
          <w:tcPr>
            <w:tcW w:w="654" w:type="dxa"/>
          </w:tcPr>
          <w:p>
            <w:pPr>
              <w:pStyle w:val="IsiTabel"/>
              <w:suppressAutoHyphens/>
              <w:jc w:val="right"/>
            </w:pPr>
            <w:r>
              <w:t xml:space="preserve">85,1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Kotawaringin Timur</w:t>
            </w:r>
          </w:p>
        </w:tc>
        <w:tc>
          <w:tcPr>
            <w:tcW w:w="1206" w:type="dxa"/>
          </w:tcPr>
          <w:p>
            <w:pPr>
              <w:pStyle w:val="IsiTabel"/>
              <w:suppressAutoHyphens/>
              <w:jc w:val="right"/>
            </w:pPr>
            <w:r>
              <w:t xml:space="preserve">456.236</w:t>
            </w:r>
          </w:p>
        </w:tc>
        <w:tc>
          <w:tcPr>
            <w:tcW w:w="654" w:type="dxa"/>
          </w:tcPr>
          <w:p>
            <w:pPr>
              <w:pStyle w:val="IsiTabel"/>
              <w:suppressAutoHyphens/>
              <w:jc w:val="right"/>
            </w:pPr>
            <w:r>
              <w:t xml:space="preserve">85,8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Kapuas</w:t>
            </w:r>
          </w:p>
        </w:tc>
        <w:tc>
          <w:tcPr>
            <w:tcW w:w="1206" w:type="dxa"/>
          </w:tcPr>
          <w:p>
            <w:pPr>
              <w:pStyle w:val="IsiTabel"/>
              <w:suppressAutoHyphens/>
              <w:jc w:val="right"/>
            </w:pPr>
            <w:r>
              <w:t xml:space="preserve">438.180</w:t>
            </w:r>
          </w:p>
        </w:tc>
        <w:tc>
          <w:tcPr>
            <w:tcW w:w="654" w:type="dxa"/>
          </w:tcPr>
          <w:p>
            <w:pPr>
              <w:pStyle w:val="IsiTabel"/>
              <w:suppressAutoHyphens/>
              <w:jc w:val="right"/>
            </w:pPr>
            <w:r>
              <w:t xml:space="preserve">126,3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Barito Selatan</w:t>
            </w:r>
          </w:p>
        </w:tc>
        <w:tc>
          <w:tcPr>
            <w:tcW w:w="1206" w:type="dxa"/>
          </w:tcPr>
          <w:p>
            <w:pPr>
              <w:pStyle w:val="IsiTabel"/>
              <w:suppressAutoHyphens/>
              <w:jc w:val="right"/>
            </w:pPr>
            <w:r>
              <w:t xml:space="preserve">138.568</w:t>
            </w:r>
          </w:p>
        </w:tc>
        <w:tc>
          <w:tcPr>
            <w:tcW w:w="654" w:type="dxa"/>
          </w:tcPr>
          <w:p>
            <w:pPr>
              <w:pStyle w:val="IsiTabel"/>
              <w:suppressAutoHyphens/>
              <w:jc w:val="right"/>
            </w:pPr>
            <w:r>
              <w:t xml:space="preserve">117,5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Barito Utara</w:t>
            </w:r>
          </w:p>
        </w:tc>
        <w:tc>
          <w:tcPr>
            <w:tcW w:w="1206" w:type="dxa"/>
          </w:tcPr>
          <w:p>
            <w:pPr>
              <w:pStyle w:val="IsiTabel"/>
              <w:suppressAutoHyphens/>
              <w:jc w:val="right"/>
            </w:pPr>
            <w:r>
              <w:t xml:space="preserve">163.933</w:t>
            </w:r>
          </w:p>
        </w:tc>
        <w:tc>
          <w:tcPr>
            <w:tcW w:w="654" w:type="dxa"/>
          </w:tcPr>
          <w:p>
            <w:pPr>
              <w:pStyle w:val="IsiTabel"/>
              <w:suppressAutoHyphens/>
              <w:jc w:val="right"/>
            </w:pPr>
            <w:r>
              <w:t xml:space="preserve">103,9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Katingan</w:t>
            </w:r>
          </w:p>
        </w:tc>
        <w:tc>
          <w:tcPr>
            <w:tcW w:w="1206" w:type="dxa"/>
          </w:tcPr>
          <w:p>
            <w:pPr>
              <w:pStyle w:val="IsiTabel"/>
              <w:suppressAutoHyphens/>
              <w:jc w:val="right"/>
            </w:pPr>
            <w:r>
              <w:t xml:space="preserve">171.166</w:t>
            </w:r>
          </w:p>
        </w:tc>
        <w:tc>
          <w:tcPr>
            <w:tcW w:w="654" w:type="dxa"/>
          </w:tcPr>
          <w:p>
            <w:pPr>
              <w:pStyle w:val="IsiTabel"/>
              <w:suppressAutoHyphens/>
              <w:jc w:val="right"/>
            </w:pPr>
            <w:r>
              <w:t xml:space="preserve">131,8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Seruyan</w:t>
            </w:r>
          </w:p>
        </w:tc>
        <w:tc>
          <w:tcPr>
            <w:tcW w:w="1206" w:type="dxa"/>
          </w:tcPr>
          <w:p>
            <w:pPr>
              <w:pStyle w:val="IsiTabel"/>
              <w:suppressAutoHyphens/>
              <w:jc w:val="right"/>
            </w:pPr>
            <w:r>
              <w:t xml:space="preserve">171.252</w:t>
            </w:r>
          </w:p>
        </w:tc>
        <w:tc>
          <w:tcPr>
            <w:tcW w:w="654" w:type="dxa"/>
          </w:tcPr>
          <w:p>
            <w:pPr>
              <w:pStyle w:val="IsiTabel"/>
              <w:suppressAutoHyphens/>
              <w:jc w:val="right"/>
            </w:pPr>
            <w:r>
              <w:t xml:space="preserve">117,9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Sukamara</w:t>
            </w:r>
          </w:p>
        </w:tc>
        <w:tc>
          <w:tcPr>
            <w:tcW w:w="1206" w:type="dxa"/>
          </w:tcPr>
          <w:p>
            <w:pPr>
              <w:pStyle w:val="IsiTabel"/>
              <w:suppressAutoHyphens/>
              <w:jc w:val="right"/>
            </w:pPr>
            <w:r>
              <w:t xml:space="preserve">57.711</w:t>
            </w:r>
          </w:p>
        </w:tc>
        <w:tc>
          <w:tcPr>
            <w:tcW w:w="654" w:type="dxa"/>
          </w:tcPr>
          <w:p>
            <w:pPr>
              <w:pStyle w:val="IsiTabel"/>
              <w:suppressAutoHyphens/>
              <w:jc w:val="right"/>
            </w:pPr>
            <w:r>
              <w:t xml:space="preserve">106,2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Lamandau</w:t>
            </w:r>
          </w:p>
        </w:tc>
        <w:tc>
          <w:tcPr>
            <w:tcW w:w="1206" w:type="dxa"/>
          </w:tcPr>
          <w:p>
            <w:pPr>
              <w:pStyle w:val="IsiTabel"/>
              <w:suppressAutoHyphens/>
              <w:jc w:val="right"/>
            </w:pPr>
            <w:r>
              <w:t xml:space="preserve">103.321</w:t>
            </w:r>
          </w:p>
        </w:tc>
        <w:tc>
          <w:tcPr>
            <w:tcW w:w="654" w:type="dxa"/>
          </w:tcPr>
          <w:p>
            <w:pPr>
              <w:pStyle w:val="IsiTabel"/>
              <w:suppressAutoHyphens/>
              <w:jc w:val="right"/>
            </w:pPr>
            <w:r>
              <w:t xml:space="preserve">102,4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Gunung Mas</w:t>
            </w:r>
          </w:p>
        </w:tc>
        <w:tc>
          <w:tcPr>
            <w:tcW w:w="1206" w:type="dxa"/>
          </w:tcPr>
          <w:p>
            <w:pPr>
              <w:pStyle w:val="IsiTabel"/>
              <w:suppressAutoHyphens/>
              <w:jc w:val="right"/>
            </w:pPr>
            <w:r>
              <w:t xml:space="preserve">143.494</w:t>
            </w:r>
          </w:p>
        </w:tc>
        <w:tc>
          <w:tcPr>
            <w:tcW w:w="654" w:type="dxa"/>
          </w:tcPr>
          <w:p>
            <w:pPr>
              <w:pStyle w:val="IsiTabel"/>
              <w:suppressAutoHyphens/>
              <w:jc w:val="right"/>
            </w:pPr>
            <w:r>
              <w:t xml:space="preserve">115,5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Pulang Pisau</w:t>
            </w:r>
          </w:p>
        </w:tc>
        <w:tc>
          <w:tcPr>
            <w:tcW w:w="1206" w:type="dxa"/>
          </w:tcPr>
          <w:p>
            <w:pPr>
              <w:pStyle w:val="IsiTabel"/>
              <w:suppressAutoHyphens/>
              <w:jc w:val="right"/>
            </w:pPr>
            <w:r>
              <w:t xml:space="preserve">143.415</w:t>
            </w:r>
          </w:p>
        </w:tc>
        <w:tc>
          <w:tcPr>
            <w:tcW w:w="654" w:type="dxa"/>
          </w:tcPr>
          <w:p>
            <w:pPr>
              <w:pStyle w:val="IsiTabel"/>
              <w:suppressAutoHyphens/>
              <w:jc w:val="right"/>
            </w:pPr>
            <w:r>
              <w:t xml:space="preserve">71,1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Murung Raya</w:t>
            </w:r>
          </w:p>
        </w:tc>
        <w:tc>
          <w:tcPr>
            <w:tcW w:w="1206" w:type="dxa"/>
          </w:tcPr>
          <w:p>
            <w:pPr>
              <w:pStyle w:val="IsiTabel"/>
              <w:suppressAutoHyphens/>
              <w:jc w:val="right"/>
            </w:pPr>
            <w:r>
              <w:t xml:space="preserve">118.377</w:t>
            </w:r>
          </w:p>
        </w:tc>
        <w:tc>
          <w:tcPr>
            <w:tcW w:w="654" w:type="dxa"/>
          </w:tcPr>
          <w:p>
            <w:pPr>
              <w:pStyle w:val="IsiTabel"/>
              <w:suppressAutoHyphens/>
              <w:jc w:val="right"/>
            </w:pPr>
            <w:r>
              <w:t xml:space="preserve">135,9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Barito Timur</w:t>
            </w:r>
          </w:p>
        </w:tc>
        <w:tc>
          <w:tcPr>
            <w:tcW w:w="1206" w:type="dxa"/>
          </w:tcPr>
          <w:p>
            <w:pPr>
              <w:pStyle w:val="IsiTabel"/>
              <w:suppressAutoHyphens/>
              <w:jc w:val="right"/>
            </w:pPr>
            <w:r>
              <w:t xml:space="preserve">121.134</w:t>
            </w:r>
          </w:p>
        </w:tc>
        <w:tc>
          <w:tcPr>
            <w:tcW w:w="654" w:type="dxa"/>
          </w:tcPr>
          <w:p>
            <w:pPr>
              <w:pStyle w:val="IsiTabel"/>
              <w:suppressAutoHyphens/>
              <w:jc w:val="right"/>
            </w:pPr>
            <w:r>
              <w:t xml:space="preserve">102,6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Palangkaraya</w:t>
            </w:r>
          </w:p>
        </w:tc>
        <w:tc>
          <w:tcPr>
            <w:tcW w:w="1206" w:type="dxa"/>
          </w:tcPr>
          <w:p>
            <w:pPr>
              <w:pStyle w:val="IsiTabel"/>
              <w:suppressAutoHyphens/>
              <w:jc w:val="right"/>
            </w:pPr>
            <w:r>
              <w:t xml:space="preserve">310.917</w:t>
            </w:r>
          </w:p>
        </w:tc>
        <w:tc>
          <w:tcPr>
            <w:tcW w:w="654" w:type="dxa"/>
          </w:tcPr>
          <w:p>
            <w:pPr>
              <w:pStyle w:val="IsiTabel"/>
              <w:suppressAutoHyphens/>
              <w:jc w:val="right"/>
            </w:pPr>
            <w:r>
              <w:t xml:space="preserve">64,7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9354" w:type="dxa"/>
            <w:gridSpan w:val="5"/>
            <w:shd w:val="clear" w:color="auto" w:fill="E6EAF0"/>
          </w:tcPr>
          <w:p>
            <w:pPr>
              <w:pStyle w:val="IsiTabel"/>
              <w:keepNext/>
              <w:suppressAutoHyphens/>
              <w:ind w:left="0"/>
            </w:pPr>
            <w:r>
              <w:rPr>
                <w:b/>
                <w:bCs/>
              </w:rPr>
              <w:t xml:space="preserve">Kalimantan Selatan</w:t>
            </w:r>
          </w:p>
        </w:tc>
      </w:tr>
      <w:tr>
        <w:trPr>
          <w:cantSplit/>
        </w:trPr>
        <w:tc>
          <w:tcPr>
            <w:tcW w:w="2408" w:type="dxa"/>
          </w:tcPr>
          <w:p>
            <w:pPr>
              <w:pStyle w:val="IsiTabel"/>
              <w:suppressAutoHyphens/>
              <w:jc w:val="left"/>
            </w:pPr>
            <w:r>
              <w:t xml:space="preserve">Kab. Tanah Laut</w:t>
            </w:r>
          </w:p>
        </w:tc>
        <w:tc>
          <w:tcPr>
            <w:tcW w:w="1206" w:type="dxa"/>
          </w:tcPr>
          <w:p>
            <w:pPr>
              <w:pStyle w:val="IsiTabel"/>
              <w:suppressAutoHyphens/>
              <w:jc w:val="right"/>
            </w:pPr>
            <w:r>
              <w:t xml:space="preserve">371.260</w:t>
            </w:r>
          </w:p>
        </w:tc>
        <w:tc>
          <w:tcPr>
            <w:tcW w:w="654" w:type="dxa"/>
          </w:tcPr>
          <w:p>
            <w:pPr>
              <w:pStyle w:val="IsiTabel"/>
              <w:suppressAutoHyphens/>
              <w:jc w:val="right"/>
            </w:pPr>
            <w:r>
              <w:t xml:space="preserve">131,8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Kotabaru</w:t>
            </w:r>
          </w:p>
        </w:tc>
        <w:tc>
          <w:tcPr>
            <w:tcW w:w="1206" w:type="dxa"/>
          </w:tcPr>
          <w:p>
            <w:pPr>
              <w:pStyle w:val="IsiTabel"/>
              <w:suppressAutoHyphens/>
              <w:jc w:val="right"/>
            </w:pPr>
            <w:r>
              <w:t xml:space="preserve">343.128</w:t>
            </w:r>
          </w:p>
        </w:tc>
        <w:tc>
          <w:tcPr>
            <w:tcW w:w="654" w:type="dxa"/>
          </w:tcPr>
          <w:p>
            <w:pPr>
              <w:pStyle w:val="IsiTabel"/>
              <w:suppressAutoHyphens/>
              <w:jc w:val="right"/>
            </w:pPr>
            <w:r>
              <w:t xml:space="preserve">108,0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Banjar</w:t>
            </w:r>
          </w:p>
        </w:tc>
        <w:tc>
          <w:tcPr>
            <w:tcW w:w="1206" w:type="dxa"/>
          </w:tcPr>
          <w:p>
            <w:pPr>
              <w:pStyle w:val="IsiTabel"/>
              <w:suppressAutoHyphens/>
              <w:jc w:val="right"/>
            </w:pPr>
            <w:r>
              <w:t xml:space="preserve">607.367</w:t>
            </w:r>
          </w:p>
        </w:tc>
        <w:tc>
          <w:tcPr>
            <w:tcW w:w="654" w:type="dxa"/>
          </w:tcPr>
          <w:p>
            <w:pPr>
              <w:pStyle w:val="IsiTabel"/>
              <w:suppressAutoHyphens/>
              <w:jc w:val="right"/>
            </w:pPr>
            <w:r>
              <w:t xml:space="preserve">75,7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Barito Kuala</w:t>
            </w:r>
          </w:p>
        </w:tc>
        <w:tc>
          <w:tcPr>
            <w:tcW w:w="1206" w:type="dxa"/>
          </w:tcPr>
          <w:p>
            <w:pPr>
              <w:pStyle w:val="IsiTabel"/>
              <w:suppressAutoHyphens/>
              <w:jc w:val="right"/>
            </w:pPr>
            <w:r>
              <w:t xml:space="preserve">363.271</w:t>
            </w:r>
          </w:p>
        </w:tc>
        <w:tc>
          <w:tcPr>
            <w:tcW w:w="654" w:type="dxa"/>
          </w:tcPr>
          <w:p>
            <w:pPr>
              <w:pStyle w:val="IsiTabel"/>
              <w:suppressAutoHyphens/>
              <w:jc w:val="right"/>
            </w:pPr>
            <w:r>
              <w:t xml:space="preserve">67,6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Tapin</w:t>
            </w:r>
          </w:p>
        </w:tc>
        <w:tc>
          <w:tcPr>
            <w:tcW w:w="1206" w:type="dxa"/>
          </w:tcPr>
          <w:p>
            <w:pPr>
              <w:pStyle w:val="IsiTabel"/>
              <w:suppressAutoHyphens/>
              <w:jc w:val="right"/>
            </w:pPr>
            <w:r>
              <w:t xml:space="preserve">200.385</w:t>
            </w:r>
          </w:p>
        </w:tc>
        <w:tc>
          <w:tcPr>
            <w:tcW w:w="654" w:type="dxa"/>
          </w:tcPr>
          <w:p>
            <w:pPr>
              <w:pStyle w:val="IsiTabel"/>
              <w:suppressAutoHyphens/>
              <w:jc w:val="right"/>
            </w:pPr>
            <w:r>
              <w:t xml:space="preserve">79,6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Hulu Sungai Selatan</w:t>
            </w:r>
          </w:p>
        </w:tc>
        <w:tc>
          <w:tcPr>
            <w:tcW w:w="1206" w:type="dxa"/>
          </w:tcPr>
          <w:p>
            <w:pPr>
              <w:pStyle w:val="IsiTabel"/>
              <w:suppressAutoHyphens/>
              <w:jc w:val="right"/>
            </w:pPr>
            <w:r>
              <w:t xml:space="preserve">245.200</w:t>
            </w:r>
          </w:p>
        </w:tc>
        <w:tc>
          <w:tcPr>
            <w:tcW w:w="654" w:type="dxa"/>
          </w:tcPr>
          <w:p>
            <w:pPr>
              <w:pStyle w:val="IsiTabel"/>
              <w:suppressAutoHyphens/>
              <w:jc w:val="right"/>
            </w:pPr>
            <w:r>
              <w:t xml:space="preserve">93,5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Hulu Sungai Tengah</w:t>
            </w:r>
          </w:p>
        </w:tc>
        <w:tc>
          <w:tcPr>
            <w:tcW w:w="1206" w:type="dxa"/>
          </w:tcPr>
          <w:p>
            <w:pPr>
              <w:pStyle w:val="IsiTabel"/>
              <w:suppressAutoHyphens/>
              <w:jc w:val="right"/>
            </w:pPr>
            <w:r>
              <w:t xml:space="preserve">273.292</w:t>
            </w:r>
          </w:p>
        </w:tc>
        <w:tc>
          <w:tcPr>
            <w:tcW w:w="654" w:type="dxa"/>
          </w:tcPr>
          <w:p>
            <w:pPr>
              <w:pStyle w:val="IsiTabel"/>
              <w:suppressAutoHyphens/>
              <w:jc w:val="right"/>
            </w:pPr>
            <w:r>
              <w:t xml:space="preserve">105,2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(a, b)</w:t>
            </w:r>
          </w:p>
        </w:tc>
      </w:tr>
      <w:tr>
        <w:trPr>
          <w:cantSplit/>
        </w:trPr>
        <w:tc>
          <w:tcPr>
            <w:tcW w:w="2408" w:type="dxa"/>
          </w:tcPr>
          <w:p>
            <w:pPr>
              <w:pStyle w:val="IsiTabel"/>
              <w:suppressAutoHyphens/>
              <w:jc w:val="left"/>
            </w:pPr>
            <w:r>
              <w:t xml:space="preserve">Kab. Hulu Sungai Utara</w:t>
            </w:r>
          </w:p>
        </w:tc>
        <w:tc>
          <w:tcPr>
            <w:tcW w:w="1206" w:type="dxa"/>
          </w:tcPr>
          <w:p>
            <w:pPr>
              <w:pStyle w:val="IsiTabel"/>
              <w:suppressAutoHyphens/>
              <w:jc w:val="right"/>
            </w:pPr>
            <w:r>
              <w:t xml:space="preserve">234.642</w:t>
            </w:r>
          </w:p>
        </w:tc>
        <w:tc>
          <w:tcPr>
            <w:tcW w:w="654" w:type="dxa"/>
          </w:tcPr>
          <w:p>
            <w:pPr>
              <w:pStyle w:val="IsiTabel"/>
              <w:suppressAutoHyphens/>
              <w:jc w:val="right"/>
            </w:pPr>
            <w:r>
              <w:t xml:space="preserve">52,6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Tabalong</w:t>
            </w:r>
          </w:p>
        </w:tc>
        <w:tc>
          <w:tcPr>
            <w:tcW w:w="1206" w:type="dxa"/>
          </w:tcPr>
          <w:p>
            <w:pPr>
              <w:pStyle w:val="IsiTabel"/>
              <w:suppressAutoHyphens/>
              <w:jc w:val="right"/>
            </w:pPr>
            <w:r>
              <w:t xml:space="preserve">270.597</w:t>
            </w:r>
          </w:p>
        </w:tc>
        <w:tc>
          <w:tcPr>
            <w:tcW w:w="654" w:type="dxa"/>
          </w:tcPr>
          <w:p>
            <w:pPr>
              <w:pStyle w:val="IsiTabel"/>
              <w:suppressAutoHyphens/>
              <w:jc w:val="right"/>
            </w:pPr>
            <w:r>
              <w:t xml:space="preserve">97,0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Tanah Bumbu</w:t>
            </w:r>
          </w:p>
        </w:tc>
        <w:tc>
          <w:tcPr>
            <w:tcW w:w="1206" w:type="dxa"/>
          </w:tcPr>
          <w:p>
            <w:pPr>
              <w:pStyle w:val="IsiTabel"/>
              <w:suppressAutoHyphens/>
              <w:jc w:val="right"/>
            </w:pPr>
            <w:r>
              <w:t xml:space="preserve">342.403</w:t>
            </w:r>
          </w:p>
        </w:tc>
        <w:tc>
          <w:tcPr>
            <w:tcW w:w="654" w:type="dxa"/>
          </w:tcPr>
          <w:p>
            <w:pPr>
              <w:pStyle w:val="IsiTabel"/>
              <w:suppressAutoHyphens/>
              <w:jc w:val="right"/>
            </w:pPr>
            <w:r>
              <w:t xml:space="preserve">77,6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Balangan</w:t>
            </w:r>
          </w:p>
        </w:tc>
        <w:tc>
          <w:tcPr>
            <w:tcW w:w="1206" w:type="dxa"/>
          </w:tcPr>
          <w:p>
            <w:pPr>
              <w:pStyle w:val="IsiTabel"/>
              <w:suppressAutoHyphens/>
              <w:jc w:val="right"/>
            </w:pPr>
            <w:r>
              <w:t xml:space="preserve">140.232</w:t>
            </w:r>
          </w:p>
        </w:tc>
        <w:tc>
          <w:tcPr>
            <w:tcW w:w="654" w:type="dxa"/>
          </w:tcPr>
          <w:p>
            <w:pPr>
              <w:pStyle w:val="IsiTabel"/>
              <w:suppressAutoHyphens/>
              <w:jc w:val="right"/>
            </w:pPr>
            <w:r>
              <w:t xml:space="preserve">63,6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Banjarmasin</w:t>
            </w:r>
          </w:p>
        </w:tc>
        <w:tc>
          <w:tcPr>
            <w:tcW w:w="1206" w:type="dxa"/>
          </w:tcPr>
          <w:p>
            <w:pPr>
              <w:pStyle w:val="IsiTabel"/>
              <w:suppressAutoHyphens/>
              <w:jc w:val="right"/>
            </w:pPr>
            <w:r>
              <w:t xml:space="preserve">683.411</w:t>
            </w:r>
          </w:p>
        </w:tc>
        <w:tc>
          <w:tcPr>
            <w:tcW w:w="654" w:type="dxa"/>
          </w:tcPr>
          <w:p>
            <w:pPr>
              <w:pStyle w:val="IsiTabel"/>
              <w:suppressAutoHyphens/>
              <w:jc w:val="right"/>
            </w:pPr>
            <w:r>
              <w:t xml:space="preserve">48,0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Banjarbaru</w:t>
            </w:r>
          </w:p>
        </w:tc>
        <w:tc>
          <w:tcPr>
            <w:tcW w:w="1206" w:type="dxa"/>
          </w:tcPr>
          <w:p>
            <w:pPr>
              <w:pStyle w:val="IsiTabel"/>
              <w:suppressAutoHyphens/>
              <w:jc w:val="right"/>
            </w:pPr>
            <w:r>
              <w:t xml:space="preserve">242.466</w:t>
            </w:r>
          </w:p>
        </w:tc>
        <w:tc>
          <w:tcPr>
            <w:tcW w:w="654" w:type="dxa"/>
          </w:tcPr>
          <w:p>
            <w:pPr>
              <w:pStyle w:val="IsiTabel"/>
              <w:suppressAutoHyphens/>
              <w:jc w:val="right"/>
            </w:pPr>
            <w:r>
              <w:t xml:space="preserve">87,6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9354" w:type="dxa"/>
            <w:gridSpan w:val="5"/>
            <w:shd w:val="clear" w:color="auto" w:fill="E6EAF0"/>
          </w:tcPr>
          <w:p>
            <w:pPr>
              <w:pStyle w:val="IsiTabel"/>
              <w:keepNext/>
              <w:suppressAutoHyphens/>
              <w:ind w:left="0"/>
            </w:pPr>
            <w:r>
              <w:rPr>
                <w:b/>
                <w:bCs/>
              </w:rPr>
              <w:t xml:space="preserve">Kalimantan Timur</w:t>
            </w:r>
          </w:p>
        </w:tc>
      </w:tr>
      <w:tr>
        <w:trPr>
          <w:cantSplit/>
        </w:trPr>
        <w:tc>
          <w:tcPr>
            <w:tcW w:w="2408" w:type="dxa"/>
          </w:tcPr>
          <w:p>
            <w:pPr>
              <w:pStyle w:val="IsiTabel"/>
              <w:suppressAutoHyphens/>
              <w:jc w:val="left"/>
            </w:pPr>
            <w:r>
              <w:t xml:space="preserve">Kab. Paser</w:t>
            </w:r>
          </w:p>
        </w:tc>
        <w:tc>
          <w:tcPr>
            <w:tcW w:w="1206" w:type="dxa"/>
          </w:tcPr>
          <w:p>
            <w:pPr>
              <w:pStyle w:val="IsiTabel"/>
              <w:suppressAutoHyphens/>
              <w:jc w:val="right"/>
            </w:pPr>
            <w:r>
              <w:t xml:space="preserve">289.501</w:t>
            </w:r>
          </w:p>
        </w:tc>
        <w:tc>
          <w:tcPr>
            <w:tcW w:w="654" w:type="dxa"/>
          </w:tcPr>
          <w:p>
            <w:pPr>
              <w:pStyle w:val="IsiTabel"/>
              <w:suppressAutoHyphens/>
              <w:jc w:val="right"/>
            </w:pPr>
            <w:r>
              <w:t xml:space="preserve">136,6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karhutla (a, b)</w:t>
            </w:r>
          </w:p>
        </w:tc>
      </w:tr>
      <w:tr>
        <w:trPr>
          <w:cantSplit/>
        </w:trPr>
        <w:tc>
          <w:tcPr>
            <w:tcW w:w="2408" w:type="dxa"/>
          </w:tcPr>
          <w:p>
            <w:pPr>
              <w:pStyle w:val="IsiTabel"/>
              <w:suppressAutoHyphens/>
              <w:jc w:val="left"/>
            </w:pPr>
            <w:r>
              <w:t xml:space="preserve">Kab. Kutai Kartanegara</w:t>
            </w:r>
          </w:p>
        </w:tc>
        <w:tc>
          <w:tcPr>
            <w:tcW w:w="1206" w:type="dxa"/>
          </w:tcPr>
          <w:p>
            <w:pPr>
              <w:pStyle w:val="IsiTabel"/>
              <w:suppressAutoHyphens/>
              <w:jc w:val="right"/>
            </w:pPr>
            <w:r>
              <w:t xml:space="preserve">756.520</w:t>
            </w:r>
          </w:p>
        </w:tc>
        <w:tc>
          <w:tcPr>
            <w:tcW w:w="654" w:type="dxa"/>
          </w:tcPr>
          <w:p>
            <w:pPr>
              <w:pStyle w:val="IsiTabel"/>
              <w:suppressAutoHyphens/>
              <w:jc w:val="right"/>
            </w:pPr>
            <w:r>
              <w:t xml:space="preserve">106,4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Berau</w:t>
            </w:r>
          </w:p>
        </w:tc>
        <w:tc>
          <w:tcPr>
            <w:tcW w:w="1206" w:type="dxa"/>
          </w:tcPr>
          <w:p>
            <w:pPr>
              <w:pStyle w:val="IsiTabel"/>
              <w:suppressAutoHyphens/>
              <w:jc w:val="right"/>
            </w:pPr>
            <w:r>
              <w:t xml:space="preserve">260.041</w:t>
            </w:r>
          </w:p>
        </w:tc>
        <w:tc>
          <w:tcPr>
            <w:tcW w:w="654" w:type="dxa"/>
          </w:tcPr>
          <w:p>
            <w:pPr>
              <w:pStyle w:val="IsiTabel"/>
              <w:suppressAutoHyphens/>
              <w:jc w:val="right"/>
            </w:pPr>
            <w:r>
              <w:t xml:space="preserve">155,3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2408" w:type="dxa"/>
          </w:tcPr>
          <w:p>
            <w:pPr>
              <w:pStyle w:val="IsiTabel"/>
              <w:suppressAutoHyphens/>
              <w:jc w:val="left"/>
            </w:pPr>
            <w:r>
              <w:t xml:space="preserve">Kab. Kutai Barat</w:t>
            </w:r>
          </w:p>
        </w:tc>
        <w:tc>
          <w:tcPr>
            <w:tcW w:w="1206" w:type="dxa"/>
          </w:tcPr>
          <w:p>
            <w:pPr>
              <w:pStyle w:val="IsiTabel"/>
              <w:suppressAutoHyphens/>
              <w:jc w:val="right"/>
            </w:pPr>
            <w:r>
              <w:t xml:space="preserve">182.385</w:t>
            </w:r>
          </w:p>
        </w:tc>
        <w:tc>
          <w:tcPr>
            <w:tcW w:w="654" w:type="dxa"/>
          </w:tcPr>
          <w:p>
            <w:pPr>
              <w:pStyle w:val="IsiTabel"/>
              <w:suppressAutoHyphens/>
              <w:jc w:val="right"/>
            </w:pPr>
            <w:r>
              <w:t xml:space="preserve">140,5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Kutai Timur</w:t>
            </w:r>
          </w:p>
        </w:tc>
        <w:tc>
          <w:tcPr>
            <w:tcW w:w="1206" w:type="dxa"/>
          </w:tcPr>
          <w:p>
            <w:pPr>
              <w:pStyle w:val="IsiTabel"/>
              <w:suppressAutoHyphens/>
              <w:jc w:val="right"/>
            </w:pPr>
            <w:r>
              <w:t xml:space="preserve">454.568</w:t>
            </w:r>
          </w:p>
        </w:tc>
        <w:tc>
          <w:tcPr>
            <w:tcW w:w="654" w:type="dxa"/>
          </w:tcPr>
          <w:p>
            <w:pPr>
              <w:pStyle w:val="IsiTabel"/>
              <w:suppressAutoHyphens/>
              <w:jc w:val="right"/>
            </w:pPr>
            <w:r>
              <w:t xml:space="preserve">200,1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Penajam Paser Utara</w:t>
            </w:r>
          </w:p>
        </w:tc>
        <w:tc>
          <w:tcPr>
            <w:tcW w:w="1206" w:type="dxa"/>
          </w:tcPr>
          <w:p>
            <w:pPr>
              <w:pStyle w:val="IsiTabel"/>
              <w:suppressAutoHyphens/>
              <w:jc w:val="right"/>
            </w:pPr>
            <w:r>
              <w:t xml:space="preserve">191.110</w:t>
            </w:r>
          </w:p>
        </w:tc>
        <w:tc>
          <w:tcPr>
            <w:tcW w:w="654" w:type="dxa"/>
          </w:tcPr>
          <w:p>
            <w:pPr>
              <w:pStyle w:val="IsiTabel"/>
              <w:suppressAutoHyphens/>
              <w:jc w:val="right"/>
            </w:pPr>
            <w:r>
              <w:t xml:space="preserve">88,5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Mahakam Ulu</w:t>
            </w:r>
          </w:p>
        </w:tc>
        <w:tc>
          <w:tcPr>
            <w:tcW w:w="1206" w:type="dxa"/>
          </w:tcPr>
          <w:p>
            <w:pPr>
              <w:pStyle w:val="IsiTabel"/>
              <w:suppressAutoHyphens/>
              <w:jc w:val="right"/>
            </w:pPr>
            <w:r>
              <w:t xml:space="preserve">34.433</w:t>
            </w:r>
          </w:p>
        </w:tc>
        <w:tc>
          <w:tcPr>
            <w:tcW w:w="654" w:type="dxa"/>
          </w:tcPr>
          <w:p>
            <w:pPr>
              <w:pStyle w:val="IsiTabel"/>
              <w:suppressAutoHyphens/>
              <w:jc w:val="right"/>
            </w:pPr>
            <w:r>
              <w:t xml:space="preserve">103,7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Kota Balikpapan</w:t>
            </w:r>
          </w:p>
        </w:tc>
        <w:tc>
          <w:tcPr>
            <w:tcW w:w="1206" w:type="dxa"/>
          </w:tcPr>
          <w:p>
            <w:pPr>
              <w:pStyle w:val="IsiTabel"/>
              <w:suppressAutoHyphens/>
              <w:jc w:val="right"/>
            </w:pPr>
            <w:r>
              <w:t xml:space="preserve">730.426</w:t>
            </w:r>
          </w:p>
        </w:tc>
        <w:tc>
          <w:tcPr>
            <w:tcW w:w="654" w:type="dxa"/>
          </w:tcPr>
          <w:p>
            <w:pPr>
              <w:pStyle w:val="IsiTabel"/>
              <w:suppressAutoHyphens/>
              <w:jc w:val="right"/>
            </w:pPr>
            <w:r>
              <w:t xml:space="preserve">89,4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Kota Samarinda</w:t>
            </w:r>
          </w:p>
        </w:tc>
        <w:tc>
          <w:tcPr>
            <w:tcW w:w="1206" w:type="dxa"/>
          </w:tcPr>
          <w:p>
            <w:pPr>
              <w:pStyle w:val="IsiTabel"/>
              <w:suppressAutoHyphens/>
              <w:jc w:val="right"/>
            </w:pPr>
            <w:r>
              <w:t xml:space="preserve">896.341</w:t>
            </w:r>
          </w:p>
        </w:tc>
        <w:tc>
          <w:tcPr>
            <w:tcW w:w="654" w:type="dxa"/>
          </w:tcPr>
          <w:p>
            <w:pPr>
              <w:pStyle w:val="IsiTabel"/>
              <w:suppressAutoHyphens/>
              <w:jc w:val="right"/>
            </w:pPr>
            <w:r>
              <w:t xml:space="preserve">71,5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karhutla (b, c)</w:t>
            </w:r>
          </w:p>
        </w:tc>
      </w:tr>
      <w:tr>
        <w:trPr>
          <w:cantSplit/>
        </w:trPr>
        <w:tc>
          <w:tcPr>
            <w:tcW w:w="2408" w:type="dxa"/>
          </w:tcPr>
          <w:p>
            <w:pPr>
              <w:pStyle w:val="IsiTabel"/>
              <w:suppressAutoHyphens/>
              <w:jc w:val="left"/>
            </w:pPr>
            <w:r>
              <w:t xml:space="preserve">Kota Bontang</w:t>
            </w:r>
          </w:p>
        </w:tc>
        <w:tc>
          <w:tcPr>
            <w:tcW w:w="1206" w:type="dxa"/>
          </w:tcPr>
          <w:p>
            <w:pPr>
              <w:pStyle w:val="IsiTabel"/>
              <w:suppressAutoHyphens/>
              <w:jc w:val="right"/>
            </w:pPr>
            <w:r>
              <w:t xml:space="preserve">192.187</w:t>
            </w:r>
          </w:p>
        </w:tc>
        <w:tc>
          <w:tcPr>
            <w:tcW w:w="654" w:type="dxa"/>
          </w:tcPr>
          <w:p>
            <w:pPr>
              <w:pStyle w:val="IsiTabel"/>
              <w:suppressAutoHyphens/>
              <w:jc w:val="right"/>
            </w:pPr>
            <w:r>
              <w:t xml:space="preserve">85,3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Kalimantan Utara</w:t>
            </w:r>
          </w:p>
        </w:tc>
      </w:tr>
      <w:tr>
        <w:trPr>
          <w:cantSplit/>
        </w:trPr>
        <w:tc>
          <w:tcPr>
            <w:tcW w:w="2408" w:type="dxa"/>
          </w:tcPr>
          <w:p>
            <w:pPr>
              <w:pStyle w:val="IsiTabel"/>
              <w:suppressAutoHyphens/>
              <w:jc w:val="left"/>
            </w:pPr>
            <w:r>
              <w:t xml:space="preserve">Kab. Bulungan</w:t>
            </w:r>
          </w:p>
        </w:tc>
        <w:tc>
          <w:tcPr>
            <w:tcW w:w="1206" w:type="dxa"/>
          </w:tcPr>
          <w:p>
            <w:pPr>
              <w:pStyle w:val="IsiTabel"/>
              <w:suppressAutoHyphens/>
              <w:jc w:val="right"/>
            </w:pPr>
            <w:r>
              <w:t xml:space="preserve">160.536</w:t>
            </w:r>
          </w:p>
        </w:tc>
        <w:tc>
          <w:tcPr>
            <w:tcW w:w="654" w:type="dxa"/>
          </w:tcPr>
          <w:p>
            <w:pPr>
              <w:pStyle w:val="IsiTabel"/>
              <w:suppressAutoHyphens/>
              <w:jc w:val="right"/>
            </w:pPr>
            <w:r>
              <w:t xml:space="preserve">135,5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karhutla (a, b)</w:t>
            </w:r>
          </w:p>
        </w:tc>
      </w:tr>
      <w:tr>
        <w:trPr>
          <w:cantSplit/>
        </w:trPr>
        <w:tc>
          <w:tcPr>
            <w:tcW w:w="2408" w:type="dxa"/>
          </w:tcPr>
          <w:p>
            <w:pPr>
              <w:pStyle w:val="IsiTabel"/>
              <w:suppressAutoHyphens/>
              <w:jc w:val="left"/>
            </w:pPr>
            <w:r>
              <w:t xml:space="preserve">Kab. Malinau</w:t>
            </w:r>
          </w:p>
        </w:tc>
        <w:tc>
          <w:tcPr>
            <w:tcW w:w="1206" w:type="dxa"/>
          </w:tcPr>
          <w:p>
            <w:pPr>
              <w:pStyle w:val="IsiTabel"/>
              <w:suppressAutoHyphens/>
              <w:jc w:val="right"/>
            </w:pPr>
            <w:r>
              <w:t xml:space="preserve">87.596</w:t>
            </w:r>
          </w:p>
        </w:tc>
        <w:tc>
          <w:tcPr>
            <w:tcW w:w="654" w:type="dxa"/>
          </w:tcPr>
          <w:p>
            <w:pPr>
              <w:pStyle w:val="IsiTabel"/>
              <w:suppressAutoHyphens/>
              <w:jc w:val="right"/>
            </w:pPr>
            <w:r>
              <w:t xml:space="preserve">127,5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Nunukan</w:t>
            </w:r>
          </w:p>
        </w:tc>
        <w:tc>
          <w:tcPr>
            <w:tcW w:w="1206" w:type="dxa"/>
          </w:tcPr>
          <w:p>
            <w:pPr>
              <w:pStyle w:val="IsiTabel"/>
              <w:suppressAutoHyphens/>
              <w:jc w:val="right"/>
            </w:pPr>
            <w:r>
              <w:t xml:space="preserve">209.024</w:t>
            </w:r>
          </w:p>
        </w:tc>
        <w:tc>
          <w:tcPr>
            <w:tcW w:w="654" w:type="dxa"/>
          </w:tcPr>
          <w:p>
            <w:pPr>
              <w:pStyle w:val="IsiTabel"/>
              <w:suppressAutoHyphens/>
              <w:jc w:val="right"/>
            </w:pPr>
            <w:r>
              <w:t xml:space="preserve">134,4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tanah longsor (a, b); gelombang ekstrem dan abrasi (a, c); karhutla (a, b)</w:t>
            </w:r>
          </w:p>
        </w:tc>
      </w:tr>
      <w:tr>
        <w:trPr>
          <w:cantSplit/>
        </w:trPr>
        <w:tc>
          <w:tcPr>
            <w:tcW w:w="2408" w:type="dxa"/>
          </w:tcPr>
          <w:p>
            <w:pPr>
              <w:pStyle w:val="IsiTabel"/>
              <w:suppressAutoHyphens/>
              <w:jc w:val="left"/>
            </w:pPr>
            <w:r>
              <w:t xml:space="preserve">Kab. Tana Tidung</w:t>
            </w:r>
          </w:p>
        </w:tc>
        <w:tc>
          <w:tcPr>
            <w:tcW w:w="1206" w:type="dxa"/>
          </w:tcPr>
          <w:p>
            <w:pPr>
              <w:pStyle w:val="IsiTabel"/>
              <w:suppressAutoHyphens/>
              <w:jc w:val="right"/>
            </w:pPr>
            <w:r>
              <w:t xml:space="preserve">29.261</w:t>
            </w:r>
          </w:p>
        </w:tc>
        <w:tc>
          <w:tcPr>
            <w:tcW w:w="654" w:type="dxa"/>
          </w:tcPr>
          <w:p>
            <w:pPr>
              <w:pStyle w:val="IsiTabel"/>
              <w:suppressAutoHyphens/>
              <w:jc w:val="right"/>
            </w:pPr>
            <w:r>
              <w:t xml:space="preserve">106,8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Tarakan</w:t>
            </w:r>
          </w:p>
        </w:tc>
        <w:tc>
          <w:tcPr>
            <w:tcW w:w="1206" w:type="dxa"/>
          </w:tcPr>
          <w:p>
            <w:pPr>
              <w:pStyle w:val="IsiTabel"/>
              <w:suppressAutoHyphens/>
              <w:jc w:val="right"/>
            </w:pPr>
            <w:r>
              <w:t xml:space="preserve">257.102</w:t>
            </w:r>
          </w:p>
        </w:tc>
        <w:tc>
          <w:tcPr>
            <w:tcW w:w="654" w:type="dxa"/>
          </w:tcPr>
          <w:p>
            <w:pPr>
              <w:pStyle w:val="IsiTabel"/>
              <w:suppressAutoHyphens/>
              <w:jc w:val="right"/>
            </w:pPr>
            <w:r>
              <w:t xml:space="preserve">102,6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9354" w:type="dxa"/>
            <w:gridSpan w:val="5"/>
            <w:shd w:val="clear" w:color="auto" w:fill="E6EAF0"/>
          </w:tcPr>
          <w:p>
            <w:pPr>
              <w:pStyle w:val="IsiTabel"/>
              <w:keepNext/>
              <w:suppressAutoHyphens/>
              <w:ind w:left="0"/>
            </w:pPr>
            <w:r>
              <w:rPr>
                <w:b/>
                <w:bCs/>
              </w:rPr>
              <w:t xml:space="preserve">Sulawesi Utara</w:t>
            </w:r>
          </w:p>
        </w:tc>
      </w:tr>
      <w:tr>
        <w:trPr>
          <w:cantSplit/>
        </w:trPr>
        <w:tc>
          <w:tcPr>
            <w:tcW w:w="2408" w:type="dxa"/>
          </w:tcPr>
          <w:p>
            <w:pPr>
              <w:pStyle w:val="IsiTabel"/>
              <w:suppressAutoHyphens/>
              <w:jc w:val="left"/>
            </w:pPr>
            <w:r>
              <w:t xml:space="preserve">Kab. Bolaang Mongondow</w:t>
            </w:r>
          </w:p>
        </w:tc>
        <w:tc>
          <w:tcPr>
            <w:tcW w:w="1206" w:type="dxa"/>
          </w:tcPr>
          <w:p>
            <w:pPr>
              <w:pStyle w:val="IsiTabel"/>
              <w:suppressAutoHyphens/>
              <w:jc w:val="right"/>
            </w:pPr>
            <w:r>
              <w:t xml:space="preserve">261.966</w:t>
            </w:r>
          </w:p>
        </w:tc>
        <w:tc>
          <w:tcPr>
            <w:tcW w:w="654" w:type="dxa"/>
          </w:tcPr>
          <w:p>
            <w:pPr>
              <w:pStyle w:val="IsiTabel"/>
              <w:suppressAutoHyphens/>
              <w:jc w:val="right"/>
            </w:pPr>
            <w:r>
              <w:t xml:space="preserve">132,4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Minahasa</w:t>
            </w:r>
          </w:p>
        </w:tc>
        <w:tc>
          <w:tcPr>
            <w:tcW w:w="1206" w:type="dxa"/>
          </w:tcPr>
          <w:p>
            <w:pPr>
              <w:pStyle w:val="IsiTabel"/>
              <w:suppressAutoHyphens/>
              <w:jc w:val="right"/>
            </w:pPr>
            <w:r>
              <w:t xml:space="preserve">348.008</w:t>
            </w:r>
          </w:p>
        </w:tc>
        <w:tc>
          <w:tcPr>
            <w:tcW w:w="654" w:type="dxa"/>
          </w:tcPr>
          <w:p>
            <w:pPr>
              <w:pStyle w:val="IsiTabel"/>
              <w:suppressAutoHyphens/>
              <w:jc w:val="right"/>
            </w:pPr>
            <w:r>
              <w:t xml:space="preserve">231,9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Kepulauan Sangihe</w:t>
            </w:r>
          </w:p>
        </w:tc>
        <w:tc>
          <w:tcPr>
            <w:tcW w:w="1206" w:type="dxa"/>
          </w:tcPr>
          <w:p>
            <w:pPr>
              <w:pStyle w:val="IsiTabel"/>
              <w:suppressAutoHyphens/>
              <w:jc w:val="right"/>
            </w:pPr>
            <w:r>
              <w:t xml:space="preserve">142.867</w:t>
            </w:r>
          </w:p>
        </w:tc>
        <w:tc>
          <w:tcPr>
            <w:tcW w:w="654" w:type="dxa"/>
          </w:tcPr>
          <w:p>
            <w:pPr>
              <w:pStyle w:val="IsiTabel"/>
              <w:suppressAutoHyphens/>
              <w:jc w:val="right"/>
            </w:pPr>
            <w:r>
              <w:t xml:space="preserve">250,3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gelombang ekstrem dan abrasi (a, c)</w:t>
            </w:r>
          </w:p>
        </w:tc>
      </w:tr>
      <w:tr>
        <w:trPr>
          <w:cantSplit/>
        </w:trPr>
        <w:tc>
          <w:tcPr>
            <w:tcW w:w="2408" w:type="dxa"/>
          </w:tcPr>
          <w:p>
            <w:pPr>
              <w:pStyle w:val="IsiTabel"/>
              <w:suppressAutoHyphens/>
              <w:jc w:val="left"/>
            </w:pPr>
            <w:r>
              <w:t xml:space="preserve">Kab. Kepulauan Talaud</w:t>
            </w:r>
          </w:p>
        </w:tc>
        <w:tc>
          <w:tcPr>
            <w:tcW w:w="1206" w:type="dxa"/>
          </w:tcPr>
          <w:p>
            <w:pPr>
              <w:pStyle w:val="IsiTabel"/>
              <w:suppressAutoHyphens/>
              <w:jc w:val="right"/>
            </w:pPr>
            <w:r>
              <w:t xml:space="preserve">99.594</w:t>
            </w:r>
          </w:p>
        </w:tc>
        <w:tc>
          <w:tcPr>
            <w:tcW w:w="654" w:type="dxa"/>
          </w:tcPr>
          <w:p>
            <w:pPr>
              <w:pStyle w:val="IsiTabel"/>
              <w:suppressAutoHyphens/>
              <w:jc w:val="right"/>
            </w:pPr>
            <w:r>
              <w:t xml:space="preserve">204,4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Minahasa Selatan</w:t>
            </w:r>
          </w:p>
        </w:tc>
        <w:tc>
          <w:tcPr>
            <w:tcW w:w="1206" w:type="dxa"/>
          </w:tcPr>
          <w:p>
            <w:pPr>
              <w:pStyle w:val="IsiTabel"/>
              <w:suppressAutoHyphens/>
              <w:jc w:val="right"/>
            </w:pPr>
            <w:r>
              <w:t xml:space="preserve">249.883</w:t>
            </w:r>
          </w:p>
        </w:tc>
        <w:tc>
          <w:tcPr>
            <w:tcW w:w="654" w:type="dxa"/>
          </w:tcPr>
          <w:p>
            <w:pPr>
              <w:pStyle w:val="IsiTabel"/>
              <w:suppressAutoHyphens/>
              <w:jc w:val="right"/>
            </w:pPr>
            <w:r>
              <w:t xml:space="preserve">186,8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Minahasa Utara</w:t>
            </w:r>
          </w:p>
        </w:tc>
        <w:tc>
          <w:tcPr>
            <w:tcW w:w="1206" w:type="dxa"/>
          </w:tcPr>
          <w:p>
            <w:pPr>
              <w:pStyle w:val="IsiTabel"/>
              <w:suppressAutoHyphens/>
              <w:jc w:val="right"/>
            </w:pPr>
            <w:r>
              <w:t xml:space="preserve">235.781</w:t>
            </w:r>
          </w:p>
        </w:tc>
        <w:tc>
          <w:tcPr>
            <w:tcW w:w="654" w:type="dxa"/>
          </w:tcPr>
          <w:p>
            <w:pPr>
              <w:pStyle w:val="IsiTabel"/>
              <w:suppressAutoHyphens/>
              <w:jc w:val="right"/>
            </w:pPr>
            <w:r>
              <w:t xml:space="preserve">197,7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Minahasa Tenggara</w:t>
            </w:r>
          </w:p>
        </w:tc>
        <w:tc>
          <w:tcPr>
            <w:tcW w:w="1206" w:type="dxa"/>
          </w:tcPr>
          <w:p>
            <w:pPr>
              <w:pStyle w:val="IsiTabel"/>
              <w:suppressAutoHyphens/>
              <w:jc w:val="right"/>
            </w:pPr>
            <w:r>
              <w:t xml:space="preserve">125.122</w:t>
            </w:r>
          </w:p>
        </w:tc>
        <w:tc>
          <w:tcPr>
            <w:tcW w:w="654" w:type="dxa"/>
          </w:tcPr>
          <w:p>
            <w:pPr>
              <w:pStyle w:val="IsiTabel"/>
              <w:suppressAutoHyphens/>
              <w:jc w:val="right"/>
            </w:pPr>
            <w:r>
              <w:t xml:space="preserve">215,8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Bolaang Mongondow Utara</w:t>
            </w:r>
          </w:p>
        </w:tc>
        <w:tc>
          <w:tcPr>
            <w:tcW w:w="1206" w:type="dxa"/>
          </w:tcPr>
          <w:p>
            <w:pPr>
              <w:pStyle w:val="IsiTabel"/>
              <w:suppressAutoHyphens/>
              <w:jc w:val="right"/>
            </w:pPr>
            <w:r>
              <w:t xml:space="preserve">94.817</w:t>
            </w:r>
          </w:p>
        </w:tc>
        <w:tc>
          <w:tcPr>
            <w:tcW w:w="654" w:type="dxa"/>
          </w:tcPr>
          <w:p>
            <w:pPr>
              <w:pStyle w:val="IsiTabel"/>
              <w:suppressAutoHyphens/>
              <w:jc w:val="right"/>
            </w:pPr>
            <w:r>
              <w:t xml:space="preserve">221,7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Kep. Siau Tagulandang Biaro</w:t>
            </w:r>
          </w:p>
        </w:tc>
        <w:tc>
          <w:tcPr>
            <w:tcW w:w="1206" w:type="dxa"/>
          </w:tcPr>
          <w:p>
            <w:pPr>
              <w:pStyle w:val="IsiTabel"/>
              <w:suppressAutoHyphens/>
              <w:jc w:val="right"/>
            </w:pPr>
            <w:r>
              <w:t xml:space="preserve">74.649</w:t>
            </w:r>
          </w:p>
        </w:tc>
        <w:tc>
          <w:tcPr>
            <w:tcW w:w="654" w:type="dxa"/>
          </w:tcPr>
          <w:p>
            <w:pPr>
              <w:pStyle w:val="IsiTabel"/>
              <w:suppressAutoHyphens/>
              <w:jc w:val="right"/>
            </w:pPr>
            <w:r>
              <w:t xml:space="preserve">113,1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gunung api (b, c)</w:t>
            </w:r>
          </w:p>
        </w:tc>
      </w:tr>
      <w:tr>
        <w:trPr>
          <w:cantSplit/>
        </w:trPr>
        <w:tc>
          <w:tcPr>
            <w:tcW w:w="2408" w:type="dxa"/>
          </w:tcPr>
          <w:p>
            <w:pPr>
              <w:pStyle w:val="IsiTabel"/>
              <w:suppressAutoHyphens/>
              <w:jc w:val="left"/>
            </w:pPr>
            <w:r>
              <w:t xml:space="preserve">Kab. Bolaang Mongondow Timur</w:t>
            </w:r>
          </w:p>
        </w:tc>
        <w:tc>
          <w:tcPr>
            <w:tcW w:w="1206" w:type="dxa"/>
          </w:tcPr>
          <w:p>
            <w:pPr>
              <w:pStyle w:val="IsiTabel"/>
              <w:suppressAutoHyphens/>
              <w:jc w:val="right"/>
            </w:pPr>
            <w:r>
              <w:t xml:space="preserve">89.813</w:t>
            </w:r>
          </w:p>
        </w:tc>
        <w:tc>
          <w:tcPr>
            <w:tcW w:w="654" w:type="dxa"/>
          </w:tcPr>
          <w:p>
            <w:pPr>
              <w:pStyle w:val="IsiTabel"/>
              <w:suppressAutoHyphens/>
              <w:jc w:val="right"/>
            </w:pPr>
            <w:r>
              <w:t xml:space="preserve">167,4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Bolaang Mongondow Selatan</w:t>
            </w:r>
          </w:p>
        </w:tc>
        <w:tc>
          <w:tcPr>
            <w:tcW w:w="1206" w:type="dxa"/>
          </w:tcPr>
          <w:p>
            <w:pPr>
              <w:pStyle w:val="IsiTabel"/>
              <w:suppressAutoHyphens/>
              <w:jc w:val="right"/>
            </w:pPr>
            <w:r>
              <w:t xml:space="preserve">74.996</w:t>
            </w:r>
          </w:p>
        </w:tc>
        <w:tc>
          <w:tcPr>
            <w:tcW w:w="654" w:type="dxa"/>
          </w:tcPr>
          <w:p>
            <w:pPr>
              <w:pStyle w:val="IsiTabel"/>
              <w:suppressAutoHyphens/>
              <w:jc w:val="right"/>
            </w:pPr>
            <w:r>
              <w:t xml:space="preserve">201,8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Manado</w:t>
            </w:r>
          </w:p>
        </w:tc>
        <w:tc>
          <w:tcPr>
            <w:tcW w:w="1206" w:type="dxa"/>
          </w:tcPr>
          <w:p>
            <w:pPr>
              <w:pStyle w:val="IsiTabel"/>
              <w:suppressAutoHyphens/>
              <w:jc w:val="right"/>
            </w:pPr>
            <w:r>
              <w:t xml:space="preserve">493.575</w:t>
            </w:r>
          </w:p>
        </w:tc>
        <w:tc>
          <w:tcPr>
            <w:tcW w:w="654" w:type="dxa"/>
          </w:tcPr>
          <w:p>
            <w:pPr>
              <w:pStyle w:val="IsiTabel"/>
              <w:suppressAutoHyphens/>
              <w:jc w:val="right"/>
            </w:pPr>
            <w:r>
              <w:t xml:space="preserve">119,4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Kota Bitung</w:t>
            </w:r>
          </w:p>
        </w:tc>
        <w:tc>
          <w:tcPr>
            <w:tcW w:w="1206" w:type="dxa"/>
          </w:tcPr>
          <w:p>
            <w:pPr>
              <w:pStyle w:val="IsiTabel"/>
              <w:suppressAutoHyphens/>
              <w:jc w:val="right"/>
            </w:pPr>
            <w:r>
              <w:t xml:space="preserve">241.146</w:t>
            </w:r>
          </w:p>
        </w:tc>
        <w:tc>
          <w:tcPr>
            <w:tcW w:w="654" w:type="dxa"/>
          </w:tcPr>
          <w:p>
            <w:pPr>
              <w:pStyle w:val="IsiTabel"/>
              <w:suppressAutoHyphens/>
              <w:jc w:val="right"/>
            </w:pPr>
            <w:r>
              <w:t xml:space="preserve">140,8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Tomohon</w:t>
            </w:r>
          </w:p>
        </w:tc>
        <w:tc>
          <w:tcPr>
            <w:tcW w:w="1206" w:type="dxa"/>
          </w:tcPr>
          <w:p>
            <w:pPr>
              <w:pStyle w:val="IsiTabel"/>
              <w:suppressAutoHyphens/>
              <w:jc w:val="right"/>
            </w:pPr>
            <w:r>
              <w:t xml:space="preserve">113.522</w:t>
            </w:r>
          </w:p>
        </w:tc>
        <w:tc>
          <w:tcPr>
            <w:tcW w:w="654" w:type="dxa"/>
          </w:tcPr>
          <w:p>
            <w:pPr>
              <w:pStyle w:val="IsiTabel"/>
              <w:suppressAutoHyphens/>
              <w:jc w:val="right"/>
            </w:pPr>
            <w:r>
              <w:t xml:space="preserve">147,0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gunung api (a, b)</w:t>
            </w:r>
          </w:p>
        </w:tc>
      </w:tr>
      <w:tr>
        <w:trPr>
          <w:cantSplit/>
        </w:trPr>
        <w:tc>
          <w:tcPr>
            <w:tcW w:w="2408" w:type="dxa"/>
          </w:tcPr>
          <w:p>
            <w:pPr>
              <w:pStyle w:val="IsiTabel"/>
              <w:suppressAutoHyphens/>
              <w:jc w:val="left"/>
            </w:pPr>
            <w:r>
              <w:t xml:space="preserve">Kota Kotamobagu</w:t>
            </w:r>
          </w:p>
        </w:tc>
        <w:tc>
          <w:tcPr>
            <w:tcW w:w="1206" w:type="dxa"/>
          </w:tcPr>
          <w:p>
            <w:pPr>
              <w:pStyle w:val="IsiTabel"/>
              <w:suppressAutoHyphens/>
              <w:jc w:val="right"/>
            </w:pPr>
            <w:r>
              <w:t xml:space="preserve">138.453</w:t>
            </w:r>
          </w:p>
        </w:tc>
        <w:tc>
          <w:tcPr>
            <w:tcW w:w="654" w:type="dxa"/>
          </w:tcPr>
          <w:p>
            <w:pPr>
              <w:pStyle w:val="IsiTabel"/>
              <w:suppressAutoHyphens/>
              <w:jc w:val="right"/>
            </w:pPr>
            <w:r>
              <w:t xml:space="preserve">153,2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Sulawesi Tengah</w:t>
            </w:r>
          </w:p>
        </w:tc>
      </w:tr>
      <w:tr>
        <w:trPr>
          <w:cantSplit/>
        </w:trPr>
        <w:tc>
          <w:tcPr>
            <w:tcW w:w="2408" w:type="dxa"/>
          </w:tcPr>
          <w:p>
            <w:pPr>
              <w:pStyle w:val="IsiTabel"/>
              <w:suppressAutoHyphens/>
              <w:jc w:val="left"/>
            </w:pPr>
            <w:r>
              <w:t xml:space="preserve">Kab. Banggai</w:t>
            </w:r>
          </w:p>
        </w:tc>
        <w:tc>
          <w:tcPr>
            <w:tcW w:w="1206" w:type="dxa"/>
          </w:tcPr>
          <w:p>
            <w:pPr>
              <w:pStyle w:val="IsiTabel"/>
              <w:suppressAutoHyphens/>
              <w:jc w:val="right"/>
            </w:pPr>
            <w:r>
              <w:t xml:space="preserve">384.086</w:t>
            </w:r>
          </w:p>
        </w:tc>
        <w:tc>
          <w:tcPr>
            <w:tcW w:w="654" w:type="dxa"/>
          </w:tcPr>
          <w:p>
            <w:pPr>
              <w:pStyle w:val="IsiTabel"/>
              <w:suppressAutoHyphens/>
              <w:jc w:val="right"/>
            </w:pPr>
            <w:r>
              <w:t xml:space="preserve">249,3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w:t>
            </w:r>
          </w:p>
        </w:tc>
      </w:tr>
      <w:tr>
        <w:trPr>
          <w:cantSplit/>
        </w:trPr>
        <w:tc>
          <w:tcPr>
            <w:tcW w:w="2408" w:type="dxa"/>
          </w:tcPr>
          <w:p>
            <w:pPr>
              <w:pStyle w:val="IsiTabel"/>
              <w:suppressAutoHyphens/>
              <w:jc w:val="left"/>
            </w:pPr>
            <w:r>
              <w:t xml:space="preserve">Kab. Poso</w:t>
            </w:r>
          </w:p>
        </w:tc>
        <w:tc>
          <w:tcPr>
            <w:tcW w:w="1206" w:type="dxa"/>
          </w:tcPr>
          <w:p>
            <w:pPr>
              <w:pStyle w:val="IsiTabel"/>
              <w:suppressAutoHyphens/>
              <w:jc w:val="right"/>
            </w:pPr>
            <w:r>
              <w:t xml:space="preserve">258.280</w:t>
            </w:r>
          </w:p>
        </w:tc>
        <w:tc>
          <w:tcPr>
            <w:tcW w:w="654" w:type="dxa"/>
          </w:tcPr>
          <w:p>
            <w:pPr>
              <w:pStyle w:val="IsiTabel"/>
              <w:suppressAutoHyphens/>
              <w:jc w:val="right"/>
            </w:pPr>
            <w:r>
              <w:t xml:space="preserve">159,1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Donggala</w:t>
            </w:r>
          </w:p>
        </w:tc>
        <w:tc>
          <w:tcPr>
            <w:tcW w:w="1206" w:type="dxa"/>
          </w:tcPr>
          <w:p>
            <w:pPr>
              <w:pStyle w:val="IsiTabel"/>
              <w:suppressAutoHyphens/>
              <w:jc w:val="right"/>
            </w:pPr>
            <w:r>
              <w:t xml:space="preserve">304.869</w:t>
            </w:r>
          </w:p>
        </w:tc>
        <w:tc>
          <w:tcPr>
            <w:tcW w:w="654" w:type="dxa"/>
          </w:tcPr>
          <w:p>
            <w:pPr>
              <w:pStyle w:val="IsiTabel"/>
              <w:suppressAutoHyphens/>
              <w:jc w:val="right"/>
            </w:pPr>
            <w:r>
              <w:t xml:space="preserve">199,7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gelombang ekstrem dan abrasi (a, c); gempa bumi (a, c)</w:t>
            </w:r>
          </w:p>
        </w:tc>
      </w:tr>
      <w:tr>
        <w:trPr>
          <w:cantSplit/>
        </w:trPr>
        <w:tc>
          <w:tcPr>
            <w:tcW w:w="2408" w:type="dxa"/>
          </w:tcPr>
          <w:p>
            <w:pPr>
              <w:pStyle w:val="IsiTabel"/>
              <w:suppressAutoHyphens/>
              <w:jc w:val="left"/>
            </w:pPr>
            <w:r>
              <w:t xml:space="preserve">Kab. Toli-Toli</w:t>
            </w:r>
          </w:p>
        </w:tc>
        <w:tc>
          <w:tcPr>
            <w:tcW w:w="1206" w:type="dxa"/>
          </w:tcPr>
          <w:p>
            <w:pPr>
              <w:pStyle w:val="IsiTabel"/>
              <w:suppressAutoHyphens/>
              <w:jc w:val="right"/>
            </w:pPr>
            <w:r>
              <w:t xml:space="preserve">244.715</w:t>
            </w:r>
          </w:p>
        </w:tc>
        <w:tc>
          <w:tcPr>
            <w:tcW w:w="654" w:type="dxa"/>
          </w:tcPr>
          <w:p>
            <w:pPr>
              <w:pStyle w:val="IsiTabel"/>
              <w:suppressAutoHyphens/>
              <w:jc w:val="right"/>
            </w:pPr>
            <w:r>
              <w:t xml:space="preserve">189,2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Buol</w:t>
            </w:r>
          </w:p>
        </w:tc>
        <w:tc>
          <w:tcPr>
            <w:tcW w:w="1206" w:type="dxa"/>
          </w:tcPr>
          <w:p>
            <w:pPr>
              <w:pStyle w:val="IsiTabel"/>
              <w:suppressAutoHyphens/>
              <w:jc w:val="right"/>
            </w:pPr>
            <w:r>
              <w:t xml:space="preserve">153.929</w:t>
            </w:r>
          </w:p>
        </w:tc>
        <w:tc>
          <w:tcPr>
            <w:tcW w:w="654" w:type="dxa"/>
          </w:tcPr>
          <w:p>
            <w:pPr>
              <w:pStyle w:val="IsiTabel"/>
              <w:suppressAutoHyphens/>
              <w:jc w:val="right"/>
            </w:pPr>
            <w:r>
              <w:t xml:space="preserve">242,9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gelombang ekstrem dan abrasi (a, b, c); gempa bumi (a, c)</w:t>
            </w:r>
          </w:p>
        </w:tc>
      </w:tr>
      <w:tr>
        <w:trPr>
          <w:cantSplit/>
        </w:trPr>
        <w:tc>
          <w:tcPr>
            <w:tcW w:w="2408" w:type="dxa"/>
          </w:tcPr>
          <w:p>
            <w:pPr>
              <w:pStyle w:val="IsiTabel"/>
              <w:suppressAutoHyphens/>
              <w:jc w:val="left"/>
            </w:pPr>
            <w:r>
              <w:t xml:space="preserve">Kab. Morowali</w:t>
            </w:r>
          </w:p>
        </w:tc>
        <w:tc>
          <w:tcPr>
            <w:tcW w:w="1206" w:type="dxa"/>
          </w:tcPr>
          <w:p>
            <w:pPr>
              <w:pStyle w:val="IsiTabel"/>
              <w:suppressAutoHyphens/>
              <w:jc w:val="right"/>
            </w:pPr>
            <w:r>
              <w:t xml:space="preserve">170.059</w:t>
            </w:r>
          </w:p>
        </w:tc>
        <w:tc>
          <w:tcPr>
            <w:tcW w:w="654" w:type="dxa"/>
          </w:tcPr>
          <w:p>
            <w:pPr>
              <w:pStyle w:val="IsiTabel"/>
              <w:suppressAutoHyphens/>
              <w:jc w:val="right"/>
            </w:pPr>
            <w:r>
              <w:t xml:space="preserve">230,1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Kab. Banggai Kepulauan</w:t>
            </w:r>
          </w:p>
        </w:tc>
        <w:tc>
          <w:tcPr>
            <w:tcW w:w="1206" w:type="dxa"/>
          </w:tcPr>
          <w:p>
            <w:pPr>
              <w:pStyle w:val="IsiTabel"/>
              <w:suppressAutoHyphens/>
              <w:jc w:val="right"/>
            </w:pPr>
            <w:r>
              <w:t xml:space="preserve">128.154</w:t>
            </w:r>
          </w:p>
        </w:tc>
        <w:tc>
          <w:tcPr>
            <w:tcW w:w="654" w:type="dxa"/>
          </w:tcPr>
          <w:p>
            <w:pPr>
              <w:pStyle w:val="IsiTabel"/>
              <w:suppressAutoHyphens/>
              <w:jc w:val="right"/>
            </w:pPr>
            <w:r>
              <w:t xml:space="preserve">197,5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Parigi Moutong</w:t>
            </w:r>
          </w:p>
        </w:tc>
        <w:tc>
          <w:tcPr>
            <w:tcW w:w="1206" w:type="dxa"/>
          </w:tcPr>
          <w:p>
            <w:pPr>
              <w:pStyle w:val="IsiTabel"/>
              <w:suppressAutoHyphens/>
              <w:jc w:val="right"/>
            </w:pPr>
            <w:r>
              <w:t xml:space="preserve">468.074</w:t>
            </w:r>
          </w:p>
        </w:tc>
        <w:tc>
          <w:tcPr>
            <w:tcW w:w="654" w:type="dxa"/>
          </w:tcPr>
          <w:p>
            <w:pPr>
              <w:pStyle w:val="IsiTabel"/>
              <w:suppressAutoHyphens/>
              <w:jc w:val="right"/>
            </w:pPr>
            <w:r>
              <w:t xml:space="preserve">121,1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Tojo Una Una</w:t>
            </w:r>
          </w:p>
        </w:tc>
        <w:tc>
          <w:tcPr>
            <w:tcW w:w="1206" w:type="dxa"/>
          </w:tcPr>
          <w:p>
            <w:pPr>
              <w:pStyle w:val="IsiTabel"/>
              <w:suppressAutoHyphens/>
              <w:jc w:val="right"/>
            </w:pPr>
            <w:r>
              <w:t xml:space="preserve">174.435</w:t>
            </w:r>
          </w:p>
        </w:tc>
        <w:tc>
          <w:tcPr>
            <w:tcW w:w="654" w:type="dxa"/>
          </w:tcPr>
          <w:p>
            <w:pPr>
              <w:pStyle w:val="IsiTabel"/>
              <w:suppressAutoHyphens/>
              <w:jc w:val="right"/>
            </w:pPr>
            <w:r>
              <w:t xml:space="preserve">264,0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(b, c)</w:t>
            </w:r>
          </w:p>
        </w:tc>
      </w:tr>
      <w:tr>
        <w:trPr>
          <w:cantSplit/>
        </w:trPr>
        <w:tc>
          <w:tcPr>
            <w:tcW w:w="2408" w:type="dxa"/>
          </w:tcPr>
          <w:p>
            <w:pPr>
              <w:pStyle w:val="IsiTabel"/>
              <w:suppressAutoHyphens/>
              <w:jc w:val="left"/>
            </w:pPr>
            <w:r>
              <w:t xml:space="preserve">Kab. Sigi</w:t>
            </w:r>
          </w:p>
        </w:tc>
        <w:tc>
          <w:tcPr>
            <w:tcW w:w="1206" w:type="dxa"/>
          </w:tcPr>
          <w:p>
            <w:pPr>
              <w:pStyle w:val="IsiTabel"/>
              <w:suppressAutoHyphens/>
              <w:jc w:val="right"/>
            </w:pPr>
            <w:r>
              <w:t xml:space="preserve">285.997</w:t>
            </w:r>
          </w:p>
        </w:tc>
        <w:tc>
          <w:tcPr>
            <w:tcW w:w="654" w:type="dxa"/>
          </w:tcPr>
          <w:p>
            <w:pPr>
              <w:pStyle w:val="IsiTabel"/>
              <w:suppressAutoHyphens/>
              <w:jc w:val="right"/>
            </w:pPr>
            <w:r>
              <w:t xml:space="preserve">126,7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gempa bumi (a, c)</w:t>
            </w:r>
          </w:p>
        </w:tc>
      </w:tr>
      <w:tr>
        <w:trPr>
          <w:cantSplit/>
        </w:trPr>
        <w:tc>
          <w:tcPr>
            <w:tcW w:w="2408" w:type="dxa"/>
          </w:tcPr>
          <w:p>
            <w:pPr>
              <w:pStyle w:val="IsiTabel"/>
              <w:suppressAutoHyphens/>
              <w:jc w:val="left"/>
            </w:pPr>
            <w:r>
              <w:t xml:space="preserve">Kab. Banggai Laut</w:t>
            </w:r>
          </w:p>
        </w:tc>
        <w:tc>
          <w:tcPr>
            <w:tcW w:w="1206" w:type="dxa"/>
          </w:tcPr>
          <w:p>
            <w:pPr>
              <w:pStyle w:val="IsiTabel"/>
              <w:suppressAutoHyphens/>
              <w:jc w:val="right"/>
            </w:pPr>
            <w:r>
              <w:t xml:space="preserve">72.775</w:t>
            </w:r>
          </w:p>
        </w:tc>
        <w:tc>
          <w:tcPr>
            <w:tcW w:w="654" w:type="dxa"/>
          </w:tcPr>
          <w:p>
            <w:pPr>
              <w:pStyle w:val="IsiTabel"/>
              <w:suppressAutoHyphens/>
              <w:jc w:val="right"/>
            </w:pPr>
            <w:r>
              <w:t xml:space="preserve">210,0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(b, c); gelombang ekstrem dan abrasi (a, c)</w:t>
            </w:r>
          </w:p>
        </w:tc>
      </w:tr>
      <w:tr>
        <w:trPr>
          <w:cantSplit/>
        </w:trPr>
        <w:tc>
          <w:tcPr>
            <w:tcW w:w="2408" w:type="dxa"/>
          </w:tcPr>
          <w:p>
            <w:pPr>
              <w:pStyle w:val="IsiTabel"/>
              <w:suppressAutoHyphens/>
              <w:jc w:val="left"/>
            </w:pPr>
            <w:r>
              <w:t xml:space="preserve">Kab. Morowali Utara</w:t>
            </w:r>
          </w:p>
        </w:tc>
        <w:tc>
          <w:tcPr>
            <w:tcW w:w="1206" w:type="dxa"/>
          </w:tcPr>
          <w:p>
            <w:pPr>
              <w:pStyle w:val="IsiTabel"/>
              <w:suppressAutoHyphens/>
              <w:jc w:val="right"/>
            </w:pPr>
            <w:r>
              <w:t xml:space="preserve">129.783</w:t>
            </w:r>
          </w:p>
        </w:tc>
        <w:tc>
          <w:tcPr>
            <w:tcW w:w="654" w:type="dxa"/>
          </w:tcPr>
          <w:p>
            <w:pPr>
              <w:pStyle w:val="IsiTabel"/>
              <w:suppressAutoHyphens/>
              <w:jc w:val="right"/>
            </w:pPr>
            <w:r>
              <w:t xml:space="preserve">232,9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Kota Palu</w:t>
            </w:r>
          </w:p>
        </w:tc>
        <w:tc>
          <w:tcPr>
            <w:tcW w:w="1206" w:type="dxa"/>
          </w:tcPr>
          <w:p>
            <w:pPr>
              <w:pStyle w:val="IsiTabel"/>
              <w:suppressAutoHyphens/>
              <w:jc w:val="right"/>
            </w:pPr>
            <w:r>
              <w:t xml:space="preserve">389.625</w:t>
            </w:r>
          </w:p>
        </w:tc>
        <w:tc>
          <w:tcPr>
            <w:tcW w:w="654" w:type="dxa"/>
          </w:tcPr>
          <w:p>
            <w:pPr>
              <w:pStyle w:val="IsiTabel"/>
              <w:suppressAutoHyphens/>
              <w:jc w:val="right"/>
            </w:pPr>
            <w:r>
              <w:t xml:space="preserve">132,6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Sulawesi Selatan</w:t>
            </w:r>
          </w:p>
        </w:tc>
      </w:tr>
      <w:tr>
        <w:trPr>
          <w:cantSplit/>
        </w:trPr>
        <w:tc>
          <w:tcPr>
            <w:tcW w:w="2408" w:type="dxa"/>
          </w:tcPr>
          <w:p>
            <w:pPr>
              <w:pStyle w:val="IsiTabel"/>
              <w:suppressAutoHyphens/>
              <w:jc w:val="left"/>
            </w:pPr>
            <w:r>
              <w:t xml:space="preserve">Kab. Kepulauan Selayar</w:t>
            </w:r>
          </w:p>
        </w:tc>
        <w:tc>
          <w:tcPr>
            <w:tcW w:w="1206" w:type="dxa"/>
          </w:tcPr>
          <w:p>
            <w:pPr>
              <w:pStyle w:val="IsiTabel"/>
              <w:suppressAutoHyphens/>
              <w:jc w:val="right"/>
            </w:pPr>
            <w:r>
              <w:t xml:space="preserve">141.245</w:t>
            </w:r>
          </w:p>
        </w:tc>
        <w:tc>
          <w:tcPr>
            <w:tcW w:w="654" w:type="dxa"/>
          </w:tcPr>
          <w:p>
            <w:pPr>
              <w:pStyle w:val="IsiTabel"/>
              <w:suppressAutoHyphens/>
              <w:jc w:val="right"/>
            </w:pPr>
            <w:r>
              <w:t xml:space="preserve">155,4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Bulukumba</w:t>
            </w:r>
          </w:p>
        </w:tc>
        <w:tc>
          <w:tcPr>
            <w:tcW w:w="1206" w:type="dxa"/>
          </w:tcPr>
          <w:p>
            <w:pPr>
              <w:pStyle w:val="IsiTabel"/>
              <w:suppressAutoHyphens/>
              <w:jc w:val="right"/>
            </w:pPr>
            <w:r>
              <w:t xml:space="preserve">456.469</w:t>
            </w:r>
          </w:p>
        </w:tc>
        <w:tc>
          <w:tcPr>
            <w:tcW w:w="654" w:type="dxa"/>
          </w:tcPr>
          <w:p>
            <w:pPr>
              <w:pStyle w:val="IsiTabel"/>
              <w:suppressAutoHyphens/>
              <w:jc w:val="right"/>
            </w:pPr>
            <w:r>
              <w:t xml:space="preserve">146,2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Bantaeng</w:t>
            </w:r>
          </w:p>
        </w:tc>
        <w:tc>
          <w:tcPr>
            <w:tcW w:w="1206" w:type="dxa"/>
          </w:tcPr>
          <w:p>
            <w:pPr>
              <w:pStyle w:val="IsiTabel"/>
              <w:suppressAutoHyphens/>
              <w:jc w:val="right"/>
            </w:pPr>
            <w:r>
              <w:t xml:space="preserve">218.009</w:t>
            </w:r>
          </w:p>
        </w:tc>
        <w:tc>
          <w:tcPr>
            <w:tcW w:w="654" w:type="dxa"/>
          </w:tcPr>
          <w:p>
            <w:pPr>
              <w:pStyle w:val="IsiTabel"/>
              <w:suppressAutoHyphens/>
              <w:jc w:val="right"/>
            </w:pPr>
            <w:r>
              <w:t xml:space="preserve">93,7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Jeneponto</w:t>
            </w:r>
          </w:p>
        </w:tc>
        <w:tc>
          <w:tcPr>
            <w:tcW w:w="1206" w:type="dxa"/>
          </w:tcPr>
          <w:p>
            <w:pPr>
              <w:pStyle w:val="IsiTabel"/>
              <w:suppressAutoHyphens/>
              <w:jc w:val="right"/>
            </w:pPr>
            <w:r>
              <w:t xml:space="preserve">419.863</w:t>
            </w:r>
          </w:p>
        </w:tc>
        <w:tc>
          <w:tcPr>
            <w:tcW w:w="654" w:type="dxa"/>
          </w:tcPr>
          <w:p>
            <w:pPr>
              <w:pStyle w:val="IsiTabel"/>
              <w:suppressAutoHyphens/>
              <w:jc w:val="right"/>
            </w:pPr>
            <w:r>
              <w:t xml:space="preserve">165,5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(a, c); kekeringan (a, b); cuaca ekstrem (a, b, c)</w:t>
            </w:r>
          </w:p>
        </w:tc>
      </w:tr>
      <w:tr>
        <w:trPr>
          <w:cantSplit/>
        </w:trPr>
        <w:tc>
          <w:tcPr>
            <w:tcW w:w="2408" w:type="dxa"/>
          </w:tcPr>
          <w:p>
            <w:pPr>
              <w:pStyle w:val="IsiTabel"/>
              <w:suppressAutoHyphens/>
              <w:jc w:val="left"/>
            </w:pPr>
            <w:r>
              <w:t xml:space="preserve">Kab. Takalar</w:t>
            </w:r>
          </w:p>
        </w:tc>
        <w:tc>
          <w:tcPr>
            <w:tcW w:w="1206" w:type="dxa"/>
          </w:tcPr>
          <w:p>
            <w:pPr>
              <w:pStyle w:val="IsiTabel"/>
              <w:suppressAutoHyphens/>
              <w:jc w:val="right"/>
            </w:pPr>
            <w:r>
              <w:t xml:space="preserve">302.057</w:t>
            </w:r>
          </w:p>
        </w:tc>
        <w:tc>
          <w:tcPr>
            <w:tcW w:w="654" w:type="dxa"/>
          </w:tcPr>
          <w:p>
            <w:pPr>
              <w:pStyle w:val="IsiTabel"/>
              <w:suppressAutoHyphens/>
              <w:jc w:val="right"/>
            </w:pPr>
            <w:r>
              <w:t xml:space="preserve">171,2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gelombang ekstrem dan abrasi (a, b)</w:t>
            </w:r>
          </w:p>
        </w:tc>
      </w:tr>
      <w:tr>
        <w:trPr>
          <w:cantSplit/>
        </w:trPr>
        <w:tc>
          <w:tcPr>
            <w:tcW w:w="2408" w:type="dxa"/>
          </w:tcPr>
          <w:p>
            <w:pPr>
              <w:pStyle w:val="IsiTabel"/>
              <w:suppressAutoHyphens/>
              <w:jc w:val="left"/>
            </w:pPr>
            <w:r>
              <w:t xml:space="preserve">Kab. Gowa</w:t>
            </w:r>
          </w:p>
        </w:tc>
        <w:tc>
          <w:tcPr>
            <w:tcW w:w="1206" w:type="dxa"/>
          </w:tcPr>
          <w:p>
            <w:pPr>
              <w:pStyle w:val="IsiTabel"/>
              <w:suppressAutoHyphens/>
              <w:jc w:val="right"/>
            </w:pPr>
            <w:r>
              <w:t xml:space="preserve">877.197</w:t>
            </w:r>
          </w:p>
        </w:tc>
        <w:tc>
          <w:tcPr>
            <w:tcW w:w="654" w:type="dxa"/>
          </w:tcPr>
          <w:p>
            <w:pPr>
              <w:pStyle w:val="IsiTabel"/>
              <w:suppressAutoHyphens/>
              <w:jc w:val="right"/>
            </w:pPr>
            <w:r>
              <w:t xml:space="preserve">138,2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Sinjai</w:t>
            </w:r>
          </w:p>
        </w:tc>
        <w:tc>
          <w:tcPr>
            <w:tcW w:w="1206" w:type="dxa"/>
          </w:tcPr>
          <w:p>
            <w:pPr>
              <w:pStyle w:val="IsiTabel"/>
              <w:suppressAutoHyphens/>
              <w:jc w:val="right"/>
            </w:pPr>
            <w:r>
              <w:t xml:space="preserve">268.399</w:t>
            </w:r>
          </w:p>
        </w:tc>
        <w:tc>
          <w:tcPr>
            <w:tcW w:w="654" w:type="dxa"/>
          </w:tcPr>
          <w:p>
            <w:pPr>
              <w:pStyle w:val="IsiTabel"/>
              <w:suppressAutoHyphens/>
              <w:jc w:val="right"/>
            </w:pPr>
            <w:r>
              <w:t xml:space="preserve">184,0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(a, b)</w:t>
            </w:r>
          </w:p>
        </w:tc>
      </w:tr>
      <w:tr>
        <w:trPr>
          <w:cantSplit/>
        </w:trPr>
        <w:tc>
          <w:tcPr>
            <w:tcW w:w="2408" w:type="dxa"/>
          </w:tcPr>
          <w:p>
            <w:pPr>
              <w:pStyle w:val="IsiTabel"/>
              <w:suppressAutoHyphens/>
              <w:jc w:val="left"/>
            </w:pPr>
            <w:r>
              <w:t xml:space="preserve">Kab. Bone</w:t>
            </w:r>
          </w:p>
        </w:tc>
        <w:tc>
          <w:tcPr>
            <w:tcW w:w="1206" w:type="dxa"/>
          </w:tcPr>
          <w:p>
            <w:pPr>
              <w:pStyle w:val="IsiTabel"/>
              <w:suppressAutoHyphens/>
              <w:jc w:val="right"/>
            </w:pPr>
            <w:r>
              <w:t xml:space="preserve">860.889</w:t>
            </w:r>
          </w:p>
        </w:tc>
        <w:tc>
          <w:tcPr>
            <w:tcW w:w="654" w:type="dxa"/>
          </w:tcPr>
          <w:p>
            <w:pPr>
              <w:pStyle w:val="IsiTabel"/>
              <w:suppressAutoHyphens/>
              <w:jc w:val="right"/>
            </w:pPr>
            <w:r>
              <w:t xml:space="preserve">131,3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Maros</w:t>
            </w:r>
          </w:p>
        </w:tc>
        <w:tc>
          <w:tcPr>
            <w:tcW w:w="1206" w:type="dxa"/>
          </w:tcPr>
          <w:p>
            <w:pPr>
              <w:pStyle w:val="IsiTabel"/>
              <w:suppressAutoHyphens/>
              <w:jc w:val="right"/>
            </w:pPr>
            <w:r>
              <w:t xml:space="preserve">453.462</w:t>
            </w:r>
          </w:p>
        </w:tc>
        <w:tc>
          <w:tcPr>
            <w:tcW w:w="654" w:type="dxa"/>
          </w:tcPr>
          <w:p>
            <w:pPr>
              <w:pStyle w:val="IsiTabel"/>
              <w:suppressAutoHyphens/>
              <w:jc w:val="right"/>
            </w:pPr>
            <w:r>
              <w:t xml:space="preserve">150,7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Pangkajene dan Kepulauan</w:t>
            </w:r>
          </w:p>
        </w:tc>
        <w:tc>
          <w:tcPr>
            <w:tcW w:w="1206" w:type="dxa"/>
          </w:tcPr>
          <w:p>
            <w:pPr>
              <w:pStyle w:val="IsiTabel"/>
              <w:suppressAutoHyphens/>
              <w:jc w:val="right"/>
            </w:pPr>
            <w:r>
              <w:t xml:space="preserve">347.457</w:t>
            </w:r>
          </w:p>
        </w:tc>
        <w:tc>
          <w:tcPr>
            <w:tcW w:w="654" w:type="dxa"/>
          </w:tcPr>
          <w:p>
            <w:pPr>
              <w:pStyle w:val="IsiTabel"/>
              <w:suppressAutoHyphens/>
              <w:jc w:val="right"/>
            </w:pPr>
            <w:r>
              <w:t xml:space="preserve">201,7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(a, b, c)</w:t>
            </w:r>
          </w:p>
        </w:tc>
      </w:tr>
      <w:tr>
        <w:trPr>
          <w:cantSplit/>
        </w:trPr>
        <w:tc>
          <w:tcPr>
            <w:tcW w:w="2408" w:type="dxa"/>
          </w:tcPr>
          <w:p>
            <w:pPr>
              <w:pStyle w:val="IsiTabel"/>
              <w:suppressAutoHyphens/>
              <w:jc w:val="left"/>
            </w:pPr>
            <w:r>
              <w:t xml:space="preserve">Kab. Barru</w:t>
            </w:r>
          </w:p>
        </w:tc>
        <w:tc>
          <w:tcPr>
            <w:tcW w:w="1206" w:type="dxa"/>
          </w:tcPr>
          <w:p>
            <w:pPr>
              <w:pStyle w:val="IsiTabel"/>
              <w:suppressAutoHyphens/>
              <w:jc w:val="right"/>
            </w:pPr>
            <w:r>
              <w:t xml:space="preserve">198.235</w:t>
            </w:r>
          </w:p>
        </w:tc>
        <w:tc>
          <w:tcPr>
            <w:tcW w:w="654" w:type="dxa"/>
          </w:tcPr>
          <w:p>
            <w:pPr>
              <w:pStyle w:val="IsiTabel"/>
              <w:suppressAutoHyphens/>
              <w:jc w:val="right"/>
            </w:pPr>
            <w:r>
              <w:t xml:space="preserve">153,6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Soppeng</w:t>
            </w:r>
          </w:p>
        </w:tc>
        <w:tc>
          <w:tcPr>
            <w:tcW w:w="1206" w:type="dxa"/>
          </w:tcPr>
          <w:p>
            <w:pPr>
              <w:pStyle w:val="IsiTabel"/>
              <w:suppressAutoHyphens/>
              <w:jc w:val="right"/>
            </w:pPr>
            <w:r>
              <w:t xml:space="preserve">250.954</w:t>
            </w:r>
          </w:p>
        </w:tc>
        <w:tc>
          <w:tcPr>
            <w:tcW w:w="654" w:type="dxa"/>
          </w:tcPr>
          <w:p>
            <w:pPr>
              <w:pStyle w:val="IsiTabel"/>
              <w:suppressAutoHyphens/>
              <w:jc w:val="right"/>
            </w:pPr>
            <w:r>
              <w:t xml:space="preserve">157,6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w:t>
            </w:r>
          </w:p>
        </w:tc>
      </w:tr>
      <w:tr>
        <w:trPr>
          <w:cantSplit/>
        </w:trPr>
        <w:tc>
          <w:tcPr>
            <w:tcW w:w="2408" w:type="dxa"/>
          </w:tcPr>
          <w:p>
            <w:pPr>
              <w:pStyle w:val="IsiTabel"/>
              <w:suppressAutoHyphens/>
              <w:jc w:val="left"/>
            </w:pPr>
            <w:r>
              <w:t xml:space="preserve">Kab. Wajo</w:t>
            </w:r>
          </w:p>
        </w:tc>
        <w:tc>
          <w:tcPr>
            <w:tcW w:w="1206" w:type="dxa"/>
          </w:tcPr>
          <w:p>
            <w:pPr>
              <w:pStyle w:val="IsiTabel"/>
              <w:suppressAutoHyphens/>
              <w:jc w:val="right"/>
            </w:pPr>
            <w:r>
              <w:t xml:space="preserve">405.562</w:t>
            </w:r>
          </w:p>
        </w:tc>
        <w:tc>
          <w:tcPr>
            <w:tcW w:w="654" w:type="dxa"/>
          </w:tcPr>
          <w:p>
            <w:pPr>
              <w:pStyle w:val="IsiTabel"/>
              <w:suppressAutoHyphens/>
              <w:jc w:val="right"/>
            </w:pPr>
            <w:r>
              <w:t xml:space="preserve">125,4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Sidenreng Rappang</w:t>
            </w:r>
          </w:p>
        </w:tc>
        <w:tc>
          <w:tcPr>
            <w:tcW w:w="1206" w:type="dxa"/>
          </w:tcPr>
          <w:p>
            <w:pPr>
              <w:pStyle w:val="IsiTabel"/>
              <w:suppressAutoHyphens/>
              <w:jc w:val="right"/>
            </w:pPr>
            <w:r>
              <w:t xml:space="preserve">345.522</w:t>
            </w:r>
          </w:p>
        </w:tc>
        <w:tc>
          <w:tcPr>
            <w:tcW w:w="654" w:type="dxa"/>
          </w:tcPr>
          <w:p>
            <w:pPr>
              <w:pStyle w:val="IsiTabel"/>
              <w:suppressAutoHyphens/>
              <w:jc w:val="right"/>
            </w:pPr>
            <w:r>
              <w:t xml:space="preserve">159,5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cuaca ekstrem (a, b, c)</w:t>
            </w:r>
          </w:p>
        </w:tc>
      </w:tr>
      <w:tr>
        <w:trPr>
          <w:cantSplit/>
        </w:trPr>
        <w:tc>
          <w:tcPr>
            <w:tcW w:w="2408" w:type="dxa"/>
          </w:tcPr>
          <w:p>
            <w:pPr>
              <w:pStyle w:val="IsiTabel"/>
              <w:suppressAutoHyphens/>
              <w:jc w:val="left"/>
            </w:pPr>
            <w:r>
              <w:t xml:space="preserve">Kab. Pinrang</w:t>
            </w:r>
          </w:p>
        </w:tc>
        <w:tc>
          <w:tcPr>
            <w:tcW w:w="1206" w:type="dxa"/>
          </w:tcPr>
          <w:p>
            <w:pPr>
              <w:pStyle w:val="IsiTabel"/>
              <w:suppressAutoHyphens/>
              <w:jc w:val="right"/>
            </w:pPr>
            <w:r>
              <w:t xml:space="preserve">417.821</w:t>
            </w:r>
          </w:p>
        </w:tc>
        <w:tc>
          <w:tcPr>
            <w:tcW w:w="654" w:type="dxa"/>
          </w:tcPr>
          <w:p>
            <w:pPr>
              <w:pStyle w:val="IsiTabel"/>
              <w:suppressAutoHyphens/>
              <w:jc w:val="right"/>
            </w:pPr>
            <w:r>
              <w:t xml:space="preserve">181,3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Enrekang</w:t>
            </w:r>
          </w:p>
        </w:tc>
        <w:tc>
          <w:tcPr>
            <w:tcW w:w="1206" w:type="dxa"/>
          </w:tcPr>
          <w:p>
            <w:pPr>
              <w:pStyle w:val="IsiTabel"/>
              <w:suppressAutoHyphens/>
              <w:jc w:val="right"/>
            </w:pPr>
            <w:r>
              <w:t xml:space="preserve">235.183</w:t>
            </w:r>
          </w:p>
        </w:tc>
        <w:tc>
          <w:tcPr>
            <w:tcW w:w="654" w:type="dxa"/>
          </w:tcPr>
          <w:p>
            <w:pPr>
              <w:pStyle w:val="IsiTabel"/>
              <w:suppressAutoHyphens/>
              <w:jc w:val="right"/>
            </w:pPr>
            <w:r>
              <w:t xml:space="preserve">140,7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Luwu</w:t>
            </w:r>
          </w:p>
        </w:tc>
        <w:tc>
          <w:tcPr>
            <w:tcW w:w="1206" w:type="dxa"/>
          </w:tcPr>
          <w:p>
            <w:pPr>
              <w:pStyle w:val="IsiTabel"/>
              <w:suppressAutoHyphens/>
              <w:jc w:val="right"/>
            </w:pPr>
            <w:r>
              <w:t xml:space="preserve">398.736</w:t>
            </w:r>
          </w:p>
        </w:tc>
        <w:tc>
          <w:tcPr>
            <w:tcW w:w="654" w:type="dxa"/>
          </w:tcPr>
          <w:p>
            <w:pPr>
              <w:pStyle w:val="IsiTabel"/>
              <w:suppressAutoHyphens/>
              <w:jc w:val="right"/>
            </w:pPr>
            <w:r>
              <w:t xml:space="preserve">147,5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Tana Toraja</w:t>
            </w:r>
          </w:p>
        </w:tc>
        <w:tc>
          <w:tcPr>
            <w:tcW w:w="1206" w:type="dxa"/>
          </w:tcPr>
          <w:p>
            <w:pPr>
              <w:pStyle w:val="IsiTabel"/>
              <w:suppressAutoHyphens/>
              <w:jc w:val="right"/>
            </w:pPr>
            <w:r>
              <w:t xml:space="preserve">302.265</w:t>
            </w:r>
          </w:p>
        </w:tc>
        <w:tc>
          <w:tcPr>
            <w:tcW w:w="654" w:type="dxa"/>
          </w:tcPr>
          <w:p>
            <w:pPr>
              <w:pStyle w:val="IsiTabel"/>
              <w:suppressAutoHyphens/>
              <w:jc w:val="right"/>
            </w:pPr>
            <w:r>
              <w:t xml:space="preserve">135,4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 cuaca ekstrem (b, c)</w:t>
            </w:r>
          </w:p>
        </w:tc>
      </w:tr>
      <w:tr>
        <w:trPr>
          <w:cantSplit/>
        </w:trPr>
        <w:tc>
          <w:tcPr>
            <w:tcW w:w="2408" w:type="dxa"/>
          </w:tcPr>
          <w:p>
            <w:pPr>
              <w:pStyle w:val="IsiTabel"/>
              <w:suppressAutoHyphens/>
              <w:jc w:val="left"/>
            </w:pPr>
            <w:r>
              <w:t xml:space="preserve">Kab. Luwu Utara</w:t>
            </w:r>
          </w:p>
        </w:tc>
        <w:tc>
          <w:tcPr>
            <w:tcW w:w="1206" w:type="dxa"/>
          </w:tcPr>
          <w:p>
            <w:pPr>
              <w:pStyle w:val="IsiTabel"/>
              <w:suppressAutoHyphens/>
              <w:jc w:val="right"/>
            </w:pPr>
            <w:r>
              <w:t xml:space="preserve">339.939</w:t>
            </w:r>
          </w:p>
        </w:tc>
        <w:tc>
          <w:tcPr>
            <w:tcW w:w="654" w:type="dxa"/>
          </w:tcPr>
          <w:p>
            <w:pPr>
              <w:pStyle w:val="IsiTabel"/>
              <w:suppressAutoHyphens/>
              <w:jc w:val="right"/>
            </w:pPr>
            <w:r>
              <w:t xml:space="preserve">127,9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Luwu Timur</w:t>
            </w:r>
          </w:p>
        </w:tc>
        <w:tc>
          <w:tcPr>
            <w:tcW w:w="1206" w:type="dxa"/>
          </w:tcPr>
          <w:p>
            <w:pPr>
              <w:pStyle w:val="IsiTabel"/>
              <w:suppressAutoHyphens/>
              <w:jc w:val="right"/>
            </w:pPr>
            <w:r>
              <w:t xml:space="preserve">315.940</w:t>
            </w:r>
          </w:p>
        </w:tc>
        <w:tc>
          <w:tcPr>
            <w:tcW w:w="654" w:type="dxa"/>
          </w:tcPr>
          <w:p>
            <w:pPr>
              <w:pStyle w:val="IsiTabel"/>
              <w:suppressAutoHyphens/>
              <w:jc w:val="right"/>
            </w:pPr>
            <w:r>
              <w:t xml:space="preserve">117,3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Toraja Utara</w:t>
            </w:r>
          </w:p>
        </w:tc>
        <w:tc>
          <w:tcPr>
            <w:tcW w:w="1206" w:type="dxa"/>
          </w:tcPr>
          <w:p>
            <w:pPr>
              <w:pStyle w:val="IsiTabel"/>
              <w:suppressAutoHyphens/>
              <w:jc w:val="right"/>
            </w:pPr>
            <w:r>
              <w:t xml:space="preserve">274.699</w:t>
            </w:r>
          </w:p>
        </w:tc>
        <w:tc>
          <w:tcPr>
            <w:tcW w:w="654" w:type="dxa"/>
          </w:tcPr>
          <w:p>
            <w:pPr>
              <w:pStyle w:val="IsiTabel"/>
              <w:suppressAutoHyphens/>
              <w:jc w:val="right"/>
            </w:pPr>
            <w:r>
              <w:t xml:space="preserve">145,0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 c); cuaca ekstrem (a, b)</w:t>
            </w:r>
          </w:p>
        </w:tc>
      </w:tr>
      <w:tr>
        <w:trPr>
          <w:cantSplit/>
        </w:trPr>
        <w:tc>
          <w:tcPr>
            <w:tcW w:w="2408" w:type="dxa"/>
          </w:tcPr>
          <w:p>
            <w:pPr>
              <w:pStyle w:val="IsiTabel"/>
              <w:suppressAutoHyphens/>
              <w:jc w:val="left"/>
            </w:pPr>
            <w:r>
              <w:t xml:space="preserve">Kota Makassar</w:t>
            </w:r>
          </w:p>
        </w:tc>
        <w:tc>
          <w:tcPr>
            <w:tcW w:w="1206" w:type="dxa"/>
          </w:tcPr>
          <w:p>
            <w:pPr>
              <w:pStyle w:val="IsiTabel"/>
              <w:suppressAutoHyphens/>
              <w:jc w:val="right"/>
            </w:pPr>
            <w:r>
              <w:t xml:space="preserve">1.431.959</w:t>
            </w:r>
          </w:p>
        </w:tc>
        <w:tc>
          <w:tcPr>
            <w:tcW w:w="654" w:type="dxa"/>
          </w:tcPr>
          <w:p>
            <w:pPr>
              <w:pStyle w:val="IsiTabel"/>
              <w:suppressAutoHyphens/>
              <w:jc w:val="right"/>
            </w:pPr>
            <w:r>
              <w:t xml:space="preserve">91,4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Parepare</w:t>
            </w:r>
          </w:p>
        </w:tc>
        <w:tc>
          <w:tcPr>
            <w:tcW w:w="1206" w:type="dxa"/>
          </w:tcPr>
          <w:p>
            <w:pPr>
              <w:pStyle w:val="IsiTabel"/>
              <w:suppressAutoHyphens/>
              <w:jc w:val="right"/>
            </w:pPr>
            <w:r>
              <w:t xml:space="preserve">168.768</w:t>
            </w:r>
          </w:p>
        </w:tc>
        <w:tc>
          <w:tcPr>
            <w:tcW w:w="654" w:type="dxa"/>
          </w:tcPr>
          <w:p>
            <w:pPr>
              <w:pStyle w:val="IsiTabel"/>
              <w:suppressAutoHyphens/>
              <w:jc w:val="right"/>
            </w:pPr>
            <w:r>
              <w:t xml:space="preserve">178,9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Kota Palopo</w:t>
            </w:r>
          </w:p>
        </w:tc>
        <w:tc>
          <w:tcPr>
            <w:tcW w:w="1206" w:type="dxa"/>
          </w:tcPr>
          <w:p>
            <w:pPr>
              <w:pStyle w:val="IsiTabel"/>
              <w:suppressAutoHyphens/>
              <w:jc w:val="right"/>
            </w:pPr>
            <w:r>
              <w:t xml:space="preserve">190.917</w:t>
            </w:r>
          </w:p>
        </w:tc>
        <w:tc>
          <w:tcPr>
            <w:tcW w:w="654" w:type="dxa"/>
          </w:tcPr>
          <w:p>
            <w:pPr>
              <w:pStyle w:val="IsiTabel"/>
              <w:suppressAutoHyphens/>
              <w:jc w:val="right"/>
            </w:pPr>
            <w:r>
              <w:t xml:space="preserve">153,7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9354" w:type="dxa"/>
            <w:gridSpan w:val="5"/>
            <w:shd w:val="clear" w:color="auto" w:fill="E6EAF0"/>
          </w:tcPr>
          <w:p>
            <w:pPr>
              <w:pStyle w:val="IsiTabel"/>
              <w:keepNext/>
              <w:suppressAutoHyphens/>
              <w:ind w:left="0"/>
            </w:pPr>
            <w:r>
              <w:rPr>
                <w:b/>
                <w:bCs/>
              </w:rPr>
              <w:t xml:space="preserve">Sulawesi Tenggara</w:t>
            </w:r>
          </w:p>
        </w:tc>
      </w:tr>
      <w:tr>
        <w:trPr>
          <w:cantSplit/>
        </w:trPr>
        <w:tc>
          <w:tcPr>
            <w:tcW w:w="2408" w:type="dxa"/>
          </w:tcPr>
          <w:p>
            <w:pPr>
              <w:pStyle w:val="IsiTabel"/>
              <w:suppressAutoHyphens/>
              <w:jc w:val="left"/>
            </w:pPr>
            <w:r>
              <w:t xml:space="preserve">Kab. Kolaka</w:t>
            </w:r>
          </w:p>
        </w:tc>
        <w:tc>
          <w:tcPr>
            <w:tcW w:w="1206" w:type="dxa"/>
          </w:tcPr>
          <w:p>
            <w:pPr>
              <w:pStyle w:val="IsiTabel"/>
              <w:suppressAutoHyphens/>
              <w:jc w:val="right"/>
            </w:pPr>
            <w:r>
              <w:t xml:space="preserve">251.750</w:t>
            </w:r>
          </w:p>
        </w:tc>
        <w:tc>
          <w:tcPr>
            <w:tcW w:w="654" w:type="dxa"/>
          </w:tcPr>
          <w:p>
            <w:pPr>
              <w:pStyle w:val="IsiTabel"/>
              <w:suppressAutoHyphens/>
              <w:jc w:val="right"/>
            </w:pPr>
            <w:r>
              <w:t xml:space="preserve">182,8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Konawe</w:t>
            </w:r>
          </w:p>
        </w:tc>
        <w:tc>
          <w:tcPr>
            <w:tcW w:w="1206" w:type="dxa"/>
          </w:tcPr>
          <w:p>
            <w:pPr>
              <w:pStyle w:val="IsiTabel"/>
              <w:suppressAutoHyphens/>
              <w:jc w:val="right"/>
            </w:pPr>
            <w:r>
              <w:t xml:space="preserve">272.756</w:t>
            </w:r>
          </w:p>
        </w:tc>
        <w:tc>
          <w:tcPr>
            <w:tcW w:w="654" w:type="dxa"/>
          </w:tcPr>
          <w:p>
            <w:pPr>
              <w:pStyle w:val="IsiTabel"/>
              <w:suppressAutoHyphens/>
              <w:jc w:val="right"/>
            </w:pPr>
            <w:r>
              <w:t xml:space="preserve">252,3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kekeringan (a, c); cuaca ekstrem (a, b, c)</w:t>
            </w:r>
          </w:p>
        </w:tc>
      </w:tr>
      <w:tr>
        <w:trPr>
          <w:cantSplit/>
        </w:trPr>
        <w:tc>
          <w:tcPr>
            <w:tcW w:w="2408" w:type="dxa"/>
          </w:tcPr>
          <w:p>
            <w:pPr>
              <w:pStyle w:val="IsiTabel"/>
              <w:suppressAutoHyphens/>
              <w:jc w:val="left"/>
            </w:pPr>
            <w:r>
              <w:t xml:space="preserve">Kab. Muna</w:t>
            </w:r>
          </w:p>
        </w:tc>
        <w:tc>
          <w:tcPr>
            <w:tcW w:w="1206" w:type="dxa"/>
          </w:tcPr>
          <w:p>
            <w:pPr>
              <w:pStyle w:val="IsiTabel"/>
              <w:suppressAutoHyphens/>
              <w:jc w:val="right"/>
            </w:pPr>
            <w:r>
              <w:t xml:space="preserve">228.512</w:t>
            </w:r>
          </w:p>
        </w:tc>
        <w:tc>
          <w:tcPr>
            <w:tcW w:w="654" w:type="dxa"/>
          </w:tcPr>
          <w:p>
            <w:pPr>
              <w:pStyle w:val="IsiTabel"/>
              <w:suppressAutoHyphens/>
              <w:jc w:val="right"/>
            </w:pPr>
            <w:r>
              <w:t xml:space="preserve">235,9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Buton</w:t>
            </w:r>
          </w:p>
        </w:tc>
        <w:tc>
          <w:tcPr>
            <w:tcW w:w="1206" w:type="dxa"/>
          </w:tcPr>
          <w:p>
            <w:pPr>
              <w:pStyle w:val="IsiTabel"/>
              <w:suppressAutoHyphens/>
              <w:jc w:val="right"/>
            </w:pPr>
            <w:r>
              <w:t xml:space="preserve">123.102</w:t>
            </w:r>
          </w:p>
        </w:tc>
        <w:tc>
          <w:tcPr>
            <w:tcW w:w="654" w:type="dxa"/>
          </w:tcPr>
          <w:p>
            <w:pPr>
              <w:pStyle w:val="IsiTabel"/>
              <w:suppressAutoHyphens/>
              <w:jc w:val="right"/>
            </w:pPr>
            <w:r>
              <w:t xml:space="preserve">180,2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Konawe Selatan</w:t>
            </w:r>
          </w:p>
        </w:tc>
        <w:tc>
          <w:tcPr>
            <w:tcW w:w="1206" w:type="dxa"/>
          </w:tcPr>
          <w:p>
            <w:pPr>
              <w:pStyle w:val="IsiTabel"/>
              <w:suppressAutoHyphens/>
              <w:jc w:val="right"/>
            </w:pPr>
            <w:r>
              <w:t xml:space="preserve">324.148</w:t>
            </w:r>
          </w:p>
        </w:tc>
        <w:tc>
          <w:tcPr>
            <w:tcW w:w="654" w:type="dxa"/>
          </w:tcPr>
          <w:p>
            <w:pPr>
              <w:pStyle w:val="IsiTabel"/>
              <w:suppressAutoHyphens/>
              <w:jc w:val="right"/>
            </w:pPr>
            <w:r>
              <w:t xml:space="preserve">209,8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Bombana</w:t>
            </w:r>
          </w:p>
        </w:tc>
        <w:tc>
          <w:tcPr>
            <w:tcW w:w="1206" w:type="dxa"/>
          </w:tcPr>
          <w:p>
            <w:pPr>
              <w:pStyle w:val="IsiTabel"/>
              <w:suppressAutoHyphens/>
              <w:jc w:val="right"/>
            </w:pPr>
            <w:r>
              <w:t xml:space="preserve">159.954</w:t>
            </w:r>
          </w:p>
        </w:tc>
        <w:tc>
          <w:tcPr>
            <w:tcW w:w="654" w:type="dxa"/>
          </w:tcPr>
          <w:p>
            <w:pPr>
              <w:pStyle w:val="IsiTabel"/>
              <w:suppressAutoHyphens/>
              <w:jc w:val="right"/>
            </w:pPr>
            <w:r>
              <w:t xml:space="preserve">164,1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Wakatobi</w:t>
            </w:r>
          </w:p>
        </w:tc>
        <w:tc>
          <w:tcPr>
            <w:tcW w:w="1206" w:type="dxa"/>
          </w:tcPr>
          <w:p>
            <w:pPr>
              <w:pStyle w:val="IsiTabel"/>
              <w:suppressAutoHyphens/>
              <w:jc w:val="right"/>
            </w:pPr>
            <w:r>
              <w:t xml:space="preserve">118.177</w:t>
            </w:r>
          </w:p>
        </w:tc>
        <w:tc>
          <w:tcPr>
            <w:tcW w:w="654" w:type="dxa"/>
          </w:tcPr>
          <w:p>
            <w:pPr>
              <w:pStyle w:val="IsiTabel"/>
              <w:suppressAutoHyphens/>
              <w:jc w:val="right"/>
            </w:pPr>
            <w:r>
              <w:t xml:space="preserve">174,8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Kolaka Utara</w:t>
            </w:r>
          </w:p>
        </w:tc>
        <w:tc>
          <w:tcPr>
            <w:tcW w:w="1206" w:type="dxa"/>
          </w:tcPr>
          <w:p>
            <w:pPr>
              <w:pStyle w:val="IsiTabel"/>
              <w:suppressAutoHyphens/>
              <w:jc w:val="right"/>
            </w:pPr>
            <w:r>
              <w:t xml:space="preserve">145.879</w:t>
            </w:r>
          </w:p>
        </w:tc>
        <w:tc>
          <w:tcPr>
            <w:tcW w:w="654" w:type="dxa"/>
          </w:tcPr>
          <w:p>
            <w:pPr>
              <w:pStyle w:val="IsiTabel"/>
              <w:suppressAutoHyphens/>
              <w:jc w:val="right"/>
            </w:pPr>
            <w:r>
              <w:t xml:space="preserve">198,4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Konawe Utara</w:t>
            </w:r>
          </w:p>
        </w:tc>
        <w:tc>
          <w:tcPr>
            <w:tcW w:w="1206" w:type="dxa"/>
          </w:tcPr>
          <w:p>
            <w:pPr>
              <w:pStyle w:val="IsiTabel"/>
              <w:suppressAutoHyphens/>
              <w:jc w:val="right"/>
            </w:pPr>
            <w:r>
              <w:t xml:space="preserve">72.338</w:t>
            </w:r>
          </w:p>
        </w:tc>
        <w:tc>
          <w:tcPr>
            <w:tcW w:w="654" w:type="dxa"/>
          </w:tcPr>
          <w:p>
            <w:pPr>
              <w:pStyle w:val="IsiTabel"/>
              <w:suppressAutoHyphens/>
              <w:jc w:val="right"/>
            </w:pPr>
            <w:r>
              <w:t xml:space="preserve">188,8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Buton Utara</w:t>
            </w:r>
          </w:p>
        </w:tc>
        <w:tc>
          <w:tcPr>
            <w:tcW w:w="1206" w:type="dxa"/>
          </w:tcPr>
          <w:p>
            <w:pPr>
              <w:pStyle w:val="IsiTabel"/>
              <w:suppressAutoHyphens/>
              <w:jc w:val="right"/>
            </w:pPr>
            <w:r>
              <w:t xml:space="preserve">71.106</w:t>
            </w:r>
          </w:p>
        </w:tc>
        <w:tc>
          <w:tcPr>
            <w:tcW w:w="654" w:type="dxa"/>
          </w:tcPr>
          <w:p>
            <w:pPr>
              <w:pStyle w:val="IsiTabel"/>
              <w:suppressAutoHyphens/>
              <w:jc w:val="right"/>
            </w:pPr>
            <w:r>
              <w:t xml:space="preserve">208,2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Kolaka Timur</w:t>
            </w:r>
          </w:p>
        </w:tc>
        <w:tc>
          <w:tcPr>
            <w:tcW w:w="1206" w:type="dxa"/>
          </w:tcPr>
          <w:p>
            <w:pPr>
              <w:pStyle w:val="IsiTabel"/>
              <w:suppressAutoHyphens/>
              <w:jc w:val="right"/>
            </w:pPr>
            <w:r>
              <w:t xml:space="preserve">126.881</w:t>
            </w:r>
          </w:p>
        </w:tc>
        <w:tc>
          <w:tcPr>
            <w:tcW w:w="654" w:type="dxa"/>
          </w:tcPr>
          <w:p>
            <w:pPr>
              <w:pStyle w:val="IsiTabel"/>
              <w:suppressAutoHyphens/>
              <w:jc w:val="right"/>
            </w:pPr>
            <w:r>
              <w:t xml:space="preserve">167,2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Konawe Kepulauan</w:t>
            </w:r>
          </w:p>
        </w:tc>
        <w:tc>
          <w:tcPr>
            <w:tcW w:w="1206" w:type="dxa"/>
          </w:tcPr>
          <w:p>
            <w:pPr>
              <w:pStyle w:val="IsiTabel"/>
              <w:suppressAutoHyphens/>
              <w:jc w:val="right"/>
            </w:pPr>
            <w:r>
              <w:t xml:space="preserve">39.294</w:t>
            </w:r>
          </w:p>
        </w:tc>
        <w:tc>
          <w:tcPr>
            <w:tcW w:w="654" w:type="dxa"/>
          </w:tcPr>
          <w:p>
            <w:pPr>
              <w:pStyle w:val="IsiTabel"/>
              <w:suppressAutoHyphens/>
              <w:jc w:val="right"/>
            </w:pPr>
            <w:r>
              <w:t xml:space="preserve">230,9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Muna Barat</w:t>
            </w:r>
          </w:p>
        </w:tc>
        <w:tc>
          <w:tcPr>
            <w:tcW w:w="1206" w:type="dxa"/>
          </w:tcPr>
          <w:p>
            <w:pPr>
              <w:pStyle w:val="IsiTabel"/>
              <w:suppressAutoHyphens/>
              <w:jc w:val="right"/>
            </w:pPr>
            <w:r>
              <w:t xml:space="preserve">89.718</w:t>
            </w:r>
          </w:p>
        </w:tc>
        <w:tc>
          <w:tcPr>
            <w:tcW w:w="654" w:type="dxa"/>
          </w:tcPr>
          <w:p>
            <w:pPr>
              <w:pStyle w:val="IsiTabel"/>
              <w:suppressAutoHyphens/>
              <w:jc w:val="right"/>
            </w:pPr>
            <w:r>
              <w:t xml:space="preserve">167,6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Buton Tengah</w:t>
            </w:r>
          </w:p>
        </w:tc>
        <w:tc>
          <w:tcPr>
            <w:tcW w:w="1206" w:type="dxa"/>
          </w:tcPr>
          <w:p>
            <w:pPr>
              <w:pStyle w:val="IsiTabel"/>
              <w:suppressAutoHyphens/>
              <w:jc w:val="right"/>
            </w:pPr>
            <w:r>
              <w:t xml:space="preserve">150.377</w:t>
            </w:r>
          </w:p>
        </w:tc>
        <w:tc>
          <w:tcPr>
            <w:tcW w:w="654" w:type="dxa"/>
          </w:tcPr>
          <w:p>
            <w:pPr>
              <w:pStyle w:val="IsiTabel"/>
              <w:suppressAutoHyphens/>
              <w:jc w:val="right"/>
            </w:pPr>
            <w:r>
              <w:t xml:space="preserve">200,1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Buton Selatan</w:t>
            </w:r>
          </w:p>
        </w:tc>
        <w:tc>
          <w:tcPr>
            <w:tcW w:w="1206" w:type="dxa"/>
          </w:tcPr>
          <w:p>
            <w:pPr>
              <w:pStyle w:val="IsiTabel"/>
              <w:suppressAutoHyphens/>
              <w:jc w:val="right"/>
            </w:pPr>
            <w:r>
              <w:t xml:space="preserve">101.932</w:t>
            </w:r>
          </w:p>
        </w:tc>
        <w:tc>
          <w:tcPr>
            <w:tcW w:w="654" w:type="dxa"/>
          </w:tcPr>
          <w:p>
            <w:pPr>
              <w:pStyle w:val="IsiTabel"/>
              <w:suppressAutoHyphens/>
              <w:jc w:val="right"/>
            </w:pPr>
            <w:r>
              <w:t xml:space="preserve">236,1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Kota Kendari</w:t>
            </w:r>
          </w:p>
        </w:tc>
        <w:tc>
          <w:tcPr>
            <w:tcW w:w="1206" w:type="dxa"/>
          </w:tcPr>
          <w:p>
            <w:pPr>
              <w:pStyle w:val="IsiTabel"/>
              <w:suppressAutoHyphens/>
              <w:jc w:val="right"/>
            </w:pPr>
            <w:r>
              <w:t xml:space="preserve">369.586</w:t>
            </w:r>
          </w:p>
        </w:tc>
        <w:tc>
          <w:tcPr>
            <w:tcW w:w="654" w:type="dxa"/>
          </w:tcPr>
          <w:p>
            <w:pPr>
              <w:pStyle w:val="IsiTabel"/>
              <w:suppressAutoHyphens/>
              <w:jc w:val="right"/>
            </w:pPr>
            <w:r>
              <w:t xml:space="preserve">115,4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Bau Bau</w:t>
            </w:r>
          </w:p>
        </w:tc>
        <w:tc>
          <w:tcPr>
            <w:tcW w:w="1206" w:type="dxa"/>
          </w:tcPr>
          <w:p>
            <w:pPr>
              <w:pStyle w:val="IsiTabel"/>
              <w:suppressAutoHyphens/>
              <w:jc w:val="right"/>
            </w:pPr>
            <w:r>
              <w:t xml:space="preserve">140.532</w:t>
            </w:r>
          </w:p>
        </w:tc>
        <w:tc>
          <w:tcPr>
            <w:tcW w:w="654" w:type="dxa"/>
          </w:tcPr>
          <w:p>
            <w:pPr>
              <w:pStyle w:val="IsiTabel"/>
              <w:suppressAutoHyphens/>
              <w:jc w:val="right"/>
            </w:pPr>
            <w:r>
              <w:t xml:space="preserve">215,6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9354" w:type="dxa"/>
            <w:gridSpan w:val="5"/>
            <w:shd w:val="clear" w:color="auto" w:fill="E6EAF0"/>
          </w:tcPr>
          <w:p>
            <w:pPr>
              <w:pStyle w:val="IsiTabel"/>
              <w:keepNext/>
              <w:suppressAutoHyphens/>
              <w:ind w:left="0"/>
            </w:pPr>
            <w:r>
              <w:rPr>
                <w:b/>
                <w:bCs/>
              </w:rPr>
              <w:t xml:space="preserve">Gorontalo</w:t>
            </w:r>
          </w:p>
        </w:tc>
      </w:tr>
      <w:tr>
        <w:trPr>
          <w:cantSplit/>
        </w:trPr>
        <w:tc>
          <w:tcPr>
            <w:tcW w:w="2408" w:type="dxa"/>
          </w:tcPr>
          <w:p>
            <w:pPr>
              <w:pStyle w:val="IsiTabel"/>
              <w:suppressAutoHyphens/>
              <w:jc w:val="left"/>
            </w:pPr>
            <w:r>
              <w:t xml:space="preserve">Kab. Gorontalo</w:t>
            </w:r>
          </w:p>
        </w:tc>
        <w:tc>
          <w:tcPr>
            <w:tcW w:w="1206" w:type="dxa"/>
          </w:tcPr>
          <w:p>
            <w:pPr>
              <w:pStyle w:val="IsiTabel"/>
              <w:suppressAutoHyphens/>
              <w:jc w:val="right"/>
            </w:pPr>
            <w:r>
              <w:t xml:space="preserve">397.179</w:t>
            </w:r>
          </w:p>
        </w:tc>
        <w:tc>
          <w:tcPr>
            <w:tcW w:w="654" w:type="dxa"/>
          </w:tcPr>
          <w:p>
            <w:pPr>
              <w:pStyle w:val="IsiTabel"/>
              <w:suppressAutoHyphens/>
              <w:jc w:val="right"/>
            </w:pPr>
            <w:r>
              <w:t xml:space="preserve">129,0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Boalemo</w:t>
            </w:r>
          </w:p>
        </w:tc>
        <w:tc>
          <w:tcPr>
            <w:tcW w:w="1206" w:type="dxa"/>
          </w:tcPr>
          <w:p>
            <w:pPr>
              <w:pStyle w:val="IsiTabel"/>
              <w:suppressAutoHyphens/>
              <w:jc w:val="right"/>
            </w:pPr>
            <w:r>
              <w:t xml:space="preserve">156.037</w:t>
            </w:r>
          </w:p>
        </w:tc>
        <w:tc>
          <w:tcPr>
            <w:tcW w:w="654" w:type="dxa"/>
          </w:tcPr>
          <w:p>
            <w:pPr>
              <w:pStyle w:val="IsiTabel"/>
              <w:suppressAutoHyphens/>
              <w:jc w:val="right"/>
            </w:pPr>
            <w:r>
              <w:t xml:space="preserve">167,7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Bone Bolango</w:t>
            </w:r>
          </w:p>
        </w:tc>
        <w:tc>
          <w:tcPr>
            <w:tcW w:w="1206" w:type="dxa"/>
          </w:tcPr>
          <w:p>
            <w:pPr>
              <w:pStyle w:val="IsiTabel"/>
              <w:suppressAutoHyphens/>
              <w:jc w:val="right"/>
            </w:pPr>
            <w:r>
              <w:t xml:space="preserve">183.041</w:t>
            </w:r>
          </w:p>
        </w:tc>
        <w:tc>
          <w:tcPr>
            <w:tcW w:w="654" w:type="dxa"/>
          </w:tcPr>
          <w:p>
            <w:pPr>
              <w:pStyle w:val="IsiTabel"/>
              <w:suppressAutoHyphens/>
              <w:jc w:val="right"/>
            </w:pPr>
            <w:r>
              <w:t xml:space="preserve">175,7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Pohuwato</w:t>
            </w:r>
          </w:p>
        </w:tc>
        <w:tc>
          <w:tcPr>
            <w:tcW w:w="1206" w:type="dxa"/>
          </w:tcPr>
          <w:p>
            <w:pPr>
              <w:pStyle w:val="IsiTabel"/>
              <w:suppressAutoHyphens/>
              <w:jc w:val="right"/>
            </w:pPr>
            <w:r>
              <w:t xml:space="preserve">154.675</w:t>
            </w:r>
          </w:p>
        </w:tc>
        <w:tc>
          <w:tcPr>
            <w:tcW w:w="654" w:type="dxa"/>
          </w:tcPr>
          <w:p>
            <w:pPr>
              <w:pStyle w:val="IsiTabel"/>
              <w:suppressAutoHyphens/>
              <w:jc w:val="right"/>
            </w:pPr>
            <w:r>
              <w:t xml:space="preserve">182,5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c)</w:t>
            </w:r>
          </w:p>
        </w:tc>
      </w:tr>
      <w:tr>
        <w:trPr>
          <w:cantSplit/>
        </w:trPr>
        <w:tc>
          <w:tcPr>
            <w:tcW w:w="2408" w:type="dxa"/>
          </w:tcPr>
          <w:p>
            <w:pPr>
              <w:pStyle w:val="IsiTabel"/>
              <w:suppressAutoHyphens/>
              <w:jc w:val="left"/>
            </w:pPr>
            <w:r>
              <w:t xml:space="preserve">Kab. Gorontalo Utara</w:t>
            </w:r>
          </w:p>
        </w:tc>
        <w:tc>
          <w:tcPr>
            <w:tcW w:w="1206" w:type="dxa"/>
          </w:tcPr>
          <w:p>
            <w:pPr>
              <w:pStyle w:val="IsiTabel"/>
              <w:suppressAutoHyphens/>
              <w:jc w:val="right"/>
            </w:pPr>
            <w:r>
              <w:t xml:space="preserve">125.130</w:t>
            </w:r>
          </w:p>
        </w:tc>
        <w:tc>
          <w:tcPr>
            <w:tcW w:w="654" w:type="dxa"/>
          </w:tcPr>
          <w:p>
            <w:pPr>
              <w:pStyle w:val="IsiTabel"/>
              <w:suppressAutoHyphens/>
              <w:jc w:val="right"/>
            </w:pPr>
            <w:r>
              <w:t xml:space="preserve">204,5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Gorontalo</w:t>
            </w:r>
          </w:p>
        </w:tc>
        <w:tc>
          <w:tcPr>
            <w:tcW w:w="1206" w:type="dxa"/>
          </w:tcPr>
          <w:p>
            <w:pPr>
              <w:pStyle w:val="IsiTabel"/>
              <w:suppressAutoHyphens/>
              <w:jc w:val="right"/>
            </w:pPr>
            <w:r>
              <w:t xml:space="preserve">217.275</w:t>
            </w:r>
          </w:p>
        </w:tc>
        <w:tc>
          <w:tcPr>
            <w:tcW w:w="654" w:type="dxa"/>
          </w:tcPr>
          <w:p>
            <w:pPr>
              <w:pStyle w:val="IsiTabel"/>
              <w:suppressAutoHyphens/>
              <w:jc w:val="right"/>
            </w:pPr>
            <w:r>
              <w:t xml:space="preserve">126,9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9354" w:type="dxa"/>
            <w:gridSpan w:val="5"/>
            <w:shd w:val="clear" w:color="auto" w:fill="E6EAF0"/>
          </w:tcPr>
          <w:p>
            <w:pPr>
              <w:pStyle w:val="IsiTabel"/>
              <w:keepNext/>
              <w:suppressAutoHyphens/>
              <w:ind w:left="0"/>
            </w:pPr>
            <w:r>
              <w:rPr>
                <w:b/>
                <w:bCs/>
              </w:rPr>
              <w:t xml:space="preserve">Sulawesi Barat</w:t>
            </w:r>
          </w:p>
        </w:tc>
      </w:tr>
      <w:tr>
        <w:trPr>
          <w:cantSplit/>
        </w:trPr>
        <w:tc>
          <w:tcPr>
            <w:tcW w:w="2408" w:type="dxa"/>
          </w:tcPr>
          <w:p>
            <w:pPr>
              <w:pStyle w:val="IsiTabel"/>
              <w:suppressAutoHyphens/>
              <w:jc w:val="left"/>
            </w:pPr>
            <w:r>
              <w:t xml:space="preserve">Kab. Pasangkayu</w:t>
            </w:r>
          </w:p>
        </w:tc>
        <w:tc>
          <w:tcPr>
            <w:tcW w:w="1206" w:type="dxa"/>
          </w:tcPr>
          <w:p>
            <w:pPr>
              <w:pStyle w:val="IsiTabel"/>
              <w:suppressAutoHyphens/>
              <w:jc w:val="right"/>
            </w:pPr>
            <w:r>
              <w:t xml:space="preserve">202.135</w:t>
            </w:r>
          </w:p>
        </w:tc>
        <w:tc>
          <w:tcPr>
            <w:tcW w:w="654" w:type="dxa"/>
          </w:tcPr>
          <w:p>
            <w:pPr>
              <w:pStyle w:val="IsiTabel"/>
              <w:suppressAutoHyphens/>
              <w:jc w:val="right"/>
            </w:pPr>
            <w:r>
              <w:t xml:space="preserve">229,6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(b, c); gelombang ekstrem dan abrasi (a, c); tsunami (a, c)</w:t>
            </w:r>
          </w:p>
        </w:tc>
      </w:tr>
      <w:tr>
        <w:trPr>
          <w:cantSplit/>
        </w:trPr>
        <w:tc>
          <w:tcPr>
            <w:tcW w:w="2408" w:type="dxa"/>
          </w:tcPr>
          <w:p>
            <w:pPr>
              <w:pStyle w:val="IsiTabel"/>
              <w:suppressAutoHyphens/>
              <w:jc w:val="left"/>
            </w:pPr>
            <w:r>
              <w:t xml:space="preserve">Kab. Mamuju</w:t>
            </w:r>
          </w:p>
        </w:tc>
        <w:tc>
          <w:tcPr>
            <w:tcW w:w="1206" w:type="dxa"/>
          </w:tcPr>
          <w:p>
            <w:pPr>
              <w:pStyle w:val="IsiTabel"/>
              <w:suppressAutoHyphens/>
              <w:jc w:val="right"/>
            </w:pPr>
            <w:r>
              <w:t xml:space="preserve">296.665</w:t>
            </w:r>
          </w:p>
        </w:tc>
        <w:tc>
          <w:tcPr>
            <w:tcW w:w="654" w:type="dxa"/>
          </w:tcPr>
          <w:p>
            <w:pPr>
              <w:pStyle w:val="IsiTabel"/>
              <w:suppressAutoHyphens/>
              <w:jc w:val="right"/>
            </w:pPr>
            <w:r>
              <w:t xml:space="preserve">233,7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(a, c)</w:t>
            </w:r>
          </w:p>
        </w:tc>
      </w:tr>
      <w:tr>
        <w:trPr>
          <w:cantSplit/>
        </w:trPr>
        <w:tc>
          <w:tcPr>
            <w:tcW w:w="2408" w:type="dxa"/>
          </w:tcPr>
          <w:p>
            <w:pPr>
              <w:pStyle w:val="IsiTabel"/>
              <w:suppressAutoHyphens/>
              <w:jc w:val="left"/>
            </w:pPr>
            <w:r>
              <w:t xml:space="preserve">Kab. Mamasa</w:t>
            </w:r>
          </w:p>
        </w:tc>
        <w:tc>
          <w:tcPr>
            <w:tcW w:w="1206" w:type="dxa"/>
          </w:tcPr>
          <w:p>
            <w:pPr>
              <w:pStyle w:val="IsiTabel"/>
              <w:suppressAutoHyphens/>
              <w:jc w:val="right"/>
            </w:pPr>
            <w:r>
              <w:t xml:space="preserve">173.797</w:t>
            </w:r>
          </w:p>
        </w:tc>
        <w:tc>
          <w:tcPr>
            <w:tcW w:w="654" w:type="dxa"/>
          </w:tcPr>
          <w:p>
            <w:pPr>
              <w:pStyle w:val="IsiTabel"/>
              <w:suppressAutoHyphens/>
              <w:jc w:val="right"/>
            </w:pPr>
            <w:r>
              <w:t xml:space="preserve">152,8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Polewali Mandar</w:t>
            </w:r>
          </w:p>
        </w:tc>
        <w:tc>
          <w:tcPr>
            <w:tcW w:w="1206" w:type="dxa"/>
          </w:tcPr>
          <w:p>
            <w:pPr>
              <w:pStyle w:val="IsiTabel"/>
              <w:suppressAutoHyphens/>
              <w:jc w:val="right"/>
            </w:pPr>
            <w:r>
              <w:t xml:space="preserve">506.924</w:t>
            </w:r>
          </w:p>
        </w:tc>
        <w:tc>
          <w:tcPr>
            <w:tcW w:w="654" w:type="dxa"/>
          </w:tcPr>
          <w:p>
            <w:pPr>
              <w:pStyle w:val="IsiTabel"/>
              <w:suppressAutoHyphens/>
              <w:jc w:val="right"/>
            </w:pPr>
            <w:r>
              <w:t xml:space="preserve">202,2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Majene</w:t>
            </w:r>
          </w:p>
        </w:tc>
        <w:tc>
          <w:tcPr>
            <w:tcW w:w="1206" w:type="dxa"/>
          </w:tcPr>
          <w:p>
            <w:pPr>
              <w:pStyle w:val="IsiTabel"/>
              <w:suppressAutoHyphens/>
              <w:jc w:val="right"/>
            </w:pPr>
            <w:r>
              <w:t xml:space="preserve">184.928</w:t>
            </w:r>
          </w:p>
        </w:tc>
        <w:tc>
          <w:tcPr>
            <w:tcW w:w="654" w:type="dxa"/>
          </w:tcPr>
          <w:p>
            <w:pPr>
              <w:pStyle w:val="IsiTabel"/>
              <w:suppressAutoHyphens/>
              <w:jc w:val="right"/>
            </w:pPr>
            <w:r>
              <w:t xml:space="preserve">228,3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Mamuju Tengah</w:t>
            </w:r>
          </w:p>
        </w:tc>
        <w:tc>
          <w:tcPr>
            <w:tcW w:w="1206" w:type="dxa"/>
          </w:tcPr>
          <w:p>
            <w:pPr>
              <w:pStyle w:val="IsiTabel"/>
              <w:suppressAutoHyphens/>
              <w:jc w:val="right"/>
            </w:pPr>
            <w:r>
              <w:t xml:space="preserve">146.161</w:t>
            </w:r>
          </w:p>
        </w:tc>
        <w:tc>
          <w:tcPr>
            <w:tcW w:w="654" w:type="dxa"/>
          </w:tcPr>
          <w:p>
            <w:pPr>
              <w:pStyle w:val="IsiTabel"/>
              <w:suppressAutoHyphens/>
              <w:jc w:val="right"/>
            </w:pPr>
            <w:r>
              <w:t xml:space="preserve">222,2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9354" w:type="dxa"/>
            <w:gridSpan w:val="5"/>
            <w:shd w:val="clear" w:color="auto" w:fill="E6EAF0"/>
          </w:tcPr>
          <w:p>
            <w:pPr>
              <w:pStyle w:val="IsiTabel"/>
              <w:keepNext/>
              <w:suppressAutoHyphens/>
              <w:ind w:left="0"/>
            </w:pPr>
            <w:r>
              <w:rPr>
                <w:b/>
                <w:bCs/>
              </w:rPr>
              <w:t xml:space="preserve">Maluku</w:t>
            </w:r>
          </w:p>
        </w:tc>
      </w:tr>
      <w:tr>
        <w:trPr>
          <w:cantSplit/>
        </w:trPr>
        <w:tc>
          <w:tcPr>
            <w:tcW w:w="2408" w:type="dxa"/>
          </w:tcPr>
          <w:p>
            <w:pPr>
              <w:pStyle w:val="IsiTabel"/>
              <w:suppressAutoHyphens/>
              <w:jc w:val="left"/>
            </w:pPr>
            <w:r>
              <w:t xml:space="preserve">Kab. Maluku Tengah</w:t>
            </w:r>
          </w:p>
        </w:tc>
        <w:tc>
          <w:tcPr>
            <w:tcW w:w="1206" w:type="dxa"/>
          </w:tcPr>
          <w:p>
            <w:pPr>
              <w:pStyle w:val="IsiTabel"/>
              <w:suppressAutoHyphens/>
              <w:jc w:val="right"/>
            </w:pPr>
            <w:r>
              <w:t xml:space="preserve">452.378</w:t>
            </w:r>
          </w:p>
        </w:tc>
        <w:tc>
          <w:tcPr>
            <w:tcW w:w="654" w:type="dxa"/>
          </w:tcPr>
          <w:p>
            <w:pPr>
              <w:pStyle w:val="IsiTabel"/>
              <w:suppressAutoHyphens/>
              <w:jc w:val="right"/>
            </w:pPr>
            <w:r>
              <w:t xml:space="preserve">186,4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gunung api (a, b)</w:t>
            </w:r>
          </w:p>
        </w:tc>
      </w:tr>
      <w:tr>
        <w:trPr>
          <w:cantSplit/>
        </w:trPr>
        <w:tc>
          <w:tcPr>
            <w:tcW w:w="2408" w:type="dxa"/>
          </w:tcPr>
          <w:p>
            <w:pPr>
              <w:pStyle w:val="IsiTabel"/>
              <w:suppressAutoHyphens/>
              <w:jc w:val="left"/>
            </w:pPr>
            <w:r>
              <w:t xml:space="preserve">Kab. Maluku Tenggara</w:t>
            </w:r>
          </w:p>
        </w:tc>
        <w:tc>
          <w:tcPr>
            <w:tcW w:w="1206" w:type="dxa"/>
          </w:tcPr>
          <w:p>
            <w:pPr>
              <w:pStyle w:val="IsiTabel"/>
              <w:suppressAutoHyphens/>
              <w:jc w:val="right"/>
            </w:pPr>
            <w:r>
              <w:t xml:space="preserve">86.730</w:t>
            </w:r>
          </w:p>
        </w:tc>
        <w:tc>
          <w:tcPr>
            <w:tcW w:w="654" w:type="dxa"/>
          </w:tcPr>
          <w:p>
            <w:pPr>
              <w:pStyle w:val="IsiTabel"/>
              <w:suppressAutoHyphens/>
              <w:jc w:val="right"/>
            </w:pPr>
            <w:r>
              <w:t xml:space="preserve">204,5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Kepulauan Tanimbar</w:t>
            </w:r>
          </w:p>
        </w:tc>
        <w:tc>
          <w:tcPr>
            <w:tcW w:w="1206" w:type="dxa"/>
          </w:tcPr>
          <w:p>
            <w:pPr>
              <w:pStyle w:val="IsiTabel"/>
              <w:suppressAutoHyphens/>
              <w:jc w:val="right"/>
            </w:pPr>
            <w:r>
              <w:t xml:space="preserve">130.460</w:t>
            </w:r>
          </w:p>
        </w:tc>
        <w:tc>
          <w:tcPr>
            <w:tcW w:w="654" w:type="dxa"/>
          </w:tcPr>
          <w:p>
            <w:pPr>
              <w:pStyle w:val="IsiTabel"/>
              <w:suppressAutoHyphens/>
              <w:jc w:val="right"/>
            </w:pPr>
            <w:r>
              <w:t xml:space="preserve">195,7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(b, c); gelombang ekstrem dan abrasi (a, b)</w:t>
            </w:r>
          </w:p>
        </w:tc>
      </w:tr>
      <w:tr>
        <w:trPr>
          <w:cantSplit/>
        </w:trPr>
        <w:tc>
          <w:tcPr>
            <w:tcW w:w="2408" w:type="dxa"/>
          </w:tcPr>
          <w:p>
            <w:pPr>
              <w:pStyle w:val="IsiTabel"/>
              <w:suppressAutoHyphens/>
              <w:jc w:val="left"/>
            </w:pPr>
            <w:r>
              <w:t xml:space="preserve">Kab. Buru</w:t>
            </w:r>
          </w:p>
        </w:tc>
        <w:tc>
          <w:tcPr>
            <w:tcW w:w="1206" w:type="dxa"/>
          </w:tcPr>
          <w:p>
            <w:pPr>
              <w:pStyle w:val="IsiTabel"/>
              <w:suppressAutoHyphens/>
              <w:jc w:val="right"/>
            </w:pPr>
            <w:r>
              <w:t xml:space="preserve">143.534</w:t>
            </w:r>
          </w:p>
        </w:tc>
        <w:tc>
          <w:tcPr>
            <w:tcW w:w="654" w:type="dxa"/>
          </w:tcPr>
          <w:p>
            <w:pPr>
              <w:pStyle w:val="IsiTabel"/>
              <w:suppressAutoHyphens/>
              <w:jc w:val="right"/>
            </w:pPr>
            <w:r>
              <w:t xml:space="preserve">193,0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gelombang ekstrem dan abrasi (a, c)</w:t>
            </w:r>
          </w:p>
        </w:tc>
      </w:tr>
      <w:tr>
        <w:trPr>
          <w:cantSplit/>
        </w:trPr>
        <w:tc>
          <w:tcPr>
            <w:tcW w:w="2408" w:type="dxa"/>
          </w:tcPr>
          <w:p>
            <w:pPr>
              <w:pStyle w:val="IsiTabel"/>
              <w:suppressAutoHyphens/>
              <w:jc w:val="left"/>
            </w:pPr>
            <w:r>
              <w:t xml:space="preserve">Kab. Seram Bagian Timur</w:t>
            </w:r>
          </w:p>
        </w:tc>
        <w:tc>
          <w:tcPr>
            <w:tcW w:w="1206" w:type="dxa"/>
          </w:tcPr>
          <w:p>
            <w:pPr>
              <w:pStyle w:val="IsiTabel"/>
              <w:suppressAutoHyphens/>
              <w:jc w:val="right"/>
            </w:pPr>
            <w:r>
              <w:t xml:space="preserve">144.725</w:t>
            </w:r>
          </w:p>
        </w:tc>
        <w:tc>
          <w:tcPr>
            <w:tcW w:w="654" w:type="dxa"/>
          </w:tcPr>
          <w:p>
            <w:pPr>
              <w:pStyle w:val="IsiTabel"/>
              <w:suppressAutoHyphens/>
              <w:jc w:val="right"/>
            </w:pPr>
            <w:r>
              <w:t xml:space="preserve">244,5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gelombang ekstrem dan abrasi (a, c)</w:t>
            </w:r>
          </w:p>
        </w:tc>
      </w:tr>
      <w:tr>
        <w:trPr>
          <w:cantSplit/>
        </w:trPr>
        <w:tc>
          <w:tcPr>
            <w:tcW w:w="2408" w:type="dxa"/>
          </w:tcPr>
          <w:p>
            <w:pPr>
              <w:pStyle w:val="IsiTabel"/>
              <w:suppressAutoHyphens/>
              <w:jc w:val="left"/>
            </w:pPr>
            <w:r>
              <w:t xml:space="preserve">Kab. Seram Bagian Barat</w:t>
            </w:r>
          </w:p>
        </w:tc>
        <w:tc>
          <w:tcPr>
            <w:tcW w:w="1206" w:type="dxa"/>
          </w:tcPr>
          <w:p>
            <w:pPr>
              <w:pStyle w:val="IsiTabel"/>
              <w:suppressAutoHyphens/>
              <w:jc w:val="right"/>
            </w:pPr>
            <w:r>
              <w:t xml:space="preserve">225.600</w:t>
            </w:r>
          </w:p>
        </w:tc>
        <w:tc>
          <w:tcPr>
            <w:tcW w:w="654" w:type="dxa"/>
          </w:tcPr>
          <w:p>
            <w:pPr>
              <w:pStyle w:val="IsiTabel"/>
              <w:suppressAutoHyphens/>
              <w:jc w:val="right"/>
            </w:pPr>
            <w:r>
              <w:t xml:space="preserve">201,0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Kepulauan Aru</w:t>
            </w:r>
          </w:p>
        </w:tc>
        <w:tc>
          <w:tcPr>
            <w:tcW w:w="1206" w:type="dxa"/>
          </w:tcPr>
          <w:p>
            <w:pPr>
              <w:pStyle w:val="IsiTabel"/>
              <w:suppressAutoHyphens/>
              <w:jc w:val="right"/>
            </w:pPr>
            <w:r>
              <w:t xml:space="preserve">108.089</w:t>
            </w:r>
          </w:p>
        </w:tc>
        <w:tc>
          <w:tcPr>
            <w:tcW w:w="654" w:type="dxa"/>
          </w:tcPr>
          <w:p>
            <w:pPr>
              <w:pStyle w:val="IsiTabel"/>
              <w:suppressAutoHyphens/>
              <w:jc w:val="right"/>
            </w:pPr>
            <w:r>
              <w:t xml:space="preserve">183,9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Maluku Barat Daya</w:t>
            </w:r>
          </w:p>
        </w:tc>
        <w:tc>
          <w:tcPr>
            <w:tcW w:w="1206" w:type="dxa"/>
          </w:tcPr>
          <w:p>
            <w:pPr>
              <w:pStyle w:val="IsiTabel"/>
              <w:suppressAutoHyphens/>
              <w:jc w:val="right"/>
            </w:pPr>
            <w:r>
              <w:t xml:space="preserve">87.251</w:t>
            </w:r>
          </w:p>
        </w:tc>
        <w:tc>
          <w:tcPr>
            <w:tcW w:w="654" w:type="dxa"/>
          </w:tcPr>
          <w:p>
            <w:pPr>
              <w:pStyle w:val="IsiTabel"/>
              <w:suppressAutoHyphens/>
              <w:jc w:val="right"/>
            </w:pPr>
            <w:r>
              <w:t xml:space="preserve">246,3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 gelombang ekstrem dan abrasi (a, c)</w:t>
            </w:r>
          </w:p>
        </w:tc>
      </w:tr>
      <w:tr>
        <w:trPr>
          <w:cantSplit/>
        </w:trPr>
        <w:tc>
          <w:tcPr>
            <w:tcW w:w="2408" w:type="dxa"/>
          </w:tcPr>
          <w:p>
            <w:pPr>
              <w:pStyle w:val="IsiTabel"/>
              <w:suppressAutoHyphens/>
              <w:jc w:val="left"/>
            </w:pPr>
            <w:r>
              <w:t xml:space="preserve">Kab. Buru Selatan</w:t>
            </w:r>
          </w:p>
        </w:tc>
        <w:tc>
          <w:tcPr>
            <w:tcW w:w="1206" w:type="dxa"/>
          </w:tcPr>
          <w:p>
            <w:pPr>
              <w:pStyle w:val="IsiTabel"/>
              <w:suppressAutoHyphens/>
              <w:jc w:val="right"/>
            </w:pPr>
            <w:r>
              <w:t xml:space="preserve">80.030</w:t>
            </w:r>
          </w:p>
        </w:tc>
        <w:tc>
          <w:tcPr>
            <w:tcW w:w="654" w:type="dxa"/>
          </w:tcPr>
          <w:p>
            <w:pPr>
              <w:pStyle w:val="IsiTabel"/>
              <w:suppressAutoHyphens/>
              <w:jc w:val="right"/>
            </w:pPr>
            <w:r>
              <w:t xml:space="preserve">220,6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Ambon</w:t>
            </w:r>
          </w:p>
        </w:tc>
        <w:tc>
          <w:tcPr>
            <w:tcW w:w="1206" w:type="dxa"/>
          </w:tcPr>
          <w:p>
            <w:pPr>
              <w:pStyle w:val="IsiTabel"/>
              <w:suppressAutoHyphens/>
              <w:jc w:val="right"/>
            </w:pPr>
            <w:r>
              <w:t xml:space="preserve">364.071</w:t>
            </w:r>
          </w:p>
        </w:tc>
        <w:tc>
          <w:tcPr>
            <w:tcW w:w="654" w:type="dxa"/>
          </w:tcPr>
          <w:p>
            <w:pPr>
              <w:pStyle w:val="IsiTabel"/>
              <w:suppressAutoHyphens/>
              <w:jc w:val="right"/>
            </w:pPr>
            <w:r>
              <w:t xml:space="preserve">159,5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Tual</w:t>
            </w:r>
          </w:p>
        </w:tc>
        <w:tc>
          <w:tcPr>
            <w:tcW w:w="1206" w:type="dxa"/>
          </w:tcPr>
          <w:p>
            <w:pPr>
              <w:pStyle w:val="IsiTabel"/>
              <w:suppressAutoHyphens/>
              <w:jc w:val="right"/>
            </w:pPr>
            <w:r>
              <w:t xml:space="preserve">135.633</w:t>
            </w:r>
          </w:p>
        </w:tc>
        <w:tc>
          <w:tcPr>
            <w:tcW w:w="654" w:type="dxa"/>
          </w:tcPr>
          <w:p>
            <w:pPr>
              <w:pStyle w:val="IsiTabel"/>
              <w:suppressAutoHyphens/>
              <w:jc w:val="right"/>
            </w:pPr>
            <w:r>
              <w:t xml:space="preserve">208,0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gelombang ekstrem dan abrasi (b, c)</w:t>
            </w:r>
          </w:p>
        </w:tc>
      </w:tr>
      <w:tr>
        <w:trPr>
          <w:cantSplit/>
        </w:trPr>
        <w:tc>
          <w:tcPr>
            <w:tcW w:w="9354" w:type="dxa"/>
            <w:gridSpan w:val="5"/>
            <w:shd w:val="clear" w:color="auto" w:fill="E6EAF0"/>
          </w:tcPr>
          <w:p>
            <w:pPr>
              <w:pStyle w:val="IsiTabel"/>
              <w:keepNext/>
              <w:suppressAutoHyphens/>
              <w:ind w:left="0"/>
            </w:pPr>
            <w:r>
              <w:rPr>
                <w:b/>
                <w:bCs/>
              </w:rPr>
              <w:t xml:space="preserve">Maluku Utara</w:t>
            </w:r>
          </w:p>
        </w:tc>
      </w:tr>
      <w:tr>
        <w:trPr>
          <w:cantSplit/>
        </w:trPr>
        <w:tc>
          <w:tcPr>
            <w:tcW w:w="2408" w:type="dxa"/>
          </w:tcPr>
          <w:p>
            <w:pPr>
              <w:pStyle w:val="IsiTabel"/>
              <w:suppressAutoHyphens/>
              <w:jc w:val="left"/>
            </w:pPr>
            <w:r>
              <w:t xml:space="preserve">Kab. Halmahera Barat</w:t>
            </w:r>
          </w:p>
        </w:tc>
        <w:tc>
          <w:tcPr>
            <w:tcW w:w="1206" w:type="dxa"/>
          </w:tcPr>
          <w:p>
            <w:pPr>
              <w:pStyle w:val="IsiTabel"/>
              <w:suppressAutoHyphens/>
              <w:jc w:val="right"/>
            </w:pPr>
            <w:r>
              <w:t xml:space="preserve">141.439</w:t>
            </w:r>
          </w:p>
        </w:tc>
        <w:tc>
          <w:tcPr>
            <w:tcW w:w="654" w:type="dxa"/>
          </w:tcPr>
          <w:p>
            <w:pPr>
              <w:pStyle w:val="IsiTabel"/>
              <w:suppressAutoHyphens/>
              <w:jc w:val="right"/>
            </w:pPr>
            <w:r>
              <w:t xml:space="preserve">254,4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(b, c)</w:t>
            </w:r>
          </w:p>
        </w:tc>
      </w:tr>
      <w:tr>
        <w:trPr>
          <w:cantSplit/>
        </w:trPr>
        <w:tc>
          <w:tcPr>
            <w:tcW w:w="2408" w:type="dxa"/>
          </w:tcPr>
          <w:p>
            <w:pPr>
              <w:pStyle w:val="IsiTabel"/>
              <w:suppressAutoHyphens/>
              <w:jc w:val="left"/>
            </w:pPr>
            <w:r>
              <w:t xml:space="preserve">Kab. Halmahera Tengah</w:t>
            </w:r>
          </w:p>
        </w:tc>
        <w:tc>
          <w:tcPr>
            <w:tcW w:w="1206" w:type="dxa"/>
          </w:tcPr>
          <w:p>
            <w:pPr>
              <w:pStyle w:val="IsiTabel"/>
              <w:suppressAutoHyphens/>
              <w:jc w:val="right"/>
            </w:pPr>
            <w:r>
              <w:t xml:space="preserve">59.267</w:t>
            </w:r>
          </w:p>
        </w:tc>
        <w:tc>
          <w:tcPr>
            <w:tcW w:w="654" w:type="dxa"/>
          </w:tcPr>
          <w:p>
            <w:pPr>
              <w:pStyle w:val="IsiTabel"/>
              <w:suppressAutoHyphens/>
              <w:jc w:val="right"/>
            </w:pPr>
            <w:r>
              <w:t xml:space="preserve">251,1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w:t>
            </w:r>
          </w:p>
        </w:tc>
      </w:tr>
      <w:tr>
        <w:trPr>
          <w:cantSplit/>
        </w:trPr>
        <w:tc>
          <w:tcPr>
            <w:tcW w:w="2408" w:type="dxa"/>
          </w:tcPr>
          <w:p>
            <w:pPr>
              <w:pStyle w:val="IsiTabel"/>
              <w:suppressAutoHyphens/>
              <w:jc w:val="left"/>
            </w:pPr>
            <w:r>
              <w:t xml:space="preserve">Kab. Halmahera Utara</w:t>
            </w:r>
          </w:p>
        </w:tc>
        <w:tc>
          <w:tcPr>
            <w:tcW w:w="1206" w:type="dxa"/>
          </w:tcPr>
          <w:p>
            <w:pPr>
              <w:pStyle w:val="IsiTabel"/>
              <w:suppressAutoHyphens/>
              <w:jc w:val="right"/>
            </w:pPr>
            <w:r>
              <w:t xml:space="preserve">206.837</w:t>
            </w:r>
          </w:p>
        </w:tc>
        <w:tc>
          <w:tcPr>
            <w:tcW w:w="654" w:type="dxa"/>
          </w:tcPr>
          <w:p>
            <w:pPr>
              <w:pStyle w:val="IsiTabel"/>
              <w:suppressAutoHyphens/>
              <w:jc w:val="right"/>
            </w:pPr>
            <w:r>
              <w:t xml:space="preserve">236,2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 gelombang ekstrem dan abrasi (b, c); gunung api (a, c)</w:t>
            </w:r>
          </w:p>
        </w:tc>
      </w:tr>
      <w:tr>
        <w:trPr>
          <w:cantSplit/>
        </w:trPr>
        <w:tc>
          <w:tcPr>
            <w:tcW w:w="2408" w:type="dxa"/>
          </w:tcPr>
          <w:p>
            <w:pPr>
              <w:pStyle w:val="IsiTabel"/>
              <w:suppressAutoHyphens/>
              <w:jc w:val="left"/>
            </w:pPr>
            <w:r>
              <w:t xml:space="preserve">Kab. Halmahera Selatan</w:t>
            </w:r>
          </w:p>
        </w:tc>
        <w:tc>
          <w:tcPr>
            <w:tcW w:w="1206" w:type="dxa"/>
          </w:tcPr>
          <w:p>
            <w:pPr>
              <w:pStyle w:val="IsiTabel"/>
              <w:suppressAutoHyphens/>
              <w:jc w:val="right"/>
            </w:pPr>
            <w:r>
              <w:t xml:space="preserve">261.384</w:t>
            </w:r>
          </w:p>
        </w:tc>
        <w:tc>
          <w:tcPr>
            <w:tcW w:w="654" w:type="dxa"/>
          </w:tcPr>
          <w:p>
            <w:pPr>
              <w:pStyle w:val="IsiTabel"/>
              <w:suppressAutoHyphens/>
              <w:jc w:val="right"/>
            </w:pPr>
            <w:r>
              <w:t xml:space="preserve">278,5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Kepulauan Sula</w:t>
            </w:r>
          </w:p>
        </w:tc>
        <w:tc>
          <w:tcPr>
            <w:tcW w:w="1206" w:type="dxa"/>
          </w:tcPr>
          <w:p>
            <w:pPr>
              <w:pStyle w:val="IsiTabel"/>
              <w:suppressAutoHyphens/>
              <w:jc w:val="right"/>
            </w:pPr>
            <w:r>
              <w:t xml:space="preserve">108.775</w:t>
            </w:r>
          </w:p>
        </w:tc>
        <w:tc>
          <w:tcPr>
            <w:tcW w:w="654" w:type="dxa"/>
          </w:tcPr>
          <w:p>
            <w:pPr>
              <w:pStyle w:val="IsiTabel"/>
              <w:suppressAutoHyphens/>
              <w:jc w:val="right"/>
            </w:pPr>
            <w:r>
              <w:t xml:space="preserve">186,2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Halmahera Timur</w:t>
            </w:r>
          </w:p>
        </w:tc>
        <w:tc>
          <w:tcPr>
            <w:tcW w:w="1206" w:type="dxa"/>
          </w:tcPr>
          <w:p>
            <w:pPr>
              <w:pStyle w:val="IsiTabel"/>
              <w:suppressAutoHyphens/>
              <w:jc w:val="right"/>
            </w:pPr>
            <w:r>
              <w:t xml:space="preserve">99.775</w:t>
            </w:r>
          </w:p>
        </w:tc>
        <w:tc>
          <w:tcPr>
            <w:tcW w:w="654" w:type="dxa"/>
          </w:tcPr>
          <w:p>
            <w:pPr>
              <w:pStyle w:val="IsiTabel"/>
              <w:suppressAutoHyphens/>
              <w:jc w:val="right"/>
            </w:pPr>
            <w:r>
              <w:t xml:space="preserve">240,5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Kab. Pulau Morotai</w:t>
            </w:r>
          </w:p>
        </w:tc>
        <w:tc>
          <w:tcPr>
            <w:tcW w:w="1206" w:type="dxa"/>
          </w:tcPr>
          <w:p>
            <w:pPr>
              <w:pStyle w:val="IsiTabel"/>
              <w:suppressAutoHyphens/>
              <w:jc w:val="right"/>
            </w:pPr>
            <w:r>
              <w:t xml:space="preserve">77.950</w:t>
            </w:r>
          </w:p>
        </w:tc>
        <w:tc>
          <w:tcPr>
            <w:tcW w:w="654" w:type="dxa"/>
          </w:tcPr>
          <w:p>
            <w:pPr>
              <w:pStyle w:val="IsiTabel"/>
              <w:suppressAutoHyphens/>
              <w:jc w:val="right"/>
            </w:pPr>
            <w:r>
              <w:t xml:space="preserve">182,1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 gelombang ekstrem dan abrasi (a, b, c); gempa bumi (a, c)</w:t>
            </w:r>
          </w:p>
        </w:tc>
      </w:tr>
      <w:tr>
        <w:trPr>
          <w:cantSplit/>
        </w:trPr>
        <w:tc>
          <w:tcPr>
            <w:tcW w:w="2408" w:type="dxa"/>
          </w:tcPr>
          <w:p>
            <w:pPr>
              <w:pStyle w:val="IsiTabel"/>
              <w:suppressAutoHyphens/>
              <w:jc w:val="left"/>
            </w:pPr>
            <w:r>
              <w:t xml:space="preserve">Kab. Pulau Taliabu</w:t>
            </w:r>
          </w:p>
        </w:tc>
        <w:tc>
          <w:tcPr>
            <w:tcW w:w="1206" w:type="dxa"/>
          </w:tcPr>
          <w:p>
            <w:pPr>
              <w:pStyle w:val="IsiTabel"/>
              <w:suppressAutoHyphens/>
              <w:jc w:val="right"/>
            </w:pPr>
            <w:r>
              <w:t xml:space="preserve">62.746</w:t>
            </w:r>
          </w:p>
        </w:tc>
        <w:tc>
          <w:tcPr>
            <w:tcW w:w="654" w:type="dxa"/>
          </w:tcPr>
          <w:p>
            <w:pPr>
              <w:pStyle w:val="IsiTabel"/>
              <w:suppressAutoHyphens/>
              <w:jc w:val="right"/>
            </w:pPr>
            <w:r>
              <w:t xml:space="preserve">223,4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Ternate</w:t>
            </w:r>
          </w:p>
        </w:tc>
        <w:tc>
          <w:tcPr>
            <w:tcW w:w="1206" w:type="dxa"/>
          </w:tcPr>
          <w:p>
            <w:pPr>
              <w:pStyle w:val="IsiTabel"/>
              <w:suppressAutoHyphens/>
              <w:jc w:val="right"/>
            </w:pPr>
            <w:r>
              <w:t xml:space="preserve">217.123</w:t>
            </w:r>
          </w:p>
        </w:tc>
        <w:tc>
          <w:tcPr>
            <w:tcW w:w="654" w:type="dxa"/>
          </w:tcPr>
          <w:p>
            <w:pPr>
              <w:pStyle w:val="IsiTabel"/>
              <w:suppressAutoHyphens/>
              <w:jc w:val="right"/>
            </w:pPr>
            <w:r>
              <w:t xml:space="preserve">109,6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(a, c)</w:t>
            </w:r>
          </w:p>
        </w:tc>
      </w:tr>
      <w:tr>
        <w:trPr>
          <w:cantSplit/>
        </w:trPr>
        <w:tc>
          <w:tcPr>
            <w:tcW w:w="2408" w:type="dxa"/>
          </w:tcPr>
          <w:p>
            <w:pPr>
              <w:pStyle w:val="IsiTabel"/>
              <w:suppressAutoHyphens/>
              <w:jc w:val="left"/>
            </w:pPr>
            <w:r>
              <w:t xml:space="preserve">Kota Tidore Kepulauan</w:t>
            </w:r>
          </w:p>
        </w:tc>
        <w:tc>
          <w:tcPr>
            <w:tcW w:w="1206" w:type="dxa"/>
          </w:tcPr>
          <w:p>
            <w:pPr>
              <w:pStyle w:val="IsiTabel"/>
              <w:suppressAutoHyphens/>
              <w:jc w:val="right"/>
            </w:pPr>
            <w:r>
              <w:t xml:space="preserve">121.459</w:t>
            </w:r>
          </w:p>
        </w:tc>
        <w:tc>
          <w:tcPr>
            <w:tcW w:w="654" w:type="dxa"/>
          </w:tcPr>
          <w:p>
            <w:pPr>
              <w:pStyle w:val="IsiTabel"/>
              <w:suppressAutoHyphens/>
              <w:jc w:val="right"/>
            </w:pPr>
            <w:r>
              <w:t xml:space="preserve">241,2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(a, b)</w:t>
            </w:r>
          </w:p>
        </w:tc>
      </w:tr>
      <w:tr>
        <w:trPr>
          <w:cantSplit/>
        </w:trPr>
        <w:tc>
          <w:tcPr>
            <w:tcW w:w="9354" w:type="dxa"/>
            <w:gridSpan w:val="5"/>
            <w:shd w:val="clear" w:color="auto" w:fill="E6EAF0"/>
          </w:tcPr>
          <w:p>
            <w:pPr>
              <w:pStyle w:val="IsiTabel"/>
              <w:keepNext/>
              <w:suppressAutoHyphens/>
              <w:ind w:left="0"/>
            </w:pPr>
            <w:r>
              <w:rPr>
                <w:b/>
                <w:bCs/>
              </w:rPr>
              <w:t xml:space="preserve">Papua</w:t>
            </w:r>
          </w:p>
        </w:tc>
      </w:tr>
      <w:tr>
        <w:trPr>
          <w:cantSplit/>
        </w:trPr>
        <w:tc>
          <w:tcPr>
            <w:tcW w:w="2408" w:type="dxa"/>
          </w:tcPr>
          <w:p>
            <w:pPr>
              <w:pStyle w:val="IsiTabel"/>
              <w:suppressAutoHyphens/>
              <w:jc w:val="left"/>
            </w:pPr>
            <w:r>
              <w:t xml:space="preserve">Kab. Jayapura</w:t>
            </w:r>
          </w:p>
        </w:tc>
        <w:tc>
          <w:tcPr>
            <w:tcW w:w="1206" w:type="dxa"/>
          </w:tcPr>
          <w:p>
            <w:pPr>
              <w:pStyle w:val="IsiTabel"/>
              <w:suppressAutoHyphens/>
              <w:jc w:val="right"/>
            </w:pPr>
            <w:r>
              <w:t xml:space="preserve">179.193</w:t>
            </w:r>
          </w:p>
        </w:tc>
        <w:tc>
          <w:tcPr>
            <w:tcW w:w="654" w:type="dxa"/>
          </w:tcPr>
          <w:p>
            <w:pPr>
              <w:pStyle w:val="IsiTabel"/>
              <w:suppressAutoHyphens/>
              <w:jc w:val="right"/>
            </w:pPr>
            <w:r>
              <w:t xml:space="preserve">244,1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 cuaca ekstrem (a, c)</w:t>
            </w:r>
          </w:p>
        </w:tc>
      </w:tr>
      <w:tr>
        <w:trPr>
          <w:cantSplit/>
        </w:trPr>
        <w:tc>
          <w:tcPr>
            <w:tcW w:w="2408" w:type="dxa"/>
          </w:tcPr>
          <w:p>
            <w:pPr>
              <w:pStyle w:val="IsiTabel"/>
              <w:suppressAutoHyphens/>
              <w:jc w:val="left"/>
            </w:pPr>
            <w:r>
              <w:t xml:space="preserve">Kab. Kepulauan Yapen</w:t>
            </w:r>
          </w:p>
        </w:tc>
        <w:tc>
          <w:tcPr>
            <w:tcW w:w="1206" w:type="dxa"/>
          </w:tcPr>
          <w:p>
            <w:pPr>
              <w:pStyle w:val="IsiTabel"/>
              <w:suppressAutoHyphens/>
              <w:jc w:val="right"/>
            </w:pPr>
            <w:r>
              <w:t xml:space="preserve">120.214</w:t>
            </w:r>
          </w:p>
        </w:tc>
        <w:tc>
          <w:tcPr>
            <w:tcW w:w="654" w:type="dxa"/>
          </w:tcPr>
          <w:p>
            <w:pPr>
              <w:pStyle w:val="IsiTabel"/>
              <w:suppressAutoHyphens/>
              <w:jc w:val="right"/>
            </w:pPr>
            <w:r>
              <w:t xml:space="preserve">219,2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Biak Numfor</w:t>
            </w:r>
          </w:p>
        </w:tc>
        <w:tc>
          <w:tcPr>
            <w:tcW w:w="1206" w:type="dxa"/>
          </w:tcPr>
          <w:p>
            <w:pPr>
              <w:pStyle w:val="IsiTabel"/>
              <w:suppressAutoHyphens/>
              <w:jc w:val="right"/>
            </w:pPr>
            <w:r>
              <w:t xml:space="preserve">142.838</w:t>
            </w:r>
          </w:p>
        </w:tc>
        <w:tc>
          <w:tcPr>
            <w:tcW w:w="654" w:type="dxa"/>
          </w:tcPr>
          <w:p>
            <w:pPr>
              <w:pStyle w:val="IsiTabel"/>
              <w:suppressAutoHyphens/>
              <w:jc w:val="right"/>
            </w:pPr>
            <w:r>
              <w:t xml:space="preserve">228,5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Sarmi</w:t>
            </w:r>
          </w:p>
        </w:tc>
        <w:tc>
          <w:tcPr>
            <w:tcW w:w="1206" w:type="dxa"/>
          </w:tcPr>
          <w:p>
            <w:pPr>
              <w:pStyle w:val="IsiTabel"/>
              <w:suppressAutoHyphens/>
              <w:jc w:val="right"/>
            </w:pPr>
            <w:r>
              <w:t xml:space="preserve">43.555</w:t>
            </w:r>
          </w:p>
        </w:tc>
        <w:tc>
          <w:tcPr>
            <w:tcW w:w="654" w:type="dxa"/>
          </w:tcPr>
          <w:p>
            <w:pPr>
              <w:pStyle w:val="IsiTabel"/>
              <w:suppressAutoHyphens/>
              <w:jc w:val="right"/>
            </w:pPr>
            <w:r>
              <w:t xml:space="preserve">232,0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Keerom</w:t>
            </w:r>
          </w:p>
        </w:tc>
        <w:tc>
          <w:tcPr>
            <w:tcW w:w="1206" w:type="dxa"/>
          </w:tcPr>
          <w:p>
            <w:pPr>
              <w:pStyle w:val="IsiTabel"/>
              <w:suppressAutoHyphens/>
              <w:jc w:val="right"/>
            </w:pPr>
            <w:r>
              <w:t xml:space="preserve">66.251</w:t>
            </w:r>
          </w:p>
        </w:tc>
        <w:tc>
          <w:tcPr>
            <w:tcW w:w="654" w:type="dxa"/>
          </w:tcPr>
          <w:p>
            <w:pPr>
              <w:pStyle w:val="IsiTabel"/>
              <w:suppressAutoHyphens/>
              <w:jc w:val="right"/>
            </w:pPr>
            <w:r>
              <w:t xml:space="preserve">204,0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w:t>
            </w:r>
          </w:p>
        </w:tc>
      </w:tr>
      <w:tr>
        <w:trPr>
          <w:cantSplit/>
        </w:trPr>
        <w:tc>
          <w:tcPr>
            <w:tcW w:w="2408" w:type="dxa"/>
          </w:tcPr>
          <w:p>
            <w:pPr>
              <w:pStyle w:val="IsiTabel"/>
              <w:suppressAutoHyphens/>
              <w:jc w:val="left"/>
            </w:pPr>
            <w:r>
              <w:t xml:space="preserve">Kab. Waropen</w:t>
            </w:r>
          </w:p>
        </w:tc>
        <w:tc>
          <w:tcPr>
            <w:tcW w:w="1206" w:type="dxa"/>
          </w:tcPr>
          <w:p>
            <w:pPr>
              <w:pStyle w:val="IsiTabel"/>
              <w:suppressAutoHyphens/>
              <w:jc w:val="right"/>
            </w:pPr>
            <w:r>
              <w:t xml:space="preserve">37.588</w:t>
            </w:r>
          </w:p>
        </w:tc>
        <w:tc>
          <w:tcPr>
            <w:tcW w:w="654" w:type="dxa"/>
          </w:tcPr>
          <w:p>
            <w:pPr>
              <w:pStyle w:val="IsiTabel"/>
              <w:suppressAutoHyphens/>
              <w:jc w:val="right"/>
            </w:pPr>
            <w:r>
              <w:t xml:space="preserve">239,5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gelombang ekstrem dan abrasi (a, b, c)</w:t>
            </w:r>
          </w:p>
        </w:tc>
      </w:tr>
      <w:tr>
        <w:trPr>
          <w:cantSplit/>
        </w:trPr>
        <w:tc>
          <w:tcPr>
            <w:tcW w:w="2408" w:type="dxa"/>
          </w:tcPr>
          <w:p>
            <w:pPr>
              <w:pStyle w:val="IsiTabel"/>
              <w:suppressAutoHyphens/>
              <w:jc w:val="left"/>
            </w:pPr>
            <w:r>
              <w:t xml:space="preserve">Kab. Supiori</w:t>
            </w:r>
          </w:p>
        </w:tc>
        <w:tc>
          <w:tcPr>
            <w:tcW w:w="1206" w:type="dxa"/>
          </w:tcPr>
          <w:p>
            <w:pPr>
              <w:pStyle w:val="IsiTabel"/>
              <w:suppressAutoHyphens/>
              <w:jc w:val="right"/>
            </w:pPr>
            <w:r>
              <w:t xml:space="preserve">23.761</w:t>
            </w:r>
          </w:p>
        </w:tc>
        <w:tc>
          <w:tcPr>
            <w:tcW w:w="654" w:type="dxa"/>
          </w:tcPr>
          <w:p>
            <w:pPr>
              <w:pStyle w:val="IsiTabel"/>
              <w:suppressAutoHyphens/>
              <w:jc w:val="right"/>
            </w:pPr>
            <w:r>
              <w:t xml:space="preserve">239,6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Mamberamo Raya</w:t>
            </w:r>
          </w:p>
        </w:tc>
        <w:tc>
          <w:tcPr>
            <w:tcW w:w="1206" w:type="dxa"/>
          </w:tcPr>
          <w:p>
            <w:pPr>
              <w:pStyle w:val="IsiTabel"/>
              <w:suppressAutoHyphens/>
              <w:jc w:val="right"/>
            </w:pPr>
            <w:r>
              <w:t xml:space="preserve">38.313</w:t>
            </w:r>
          </w:p>
        </w:tc>
        <w:tc>
          <w:tcPr>
            <w:tcW w:w="654" w:type="dxa"/>
          </w:tcPr>
          <w:p>
            <w:pPr>
              <w:pStyle w:val="IsiTabel"/>
              <w:suppressAutoHyphens/>
              <w:jc w:val="right"/>
            </w:pPr>
            <w:r>
              <w:t xml:space="preserve">231,4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Kota Jayapura</w:t>
            </w:r>
          </w:p>
        </w:tc>
        <w:tc>
          <w:tcPr>
            <w:tcW w:w="1206" w:type="dxa"/>
          </w:tcPr>
          <w:p>
            <w:pPr>
              <w:pStyle w:val="IsiTabel"/>
              <w:suppressAutoHyphens/>
              <w:jc w:val="right"/>
            </w:pPr>
            <w:r>
              <w:t xml:space="preserve">420.645</w:t>
            </w:r>
          </w:p>
        </w:tc>
        <w:tc>
          <w:tcPr>
            <w:tcW w:w="654" w:type="dxa"/>
          </w:tcPr>
          <w:p>
            <w:pPr>
              <w:pStyle w:val="IsiTabel"/>
              <w:suppressAutoHyphens/>
              <w:jc w:val="right"/>
            </w:pPr>
            <w:r>
              <w:t xml:space="preserve">128,3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gempa bumi (a, c)</w:t>
            </w:r>
          </w:p>
        </w:tc>
      </w:tr>
      <w:tr>
        <w:trPr>
          <w:cantSplit/>
        </w:trPr>
        <w:tc>
          <w:tcPr>
            <w:tcW w:w="9354" w:type="dxa"/>
            <w:gridSpan w:val="5"/>
            <w:shd w:val="clear" w:color="auto" w:fill="E6EAF0"/>
          </w:tcPr>
          <w:p>
            <w:pPr>
              <w:pStyle w:val="IsiTabel"/>
              <w:keepNext/>
              <w:suppressAutoHyphens/>
              <w:ind w:left="0"/>
            </w:pPr>
            <w:r>
              <w:rPr>
                <w:b/>
                <w:bCs/>
              </w:rPr>
              <w:t xml:space="preserve">Papua Barat</w:t>
            </w:r>
          </w:p>
        </w:tc>
      </w:tr>
      <w:tr>
        <w:trPr>
          <w:cantSplit/>
        </w:trPr>
        <w:tc>
          <w:tcPr>
            <w:tcW w:w="2408" w:type="dxa"/>
          </w:tcPr>
          <w:p>
            <w:pPr>
              <w:pStyle w:val="IsiTabel"/>
              <w:suppressAutoHyphens/>
              <w:jc w:val="left"/>
            </w:pPr>
            <w:r>
              <w:t xml:space="preserve">Kab. Manokwari</w:t>
            </w:r>
          </w:p>
        </w:tc>
        <w:tc>
          <w:tcPr>
            <w:tcW w:w="1206" w:type="dxa"/>
          </w:tcPr>
          <w:p>
            <w:pPr>
              <w:pStyle w:val="IsiTabel"/>
              <w:suppressAutoHyphens/>
              <w:jc w:val="right"/>
            </w:pPr>
            <w:r>
              <w:t xml:space="preserve">204.242</w:t>
            </w:r>
          </w:p>
        </w:tc>
        <w:tc>
          <w:tcPr>
            <w:tcW w:w="654" w:type="dxa"/>
          </w:tcPr>
          <w:p>
            <w:pPr>
              <w:pStyle w:val="IsiTabel"/>
              <w:suppressAutoHyphens/>
              <w:jc w:val="right"/>
            </w:pPr>
            <w:r>
              <w:t xml:space="preserve">218,9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Fak Fak</w:t>
            </w:r>
          </w:p>
        </w:tc>
        <w:tc>
          <w:tcPr>
            <w:tcW w:w="1206" w:type="dxa"/>
          </w:tcPr>
          <w:p>
            <w:pPr>
              <w:pStyle w:val="IsiTabel"/>
              <w:suppressAutoHyphens/>
              <w:jc w:val="right"/>
            </w:pPr>
            <w:r>
              <w:t xml:space="preserve">90.053</w:t>
            </w:r>
          </w:p>
        </w:tc>
        <w:tc>
          <w:tcPr>
            <w:tcW w:w="654" w:type="dxa"/>
          </w:tcPr>
          <w:p>
            <w:pPr>
              <w:pStyle w:val="IsiTabel"/>
              <w:suppressAutoHyphens/>
              <w:jc w:val="right"/>
            </w:pPr>
            <w:r>
              <w:t xml:space="preserve">207,0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Teluk Bintuni</w:t>
            </w:r>
          </w:p>
        </w:tc>
        <w:tc>
          <w:tcPr>
            <w:tcW w:w="1206" w:type="dxa"/>
          </w:tcPr>
          <w:p>
            <w:pPr>
              <w:pStyle w:val="IsiTabel"/>
              <w:suppressAutoHyphens/>
              <w:jc w:val="right"/>
            </w:pPr>
            <w:r>
              <w:t xml:space="preserve">93.339</w:t>
            </w:r>
          </w:p>
        </w:tc>
        <w:tc>
          <w:tcPr>
            <w:tcW w:w="654" w:type="dxa"/>
          </w:tcPr>
          <w:p>
            <w:pPr>
              <w:pStyle w:val="IsiTabel"/>
              <w:suppressAutoHyphens/>
              <w:jc w:val="right"/>
            </w:pPr>
            <w:r>
              <w:t xml:space="preserve">241,5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Teluk Wondama</w:t>
            </w:r>
          </w:p>
        </w:tc>
        <w:tc>
          <w:tcPr>
            <w:tcW w:w="1206" w:type="dxa"/>
          </w:tcPr>
          <w:p>
            <w:pPr>
              <w:pStyle w:val="IsiTabel"/>
              <w:suppressAutoHyphens/>
              <w:jc w:val="right"/>
            </w:pPr>
            <w:r>
              <w:t xml:space="preserve">43.865</w:t>
            </w:r>
          </w:p>
        </w:tc>
        <w:tc>
          <w:tcPr>
            <w:tcW w:w="654" w:type="dxa"/>
          </w:tcPr>
          <w:p>
            <w:pPr>
              <w:pStyle w:val="IsiTabel"/>
              <w:suppressAutoHyphens/>
              <w:jc w:val="right"/>
            </w:pPr>
            <w:r>
              <w:t xml:space="preserve">219,5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Kaimana</w:t>
            </w:r>
          </w:p>
        </w:tc>
        <w:tc>
          <w:tcPr>
            <w:tcW w:w="1206" w:type="dxa"/>
          </w:tcPr>
          <w:p>
            <w:pPr>
              <w:pStyle w:val="IsiTabel"/>
              <w:suppressAutoHyphens/>
              <w:jc w:val="right"/>
            </w:pPr>
            <w:r>
              <w:t xml:space="preserve">65.542</w:t>
            </w:r>
          </w:p>
        </w:tc>
        <w:tc>
          <w:tcPr>
            <w:tcW w:w="654" w:type="dxa"/>
          </w:tcPr>
          <w:p>
            <w:pPr>
              <w:pStyle w:val="IsiTabel"/>
              <w:suppressAutoHyphens/>
              <w:jc w:val="right"/>
            </w:pPr>
            <w:r>
              <w:t xml:space="preserve">226,0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Manokwari Selatan</w:t>
            </w:r>
          </w:p>
        </w:tc>
        <w:tc>
          <w:tcPr>
            <w:tcW w:w="1206" w:type="dxa"/>
          </w:tcPr>
          <w:p>
            <w:pPr>
              <w:pStyle w:val="IsiTabel"/>
              <w:suppressAutoHyphens/>
              <w:jc w:val="right"/>
            </w:pPr>
            <w:r>
              <w:t xml:space="preserve">37.050</w:t>
            </w:r>
          </w:p>
        </w:tc>
        <w:tc>
          <w:tcPr>
            <w:tcW w:w="654" w:type="dxa"/>
          </w:tcPr>
          <w:p>
            <w:pPr>
              <w:pStyle w:val="IsiTabel"/>
              <w:suppressAutoHyphens/>
              <w:jc w:val="right"/>
            </w:pPr>
            <w:r>
              <w:t xml:space="preserve">221,4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Pegunungan Arfak</w:t>
            </w:r>
          </w:p>
        </w:tc>
        <w:tc>
          <w:tcPr>
            <w:tcW w:w="1206" w:type="dxa"/>
          </w:tcPr>
          <w:p>
            <w:pPr>
              <w:pStyle w:val="IsiTabel"/>
              <w:suppressAutoHyphens/>
              <w:jc w:val="right"/>
            </w:pPr>
            <w:r>
              <w:t xml:space="preserve">40.122</w:t>
            </w:r>
          </w:p>
        </w:tc>
        <w:tc>
          <w:tcPr>
            <w:tcW w:w="654" w:type="dxa"/>
          </w:tcPr>
          <w:p>
            <w:pPr>
              <w:pStyle w:val="IsiTabel"/>
              <w:suppressAutoHyphens/>
              <w:jc w:val="right"/>
            </w:pPr>
            <w:r>
              <w:t xml:space="preserve">192,0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w:t>
            </w:r>
          </w:p>
        </w:tc>
      </w:tr>
      <w:tr>
        <w:trPr>
          <w:cantSplit/>
        </w:trPr>
        <w:tc>
          <w:tcPr>
            <w:tcW w:w="9354" w:type="dxa"/>
            <w:gridSpan w:val="5"/>
            <w:shd w:val="clear" w:color="auto" w:fill="E6EAF0"/>
          </w:tcPr>
          <w:p>
            <w:pPr>
              <w:pStyle w:val="IsiTabel"/>
              <w:keepNext/>
              <w:suppressAutoHyphens/>
              <w:ind w:left="0"/>
            </w:pPr>
            <w:r>
              <w:rPr>
                <w:b/>
                <w:bCs/>
              </w:rPr>
              <w:t xml:space="preserve">Papua Selatan</w:t>
            </w:r>
          </w:p>
        </w:tc>
      </w:tr>
      <w:tr>
        <w:trPr>
          <w:cantSplit/>
        </w:trPr>
        <w:tc>
          <w:tcPr>
            <w:tcW w:w="2408" w:type="dxa"/>
          </w:tcPr>
          <w:p>
            <w:pPr>
              <w:pStyle w:val="IsiTabel"/>
              <w:suppressAutoHyphens/>
              <w:jc w:val="left"/>
            </w:pPr>
            <w:r>
              <w:t xml:space="preserve">Kab. Merauke</w:t>
            </w:r>
          </w:p>
        </w:tc>
        <w:tc>
          <w:tcPr>
            <w:tcW w:w="1206" w:type="dxa"/>
          </w:tcPr>
          <w:p>
            <w:pPr>
              <w:pStyle w:val="IsiTabel"/>
              <w:suppressAutoHyphens/>
              <w:jc w:val="right"/>
            </w:pPr>
            <w:r>
              <w:t xml:space="preserve">247.519</w:t>
            </w:r>
          </w:p>
        </w:tc>
        <w:tc>
          <w:tcPr>
            <w:tcW w:w="654" w:type="dxa"/>
          </w:tcPr>
          <w:p>
            <w:pPr>
              <w:pStyle w:val="IsiTabel"/>
              <w:suppressAutoHyphens/>
              <w:jc w:val="right"/>
            </w:pPr>
            <w:r>
              <w:t xml:space="preserve">121,0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gelombang ekstrem dan abrasi (a, b, c)</w:t>
            </w:r>
          </w:p>
        </w:tc>
      </w:tr>
      <w:tr>
        <w:trPr>
          <w:cantSplit/>
        </w:trPr>
        <w:tc>
          <w:tcPr>
            <w:tcW w:w="2408" w:type="dxa"/>
          </w:tcPr>
          <w:p>
            <w:pPr>
              <w:pStyle w:val="IsiTabel"/>
              <w:suppressAutoHyphens/>
              <w:jc w:val="left"/>
            </w:pPr>
            <w:r>
              <w:t xml:space="preserve">Kab. Boven Digoel</w:t>
            </w:r>
          </w:p>
        </w:tc>
        <w:tc>
          <w:tcPr>
            <w:tcW w:w="1206" w:type="dxa"/>
          </w:tcPr>
          <w:p>
            <w:pPr>
              <w:pStyle w:val="IsiTabel"/>
              <w:suppressAutoHyphens/>
              <w:jc w:val="right"/>
            </w:pPr>
            <w:r>
              <w:t xml:space="preserve">67.587</w:t>
            </w:r>
          </w:p>
        </w:tc>
        <w:tc>
          <w:tcPr>
            <w:tcW w:w="654" w:type="dxa"/>
          </w:tcPr>
          <w:p>
            <w:pPr>
              <w:pStyle w:val="IsiTabel"/>
              <w:suppressAutoHyphens/>
              <w:jc w:val="right"/>
            </w:pPr>
            <w:r>
              <w:t xml:space="preserve">192,5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Mappi</w:t>
            </w:r>
          </w:p>
        </w:tc>
        <w:tc>
          <w:tcPr>
            <w:tcW w:w="1206" w:type="dxa"/>
          </w:tcPr>
          <w:p>
            <w:pPr>
              <w:pStyle w:val="IsiTabel"/>
              <w:suppressAutoHyphens/>
              <w:jc w:val="right"/>
            </w:pPr>
            <w:r>
              <w:t xml:space="preserve">117.016</w:t>
            </w:r>
          </w:p>
        </w:tc>
        <w:tc>
          <w:tcPr>
            <w:tcW w:w="654" w:type="dxa"/>
          </w:tcPr>
          <w:p>
            <w:pPr>
              <w:pStyle w:val="IsiTabel"/>
              <w:suppressAutoHyphens/>
              <w:jc w:val="right"/>
            </w:pPr>
            <w:r>
              <w:t xml:space="preserve">159,1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Asmat</w:t>
            </w:r>
          </w:p>
        </w:tc>
        <w:tc>
          <w:tcPr>
            <w:tcW w:w="1206" w:type="dxa"/>
          </w:tcPr>
          <w:p>
            <w:pPr>
              <w:pStyle w:val="IsiTabel"/>
              <w:suppressAutoHyphens/>
              <w:jc w:val="right"/>
            </w:pPr>
            <w:r>
              <w:t xml:space="preserve">116.472</w:t>
            </w:r>
          </w:p>
        </w:tc>
        <w:tc>
          <w:tcPr>
            <w:tcW w:w="654" w:type="dxa"/>
          </w:tcPr>
          <w:p>
            <w:pPr>
              <w:pStyle w:val="IsiTabel"/>
              <w:suppressAutoHyphens/>
              <w:jc w:val="right"/>
            </w:pPr>
            <w:r>
              <w:t xml:space="preserve">189,0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Papua Tengah</w:t>
            </w:r>
          </w:p>
        </w:tc>
      </w:tr>
      <w:tr>
        <w:trPr>
          <w:cantSplit/>
        </w:trPr>
        <w:tc>
          <w:tcPr>
            <w:tcW w:w="2408" w:type="dxa"/>
          </w:tcPr>
          <w:p>
            <w:pPr>
              <w:pStyle w:val="IsiTabel"/>
              <w:suppressAutoHyphens/>
              <w:jc w:val="left"/>
            </w:pPr>
            <w:r>
              <w:t xml:space="preserve">Kab. Nabire</w:t>
            </w:r>
          </w:p>
        </w:tc>
        <w:tc>
          <w:tcPr>
            <w:tcW w:w="1206" w:type="dxa"/>
          </w:tcPr>
          <w:p>
            <w:pPr>
              <w:pStyle w:val="IsiTabel"/>
              <w:suppressAutoHyphens/>
              <w:jc w:val="right"/>
            </w:pPr>
            <w:r>
              <w:t xml:space="preserve">180.380</w:t>
            </w:r>
          </w:p>
        </w:tc>
        <w:tc>
          <w:tcPr>
            <w:tcW w:w="654" w:type="dxa"/>
          </w:tcPr>
          <w:p>
            <w:pPr>
              <w:pStyle w:val="IsiTabel"/>
              <w:suppressAutoHyphens/>
              <w:jc w:val="right"/>
            </w:pPr>
            <w:r>
              <w:t xml:space="preserve">203,5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Puncak Jaya</w:t>
            </w:r>
          </w:p>
        </w:tc>
        <w:tc>
          <w:tcPr>
            <w:tcW w:w="1206" w:type="dxa"/>
          </w:tcPr>
          <w:p>
            <w:pPr>
              <w:pStyle w:val="IsiTabel"/>
              <w:suppressAutoHyphens/>
              <w:jc w:val="right"/>
            </w:pPr>
            <w:r>
              <w:t xml:space="preserve">240.651</w:t>
            </w:r>
          </w:p>
        </w:tc>
        <w:tc>
          <w:tcPr>
            <w:tcW w:w="654" w:type="dxa"/>
          </w:tcPr>
          <w:p>
            <w:pPr>
              <w:pStyle w:val="IsiTabel"/>
              <w:suppressAutoHyphens/>
              <w:jc w:val="right"/>
            </w:pPr>
            <w:r>
              <w:t xml:space="preserve">200,2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Paniai</w:t>
            </w:r>
          </w:p>
        </w:tc>
        <w:tc>
          <w:tcPr>
            <w:tcW w:w="1206" w:type="dxa"/>
          </w:tcPr>
          <w:p>
            <w:pPr>
              <w:pStyle w:val="IsiTabel"/>
              <w:suppressAutoHyphens/>
              <w:jc w:val="right"/>
            </w:pPr>
            <w:r>
              <w:t xml:space="preserve">230.694</w:t>
            </w:r>
          </w:p>
        </w:tc>
        <w:tc>
          <w:tcPr>
            <w:tcW w:w="654" w:type="dxa"/>
          </w:tcPr>
          <w:p>
            <w:pPr>
              <w:pStyle w:val="IsiTabel"/>
              <w:suppressAutoHyphens/>
              <w:jc w:val="right"/>
            </w:pPr>
            <w:r>
              <w:t xml:space="preserve">193,5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c)</w:t>
            </w:r>
          </w:p>
        </w:tc>
      </w:tr>
      <w:tr>
        <w:trPr>
          <w:cantSplit/>
        </w:trPr>
        <w:tc>
          <w:tcPr>
            <w:tcW w:w="2408" w:type="dxa"/>
          </w:tcPr>
          <w:p>
            <w:pPr>
              <w:pStyle w:val="IsiTabel"/>
              <w:suppressAutoHyphens/>
              <w:jc w:val="left"/>
            </w:pPr>
            <w:r>
              <w:t xml:space="preserve">Kab. Mimika</w:t>
            </w:r>
          </w:p>
        </w:tc>
        <w:tc>
          <w:tcPr>
            <w:tcW w:w="1206" w:type="dxa"/>
          </w:tcPr>
          <w:p>
            <w:pPr>
              <w:pStyle w:val="IsiTabel"/>
              <w:suppressAutoHyphens/>
              <w:jc w:val="right"/>
            </w:pPr>
            <w:r>
              <w:t xml:space="preserve">341.571</w:t>
            </w:r>
          </w:p>
        </w:tc>
        <w:tc>
          <w:tcPr>
            <w:tcW w:w="654" w:type="dxa"/>
          </w:tcPr>
          <w:p>
            <w:pPr>
              <w:pStyle w:val="IsiTabel"/>
              <w:suppressAutoHyphens/>
              <w:jc w:val="right"/>
            </w:pPr>
            <w:r>
              <w:t xml:space="preserve">203,5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w:t>
            </w:r>
          </w:p>
        </w:tc>
      </w:tr>
      <w:tr>
        <w:trPr>
          <w:cantSplit/>
        </w:trPr>
        <w:tc>
          <w:tcPr>
            <w:tcW w:w="2408" w:type="dxa"/>
          </w:tcPr>
          <w:p>
            <w:pPr>
              <w:pStyle w:val="IsiTabel"/>
              <w:suppressAutoHyphens/>
              <w:jc w:val="left"/>
            </w:pPr>
            <w:r>
              <w:t xml:space="preserve">Kab. Puncak</w:t>
            </w:r>
          </w:p>
        </w:tc>
        <w:tc>
          <w:tcPr>
            <w:tcW w:w="1206" w:type="dxa"/>
          </w:tcPr>
          <w:p>
            <w:pPr>
              <w:pStyle w:val="IsiTabel"/>
              <w:suppressAutoHyphens/>
              <w:jc w:val="right"/>
            </w:pPr>
            <w:r>
              <w:t xml:space="preserve">105.275</w:t>
            </w:r>
          </w:p>
        </w:tc>
        <w:tc>
          <w:tcPr>
            <w:tcW w:w="654" w:type="dxa"/>
          </w:tcPr>
          <w:p>
            <w:pPr>
              <w:pStyle w:val="IsiTabel"/>
              <w:suppressAutoHyphens/>
              <w:jc w:val="right"/>
            </w:pPr>
            <w:r>
              <w:t xml:space="preserve">188,7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kekeringan (a, c)</w:t>
            </w:r>
          </w:p>
        </w:tc>
      </w:tr>
      <w:tr>
        <w:trPr>
          <w:cantSplit/>
        </w:trPr>
        <w:tc>
          <w:tcPr>
            <w:tcW w:w="2408" w:type="dxa"/>
          </w:tcPr>
          <w:p>
            <w:pPr>
              <w:pStyle w:val="IsiTabel"/>
              <w:suppressAutoHyphens/>
              <w:jc w:val="left"/>
            </w:pPr>
            <w:r>
              <w:t xml:space="preserve">Kab. Dogiyai</w:t>
            </w:r>
          </w:p>
        </w:tc>
        <w:tc>
          <w:tcPr>
            <w:tcW w:w="1206" w:type="dxa"/>
          </w:tcPr>
          <w:p>
            <w:pPr>
              <w:pStyle w:val="IsiTabel"/>
              <w:suppressAutoHyphens/>
              <w:jc w:val="right"/>
            </w:pPr>
            <w:r>
              <w:t xml:space="preserve">122.100</w:t>
            </w:r>
          </w:p>
        </w:tc>
        <w:tc>
          <w:tcPr>
            <w:tcW w:w="654" w:type="dxa"/>
          </w:tcPr>
          <w:p>
            <w:pPr>
              <w:pStyle w:val="IsiTabel"/>
              <w:suppressAutoHyphens/>
              <w:jc w:val="right"/>
            </w:pPr>
            <w:r>
              <w:t xml:space="preserve">188,7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w:t>
            </w:r>
          </w:p>
        </w:tc>
      </w:tr>
      <w:tr>
        <w:trPr>
          <w:cantSplit/>
        </w:trPr>
        <w:tc>
          <w:tcPr>
            <w:tcW w:w="2408" w:type="dxa"/>
          </w:tcPr>
          <w:p>
            <w:pPr>
              <w:pStyle w:val="IsiTabel"/>
              <w:suppressAutoHyphens/>
              <w:jc w:val="left"/>
            </w:pPr>
            <w:r>
              <w:t xml:space="preserve">Kab. Intan Jaya</w:t>
            </w:r>
          </w:p>
        </w:tc>
        <w:tc>
          <w:tcPr>
            <w:tcW w:w="1206" w:type="dxa"/>
          </w:tcPr>
          <w:p>
            <w:pPr>
              <w:pStyle w:val="IsiTabel"/>
              <w:suppressAutoHyphens/>
              <w:jc w:val="right"/>
            </w:pPr>
            <w:r>
              <w:t xml:space="preserve">155.506</w:t>
            </w:r>
          </w:p>
        </w:tc>
        <w:tc>
          <w:tcPr>
            <w:tcW w:w="654" w:type="dxa"/>
          </w:tcPr>
          <w:p>
            <w:pPr>
              <w:pStyle w:val="IsiTabel"/>
              <w:suppressAutoHyphens/>
              <w:jc w:val="right"/>
            </w:pPr>
            <w:r>
              <w:t xml:space="preserve">175,5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Deiyai</w:t>
            </w:r>
          </w:p>
        </w:tc>
        <w:tc>
          <w:tcPr>
            <w:tcW w:w="1206" w:type="dxa"/>
          </w:tcPr>
          <w:p>
            <w:pPr>
              <w:pStyle w:val="IsiTabel"/>
              <w:suppressAutoHyphens/>
              <w:jc w:val="right"/>
            </w:pPr>
            <w:r>
              <w:t xml:space="preserve">108.869</w:t>
            </w:r>
          </w:p>
        </w:tc>
        <w:tc>
          <w:tcPr>
            <w:tcW w:w="654" w:type="dxa"/>
          </w:tcPr>
          <w:p>
            <w:pPr>
              <w:pStyle w:val="IsiTabel"/>
              <w:suppressAutoHyphens/>
              <w:jc w:val="right"/>
            </w:pPr>
            <w:r>
              <w:t xml:space="preserve">194,1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Papua Pegunungan</w:t>
            </w:r>
          </w:p>
        </w:tc>
      </w:tr>
      <w:tr>
        <w:trPr>
          <w:cantSplit/>
        </w:trPr>
        <w:tc>
          <w:tcPr>
            <w:tcW w:w="2408" w:type="dxa"/>
          </w:tcPr>
          <w:p>
            <w:pPr>
              <w:pStyle w:val="IsiTabel"/>
              <w:suppressAutoHyphens/>
              <w:jc w:val="left"/>
            </w:pPr>
            <w:r>
              <w:t xml:space="preserve">Kab. Jayawijaya</w:t>
            </w:r>
          </w:p>
        </w:tc>
        <w:tc>
          <w:tcPr>
            <w:tcW w:w="1206" w:type="dxa"/>
          </w:tcPr>
          <w:p>
            <w:pPr>
              <w:pStyle w:val="IsiTabel"/>
              <w:suppressAutoHyphens/>
              <w:jc w:val="right"/>
            </w:pPr>
            <w:r>
              <w:t xml:space="preserve">302.517</w:t>
            </w:r>
          </w:p>
        </w:tc>
        <w:tc>
          <w:tcPr>
            <w:tcW w:w="654" w:type="dxa"/>
          </w:tcPr>
          <w:p>
            <w:pPr>
              <w:pStyle w:val="IsiTabel"/>
              <w:suppressAutoHyphens/>
              <w:jc w:val="right"/>
            </w:pPr>
            <w:r>
              <w:t xml:space="preserve">194,4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w:t>
            </w:r>
          </w:p>
        </w:tc>
      </w:tr>
      <w:tr>
        <w:trPr>
          <w:cantSplit/>
        </w:trPr>
        <w:tc>
          <w:tcPr>
            <w:tcW w:w="2408" w:type="dxa"/>
          </w:tcPr>
          <w:p>
            <w:pPr>
              <w:pStyle w:val="IsiTabel"/>
              <w:suppressAutoHyphens/>
              <w:jc w:val="left"/>
            </w:pPr>
            <w:r>
              <w:t xml:space="preserve">Kab. Pegunungan Bintang</w:t>
            </w:r>
          </w:p>
        </w:tc>
        <w:tc>
          <w:tcPr>
            <w:tcW w:w="1206" w:type="dxa"/>
          </w:tcPr>
          <w:p>
            <w:pPr>
              <w:pStyle w:val="IsiTabel"/>
              <w:suppressAutoHyphens/>
              <w:jc w:val="right"/>
            </w:pPr>
            <w:r>
              <w:t xml:space="preserve">84.783</w:t>
            </w:r>
          </w:p>
        </w:tc>
        <w:tc>
          <w:tcPr>
            <w:tcW w:w="654" w:type="dxa"/>
          </w:tcPr>
          <w:p>
            <w:pPr>
              <w:pStyle w:val="IsiTabel"/>
              <w:suppressAutoHyphens/>
              <w:jc w:val="right"/>
            </w:pPr>
            <w:r>
              <w:t xml:space="preserve">206,8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 tanah longsor (a, c)</w:t>
            </w:r>
          </w:p>
        </w:tc>
      </w:tr>
      <w:tr>
        <w:trPr>
          <w:cantSplit/>
        </w:trPr>
        <w:tc>
          <w:tcPr>
            <w:tcW w:w="2408" w:type="dxa"/>
          </w:tcPr>
          <w:p>
            <w:pPr>
              <w:pStyle w:val="IsiTabel"/>
              <w:suppressAutoHyphens/>
              <w:jc w:val="left"/>
            </w:pPr>
            <w:r>
              <w:t xml:space="preserve">Kab. Yahukimo</w:t>
            </w:r>
          </w:p>
        </w:tc>
        <w:tc>
          <w:tcPr>
            <w:tcW w:w="1206" w:type="dxa"/>
          </w:tcPr>
          <w:p>
            <w:pPr>
              <w:pStyle w:val="IsiTabel"/>
              <w:suppressAutoHyphens/>
              <w:jc w:val="right"/>
            </w:pPr>
            <w:r>
              <w:t xml:space="preserve">365.006</w:t>
            </w:r>
          </w:p>
        </w:tc>
        <w:tc>
          <w:tcPr>
            <w:tcW w:w="654" w:type="dxa"/>
          </w:tcPr>
          <w:p>
            <w:pPr>
              <w:pStyle w:val="IsiTabel"/>
              <w:suppressAutoHyphens/>
              <w:jc w:val="right"/>
            </w:pPr>
            <w:r>
              <w:t xml:space="preserve">197,9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Tolikara</w:t>
            </w:r>
          </w:p>
        </w:tc>
        <w:tc>
          <w:tcPr>
            <w:tcW w:w="1206" w:type="dxa"/>
          </w:tcPr>
          <w:p>
            <w:pPr>
              <w:pStyle w:val="IsiTabel"/>
              <w:suppressAutoHyphens/>
              <w:jc w:val="right"/>
            </w:pPr>
            <w:r>
              <w:t xml:space="preserve">215.247</w:t>
            </w:r>
          </w:p>
        </w:tc>
        <w:tc>
          <w:tcPr>
            <w:tcW w:w="654" w:type="dxa"/>
          </w:tcPr>
          <w:p>
            <w:pPr>
              <w:pStyle w:val="IsiTabel"/>
              <w:suppressAutoHyphens/>
              <w:jc w:val="right"/>
            </w:pPr>
            <w:r>
              <w:t xml:space="preserve">194,3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 tanah longsor (a, c)</w:t>
            </w:r>
          </w:p>
        </w:tc>
      </w:tr>
      <w:tr>
        <w:trPr>
          <w:cantSplit/>
        </w:trPr>
        <w:tc>
          <w:tcPr>
            <w:tcW w:w="2408" w:type="dxa"/>
          </w:tcPr>
          <w:p>
            <w:pPr>
              <w:pStyle w:val="IsiTabel"/>
              <w:suppressAutoHyphens/>
              <w:jc w:val="left"/>
            </w:pPr>
            <w:r>
              <w:t xml:space="preserve">Kab. Mamberamo Tengah</w:t>
            </w:r>
          </w:p>
        </w:tc>
        <w:tc>
          <w:tcPr>
            <w:tcW w:w="1206" w:type="dxa"/>
          </w:tcPr>
          <w:p>
            <w:pPr>
              <w:pStyle w:val="IsiTabel"/>
              <w:suppressAutoHyphens/>
              <w:jc w:val="right"/>
            </w:pPr>
            <w:r>
              <w:t xml:space="preserve">55.463</w:t>
            </w:r>
          </w:p>
        </w:tc>
        <w:tc>
          <w:tcPr>
            <w:tcW w:w="654" w:type="dxa"/>
          </w:tcPr>
          <w:p>
            <w:pPr>
              <w:pStyle w:val="IsiTabel"/>
              <w:suppressAutoHyphens/>
              <w:jc w:val="right"/>
            </w:pPr>
            <w:r>
              <w:t xml:space="preserve">197,9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w:t>
            </w:r>
          </w:p>
        </w:tc>
      </w:tr>
      <w:tr>
        <w:trPr>
          <w:cantSplit/>
        </w:trPr>
        <w:tc>
          <w:tcPr>
            <w:tcW w:w="2408" w:type="dxa"/>
          </w:tcPr>
          <w:p>
            <w:pPr>
              <w:pStyle w:val="IsiTabel"/>
              <w:suppressAutoHyphens/>
              <w:jc w:val="left"/>
            </w:pPr>
            <w:r>
              <w:t xml:space="preserve">Kab. Yalimo</w:t>
            </w:r>
          </w:p>
        </w:tc>
        <w:tc>
          <w:tcPr>
            <w:tcW w:w="1206" w:type="dxa"/>
          </w:tcPr>
          <w:p>
            <w:pPr>
              <w:pStyle w:val="IsiTabel"/>
              <w:suppressAutoHyphens/>
              <w:jc w:val="right"/>
            </w:pPr>
            <w:r>
              <w:t xml:space="preserve">103.407</w:t>
            </w:r>
          </w:p>
        </w:tc>
        <w:tc>
          <w:tcPr>
            <w:tcW w:w="654" w:type="dxa"/>
          </w:tcPr>
          <w:p>
            <w:pPr>
              <w:pStyle w:val="IsiTabel"/>
              <w:suppressAutoHyphens/>
              <w:jc w:val="right"/>
            </w:pPr>
            <w:r>
              <w:t xml:space="preserve">197,9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Lanny Jaya</w:t>
            </w:r>
          </w:p>
        </w:tc>
        <w:tc>
          <w:tcPr>
            <w:tcW w:w="1206" w:type="dxa"/>
          </w:tcPr>
          <w:p>
            <w:pPr>
              <w:pStyle w:val="IsiTabel"/>
              <w:suppressAutoHyphens/>
              <w:jc w:val="right"/>
            </w:pPr>
            <w:r>
              <w:t xml:space="preserve">212.091</w:t>
            </w:r>
          </w:p>
        </w:tc>
        <w:tc>
          <w:tcPr>
            <w:tcW w:w="654" w:type="dxa"/>
          </w:tcPr>
          <w:p>
            <w:pPr>
              <w:pStyle w:val="IsiTabel"/>
              <w:suppressAutoHyphens/>
              <w:jc w:val="right"/>
            </w:pPr>
            <w:r>
              <w:t xml:space="preserve">167,1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Nduga</w:t>
            </w:r>
          </w:p>
        </w:tc>
        <w:tc>
          <w:tcPr>
            <w:tcW w:w="1206" w:type="dxa"/>
          </w:tcPr>
          <w:p>
            <w:pPr>
              <w:pStyle w:val="IsiTabel"/>
              <w:suppressAutoHyphens/>
              <w:jc w:val="right"/>
            </w:pPr>
            <w:r>
              <w:t xml:space="preserve">108.194</w:t>
            </w:r>
          </w:p>
        </w:tc>
        <w:tc>
          <w:tcPr>
            <w:tcW w:w="654" w:type="dxa"/>
          </w:tcPr>
          <w:p>
            <w:pPr>
              <w:pStyle w:val="IsiTabel"/>
              <w:suppressAutoHyphens/>
              <w:jc w:val="right"/>
            </w:pPr>
            <w:r>
              <w:t xml:space="preserve">188,3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w:t>
            </w:r>
          </w:p>
        </w:tc>
      </w:tr>
      <w:tr>
        <w:trPr>
          <w:cantSplit/>
        </w:trPr>
        <w:tc>
          <w:tcPr>
            <w:tcW w:w="9354" w:type="dxa"/>
            <w:gridSpan w:val="5"/>
            <w:shd w:val="clear" w:color="auto" w:fill="E6EAF0"/>
          </w:tcPr>
          <w:p>
            <w:pPr>
              <w:pStyle w:val="IsiTabel"/>
              <w:keepNext/>
              <w:suppressAutoHyphens/>
              <w:ind w:left="0"/>
            </w:pPr>
            <w:r>
              <w:rPr>
                <w:b/>
                <w:bCs/>
              </w:rPr>
              <w:t xml:space="preserve">Papua Barat Daya</w:t>
            </w:r>
          </w:p>
        </w:tc>
      </w:tr>
      <w:tr>
        <w:trPr>
          <w:cantSplit/>
        </w:trPr>
        <w:tc>
          <w:tcPr>
            <w:tcW w:w="2408" w:type="dxa"/>
          </w:tcPr>
          <w:p>
            <w:pPr>
              <w:pStyle w:val="IsiTabel"/>
              <w:suppressAutoHyphens/>
              <w:jc w:val="left"/>
            </w:pPr>
            <w:r>
              <w:t xml:space="preserve">Kab. Sorong</w:t>
            </w:r>
          </w:p>
        </w:tc>
        <w:tc>
          <w:tcPr>
            <w:tcW w:w="1206" w:type="dxa"/>
          </w:tcPr>
          <w:p>
            <w:pPr>
              <w:pStyle w:val="IsiTabel"/>
              <w:suppressAutoHyphens/>
              <w:jc w:val="right"/>
            </w:pPr>
            <w:r>
              <w:t xml:space="preserve">128.219</w:t>
            </w:r>
          </w:p>
        </w:tc>
        <w:tc>
          <w:tcPr>
            <w:tcW w:w="654" w:type="dxa"/>
          </w:tcPr>
          <w:p>
            <w:pPr>
              <w:pStyle w:val="IsiTabel"/>
              <w:suppressAutoHyphens/>
              <w:jc w:val="right"/>
            </w:pPr>
            <w:r>
              <w:t xml:space="preserve">240,5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gelombang ekstrem dan abrasi (a, c)</w:t>
            </w:r>
          </w:p>
        </w:tc>
      </w:tr>
      <w:tr>
        <w:trPr>
          <w:cantSplit/>
        </w:trPr>
        <w:tc>
          <w:tcPr>
            <w:tcW w:w="2408" w:type="dxa"/>
          </w:tcPr>
          <w:p>
            <w:pPr>
              <w:pStyle w:val="IsiTabel"/>
              <w:suppressAutoHyphens/>
              <w:jc w:val="left"/>
            </w:pPr>
            <w:r>
              <w:t xml:space="preserve">Kab. Sorong Selatan</w:t>
            </w:r>
          </w:p>
        </w:tc>
        <w:tc>
          <w:tcPr>
            <w:tcW w:w="1206" w:type="dxa"/>
          </w:tcPr>
          <w:p>
            <w:pPr>
              <w:pStyle w:val="IsiTabel"/>
              <w:suppressAutoHyphens/>
              <w:jc w:val="right"/>
            </w:pPr>
            <w:r>
              <w:t xml:space="preserve">55.898</w:t>
            </w:r>
          </w:p>
        </w:tc>
        <w:tc>
          <w:tcPr>
            <w:tcW w:w="654" w:type="dxa"/>
          </w:tcPr>
          <w:p>
            <w:pPr>
              <w:pStyle w:val="IsiTabel"/>
              <w:suppressAutoHyphens/>
              <w:jc w:val="right"/>
            </w:pPr>
            <w:r>
              <w:t xml:space="preserve">221,3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keepNext/>
              <w:suppressAutoHyphens/>
              <w:jc w:val="left"/>
            </w:pPr>
            <w:bookmarkStart w:id="851" w:name="_Ekor094a"/>
            <w:bookmarkEnd w:id="851"/>
            <w:r>
              <w:t xml:space="preserve">Kab. Raja Ampat</w:t>
            </w:r>
          </w:p>
        </w:tc>
        <w:tc>
          <w:tcPr>
            <w:tcW w:w="1206" w:type="dxa"/>
          </w:tcPr>
          <w:p>
            <w:pPr>
              <w:pStyle w:val="IsiTabel"/>
              <w:keepNext/>
              <w:suppressAutoHyphens/>
              <w:jc w:val="right"/>
            </w:pPr>
            <w:r>
              <w:t xml:space="preserve">64.028</w:t>
            </w:r>
          </w:p>
        </w:tc>
        <w:tc>
          <w:tcPr>
            <w:tcW w:w="654" w:type="dxa"/>
          </w:tcPr>
          <w:p>
            <w:pPr>
              <w:pStyle w:val="IsiTabel"/>
              <w:keepNext/>
              <w:suppressAutoHyphens/>
              <w:jc w:val="right"/>
            </w:pPr>
            <w:r>
              <w:t xml:space="preserve">246,0</w:t>
            </w:r>
          </w:p>
        </w:tc>
        <w:tc>
          <w:tcPr>
            <w:tcW w:w="922" w:type="dxa"/>
          </w:tcPr>
          <w:p>
            <w:pPr>
              <w:pStyle w:val="IsiTabel"/>
              <w:keepNext/>
              <w:suppressAutoHyphens/>
              <w:jc w:val="left"/>
            </w:pPr>
            <w:r>
              <w:t xml:space="preserve">Tinggi</w:t>
            </w:r>
          </w:p>
        </w:tc>
        <w:tc>
          <w:tcPr>
            <w:tcW w:w="4164" w:type="dxa"/>
          </w:tcPr>
          <w:p>
            <w:pPr>
              <w:pStyle w:val="IsiTabel"/>
              <w:keepNext/>
              <w:suppressAutoHyphens/>
              <w:jc w:val="left"/>
            </w:pPr>
            <w:r>
              <w:t xml:space="preserve">–</w:t>
            </w:r>
          </w:p>
        </w:tc>
      </w:tr>
      <w:tr>
        <w:trPr>
          <w:cantSplit/>
        </w:trPr>
        <w:tc>
          <w:tcPr>
            <w:tcW w:w="2408" w:type="dxa"/>
          </w:tcPr>
          <w:p>
            <w:pPr>
              <w:pStyle w:val="IsiTabel"/>
              <w:keepNext/>
              <w:suppressAutoHyphens/>
              <w:jc w:val="left"/>
            </w:pPr>
            <w:r>
              <w:t xml:space="preserve">Kab. Tambrauw</w:t>
            </w:r>
          </w:p>
        </w:tc>
        <w:tc>
          <w:tcPr>
            <w:tcW w:w="1206" w:type="dxa"/>
          </w:tcPr>
          <w:p>
            <w:pPr>
              <w:pStyle w:val="IsiTabel"/>
              <w:keepNext/>
              <w:suppressAutoHyphens/>
              <w:jc w:val="right"/>
            </w:pPr>
            <w:r>
              <w:t xml:space="preserve">29.945</w:t>
            </w:r>
          </w:p>
        </w:tc>
        <w:tc>
          <w:tcPr>
            <w:tcW w:w="654" w:type="dxa"/>
          </w:tcPr>
          <w:p>
            <w:pPr>
              <w:pStyle w:val="IsiTabel"/>
              <w:keepNext/>
              <w:suppressAutoHyphens/>
              <w:jc w:val="right"/>
            </w:pPr>
            <w:r>
              <w:t xml:space="preserve">226,4</w:t>
            </w:r>
          </w:p>
        </w:tc>
        <w:tc>
          <w:tcPr>
            <w:tcW w:w="922" w:type="dxa"/>
          </w:tcPr>
          <w:p>
            <w:pPr>
              <w:pStyle w:val="IsiTabel"/>
              <w:keepNext/>
              <w:suppressAutoHyphens/>
              <w:jc w:val="left"/>
            </w:pPr>
            <w:r>
              <w:t xml:space="preserve">Tinggi</w:t>
            </w:r>
          </w:p>
        </w:tc>
        <w:tc>
          <w:tcPr>
            <w:tcW w:w="4164" w:type="dxa"/>
          </w:tcPr>
          <w:p>
            <w:pPr>
              <w:pStyle w:val="IsiTabel"/>
              <w:keepNext/>
              <w:suppressAutoHyphens/>
              <w:jc w:val="left"/>
            </w:pPr>
            <w:r>
              <w:t xml:space="preserve">banjir (a, b)</w:t>
            </w:r>
          </w:p>
        </w:tc>
      </w:tr>
      <w:tr>
        <w:trPr>
          <w:cantSplit/>
        </w:trPr>
        <w:tc>
          <w:tcPr>
            <w:tcW w:w="2408" w:type="dxa"/>
          </w:tcPr>
          <w:p>
            <w:pPr>
              <w:pStyle w:val="IsiTabel"/>
              <w:keepNext/>
              <w:suppressAutoHyphens/>
              <w:jc w:val="left"/>
            </w:pPr>
            <w:r>
              <w:t xml:space="preserve">Kab. Maybrat</w:t>
            </w:r>
          </w:p>
        </w:tc>
        <w:tc>
          <w:tcPr>
            <w:tcW w:w="1206" w:type="dxa"/>
          </w:tcPr>
          <w:p>
            <w:pPr>
              <w:pStyle w:val="IsiTabel"/>
              <w:keepNext/>
              <w:suppressAutoHyphens/>
              <w:jc w:val="right"/>
            </w:pPr>
            <w:r>
              <w:t xml:space="preserve">44.371</w:t>
            </w:r>
          </w:p>
        </w:tc>
        <w:tc>
          <w:tcPr>
            <w:tcW w:w="654" w:type="dxa"/>
          </w:tcPr>
          <w:p>
            <w:pPr>
              <w:pStyle w:val="IsiTabel"/>
              <w:keepNext/>
              <w:suppressAutoHyphens/>
              <w:jc w:val="right"/>
            </w:pPr>
            <w:r>
              <w:t xml:space="preserve">197,1</w:t>
            </w:r>
          </w:p>
        </w:tc>
        <w:tc>
          <w:tcPr>
            <w:tcW w:w="922" w:type="dxa"/>
          </w:tcPr>
          <w:p>
            <w:pPr>
              <w:pStyle w:val="IsiTabel"/>
              <w:keepNext/>
              <w:suppressAutoHyphens/>
              <w:jc w:val="left"/>
            </w:pPr>
            <w:r>
              <w:t xml:space="preserve">Tinggi</w:t>
            </w:r>
          </w:p>
        </w:tc>
        <w:tc>
          <w:tcPr>
            <w:tcW w:w="4164" w:type="dxa"/>
          </w:tcPr>
          <w:p>
            <w:pPr>
              <w:pStyle w:val="IsiTabel"/>
              <w:keepNext/>
              <w:suppressAutoHyphens/>
              <w:jc w:val="left"/>
            </w:pPr>
            <w:r>
              <w:t xml:space="preserve">–</w:t>
            </w:r>
          </w:p>
        </w:tc>
      </w:tr>
      <w:tr>
        <w:trPr>
          <w:cantSplit/>
        </w:trPr>
        <w:tc>
          <w:tcPr>
            <w:tcW w:w="2408" w:type="dxa"/>
          </w:tcPr>
          <w:p>
            <w:pPr>
              <w:pStyle w:val="IsiTabel"/>
              <w:suppressAutoHyphens/>
              <w:jc w:val="left"/>
            </w:pPr>
            <w:bookmarkStart w:id="852" w:name="_Ekor094z"/>
            <w:bookmarkEnd w:id="852"/>
            <w:r>
              <w:t xml:space="preserve">Kota Sorong</w:t>
            </w:r>
          </w:p>
        </w:tc>
        <w:tc>
          <w:tcPr>
            <w:tcW w:w="1206" w:type="dxa"/>
          </w:tcPr>
          <w:p>
            <w:pPr>
              <w:pStyle w:val="IsiTabel"/>
              <w:suppressAutoHyphens/>
              <w:jc w:val="right"/>
            </w:pPr>
            <w:r>
              <w:t xml:space="preserve">297.034</w:t>
            </w:r>
          </w:p>
        </w:tc>
        <w:tc>
          <w:tcPr>
            <w:tcW w:w="654" w:type="dxa"/>
          </w:tcPr>
          <w:p>
            <w:pPr>
              <w:pStyle w:val="IsiTabel"/>
              <w:suppressAutoHyphens/>
              <w:jc w:val="right"/>
            </w:pPr>
            <w:r>
              <w:t xml:space="preserve">253,4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w:t>
            </w:r>
          </w:p>
        </w:tc>
      </w:tr>
    </w:tbl>
    <w:p>
      <w:pPr>
        <w:pStyle w:val="Sumber"/>
        <w:spacing w:after="40"/>
      </w:pPr>
      <w:r>
        <w:rPr>
          <w:b/>
          <w:bCs/>
          <w:color w:val="6B7280"/>
          <w:sz w:val="17"/>
          <w:szCs w:val="17"/>
        </w:rPr>
        <w:t xml:space="preserve">Sumber: </w:t>
      </w:r>
      <w:r>
        <w:rPr>
          <w:color w:val="6B7280"/>
          <w:sz w:val="17"/>
          <w:szCs w:val="17"/>
        </w:rPr>
        <w:t xml:space="preserve">InaRISK BNPB, IRBI 2025; DIBI BNPB 2008–2025; WorldPop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IRB dan status resmi; penduduk WorldPop berlabel estimasi model; daftar perhatian asumsi kebijakan. Kejadian per kab/kota memakai cakupan semua laporan DIBI.</w:t>
      </w:r>
    </w:p>
    <w:p>
      <w:pPr>
        <w:pStyle w:val="Caption"/>
      </w:pPr>
      <w:bookmarkStart w:id="854" w:name="_Toc00269"/>
      <w:bookmarkStart w:id="853" w:name="_Ref0225"/>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853"/>
      <w:r>
        <w:rPr>
          <w:b/>
          <w:bCs/>
          <w:color w:val="051C2C"/>
        </w:rPr>
        <w:t xml:space="preserve"> </w:t>
      </w:r>
      <w:r>
        <w:t xml:space="preserve">Nilai IRBI 2025 per bahaya hidrometeorologi per kab/kota, Indonesia, 2025</w:t>
      </w:r>
      <w:bookmarkEnd w:id="85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806"/>
        <w:gridCol w:w="892"/>
        <w:gridCol w:w="1082"/>
        <w:gridCol w:w="1395"/>
        <w:gridCol w:w="1078"/>
        <w:gridCol w:w="896"/>
        <w:gridCol w:w="1205"/>
      </w:tblGrid>
      <w:tr>
        <w:trPr>
          <w:cantSplit/>
          <w:tblHeader/>
        </w:trPr>
        <w:tc>
          <w:tcPr>
            <w:tcW w:w="2806" w:type="dxa"/>
            <w:tcBorders>
              <w:bottom w:val="single" w:sz="8" w:space="0" w:color="6B7280"/>
            </w:tcBorders>
            <w:vAlign w:val="bottom"/>
          </w:tcPr>
          <w:p>
            <w:pPr>
              <w:pStyle w:val="KepalaTabel"/>
              <w:suppressAutoHyphens/>
            </w:pPr>
            <w:r>
              <w:rPr>
                <w:b/>
                <w:bCs/>
                <w:color w:val="6B7280"/>
                <w:sz w:val="17"/>
                <w:szCs w:val="17"/>
              </w:rPr>
              <w:t xml:space="preserve">KAB/KOTA</w:t>
            </w:r>
          </w:p>
        </w:tc>
        <w:tc>
          <w:tcPr>
            <w:tcW w:w="892" w:type="dxa"/>
            <w:tcBorders>
              <w:bottom w:val="single" w:sz="8" w:space="0" w:color="6B7280"/>
            </w:tcBorders>
            <w:vAlign w:val="bottom"/>
          </w:tcPr>
          <w:p>
            <w:pPr>
              <w:pStyle w:val="KepalaTabel"/>
              <w:suppressAutoHyphens/>
            </w:pPr>
            <w:r>
              <w:rPr>
                <w:b/>
                <w:bCs/>
                <w:color w:val="6B7280"/>
                <w:sz w:val="17"/>
                <w:szCs w:val="17"/>
              </w:rPr>
              <w:t xml:space="preserve">BANJIR</w:t>
            </w:r>
          </w:p>
        </w:tc>
        <w:tc>
          <w:tcPr>
            <w:tcW w:w="1082" w:type="dxa"/>
            <w:tcBorders>
              <w:bottom w:val="single" w:sz="8" w:space="0" w:color="6B7280"/>
            </w:tcBorders>
            <w:vAlign w:val="bottom"/>
          </w:tcPr>
          <w:p>
            <w:pPr>
              <w:pStyle w:val="KepalaTabel"/>
              <w:suppressAutoHyphens/>
            </w:pPr>
            <w:r>
              <w:rPr>
                <w:b/>
                <w:bCs/>
                <w:color w:val="6B7280"/>
                <w:sz w:val="17"/>
                <w:szCs w:val="17"/>
              </w:rPr>
              <w:t xml:space="preserve">LONGSOR</w:t>
            </w:r>
          </w:p>
        </w:tc>
        <w:tc>
          <w:tcPr>
            <w:tcW w:w="1395" w:type="dxa"/>
            <w:tcBorders>
              <w:bottom w:val="single" w:sz="8" w:space="0" w:color="6B7280"/>
            </w:tcBorders>
            <w:vAlign w:val="bottom"/>
          </w:tcPr>
          <w:p>
            <w:pPr>
              <w:pStyle w:val="KepalaTabel"/>
              <w:suppressAutoHyphens/>
            </w:pPr>
            <w:r>
              <w:rPr>
                <w:b/>
                <w:bCs/>
                <w:color w:val="6B7280"/>
                <w:sz w:val="17"/>
                <w:szCs w:val="17"/>
              </w:rPr>
              <w:t xml:space="preserve">KEKERINGAN</w:t>
            </w:r>
          </w:p>
        </w:tc>
        <w:tc>
          <w:tcPr>
            <w:tcW w:w="1078" w:type="dxa"/>
            <w:tcBorders>
              <w:bottom w:val="single" w:sz="8" w:space="0" w:color="6B7280"/>
            </w:tcBorders>
            <w:vAlign w:val="bottom"/>
          </w:tcPr>
          <w:p>
            <w:pPr>
              <w:pStyle w:val="KepalaTabel"/>
              <w:suppressAutoHyphens/>
            </w:pPr>
            <w:r>
              <w:rPr>
                <w:b/>
                <w:bCs/>
                <w:color w:val="6B7280"/>
                <w:sz w:val="17"/>
                <w:szCs w:val="17"/>
              </w:rPr>
              <w:t xml:space="preserve">CUACA EKSTREM</w:t>
            </w:r>
          </w:p>
        </w:tc>
        <w:tc>
          <w:tcPr>
            <w:tcW w:w="896" w:type="dxa"/>
            <w:tcBorders>
              <w:bottom w:val="single" w:sz="8" w:space="0" w:color="6B7280"/>
            </w:tcBorders>
            <w:vAlign w:val="bottom"/>
          </w:tcPr>
          <w:p>
            <w:pPr>
              <w:pStyle w:val="KepalaTabel"/>
              <w:suppressAutoHyphens/>
            </w:pPr>
            <w:r>
              <w:rPr>
                <w:b/>
                <w:bCs/>
                <w:color w:val="6B7280"/>
                <w:sz w:val="17"/>
                <w:szCs w:val="17"/>
              </w:rPr>
              <w:t xml:space="preserve">ABRASI</w:t>
            </w:r>
          </w:p>
        </w:tc>
        <w:tc>
          <w:tcPr>
            <w:tcW w:w="1205" w:type="dxa"/>
            <w:tcBorders>
              <w:bottom w:val="single" w:sz="8" w:space="0" w:color="6B7280"/>
            </w:tcBorders>
            <w:vAlign w:val="bottom"/>
          </w:tcPr>
          <w:p>
            <w:pPr>
              <w:pStyle w:val="KepalaTabel"/>
              <w:suppressAutoHyphens/>
            </w:pPr>
            <w:r>
              <w:rPr>
                <w:b/>
                <w:bCs/>
                <w:color w:val="6B7280"/>
                <w:sz w:val="17"/>
                <w:szCs w:val="17"/>
              </w:rPr>
              <w:t xml:space="preserve">KARHUTLA</w:t>
            </w:r>
          </w:p>
        </w:tc>
      </w:tr>
      <w:tr>
        <w:trPr>
          <w:cantSplit/>
        </w:trPr>
        <w:tc>
          <w:tcPr>
            <w:tcW w:w="9354" w:type="dxa"/>
            <w:gridSpan w:val="7"/>
            <w:shd w:val="clear" w:color="auto" w:fill="E6EAF0"/>
          </w:tcPr>
          <w:p>
            <w:pPr>
              <w:pStyle w:val="IsiTabel"/>
              <w:keepNext/>
              <w:suppressAutoHyphens/>
              <w:ind w:left="0"/>
            </w:pPr>
            <w:r>
              <w:rPr>
                <w:b/>
                <w:bCs/>
              </w:rPr>
              <w:t xml:space="preserve">Aceh</w:t>
            </w:r>
          </w:p>
        </w:tc>
      </w:tr>
      <w:tr>
        <w:trPr>
          <w:cantSplit/>
        </w:trPr>
        <w:tc>
          <w:tcPr>
            <w:tcW w:w="2806" w:type="dxa"/>
          </w:tcPr>
          <w:p>
            <w:pPr>
              <w:pStyle w:val="IsiTabel"/>
              <w:suppressAutoHyphens/>
              <w:jc w:val="left"/>
            </w:pPr>
            <w:r>
              <w:t xml:space="preserve">Kab. Aceh Selatan</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28</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Aceh Tenggara</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Aceh Timur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Aceh Tengah</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Aceh Barat</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Aceh Besar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21</w:t>
            </w:r>
          </w:p>
        </w:tc>
      </w:tr>
      <w:tr>
        <w:trPr>
          <w:cantSplit/>
        </w:trPr>
        <w:tc>
          <w:tcPr>
            <w:tcW w:w="2806" w:type="dxa"/>
          </w:tcPr>
          <w:p>
            <w:pPr>
              <w:pStyle w:val="IsiTabel"/>
              <w:suppressAutoHyphens/>
              <w:jc w:val="left"/>
            </w:pPr>
            <w:r>
              <w:t xml:space="preserve">Kab. Pidie</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Aceh Utara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Simeulue</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Aceh Singkil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Bireuen</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Aceh Barat Daya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24</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Gayo Lues</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Aceh Jaya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Nagan Raya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Aceh Tamiang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0</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Bener Meriah</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Pidie Jaya</w:t>
            </w:r>
          </w:p>
        </w:tc>
        <w:tc>
          <w:tcPr>
            <w:tcW w:w="892" w:type="dxa"/>
          </w:tcPr>
          <w:p>
            <w:pPr>
              <w:pStyle w:val="IsiTabel"/>
              <w:suppressAutoHyphens/>
              <w:jc w:val="right"/>
            </w:pPr>
            <w:r>
              <w:t xml:space="preserve">30</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28</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Banda Aceh</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Sabang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Kota Lhokseumawe</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Kota Langsa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Subulussalam</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20</w:t>
            </w:r>
          </w:p>
        </w:tc>
      </w:tr>
      <w:tr>
        <w:trPr>
          <w:cantSplit/>
        </w:trPr>
        <w:tc>
          <w:tcPr>
            <w:tcW w:w="9354" w:type="dxa"/>
            <w:gridSpan w:val="7"/>
            <w:shd w:val="clear" w:color="auto" w:fill="E6EAF0"/>
          </w:tcPr>
          <w:p>
            <w:pPr>
              <w:pStyle w:val="IsiTabel"/>
              <w:keepNext/>
              <w:suppressAutoHyphens/>
              <w:ind w:left="0"/>
            </w:pPr>
            <w:r>
              <w:rPr>
                <w:b/>
                <w:bCs/>
              </w:rPr>
              <w:t xml:space="preserve">Sumatera Utara</w:t>
            </w:r>
          </w:p>
        </w:tc>
      </w:tr>
      <w:tr>
        <w:trPr>
          <w:cantSplit/>
        </w:trPr>
        <w:tc>
          <w:tcPr>
            <w:tcW w:w="2806" w:type="dxa"/>
          </w:tcPr>
          <w:p>
            <w:pPr>
              <w:pStyle w:val="IsiTabel"/>
              <w:suppressAutoHyphens/>
              <w:jc w:val="left"/>
            </w:pPr>
            <w:r>
              <w:t xml:space="preserve">Kab. Tapanuli Tengah</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Tapanuli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28</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Tapanuli Selatan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4</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Nias</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Langkat</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29</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Karo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Deli Serdang</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Simalungun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31</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Asahan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Labuhanbatu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Dairi</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Toba</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Mandailing Natal</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29</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Nias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Pakpak Bharat</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Humbang Hasundutan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27</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Samosir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Serdang Bedagai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Batu Bara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Padang Lawas Utara</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31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Padang Lawas</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19</w:t>
            </w:r>
          </w:p>
        </w:tc>
      </w:tr>
      <w:tr>
        <w:trPr>
          <w:cantSplit/>
        </w:trPr>
        <w:tc>
          <w:tcPr>
            <w:tcW w:w="2806" w:type="dxa"/>
          </w:tcPr>
          <w:p>
            <w:pPr>
              <w:pStyle w:val="IsiTabel"/>
              <w:suppressAutoHyphens/>
              <w:jc w:val="left"/>
            </w:pPr>
            <w:r>
              <w:t xml:space="preserve">Kab. Labuhanbatu Selatan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Labuhanbatu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Nias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Nias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Medan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Pematangsiantar</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34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Sibolga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42</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32</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Kota Tanjungbalai</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4</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Kota Binjai</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Tebing Tinggi</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Padangsidimpuan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Kota Gunungsitoli</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9354" w:type="dxa"/>
            <w:gridSpan w:val="7"/>
            <w:shd w:val="clear" w:color="auto" w:fill="E6EAF0"/>
          </w:tcPr>
          <w:p>
            <w:pPr>
              <w:pStyle w:val="IsiTabel"/>
              <w:keepNext/>
              <w:suppressAutoHyphens/>
              <w:ind w:left="0"/>
            </w:pPr>
            <w:r>
              <w:rPr>
                <w:b/>
                <w:bCs/>
              </w:rPr>
              <w:t xml:space="preserve">Sumatera Barat</w:t>
            </w:r>
          </w:p>
        </w:tc>
      </w:tr>
      <w:tr>
        <w:trPr>
          <w:cantSplit/>
        </w:trPr>
        <w:tc>
          <w:tcPr>
            <w:tcW w:w="2806" w:type="dxa"/>
          </w:tcPr>
          <w:p>
            <w:pPr>
              <w:pStyle w:val="IsiTabel"/>
              <w:suppressAutoHyphens/>
              <w:jc w:val="left"/>
            </w:pPr>
            <w:r>
              <w:t xml:space="preserve">Kab. Pesisir Selatan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Solok</w:t>
            </w:r>
          </w:p>
        </w:tc>
        <w:tc>
          <w:tcPr>
            <w:tcW w:w="892" w:type="dxa"/>
          </w:tcPr>
          <w:p>
            <w:pPr>
              <w:pStyle w:val="IsiTabel"/>
              <w:suppressAutoHyphens/>
              <w:jc w:val="right"/>
            </w:pPr>
            <w:r>
              <w:t xml:space="preserve">29</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Sijunjung</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Tanah Datar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Padang Pariaman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Agam</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Lima Puluh Kota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Pasaman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Kepulauan Mentawai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Dharmasraya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Solok Selatan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Pasaman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Padang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Kota Solok</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Sawahlunto</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Padang Panjang</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Bukittinggi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Payakumbuh</w:t>
            </w:r>
          </w:p>
        </w:tc>
        <w:tc>
          <w:tcPr>
            <w:tcW w:w="892" w:type="dxa"/>
          </w:tcPr>
          <w:p>
            <w:pPr>
              <w:pStyle w:val="IsiTabel"/>
              <w:suppressAutoHyphens/>
              <w:jc w:val="right"/>
            </w:pPr>
            <w:r>
              <w:t xml:space="preserve">32</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35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Pariaman</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Riau</w:t>
            </w:r>
          </w:p>
        </w:tc>
      </w:tr>
      <w:tr>
        <w:trPr>
          <w:cantSplit/>
        </w:trPr>
        <w:tc>
          <w:tcPr>
            <w:tcW w:w="2806" w:type="dxa"/>
          </w:tcPr>
          <w:p>
            <w:pPr>
              <w:pStyle w:val="IsiTabel"/>
              <w:suppressAutoHyphens/>
              <w:jc w:val="left"/>
            </w:pPr>
            <w:r>
              <w:t xml:space="preserve">Kab. Kampar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Indragiri Hulu</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Bengkalis</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Indragiri Hilir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Kab. Pelalawan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Rokan Hulu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Rokan Hilir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Siak</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Kuantan Singingi</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22</w:t>
            </w:r>
          </w:p>
        </w:tc>
      </w:tr>
      <w:tr>
        <w:trPr>
          <w:cantSplit/>
        </w:trPr>
        <w:tc>
          <w:tcPr>
            <w:tcW w:w="2806" w:type="dxa"/>
          </w:tcPr>
          <w:p>
            <w:pPr>
              <w:pStyle w:val="IsiTabel"/>
              <w:suppressAutoHyphens/>
              <w:jc w:val="left"/>
            </w:pPr>
            <w:r>
              <w:t xml:space="preserve">Kab. Kepulauan Meranti</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20</w:t>
            </w:r>
          </w:p>
        </w:tc>
      </w:tr>
      <w:tr>
        <w:trPr>
          <w:cantSplit/>
        </w:trPr>
        <w:tc>
          <w:tcPr>
            <w:tcW w:w="2806" w:type="dxa"/>
          </w:tcPr>
          <w:p>
            <w:pPr>
              <w:pStyle w:val="IsiTabel"/>
              <w:suppressAutoHyphens/>
              <w:jc w:val="left"/>
            </w:pPr>
            <w:r>
              <w:t xml:space="preserve">Kota Pekanbaru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Dumai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18</w:t>
            </w:r>
          </w:p>
        </w:tc>
      </w:tr>
      <w:tr>
        <w:trPr>
          <w:cantSplit/>
        </w:trPr>
        <w:tc>
          <w:tcPr>
            <w:tcW w:w="9354" w:type="dxa"/>
            <w:gridSpan w:val="7"/>
            <w:shd w:val="clear" w:color="auto" w:fill="E6EAF0"/>
          </w:tcPr>
          <w:p>
            <w:pPr>
              <w:pStyle w:val="IsiTabel"/>
              <w:keepNext/>
              <w:suppressAutoHyphens/>
              <w:ind w:left="0"/>
            </w:pPr>
            <w:r>
              <w:rPr>
                <w:b/>
                <w:bCs/>
              </w:rPr>
              <w:t xml:space="preserve">Jambi</w:t>
            </w:r>
          </w:p>
        </w:tc>
      </w:tr>
      <w:tr>
        <w:trPr>
          <w:cantSplit/>
        </w:trPr>
        <w:tc>
          <w:tcPr>
            <w:tcW w:w="2806" w:type="dxa"/>
          </w:tcPr>
          <w:p>
            <w:pPr>
              <w:pStyle w:val="IsiTabel"/>
              <w:suppressAutoHyphens/>
              <w:jc w:val="left"/>
            </w:pPr>
            <w:r>
              <w:t xml:space="preserve">Kab. Kerinci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Merangin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Sarolangun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Batanghari</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Kab. Muaro Jambi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Tanjung Jabung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Tanjung Jabung Timur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Bungo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Tebo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Kota Jambi</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Sungai Penuh</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Sumatera Selatan</w:t>
            </w:r>
          </w:p>
        </w:tc>
      </w:tr>
      <w:tr>
        <w:trPr>
          <w:cantSplit/>
        </w:trPr>
        <w:tc>
          <w:tcPr>
            <w:tcW w:w="2806" w:type="dxa"/>
          </w:tcPr>
          <w:p>
            <w:pPr>
              <w:pStyle w:val="IsiTabel"/>
              <w:suppressAutoHyphens/>
              <w:jc w:val="left"/>
            </w:pPr>
            <w:r>
              <w:t xml:space="preserve">Kab. Ogan Komering Ulu</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Ogan Komering Ilir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Muara Enim</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Lahat</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Musi Rawas</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Musi Banyuasin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Banyuasin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Ogan Komering Ulu Timur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Ogan Komering Ulu Selatan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Ogan Ilir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Empat Lawang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Penukal Abab Lematang Ilir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Musi Rawas Utara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Kota Palembang</w:t>
            </w:r>
          </w:p>
        </w:tc>
        <w:tc>
          <w:tcPr>
            <w:tcW w:w="892" w:type="dxa"/>
          </w:tcPr>
          <w:p>
            <w:pPr>
              <w:pStyle w:val="IsiTabel"/>
              <w:suppressAutoHyphens/>
              <w:jc w:val="right"/>
            </w:pPr>
            <w:r>
              <w:t xml:space="preserve">36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Kota Pagar Alam</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Lubuk Linggau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Kota Prabumulih</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9354" w:type="dxa"/>
            <w:gridSpan w:val="7"/>
            <w:shd w:val="clear" w:color="auto" w:fill="E6EAF0"/>
          </w:tcPr>
          <w:p>
            <w:pPr>
              <w:pStyle w:val="IsiTabel"/>
              <w:keepNext/>
              <w:suppressAutoHyphens/>
              <w:ind w:left="0"/>
            </w:pPr>
            <w:r>
              <w:rPr>
                <w:b/>
                <w:bCs/>
              </w:rPr>
              <w:t xml:space="preserve">Bengkulu</w:t>
            </w:r>
          </w:p>
        </w:tc>
      </w:tr>
      <w:tr>
        <w:trPr>
          <w:cantSplit/>
        </w:trPr>
        <w:tc>
          <w:tcPr>
            <w:tcW w:w="2806" w:type="dxa"/>
          </w:tcPr>
          <w:p>
            <w:pPr>
              <w:pStyle w:val="IsiTabel"/>
              <w:suppressAutoHyphens/>
              <w:jc w:val="left"/>
            </w:pPr>
            <w:r>
              <w:t xml:space="preserve">Kab. Bengkulu Selatan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Rejang Lebong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Bengkulu Utara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Kaur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Seluma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Mukomuko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Lebong</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Kepahiang</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Kab. Bengkulu Tengah</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Kota Bengkulu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12</w:t>
            </w:r>
          </w:p>
        </w:tc>
      </w:tr>
      <w:tr>
        <w:trPr>
          <w:cantSplit/>
        </w:trPr>
        <w:tc>
          <w:tcPr>
            <w:tcW w:w="9354" w:type="dxa"/>
            <w:gridSpan w:val="7"/>
            <w:shd w:val="clear" w:color="auto" w:fill="E6EAF0"/>
          </w:tcPr>
          <w:p>
            <w:pPr>
              <w:pStyle w:val="IsiTabel"/>
              <w:keepNext/>
              <w:suppressAutoHyphens/>
              <w:ind w:left="0"/>
            </w:pPr>
            <w:r>
              <w:rPr>
                <w:b/>
                <w:bCs/>
              </w:rPr>
              <w:t xml:space="preserve">Lampung</w:t>
            </w:r>
          </w:p>
        </w:tc>
      </w:tr>
      <w:tr>
        <w:trPr>
          <w:cantSplit/>
        </w:trPr>
        <w:tc>
          <w:tcPr>
            <w:tcW w:w="2806" w:type="dxa"/>
          </w:tcPr>
          <w:p>
            <w:pPr>
              <w:pStyle w:val="IsiTabel"/>
              <w:suppressAutoHyphens/>
              <w:jc w:val="left"/>
            </w:pPr>
            <w:r>
              <w:t xml:space="preserve">Kab. Lampung Selatan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Lampung Tengah</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Lampung Utara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Lampung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Tulang Bawang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Tanggamus</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Lampung Timur</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Way Kanan</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Pesawaran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Pringsewu</w:t>
            </w:r>
          </w:p>
        </w:tc>
        <w:tc>
          <w:tcPr>
            <w:tcW w:w="892" w:type="dxa"/>
          </w:tcPr>
          <w:p>
            <w:pPr>
              <w:pStyle w:val="IsiTabel"/>
              <w:suppressAutoHyphens/>
              <w:jc w:val="right"/>
            </w:pPr>
            <w:r>
              <w:t xml:space="preserve">28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Mesuji</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Tulang Bawang Barat</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20</w:t>
            </w:r>
          </w:p>
        </w:tc>
      </w:tr>
      <w:tr>
        <w:trPr>
          <w:cantSplit/>
        </w:trPr>
        <w:tc>
          <w:tcPr>
            <w:tcW w:w="2806" w:type="dxa"/>
          </w:tcPr>
          <w:p>
            <w:pPr>
              <w:pStyle w:val="IsiTabel"/>
              <w:suppressAutoHyphens/>
              <w:jc w:val="left"/>
            </w:pPr>
            <w:r>
              <w:t xml:space="preserve">Kab. Pesisir Barat</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Kota Bandar Lampung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Metro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Kep. Bangka Belitung</w:t>
            </w:r>
          </w:p>
        </w:tc>
      </w:tr>
      <w:tr>
        <w:trPr>
          <w:cantSplit/>
        </w:trPr>
        <w:tc>
          <w:tcPr>
            <w:tcW w:w="2806" w:type="dxa"/>
          </w:tcPr>
          <w:p>
            <w:pPr>
              <w:pStyle w:val="IsiTabel"/>
              <w:suppressAutoHyphens/>
              <w:jc w:val="left"/>
            </w:pPr>
            <w:r>
              <w:t xml:space="preserve">Kab. Bangka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Belitung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Bangka Selatan</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22</w:t>
            </w:r>
          </w:p>
        </w:tc>
      </w:tr>
      <w:tr>
        <w:trPr>
          <w:cantSplit/>
        </w:trPr>
        <w:tc>
          <w:tcPr>
            <w:tcW w:w="2806" w:type="dxa"/>
          </w:tcPr>
          <w:p>
            <w:pPr>
              <w:pStyle w:val="IsiTabel"/>
              <w:suppressAutoHyphens/>
              <w:jc w:val="left"/>
            </w:pPr>
            <w:r>
              <w:t xml:space="preserve">Kab. Bangka Tengah</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24</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Kab. Bangka Barat</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Belitung Timur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Kota Pangkal Pinang</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11</w:t>
            </w:r>
          </w:p>
        </w:tc>
      </w:tr>
      <w:tr>
        <w:trPr>
          <w:cantSplit/>
        </w:trPr>
        <w:tc>
          <w:tcPr>
            <w:tcW w:w="9354" w:type="dxa"/>
            <w:gridSpan w:val="7"/>
            <w:shd w:val="clear" w:color="auto" w:fill="E6EAF0"/>
          </w:tcPr>
          <w:p>
            <w:pPr>
              <w:pStyle w:val="IsiTabel"/>
              <w:keepNext/>
              <w:suppressAutoHyphens/>
              <w:ind w:left="0"/>
            </w:pPr>
            <w:r>
              <w:rPr>
                <w:b/>
                <w:bCs/>
              </w:rPr>
              <w:t xml:space="preserve">Kepulauan Riau</w:t>
            </w:r>
          </w:p>
        </w:tc>
      </w:tr>
      <w:tr>
        <w:trPr>
          <w:cantSplit/>
        </w:trPr>
        <w:tc>
          <w:tcPr>
            <w:tcW w:w="2806" w:type="dxa"/>
          </w:tcPr>
          <w:p>
            <w:pPr>
              <w:pStyle w:val="IsiTabel"/>
              <w:suppressAutoHyphens/>
              <w:jc w:val="left"/>
            </w:pPr>
            <w:r>
              <w:t xml:space="preserve">Kab. Bintan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Karimun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Natuna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Lingga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Kepulauan Anambas</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Batam</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Tanjung Pinang</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DKI Jakarta</w:t>
            </w:r>
          </w:p>
        </w:tc>
      </w:tr>
      <w:tr>
        <w:trPr>
          <w:cantSplit/>
        </w:trPr>
        <w:tc>
          <w:tcPr>
            <w:tcW w:w="2806" w:type="dxa"/>
          </w:tcPr>
          <w:p>
            <w:pPr>
              <w:pStyle w:val="IsiTabel"/>
              <w:suppressAutoHyphens/>
              <w:jc w:val="left"/>
            </w:pPr>
            <w:r>
              <w:t xml:space="preserve">Kab. Administrasi Kepulauan Seribu</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Pusat</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Utara</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Barat</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Selatan</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Timur</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Jawa Barat</w:t>
            </w:r>
          </w:p>
        </w:tc>
      </w:tr>
      <w:tr>
        <w:trPr>
          <w:cantSplit/>
        </w:trPr>
        <w:tc>
          <w:tcPr>
            <w:tcW w:w="2806" w:type="dxa"/>
          </w:tcPr>
          <w:p>
            <w:pPr>
              <w:pStyle w:val="IsiTabel"/>
              <w:suppressAutoHyphens/>
              <w:jc w:val="left"/>
            </w:pPr>
            <w:r>
              <w:t xml:space="preserve">Kab. Bogor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Sukabumi</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Cianjur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Bandung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Garut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Tasikmalaya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Ciamis</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Kuningan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Cirebon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Majalengka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Sumedang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Indramayu</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Subang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Purwakarta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Karawang</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Bekasi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Bandung Barat</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Pangandaran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Bogor</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Sukabumi</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Bandung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Cirebon</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Bekasi</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Depok</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Cimahi</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Tasikmalaya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Banjar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9354" w:type="dxa"/>
            <w:gridSpan w:val="7"/>
            <w:shd w:val="clear" w:color="auto" w:fill="E6EAF0"/>
          </w:tcPr>
          <w:p>
            <w:pPr>
              <w:pStyle w:val="IsiTabel"/>
              <w:keepNext/>
              <w:suppressAutoHyphens/>
              <w:ind w:left="0"/>
            </w:pPr>
            <w:r>
              <w:rPr>
                <w:b/>
                <w:bCs/>
              </w:rPr>
              <w:t xml:space="preserve">Jawa Tengah</w:t>
            </w:r>
          </w:p>
        </w:tc>
      </w:tr>
      <w:tr>
        <w:trPr>
          <w:cantSplit/>
        </w:trPr>
        <w:tc>
          <w:tcPr>
            <w:tcW w:w="2806" w:type="dxa"/>
          </w:tcPr>
          <w:p>
            <w:pPr>
              <w:pStyle w:val="IsiTabel"/>
              <w:suppressAutoHyphens/>
              <w:jc w:val="left"/>
            </w:pPr>
            <w:r>
              <w:t xml:space="preserve">Kab. Cilacap</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Banyumas</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Purbalingga</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Banjarnegara</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Kebumen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Purworejo</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Wonosobo</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Magelang</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Boyolali</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Klaten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Sukoharjo</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Wonogiri</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Karanganyar</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Sragen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Grobogan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Blora</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Rembang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Pati</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Kudus</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Jepara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Demak</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Semarang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Temanggung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Kendal</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Batang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Pekalongan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Pemalang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Tegal</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Brebes</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Magelang</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Surakarta</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Salatiga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Semarang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Pekalongan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Tegal</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DI Yogyakarta</w:t>
            </w:r>
          </w:p>
        </w:tc>
      </w:tr>
      <w:tr>
        <w:trPr>
          <w:cantSplit/>
        </w:trPr>
        <w:tc>
          <w:tcPr>
            <w:tcW w:w="2806" w:type="dxa"/>
          </w:tcPr>
          <w:p>
            <w:pPr>
              <w:pStyle w:val="IsiTabel"/>
              <w:suppressAutoHyphens/>
              <w:jc w:val="left"/>
            </w:pPr>
            <w:r>
              <w:t xml:space="preserve">Kab. Kulon Progo</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Bantul</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Kab. Gunungkidul</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Sleman</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Yogyakarta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Jawa Timur</w:t>
            </w:r>
          </w:p>
        </w:tc>
      </w:tr>
      <w:tr>
        <w:trPr>
          <w:cantSplit/>
        </w:trPr>
        <w:tc>
          <w:tcPr>
            <w:tcW w:w="2806" w:type="dxa"/>
          </w:tcPr>
          <w:p>
            <w:pPr>
              <w:pStyle w:val="IsiTabel"/>
              <w:suppressAutoHyphens/>
              <w:jc w:val="left"/>
            </w:pPr>
            <w:r>
              <w:t xml:space="preserve">Kab. Pacitan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Ponorogo</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Trenggalek</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Tulungagung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Blitar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Kediri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Malang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Lumajang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Jember</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Banyuwangi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Bondowoso</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Situbondo</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Probolinggo</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Pasuruan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Sidoarjo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Mojokerto</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Jombang</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19</w:t>
            </w:r>
          </w:p>
        </w:tc>
      </w:tr>
      <w:tr>
        <w:trPr>
          <w:cantSplit/>
        </w:trPr>
        <w:tc>
          <w:tcPr>
            <w:tcW w:w="2806" w:type="dxa"/>
          </w:tcPr>
          <w:p>
            <w:pPr>
              <w:pStyle w:val="IsiTabel"/>
              <w:suppressAutoHyphens/>
              <w:jc w:val="left"/>
            </w:pPr>
            <w:r>
              <w:t xml:space="preserve">Kab. Nganjuk</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Madiun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Magetan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Ngawi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Bojonegoro</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Tuban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Lamongan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Gresik</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Bangkalan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Sampang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Pamekasan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Kab. Sumenep</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Kediri</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Kota Blitar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Malang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Probolinggo</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Pasuruan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Mojokerto</w:t>
            </w:r>
          </w:p>
        </w:tc>
        <w:tc>
          <w:tcPr>
            <w:tcW w:w="892" w:type="dxa"/>
          </w:tcPr>
          <w:p>
            <w:pPr>
              <w:pStyle w:val="IsiTabel"/>
              <w:suppressAutoHyphens/>
              <w:jc w:val="right"/>
            </w:pPr>
            <w:r>
              <w:t xml:space="preserve">32</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Madiun</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Surabaya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Batu</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9354" w:type="dxa"/>
            <w:gridSpan w:val="7"/>
            <w:shd w:val="clear" w:color="auto" w:fill="E6EAF0"/>
          </w:tcPr>
          <w:p>
            <w:pPr>
              <w:pStyle w:val="IsiTabel"/>
              <w:keepNext/>
              <w:suppressAutoHyphens/>
              <w:ind w:left="0"/>
            </w:pPr>
            <w:r>
              <w:rPr>
                <w:b/>
                <w:bCs/>
              </w:rPr>
              <w:t xml:space="preserve">Banten</w:t>
            </w:r>
          </w:p>
        </w:tc>
      </w:tr>
      <w:tr>
        <w:trPr>
          <w:cantSplit/>
        </w:trPr>
        <w:tc>
          <w:tcPr>
            <w:tcW w:w="2806" w:type="dxa"/>
          </w:tcPr>
          <w:p>
            <w:pPr>
              <w:pStyle w:val="IsiTabel"/>
              <w:suppressAutoHyphens/>
              <w:jc w:val="left"/>
            </w:pPr>
            <w:r>
              <w:t xml:space="preserve">Kab. Pandeglang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Lebak</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Tangerang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Serang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Tangerang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Cilegon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w:t>
            </w:r>
          </w:p>
        </w:tc>
      </w:tr>
      <w:tr>
        <w:trPr>
          <w:cantSplit/>
        </w:trPr>
        <w:tc>
          <w:tcPr>
            <w:tcW w:w="2806" w:type="dxa"/>
          </w:tcPr>
          <w:p>
            <w:pPr>
              <w:pStyle w:val="IsiTabel"/>
              <w:suppressAutoHyphens/>
              <w:jc w:val="left"/>
            </w:pPr>
            <w:r>
              <w:t xml:space="preserve">Kota Serang</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Tangerang Selatan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Bali</w:t>
            </w:r>
          </w:p>
        </w:tc>
      </w:tr>
      <w:tr>
        <w:trPr>
          <w:cantSplit/>
        </w:trPr>
        <w:tc>
          <w:tcPr>
            <w:tcW w:w="2806" w:type="dxa"/>
          </w:tcPr>
          <w:p>
            <w:pPr>
              <w:pStyle w:val="IsiTabel"/>
              <w:suppressAutoHyphens/>
              <w:jc w:val="left"/>
            </w:pPr>
            <w:r>
              <w:t xml:space="preserve">Kab. Jembrana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Tabanan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Badung</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Gianyar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30</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Klungkung</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Bangli</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Karangasem</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Buleleng</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Denpasar</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Nusa Tenggara Barat</w:t>
            </w:r>
          </w:p>
        </w:tc>
      </w:tr>
      <w:tr>
        <w:trPr>
          <w:cantSplit/>
        </w:trPr>
        <w:tc>
          <w:tcPr>
            <w:tcW w:w="2806" w:type="dxa"/>
          </w:tcPr>
          <w:p>
            <w:pPr>
              <w:pStyle w:val="IsiTabel"/>
              <w:suppressAutoHyphens/>
              <w:jc w:val="left"/>
            </w:pPr>
            <w:r>
              <w:t xml:space="preserve">Kab. Lombok Barat</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Lombok Tengah</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Lombok Timur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Sumbawa</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Dompu</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Bima</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Sumbawa Barat</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Lombok Utara</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Mataram</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Bima</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7</w:t>
            </w:r>
          </w:p>
        </w:tc>
      </w:tr>
      <w:tr>
        <w:trPr>
          <w:cantSplit/>
        </w:trPr>
        <w:tc>
          <w:tcPr>
            <w:tcW w:w="9354" w:type="dxa"/>
            <w:gridSpan w:val="7"/>
            <w:shd w:val="clear" w:color="auto" w:fill="E6EAF0"/>
          </w:tcPr>
          <w:p>
            <w:pPr>
              <w:pStyle w:val="IsiTabel"/>
              <w:keepNext/>
              <w:suppressAutoHyphens/>
              <w:ind w:left="0"/>
            </w:pPr>
            <w:r>
              <w:rPr>
                <w:b/>
                <w:bCs/>
              </w:rPr>
              <w:t xml:space="preserve">Nusa Tenggara Timur</w:t>
            </w:r>
          </w:p>
        </w:tc>
      </w:tr>
      <w:tr>
        <w:trPr>
          <w:cantSplit/>
        </w:trPr>
        <w:tc>
          <w:tcPr>
            <w:tcW w:w="2806" w:type="dxa"/>
          </w:tcPr>
          <w:p>
            <w:pPr>
              <w:pStyle w:val="IsiTabel"/>
              <w:suppressAutoHyphens/>
              <w:jc w:val="left"/>
            </w:pPr>
            <w:r>
              <w:t xml:space="preserve">Kab. Kupang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Timor Tengah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Timor Tengah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Belu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Alor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Flores Timur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31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Sikka</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Ende</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Ngada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Manggarai</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Sumba Timur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Sumba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Lembata</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Rote Ndao</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Manggarai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Nagekeo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Sumba Tengah</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Sumba Barat Daya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Manggarai Timur</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Sabu Raijua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Malaka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Kupang</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10</w:t>
            </w:r>
          </w:p>
        </w:tc>
      </w:tr>
      <w:tr>
        <w:trPr>
          <w:cantSplit/>
        </w:trPr>
        <w:tc>
          <w:tcPr>
            <w:tcW w:w="9354" w:type="dxa"/>
            <w:gridSpan w:val="7"/>
            <w:shd w:val="clear" w:color="auto" w:fill="E6EAF0"/>
          </w:tcPr>
          <w:p>
            <w:pPr>
              <w:pStyle w:val="IsiTabel"/>
              <w:keepNext/>
              <w:suppressAutoHyphens/>
              <w:ind w:left="0"/>
            </w:pPr>
            <w:r>
              <w:rPr>
                <w:b/>
                <w:bCs/>
              </w:rPr>
              <w:t xml:space="preserve">Kalimantan Barat</w:t>
            </w:r>
          </w:p>
        </w:tc>
      </w:tr>
      <w:tr>
        <w:trPr>
          <w:cantSplit/>
        </w:trPr>
        <w:tc>
          <w:tcPr>
            <w:tcW w:w="2806" w:type="dxa"/>
          </w:tcPr>
          <w:p>
            <w:pPr>
              <w:pStyle w:val="IsiTabel"/>
              <w:suppressAutoHyphens/>
              <w:jc w:val="left"/>
            </w:pPr>
            <w:r>
              <w:t xml:space="preserve">Kab. Sambas</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Mempawah</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Sanggau</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Ketapang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Sintang</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Kapuas Hulu</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Bengkayang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Landak</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Sekadau</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Melawi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Kayong Utara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Kubu Raya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Kota Pontianak</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Singkawang</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25</w:t>
            </w:r>
          </w:p>
        </w:tc>
      </w:tr>
      <w:tr>
        <w:trPr>
          <w:cantSplit/>
        </w:trPr>
        <w:tc>
          <w:tcPr>
            <w:tcW w:w="9354" w:type="dxa"/>
            <w:gridSpan w:val="7"/>
            <w:shd w:val="clear" w:color="auto" w:fill="E6EAF0"/>
          </w:tcPr>
          <w:p>
            <w:pPr>
              <w:pStyle w:val="IsiTabel"/>
              <w:keepNext/>
              <w:suppressAutoHyphens/>
              <w:ind w:left="0"/>
            </w:pPr>
            <w:r>
              <w:rPr>
                <w:b/>
                <w:bCs/>
              </w:rPr>
              <w:t xml:space="preserve">Kalimantan Tengah</w:t>
            </w:r>
          </w:p>
        </w:tc>
      </w:tr>
      <w:tr>
        <w:trPr>
          <w:cantSplit/>
        </w:trPr>
        <w:tc>
          <w:tcPr>
            <w:tcW w:w="2806" w:type="dxa"/>
          </w:tcPr>
          <w:p>
            <w:pPr>
              <w:pStyle w:val="IsiTabel"/>
              <w:suppressAutoHyphens/>
              <w:jc w:val="left"/>
            </w:pPr>
            <w:r>
              <w:t xml:space="preserve">Kab. Kotawaringin Barat</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Kotawaringin Timur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Kapuas</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Barito Selatan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Barito Utara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Katingan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Seruyan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Sukamara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Lamandau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Gunung Mas</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Pulang Pisau</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Murung Raya</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Barito Timur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Kota Palangkaraya</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9354" w:type="dxa"/>
            <w:gridSpan w:val="7"/>
            <w:shd w:val="clear" w:color="auto" w:fill="E6EAF0"/>
          </w:tcPr>
          <w:p>
            <w:pPr>
              <w:pStyle w:val="IsiTabel"/>
              <w:keepNext/>
              <w:suppressAutoHyphens/>
              <w:ind w:left="0"/>
            </w:pPr>
            <w:r>
              <w:rPr>
                <w:b/>
                <w:bCs/>
              </w:rPr>
              <w:t xml:space="preserve">Kalimantan Selatan</w:t>
            </w:r>
          </w:p>
        </w:tc>
      </w:tr>
      <w:tr>
        <w:trPr>
          <w:cantSplit/>
        </w:trPr>
        <w:tc>
          <w:tcPr>
            <w:tcW w:w="2806" w:type="dxa"/>
          </w:tcPr>
          <w:p>
            <w:pPr>
              <w:pStyle w:val="IsiTabel"/>
              <w:suppressAutoHyphens/>
              <w:jc w:val="left"/>
            </w:pPr>
            <w:r>
              <w:t xml:space="preserve">Kab. Tanah Laut</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Kotabaru</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Banjar</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Barito Kuala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Tapin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Hulu Sungai Selatan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Hulu Sungai Tengah</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Hulu Sungai Utara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Tabalong</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Tanah Bumbu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Balangan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Kota Banjarmasin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Banjarbaru</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9354" w:type="dxa"/>
            <w:gridSpan w:val="7"/>
            <w:shd w:val="clear" w:color="auto" w:fill="E6EAF0"/>
          </w:tcPr>
          <w:p>
            <w:pPr>
              <w:pStyle w:val="IsiTabel"/>
              <w:keepNext/>
              <w:suppressAutoHyphens/>
              <w:ind w:left="0"/>
            </w:pPr>
            <w:r>
              <w:rPr>
                <w:b/>
                <w:bCs/>
              </w:rPr>
              <w:t xml:space="preserve">Kalimantan Timur</w:t>
            </w:r>
          </w:p>
        </w:tc>
      </w:tr>
      <w:tr>
        <w:trPr>
          <w:cantSplit/>
        </w:trPr>
        <w:tc>
          <w:tcPr>
            <w:tcW w:w="2806" w:type="dxa"/>
          </w:tcPr>
          <w:p>
            <w:pPr>
              <w:pStyle w:val="IsiTabel"/>
              <w:suppressAutoHyphens/>
              <w:jc w:val="left"/>
            </w:pPr>
            <w:r>
              <w:t xml:space="preserve">Kab. Paser</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20</w:t>
            </w:r>
          </w:p>
        </w:tc>
      </w:tr>
      <w:tr>
        <w:trPr>
          <w:cantSplit/>
        </w:trPr>
        <w:tc>
          <w:tcPr>
            <w:tcW w:w="2806" w:type="dxa"/>
          </w:tcPr>
          <w:p>
            <w:pPr>
              <w:pStyle w:val="IsiTabel"/>
              <w:suppressAutoHyphens/>
              <w:jc w:val="left"/>
            </w:pPr>
            <w:r>
              <w:t xml:space="preserve">Kab. Kutai Kartanegara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Berau</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Kutai Barat</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Kutai Timur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Penajam Paser Utara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Mahakam Ulu</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Balikpapan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Kota Samarinda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Bontang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8</w:t>
            </w:r>
          </w:p>
        </w:tc>
      </w:tr>
      <w:tr>
        <w:trPr>
          <w:cantSplit/>
        </w:trPr>
        <w:tc>
          <w:tcPr>
            <w:tcW w:w="9354" w:type="dxa"/>
            <w:gridSpan w:val="7"/>
            <w:shd w:val="clear" w:color="auto" w:fill="E6EAF0"/>
          </w:tcPr>
          <w:p>
            <w:pPr>
              <w:pStyle w:val="IsiTabel"/>
              <w:keepNext/>
              <w:suppressAutoHyphens/>
              <w:ind w:left="0"/>
            </w:pPr>
            <w:r>
              <w:rPr>
                <w:b/>
                <w:bCs/>
              </w:rPr>
              <w:t xml:space="preserve">Kalimantan Utara</w:t>
            </w:r>
          </w:p>
        </w:tc>
      </w:tr>
      <w:tr>
        <w:trPr>
          <w:cantSplit/>
        </w:trPr>
        <w:tc>
          <w:tcPr>
            <w:tcW w:w="2806" w:type="dxa"/>
          </w:tcPr>
          <w:p>
            <w:pPr>
              <w:pStyle w:val="IsiTabel"/>
              <w:suppressAutoHyphens/>
              <w:jc w:val="left"/>
            </w:pPr>
            <w:r>
              <w:t xml:space="preserve">Kab. Bulungan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Malinau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Nunukan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Tana Tidung</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Kota Tarakan</w:t>
            </w:r>
          </w:p>
        </w:tc>
        <w:tc>
          <w:tcPr>
            <w:tcW w:w="892" w:type="dxa"/>
          </w:tcPr>
          <w:p>
            <w:pPr>
              <w:pStyle w:val="IsiTabel"/>
              <w:suppressAutoHyphens/>
              <w:jc w:val="right"/>
            </w:pPr>
            <w:r>
              <w:t xml:space="preserve">27</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13</w:t>
            </w:r>
          </w:p>
        </w:tc>
      </w:tr>
      <w:tr>
        <w:trPr>
          <w:cantSplit/>
        </w:trPr>
        <w:tc>
          <w:tcPr>
            <w:tcW w:w="9354" w:type="dxa"/>
            <w:gridSpan w:val="7"/>
            <w:shd w:val="clear" w:color="auto" w:fill="E6EAF0"/>
          </w:tcPr>
          <w:p>
            <w:pPr>
              <w:pStyle w:val="IsiTabel"/>
              <w:keepNext/>
              <w:suppressAutoHyphens/>
              <w:ind w:left="0"/>
            </w:pPr>
            <w:r>
              <w:rPr>
                <w:b/>
                <w:bCs/>
              </w:rPr>
              <w:t xml:space="preserve">Sulawesi Utara</w:t>
            </w:r>
          </w:p>
        </w:tc>
      </w:tr>
      <w:tr>
        <w:trPr>
          <w:cantSplit/>
        </w:trPr>
        <w:tc>
          <w:tcPr>
            <w:tcW w:w="2806" w:type="dxa"/>
          </w:tcPr>
          <w:p>
            <w:pPr>
              <w:pStyle w:val="IsiTabel"/>
              <w:suppressAutoHyphens/>
              <w:jc w:val="left"/>
            </w:pPr>
            <w:r>
              <w:t xml:space="preserve">Kab. Bolaang Mongondow</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Minahasa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Kepulauan Sangihe</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Kepulauan Talaud</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Minahasa Selatan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Minahasa Utara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Minahasa Tenggara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Bolaang Mongondow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Kep. Siau Tagulandang Biaro</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Bolaang Mongondow Timur</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Bolaang Mongondow Selatan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Manado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Bitung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Tomohon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Kotamobagu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9354" w:type="dxa"/>
            <w:gridSpan w:val="7"/>
            <w:shd w:val="clear" w:color="auto" w:fill="E6EAF0"/>
          </w:tcPr>
          <w:p>
            <w:pPr>
              <w:pStyle w:val="IsiTabel"/>
              <w:keepNext/>
              <w:suppressAutoHyphens/>
              <w:ind w:left="0"/>
            </w:pPr>
            <w:r>
              <w:rPr>
                <w:b/>
                <w:bCs/>
              </w:rPr>
              <w:t xml:space="preserve">Sulawesi Tengah</w:t>
            </w:r>
          </w:p>
        </w:tc>
      </w:tr>
      <w:tr>
        <w:trPr>
          <w:cantSplit/>
        </w:trPr>
        <w:tc>
          <w:tcPr>
            <w:tcW w:w="2806" w:type="dxa"/>
          </w:tcPr>
          <w:p>
            <w:pPr>
              <w:pStyle w:val="IsiTabel"/>
              <w:suppressAutoHyphens/>
              <w:jc w:val="left"/>
            </w:pPr>
            <w:r>
              <w:t xml:space="preserve">Kab. Banggai</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Poso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Donggala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Toli-Toli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Buol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Morowali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Banggai Kepulauan</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Parigi Moutong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Tojo Una Una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Sigi</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Banggai Laut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Morowali Utara</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Kota Palu</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6</w:t>
            </w:r>
          </w:p>
        </w:tc>
      </w:tr>
      <w:tr>
        <w:trPr>
          <w:cantSplit/>
        </w:trPr>
        <w:tc>
          <w:tcPr>
            <w:tcW w:w="9354" w:type="dxa"/>
            <w:gridSpan w:val="7"/>
            <w:shd w:val="clear" w:color="auto" w:fill="E6EAF0"/>
          </w:tcPr>
          <w:p>
            <w:pPr>
              <w:pStyle w:val="IsiTabel"/>
              <w:keepNext/>
              <w:suppressAutoHyphens/>
              <w:ind w:left="0"/>
            </w:pPr>
            <w:r>
              <w:rPr>
                <w:b/>
                <w:bCs/>
              </w:rPr>
              <w:t xml:space="preserve">Sulawesi Selatan</w:t>
            </w:r>
          </w:p>
        </w:tc>
      </w:tr>
      <w:tr>
        <w:trPr>
          <w:cantSplit/>
        </w:trPr>
        <w:tc>
          <w:tcPr>
            <w:tcW w:w="2806" w:type="dxa"/>
          </w:tcPr>
          <w:p>
            <w:pPr>
              <w:pStyle w:val="IsiTabel"/>
              <w:suppressAutoHyphens/>
              <w:jc w:val="left"/>
            </w:pPr>
            <w:r>
              <w:t xml:space="preserve">Kab. Kepulauan Selayar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Bulukumba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Bantaeng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Jeneponto</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Takalar</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Gowa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Sinjai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28</w:t>
            </w:r>
          </w:p>
        </w:tc>
        <w:tc>
          <w:tcPr>
            <w:tcW w:w="1205" w:type="dxa"/>
          </w:tcPr>
          <w:p>
            <w:pPr>
              <w:pStyle w:val="IsiTabel"/>
              <w:suppressAutoHyphens/>
              <w:jc w:val="right"/>
            </w:pPr>
            <w:r>
              <w:t xml:space="preserve">21</w:t>
            </w:r>
          </w:p>
        </w:tc>
      </w:tr>
      <w:tr>
        <w:trPr>
          <w:cantSplit/>
        </w:trPr>
        <w:tc>
          <w:tcPr>
            <w:tcW w:w="2806" w:type="dxa"/>
          </w:tcPr>
          <w:p>
            <w:pPr>
              <w:pStyle w:val="IsiTabel"/>
              <w:suppressAutoHyphens/>
              <w:jc w:val="left"/>
            </w:pPr>
            <w:r>
              <w:t xml:space="preserve">Kab. Bone</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Maros</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Pangkajene dan Kepulauan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Barru</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Soppeng</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Wajo</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Sidenreng Rappang</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Pinrang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Enrekang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Luwu</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Tana Toraja</w:t>
            </w:r>
          </w:p>
        </w:tc>
        <w:tc>
          <w:tcPr>
            <w:tcW w:w="892" w:type="dxa"/>
          </w:tcPr>
          <w:p>
            <w:pPr>
              <w:pStyle w:val="IsiTabel"/>
              <w:suppressAutoHyphens/>
              <w:jc w:val="right"/>
            </w:pPr>
            <w:r>
              <w:t xml:space="preserve">35</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Luwu Utara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Luwu Timur</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Toraja Utara</w:t>
            </w:r>
          </w:p>
        </w:tc>
        <w:tc>
          <w:tcPr>
            <w:tcW w:w="892" w:type="dxa"/>
          </w:tcPr>
          <w:p>
            <w:pPr>
              <w:pStyle w:val="IsiTabel"/>
              <w:suppressAutoHyphens/>
              <w:jc w:val="right"/>
            </w:pPr>
            <w:r>
              <w:t xml:space="preserve">34</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Makassar</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Parepare</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Kota Palopo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7</w:t>
            </w:r>
          </w:p>
        </w:tc>
      </w:tr>
      <w:tr>
        <w:trPr>
          <w:cantSplit/>
        </w:trPr>
        <w:tc>
          <w:tcPr>
            <w:tcW w:w="9354" w:type="dxa"/>
            <w:gridSpan w:val="7"/>
            <w:shd w:val="clear" w:color="auto" w:fill="E6EAF0"/>
          </w:tcPr>
          <w:p>
            <w:pPr>
              <w:pStyle w:val="IsiTabel"/>
              <w:keepNext/>
              <w:suppressAutoHyphens/>
              <w:ind w:left="0"/>
            </w:pPr>
            <w:r>
              <w:rPr>
                <w:b/>
                <w:bCs/>
              </w:rPr>
              <w:t xml:space="preserve">Sulawesi Tenggara</w:t>
            </w:r>
          </w:p>
        </w:tc>
      </w:tr>
      <w:tr>
        <w:trPr>
          <w:cantSplit/>
        </w:trPr>
        <w:tc>
          <w:tcPr>
            <w:tcW w:w="2806" w:type="dxa"/>
          </w:tcPr>
          <w:p>
            <w:pPr>
              <w:pStyle w:val="IsiTabel"/>
              <w:suppressAutoHyphens/>
              <w:jc w:val="left"/>
            </w:pPr>
            <w:r>
              <w:t xml:space="preserve">Kab. Kolaka</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Konawe</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Muna</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23</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Buton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Konawe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Bombana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Wakatobi</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Kolaka Utara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Konawe Utara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Buton Utara</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Kolaka Timur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24</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Konawe Kepulauan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31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Muna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Buton Tengah</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19</w:t>
            </w:r>
          </w:p>
        </w:tc>
      </w:tr>
      <w:tr>
        <w:trPr>
          <w:cantSplit/>
        </w:trPr>
        <w:tc>
          <w:tcPr>
            <w:tcW w:w="2806" w:type="dxa"/>
          </w:tcPr>
          <w:p>
            <w:pPr>
              <w:pStyle w:val="IsiTabel"/>
              <w:suppressAutoHyphens/>
              <w:jc w:val="left"/>
            </w:pPr>
            <w:r>
              <w:t xml:space="preserve">Kab. Buton Selatan</w:t>
            </w:r>
          </w:p>
        </w:tc>
        <w:tc>
          <w:tcPr>
            <w:tcW w:w="892" w:type="dxa"/>
          </w:tcPr>
          <w:p>
            <w:pPr>
              <w:pStyle w:val="IsiTabel"/>
              <w:suppressAutoHyphens/>
              <w:jc w:val="right"/>
            </w:pPr>
            <w:r>
              <w:t xml:space="preserve">28</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32</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Kota Kendari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Kota Bau Bau</w:t>
            </w:r>
          </w:p>
        </w:tc>
        <w:tc>
          <w:tcPr>
            <w:tcW w:w="892" w:type="dxa"/>
          </w:tcPr>
          <w:p>
            <w:pPr>
              <w:pStyle w:val="IsiTabel"/>
              <w:suppressAutoHyphens/>
              <w:jc w:val="right"/>
            </w:pPr>
            <w:r>
              <w:t xml:space="preserve">28</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32</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23</w:t>
            </w:r>
          </w:p>
        </w:tc>
      </w:tr>
      <w:tr>
        <w:trPr>
          <w:cantSplit/>
        </w:trPr>
        <w:tc>
          <w:tcPr>
            <w:tcW w:w="9354" w:type="dxa"/>
            <w:gridSpan w:val="7"/>
            <w:shd w:val="clear" w:color="auto" w:fill="E6EAF0"/>
          </w:tcPr>
          <w:p>
            <w:pPr>
              <w:pStyle w:val="IsiTabel"/>
              <w:keepNext/>
              <w:suppressAutoHyphens/>
              <w:ind w:left="0"/>
            </w:pPr>
            <w:r>
              <w:rPr>
                <w:b/>
                <w:bCs/>
              </w:rPr>
              <w:t xml:space="preserve">Gorontalo</w:t>
            </w:r>
          </w:p>
        </w:tc>
      </w:tr>
      <w:tr>
        <w:trPr>
          <w:cantSplit/>
        </w:trPr>
        <w:tc>
          <w:tcPr>
            <w:tcW w:w="2806" w:type="dxa"/>
          </w:tcPr>
          <w:p>
            <w:pPr>
              <w:pStyle w:val="IsiTabel"/>
              <w:suppressAutoHyphens/>
              <w:jc w:val="left"/>
            </w:pPr>
            <w:r>
              <w:t xml:space="preserve">Kab. Gorontalo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Boalemo</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Bone Bolango</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Pohuwato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Gorontalo Utara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Gorontalo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9354" w:type="dxa"/>
            <w:gridSpan w:val="7"/>
            <w:shd w:val="clear" w:color="auto" w:fill="E6EAF0"/>
          </w:tcPr>
          <w:p>
            <w:pPr>
              <w:pStyle w:val="IsiTabel"/>
              <w:keepNext/>
              <w:suppressAutoHyphens/>
              <w:ind w:left="0"/>
            </w:pPr>
            <w:r>
              <w:rPr>
                <w:b/>
                <w:bCs/>
              </w:rPr>
              <w:t xml:space="preserve">Sulawesi Barat</w:t>
            </w:r>
          </w:p>
        </w:tc>
      </w:tr>
      <w:tr>
        <w:trPr>
          <w:cantSplit/>
        </w:trPr>
        <w:tc>
          <w:tcPr>
            <w:tcW w:w="2806" w:type="dxa"/>
          </w:tcPr>
          <w:p>
            <w:pPr>
              <w:pStyle w:val="IsiTabel"/>
              <w:suppressAutoHyphens/>
              <w:jc w:val="left"/>
            </w:pPr>
            <w:r>
              <w:t xml:space="preserve">Kab. Pasangkayu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Mamuju</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Mamasa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Polewali Mandar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Majene</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Mamuju Tengah</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7</w:t>
            </w:r>
          </w:p>
        </w:tc>
      </w:tr>
      <w:tr>
        <w:trPr>
          <w:cantSplit/>
        </w:trPr>
        <w:tc>
          <w:tcPr>
            <w:tcW w:w="9354" w:type="dxa"/>
            <w:gridSpan w:val="7"/>
            <w:shd w:val="clear" w:color="auto" w:fill="E6EAF0"/>
          </w:tcPr>
          <w:p>
            <w:pPr>
              <w:pStyle w:val="IsiTabel"/>
              <w:keepNext/>
              <w:suppressAutoHyphens/>
              <w:ind w:left="0"/>
            </w:pPr>
            <w:r>
              <w:rPr>
                <w:b/>
                <w:bCs/>
              </w:rPr>
              <w:t xml:space="preserve">Maluku</w:t>
            </w:r>
          </w:p>
        </w:tc>
      </w:tr>
      <w:tr>
        <w:trPr>
          <w:cantSplit/>
        </w:trPr>
        <w:tc>
          <w:tcPr>
            <w:tcW w:w="2806" w:type="dxa"/>
          </w:tcPr>
          <w:p>
            <w:pPr>
              <w:pStyle w:val="IsiTabel"/>
              <w:suppressAutoHyphens/>
              <w:jc w:val="left"/>
            </w:pPr>
            <w:r>
              <w:t xml:space="preserve">Kab. Maluku Tengah</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Maluku Tenggara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Kepulauan Tanimbar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Buru</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Seram Bagian Timur</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25</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30</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Seram Bagian Barat</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Kepulauan Aru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Maluku Barat Daya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Buru Selatan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21</w:t>
            </w:r>
          </w:p>
        </w:tc>
      </w:tr>
      <w:tr>
        <w:trPr>
          <w:cantSplit/>
        </w:trPr>
        <w:tc>
          <w:tcPr>
            <w:tcW w:w="2806" w:type="dxa"/>
          </w:tcPr>
          <w:p>
            <w:pPr>
              <w:pStyle w:val="IsiTabel"/>
              <w:suppressAutoHyphens/>
              <w:jc w:val="left"/>
            </w:pPr>
            <w:r>
              <w:t xml:space="preserve">Kota Ambon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Tual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Maluku Utara</w:t>
            </w:r>
          </w:p>
        </w:tc>
      </w:tr>
      <w:tr>
        <w:trPr>
          <w:cantSplit/>
        </w:trPr>
        <w:tc>
          <w:tcPr>
            <w:tcW w:w="2806" w:type="dxa"/>
          </w:tcPr>
          <w:p>
            <w:pPr>
              <w:pStyle w:val="IsiTabel"/>
              <w:suppressAutoHyphens/>
              <w:jc w:val="left"/>
            </w:pPr>
            <w:r>
              <w:t xml:space="preserve">Kab. Halmahera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Halmahera Tengah</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Halmahera Utara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Halmahera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Kepulauan Sula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Halmahera Timur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Pulau Morotai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Pulau Taliabu</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Ternate</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Tidore Kepulauan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33</w:t>
            </w:r>
          </w:p>
        </w:tc>
        <w:tc>
          <w:tcPr>
            <w:tcW w:w="1205" w:type="dxa"/>
          </w:tcPr>
          <w:p>
            <w:pPr>
              <w:pStyle w:val="IsiTabel"/>
              <w:suppressAutoHyphens/>
              <w:jc w:val="right"/>
            </w:pPr>
            <w:r>
              <w:t xml:space="preserve">16</w:t>
            </w:r>
          </w:p>
        </w:tc>
      </w:tr>
      <w:tr>
        <w:trPr>
          <w:cantSplit/>
        </w:trPr>
        <w:tc>
          <w:tcPr>
            <w:tcW w:w="9354" w:type="dxa"/>
            <w:gridSpan w:val="7"/>
            <w:shd w:val="clear" w:color="auto" w:fill="E6EAF0"/>
          </w:tcPr>
          <w:p>
            <w:pPr>
              <w:pStyle w:val="IsiTabel"/>
              <w:keepNext/>
              <w:suppressAutoHyphens/>
              <w:ind w:left="0"/>
            </w:pPr>
            <w:r>
              <w:rPr>
                <w:b/>
                <w:bCs/>
              </w:rPr>
              <w:t xml:space="preserve">Papua</w:t>
            </w:r>
          </w:p>
        </w:tc>
      </w:tr>
      <w:tr>
        <w:trPr>
          <w:cantSplit/>
        </w:trPr>
        <w:tc>
          <w:tcPr>
            <w:tcW w:w="2806" w:type="dxa"/>
          </w:tcPr>
          <w:p>
            <w:pPr>
              <w:pStyle w:val="IsiTabel"/>
              <w:suppressAutoHyphens/>
              <w:jc w:val="left"/>
            </w:pPr>
            <w:r>
              <w:t xml:space="preserve">Kab. Jayapura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Kepulauan Yapen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Biak Numfor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Sarmi</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25</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Keerom</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Waropen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Supiori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Mamberamo Raya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Jayapura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9</w:t>
            </w:r>
          </w:p>
        </w:tc>
      </w:tr>
      <w:tr>
        <w:trPr>
          <w:cantSplit/>
        </w:trPr>
        <w:tc>
          <w:tcPr>
            <w:tcW w:w="9354" w:type="dxa"/>
            <w:gridSpan w:val="7"/>
            <w:shd w:val="clear" w:color="auto" w:fill="E6EAF0"/>
          </w:tcPr>
          <w:p>
            <w:pPr>
              <w:pStyle w:val="IsiTabel"/>
              <w:keepNext/>
              <w:suppressAutoHyphens/>
              <w:ind w:left="0"/>
            </w:pPr>
            <w:r>
              <w:rPr>
                <w:b/>
                <w:bCs/>
              </w:rPr>
              <w:t xml:space="preserve">Papua Barat</w:t>
            </w:r>
          </w:p>
        </w:tc>
      </w:tr>
      <w:tr>
        <w:trPr>
          <w:cantSplit/>
        </w:trPr>
        <w:tc>
          <w:tcPr>
            <w:tcW w:w="2806" w:type="dxa"/>
          </w:tcPr>
          <w:p>
            <w:pPr>
              <w:pStyle w:val="IsiTabel"/>
              <w:suppressAutoHyphens/>
              <w:jc w:val="left"/>
            </w:pPr>
            <w:r>
              <w:t xml:space="preserve">Kab. Manokwari</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Fak Fak</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Teluk Bintuni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Teluk Wondama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Kaimana</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Manokwari Selatan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Pegunungan Arfak</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Papua Selatan</w:t>
            </w:r>
          </w:p>
        </w:tc>
      </w:tr>
      <w:tr>
        <w:trPr>
          <w:cantSplit/>
        </w:trPr>
        <w:tc>
          <w:tcPr>
            <w:tcW w:w="2806" w:type="dxa"/>
          </w:tcPr>
          <w:p>
            <w:pPr>
              <w:pStyle w:val="IsiTabel"/>
              <w:suppressAutoHyphens/>
              <w:jc w:val="left"/>
            </w:pPr>
            <w:r>
              <w:t xml:space="preserve">Kab. Merauke</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Boven Digoel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Mappi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Asmat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Papua Tengah</w:t>
            </w:r>
          </w:p>
        </w:tc>
      </w:tr>
      <w:tr>
        <w:trPr>
          <w:cantSplit/>
        </w:trPr>
        <w:tc>
          <w:tcPr>
            <w:tcW w:w="2806" w:type="dxa"/>
          </w:tcPr>
          <w:p>
            <w:pPr>
              <w:pStyle w:val="IsiTabel"/>
              <w:suppressAutoHyphens/>
              <w:jc w:val="left"/>
            </w:pPr>
            <w:r>
              <w:t xml:space="preserve">Kab. Nabire</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Puncak Jaya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Paniai</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Mimika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Puncak</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Dogiyai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Intan Jaya</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Deiyai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9354" w:type="dxa"/>
            <w:gridSpan w:val="7"/>
            <w:shd w:val="clear" w:color="auto" w:fill="E6EAF0"/>
          </w:tcPr>
          <w:p>
            <w:pPr>
              <w:pStyle w:val="IsiTabel"/>
              <w:keepNext/>
              <w:suppressAutoHyphens/>
              <w:ind w:left="0"/>
            </w:pPr>
            <w:r>
              <w:rPr>
                <w:b/>
                <w:bCs/>
              </w:rPr>
              <w:t xml:space="preserve">Papua Pegunungan</w:t>
            </w:r>
          </w:p>
        </w:tc>
      </w:tr>
      <w:tr>
        <w:trPr>
          <w:cantSplit/>
        </w:trPr>
        <w:tc>
          <w:tcPr>
            <w:tcW w:w="2806" w:type="dxa"/>
          </w:tcPr>
          <w:p>
            <w:pPr>
              <w:pStyle w:val="IsiTabel"/>
              <w:suppressAutoHyphens/>
              <w:jc w:val="left"/>
            </w:pPr>
            <w:r>
              <w:t xml:space="preserve">Kab. Jayawijaya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Pegunungan Bintang</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Yahukimo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Tolikara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Mamberamo Tengah</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Yalimo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Lanny Jaya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Nduga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9354" w:type="dxa"/>
            <w:gridSpan w:val="7"/>
            <w:shd w:val="clear" w:color="auto" w:fill="E6EAF0"/>
          </w:tcPr>
          <w:p>
            <w:pPr>
              <w:pStyle w:val="IsiTabel"/>
              <w:keepNext/>
              <w:suppressAutoHyphens/>
              <w:ind w:left="0"/>
            </w:pPr>
            <w:r>
              <w:rPr>
                <w:b/>
                <w:bCs/>
              </w:rPr>
              <w:t xml:space="preserve">Papua Barat Daya</w:t>
            </w:r>
          </w:p>
        </w:tc>
      </w:tr>
      <w:tr>
        <w:trPr>
          <w:cantSplit/>
        </w:trPr>
        <w:tc>
          <w:tcPr>
            <w:tcW w:w="2806" w:type="dxa"/>
          </w:tcPr>
          <w:p>
            <w:pPr>
              <w:pStyle w:val="IsiTabel"/>
              <w:suppressAutoHyphens/>
              <w:jc w:val="left"/>
            </w:pPr>
            <w:r>
              <w:t xml:space="preserve">Kab. Sorong</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Sorong Selatan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17</w:t>
            </w:r>
          </w:p>
        </w:tc>
      </w:tr>
      <w:tr>
        <w:trPr>
          <w:cantSplit/>
        </w:trPr>
        <w:tc>
          <w:tcPr>
            <w:tcW w:w="2806" w:type="dxa"/>
          </w:tcPr>
          <w:p>
            <w:pPr>
              <w:pStyle w:val="IsiTabel"/>
              <w:keepNext/>
              <w:suppressAutoHyphens/>
              <w:jc w:val="left"/>
            </w:pPr>
            <w:bookmarkStart w:id="855" w:name="_Ekor095a"/>
            <w:bookmarkEnd w:id="855"/>
            <w:r>
              <w:t xml:space="preserve">Kab. Raja Ampat</w:t>
            </w:r>
          </w:p>
        </w:tc>
        <w:tc>
          <w:tcPr>
            <w:tcW w:w="892" w:type="dxa"/>
          </w:tcPr>
          <w:p>
            <w:pPr>
              <w:pStyle w:val="IsiTabel"/>
              <w:keepNext/>
              <w:suppressAutoHyphens/>
              <w:jc w:val="right"/>
            </w:pPr>
            <w:r>
              <w:t xml:space="preserve">18</w:t>
            </w:r>
          </w:p>
        </w:tc>
        <w:tc>
          <w:tcPr>
            <w:tcW w:w="1082" w:type="dxa"/>
          </w:tcPr>
          <w:p>
            <w:pPr>
              <w:pStyle w:val="IsiTabel"/>
              <w:keepNext/>
              <w:suppressAutoHyphens/>
              <w:jc w:val="right"/>
            </w:pPr>
            <w:r>
              <w:t xml:space="preserve">18</w:t>
            </w:r>
          </w:p>
        </w:tc>
        <w:tc>
          <w:tcPr>
            <w:tcW w:w="1395" w:type="dxa"/>
          </w:tcPr>
          <w:p>
            <w:pPr>
              <w:pStyle w:val="IsiTabel"/>
              <w:keepNext/>
              <w:suppressAutoHyphens/>
              <w:jc w:val="right"/>
            </w:pPr>
            <w:r>
              <w:t xml:space="preserve">18</w:t>
            </w:r>
          </w:p>
        </w:tc>
        <w:tc>
          <w:tcPr>
            <w:tcW w:w="1078" w:type="dxa"/>
          </w:tcPr>
          <w:p>
            <w:pPr>
              <w:pStyle w:val="IsiTabel"/>
              <w:keepNext/>
              <w:suppressAutoHyphens/>
              <w:jc w:val="right"/>
            </w:pPr>
            <w:r>
              <w:t xml:space="preserve">6</w:t>
            </w:r>
          </w:p>
        </w:tc>
        <w:tc>
          <w:tcPr>
            <w:tcW w:w="896" w:type="dxa"/>
          </w:tcPr>
          <w:p>
            <w:pPr>
              <w:pStyle w:val="IsiTabel"/>
              <w:keepNext/>
              <w:suppressAutoHyphens/>
              <w:jc w:val="right"/>
            </w:pPr>
            <w:r>
              <w:t xml:space="preserve">18</w:t>
            </w:r>
          </w:p>
        </w:tc>
        <w:tc>
          <w:tcPr>
            <w:tcW w:w="1205" w:type="dxa"/>
          </w:tcPr>
          <w:p>
            <w:pPr>
              <w:pStyle w:val="IsiTabel"/>
              <w:keepNext/>
              <w:suppressAutoHyphens/>
              <w:jc w:val="right"/>
            </w:pPr>
            <w:r>
              <w:t xml:space="preserve">12</w:t>
            </w:r>
          </w:p>
        </w:tc>
      </w:tr>
      <w:tr>
        <w:trPr>
          <w:cantSplit/>
        </w:trPr>
        <w:tc>
          <w:tcPr>
            <w:tcW w:w="2806" w:type="dxa"/>
          </w:tcPr>
          <w:p>
            <w:pPr>
              <w:pStyle w:val="IsiTabel"/>
              <w:keepNext/>
              <w:suppressAutoHyphens/>
              <w:jc w:val="left"/>
            </w:pPr>
            <w:r>
              <w:t xml:space="preserve">Kab. Tambrauw</w:t>
            </w:r>
          </w:p>
        </w:tc>
        <w:tc>
          <w:tcPr>
            <w:tcW w:w="892" w:type="dxa"/>
          </w:tcPr>
          <w:p>
            <w:pPr>
              <w:pStyle w:val="IsiTabel"/>
              <w:keepNext/>
              <w:suppressAutoHyphens/>
              <w:jc w:val="right"/>
            </w:pPr>
            <w:r>
              <w:t xml:space="preserve">26</w:t>
            </w:r>
          </w:p>
        </w:tc>
        <w:tc>
          <w:tcPr>
            <w:tcW w:w="1082" w:type="dxa"/>
          </w:tcPr>
          <w:p>
            <w:pPr>
              <w:pStyle w:val="IsiTabel"/>
              <w:keepNext/>
              <w:suppressAutoHyphens/>
              <w:jc w:val="right"/>
            </w:pPr>
            <w:r>
              <w:t xml:space="preserve">26</w:t>
            </w:r>
          </w:p>
        </w:tc>
        <w:tc>
          <w:tcPr>
            <w:tcW w:w="1395" w:type="dxa"/>
          </w:tcPr>
          <w:p>
            <w:pPr>
              <w:pStyle w:val="IsiTabel"/>
              <w:keepNext/>
              <w:suppressAutoHyphens/>
              <w:jc w:val="right"/>
            </w:pPr>
            <w:r>
              <w:t xml:space="preserve">26</w:t>
            </w:r>
          </w:p>
        </w:tc>
        <w:tc>
          <w:tcPr>
            <w:tcW w:w="1078" w:type="dxa"/>
          </w:tcPr>
          <w:p>
            <w:pPr>
              <w:pStyle w:val="IsiTabel"/>
              <w:keepNext/>
              <w:suppressAutoHyphens/>
              <w:jc w:val="right"/>
            </w:pPr>
            <w:r>
              <w:t xml:space="preserve">9</w:t>
            </w:r>
          </w:p>
        </w:tc>
        <w:tc>
          <w:tcPr>
            <w:tcW w:w="896" w:type="dxa"/>
          </w:tcPr>
          <w:p>
            <w:pPr>
              <w:pStyle w:val="IsiTabel"/>
              <w:keepNext/>
              <w:suppressAutoHyphens/>
              <w:jc w:val="right"/>
            </w:pPr>
            <w:r>
              <w:t xml:space="preserve">2</w:t>
            </w:r>
          </w:p>
        </w:tc>
        <w:tc>
          <w:tcPr>
            <w:tcW w:w="1205" w:type="dxa"/>
          </w:tcPr>
          <w:p>
            <w:pPr>
              <w:pStyle w:val="IsiTabel"/>
              <w:keepNext/>
              <w:suppressAutoHyphens/>
              <w:jc w:val="right"/>
            </w:pPr>
            <w:r>
              <w:t xml:space="preserve">17</w:t>
            </w:r>
          </w:p>
        </w:tc>
      </w:tr>
      <w:tr>
        <w:trPr>
          <w:cantSplit/>
        </w:trPr>
        <w:tc>
          <w:tcPr>
            <w:tcW w:w="2806" w:type="dxa"/>
          </w:tcPr>
          <w:p>
            <w:pPr>
              <w:pStyle w:val="IsiTabel"/>
              <w:keepNext/>
              <w:suppressAutoHyphens/>
              <w:jc w:val="left"/>
            </w:pPr>
            <w:r>
              <w:t xml:space="preserve">Kab. Maybrat</w:t>
            </w:r>
          </w:p>
        </w:tc>
        <w:tc>
          <w:tcPr>
            <w:tcW w:w="892" w:type="dxa"/>
          </w:tcPr>
          <w:p>
            <w:pPr>
              <w:pStyle w:val="IsiTabel"/>
              <w:keepNext/>
              <w:suppressAutoHyphens/>
              <w:jc w:val="right"/>
            </w:pPr>
            <w:r>
              <w:t xml:space="preserve">26</w:t>
            </w:r>
          </w:p>
        </w:tc>
        <w:tc>
          <w:tcPr>
            <w:tcW w:w="1082" w:type="dxa"/>
          </w:tcPr>
          <w:p>
            <w:pPr>
              <w:pStyle w:val="IsiTabel"/>
              <w:keepNext/>
              <w:suppressAutoHyphens/>
              <w:jc w:val="right"/>
            </w:pPr>
            <w:r>
              <w:t xml:space="preserve">26</w:t>
            </w:r>
          </w:p>
        </w:tc>
        <w:tc>
          <w:tcPr>
            <w:tcW w:w="1395" w:type="dxa"/>
          </w:tcPr>
          <w:p>
            <w:pPr>
              <w:pStyle w:val="IsiTabel"/>
              <w:keepNext/>
              <w:suppressAutoHyphens/>
              <w:jc w:val="right"/>
            </w:pPr>
            <w:r>
              <w:t xml:space="preserve">26</w:t>
            </w:r>
          </w:p>
        </w:tc>
        <w:tc>
          <w:tcPr>
            <w:tcW w:w="1078" w:type="dxa"/>
          </w:tcPr>
          <w:p>
            <w:pPr>
              <w:pStyle w:val="IsiTabel"/>
              <w:keepNext/>
              <w:suppressAutoHyphens/>
              <w:jc w:val="right"/>
            </w:pPr>
            <w:r>
              <w:t xml:space="preserve">26</w:t>
            </w:r>
          </w:p>
        </w:tc>
        <w:tc>
          <w:tcPr>
            <w:tcW w:w="896" w:type="dxa"/>
          </w:tcPr>
          <w:p>
            <w:pPr>
              <w:pStyle w:val="IsiTabel"/>
              <w:keepNext/>
              <w:suppressAutoHyphens/>
              <w:jc w:val="right"/>
            </w:pPr>
            <w:r>
              <w:t xml:space="preserve">–</w:t>
            </w:r>
          </w:p>
        </w:tc>
        <w:tc>
          <w:tcPr>
            <w:tcW w:w="1205" w:type="dxa"/>
          </w:tcPr>
          <w:p>
            <w:pPr>
              <w:pStyle w:val="IsiTabel"/>
              <w:keepNext/>
              <w:suppressAutoHyphens/>
              <w:jc w:val="right"/>
            </w:pPr>
            <w:r>
              <w:t xml:space="preserve">17</w:t>
            </w:r>
          </w:p>
        </w:tc>
      </w:tr>
      <w:tr>
        <w:trPr>
          <w:cantSplit/>
        </w:trPr>
        <w:tc>
          <w:tcPr>
            <w:tcW w:w="2806" w:type="dxa"/>
          </w:tcPr>
          <w:p>
            <w:pPr>
              <w:pStyle w:val="IsiTabel"/>
              <w:suppressAutoHyphens/>
              <w:jc w:val="left"/>
            </w:pPr>
            <w:bookmarkStart w:id="856" w:name="_Ekor095z"/>
            <w:bookmarkEnd w:id="856"/>
            <w:r>
              <w:t xml:space="preserve">Kota Sorong</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33</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15</w:t>
            </w:r>
          </w:p>
        </w:tc>
      </w:tr>
    </w:tbl>
    <w:p>
      <w:pPr>
        <w:pStyle w:val="Sumber"/>
        <w:spacing w:after="40"/>
      </w:pPr>
      <w:r>
        <w:rPr>
          <w:b/>
          <w:bCs/>
          <w:color w:val="6B7280"/>
          <w:sz w:val="17"/>
          <w:szCs w:val="17"/>
        </w:rPr>
        <w:t xml:space="preserve">Sumber: </w:t>
      </w:r>
      <w:r>
        <w:rPr>
          <w:color w:val="6B7280"/>
          <w:sz w:val="17"/>
          <w:szCs w:val="17"/>
        </w:rPr>
        <w:t xml:space="preserve">InaRISK BNPB, IRBI 2025, kolom per bahaya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Kolom abrasi memuat gelombang ekstrem dan abrasi. Kelas per bahaya tidak ada di sumber mana pun; batas kelas teratas dipakai hanya untuk syarat (a) daftar perhatian.</w:t>
      </w:r>
    </w:p>
    <w:p>
      <w:pPr>
        <w:pStyle w:val="Caption"/>
      </w:pPr>
      <w:bookmarkStart w:id="858" w:name="_Toc00270"/>
      <w:bookmarkStart w:id="857" w:name="_Ref0224"/>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857"/>
      <w:r>
        <w:rPr>
          <w:b/>
          <w:bCs/>
          <w:color w:val="051C2C"/>
        </w:rPr>
        <w:t xml:space="preserve"> </w:t>
      </w:r>
      <w:r>
        <w:t xml:space="preserve">Nilai IRBI 2025 per bahaya geologi dan nilai total per kab/kota, Indonesia, 2025</w:t>
      </w:r>
      <w:bookmarkEnd w:id="85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707"/>
        <w:gridCol w:w="1032"/>
        <w:gridCol w:w="1293"/>
        <w:gridCol w:w="1204"/>
        <w:gridCol w:w="965"/>
        <w:gridCol w:w="1153"/>
      </w:tblGrid>
      <w:tr>
        <w:trPr>
          <w:cantSplit/>
          <w:tblHeader/>
        </w:trPr>
        <w:tc>
          <w:tcPr>
            <w:tcW w:w="3707"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032" w:type="dxa"/>
            <w:tcBorders>
              <w:bottom w:val="single" w:sz="8" w:space="0" w:color="6B7280"/>
            </w:tcBorders>
            <w:vAlign w:val="bottom"/>
          </w:tcPr>
          <w:p>
            <w:pPr>
              <w:pStyle w:val="KepalaTabel"/>
              <w:suppressAutoHyphens/>
            </w:pPr>
            <w:r>
              <w:rPr>
                <w:b/>
                <w:bCs/>
                <w:color w:val="6B7280"/>
                <w:sz w:val="17"/>
                <w:szCs w:val="17"/>
              </w:rPr>
              <w:t xml:space="preserve">GEMPA BUMI</w:t>
            </w:r>
          </w:p>
        </w:tc>
        <w:tc>
          <w:tcPr>
            <w:tcW w:w="1293" w:type="dxa"/>
            <w:tcBorders>
              <w:bottom w:val="single" w:sz="8" w:space="0" w:color="6B7280"/>
            </w:tcBorders>
            <w:vAlign w:val="bottom"/>
          </w:tcPr>
          <w:p>
            <w:pPr>
              <w:pStyle w:val="KepalaTabel"/>
              <w:suppressAutoHyphens/>
            </w:pPr>
            <w:r>
              <w:rPr>
                <w:b/>
                <w:bCs/>
                <w:color w:val="6B7280"/>
                <w:sz w:val="17"/>
                <w:szCs w:val="17"/>
              </w:rPr>
              <w:t xml:space="preserve">TSUNAMI</w:t>
            </w:r>
          </w:p>
        </w:tc>
        <w:tc>
          <w:tcPr>
            <w:tcW w:w="1204" w:type="dxa"/>
            <w:tcBorders>
              <w:bottom w:val="single" w:sz="8" w:space="0" w:color="6B7280"/>
            </w:tcBorders>
            <w:vAlign w:val="bottom"/>
          </w:tcPr>
          <w:p>
            <w:pPr>
              <w:pStyle w:val="KepalaTabel"/>
              <w:suppressAutoHyphens/>
            </w:pPr>
            <w:r>
              <w:rPr>
                <w:b/>
                <w:bCs/>
                <w:color w:val="6B7280"/>
                <w:sz w:val="17"/>
                <w:szCs w:val="17"/>
              </w:rPr>
              <w:t xml:space="preserve">GUNUNG API</w:t>
            </w:r>
          </w:p>
        </w:tc>
        <w:tc>
          <w:tcPr>
            <w:tcW w:w="965" w:type="dxa"/>
            <w:tcBorders>
              <w:bottom w:val="single" w:sz="8" w:space="0" w:color="6B7280"/>
            </w:tcBorders>
            <w:vAlign w:val="bottom"/>
          </w:tcPr>
          <w:p>
            <w:pPr>
              <w:pStyle w:val="KepalaTabel"/>
              <w:suppressAutoHyphens/>
            </w:pPr>
            <w:r>
              <w:rPr>
                <w:b/>
                <w:bCs/>
                <w:color w:val="6B7280"/>
                <w:sz w:val="17"/>
                <w:szCs w:val="17"/>
              </w:rPr>
              <w:t xml:space="preserve">IRB TOTAL</w:t>
            </w:r>
          </w:p>
        </w:tc>
        <w:tc>
          <w:tcPr>
            <w:tcW w:w="1153" w:type="dxa"/>
            <w:tcBorders>
              <w:bottom w:val="single" w:sz="8" w:space="0" w:color="6B7280"/>
            </w:tcBorders>
            <w:vAlign w:val="bottom"/>
          </w:tcPr>
          <w:p>
            <w:pPr>
              <w:pStyle w:val="KepalaTabel"/>
              <w:suppressAutoHyphens/>
            </w:pPr>
            <w:r>
              <w:rPr>
                <w:b/>
                <w:bCs/>
                <w:color w:val="6B7280"/>
                <w:sz w:val="17"/>
                <w:szCs w:val="17"/>
              </w:rPr>
              <w:t xml:space="preserve">BAHAYA DINILAI</w:t>
            </w:r>
          </w:p>
        </w:tc>
      </w:tr>
      <w:tr>
        <w:trPr>
          <w:cantSplit/>
        </w:trPr>
        <w:tc>
          <w:tcPr>
            <w:tcW w:w="9354" w:type="dxa"/>
            <w:gridSpan w:val="6"/>
            <w:shd w:val="clear" w:color="auto" w:fill="E6EAF0"/>
          </w:tcPr>
          <w:p>
            <w:pPr>
              <w:pStyle w:val="IsiTabel"/>
              <w:keepNext/>
              <w:suppressAutoHyphens/>
              <w:ind w:left="0"/>
            </w:pPr>
            <w:r>
              <w:rPr>
                <w:b/>
                <w:bCs/>
              </w:rPr>
              <w:t xml:space="preserve">Aceh</w:t>
            </w:r>
          </w:p>
        </w:tc>
      </w:tr>
      <w:tr>
        <w:trPr>
          <w:cantSplit/>
        </w:trPr>
        <w:tc>
          <w:tcPr>
            <w:tcW w:w="3707" w:type="dxa"/>
          </w:tcPr>
          <w:p>
            <w:pPr>
              <w:pStyle w:val="IsiTabel"/>
              <w:suppressAutoHyphens/>
              <w:jc w:val="left"/>
            </w:pPr>
            <w:r>
              <w:t xml:space="preserve">Kab. Aceh Selatan</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28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246,4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Tenggara</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163,7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Aceh Timur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Tengah</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181,4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Aceh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164,9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Besar</w:t>
            </w:r>
          </w:p>
        </w:tc>
        <w:tc>
          <w:tcPr>
            <w:tcW w:w="1032" w:type="dxa"/>
          </w:tcPr>
          <w:p>
            <w:pPr>
              <w:pStyle w:val="IsiTabel"/>
              <w:suppressAutoHyphens/>
              <w:jc w:val="right"/>
            </w:pPr>
            <w:r>
              <w:t xml:space="preserve">22</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22</w:t>
            </w:r>
          </w:p>
        </w:tc>
        <w:tc>
          <w:tcPr>
            <w:tcW w:w="965" w:type="dxa"/>
          </w:tcPr>
          <w:p>
            <w:pPr>
              <w:pStyle w:val="IsiTabel"/>
              <w:suppressAutoHyphens/>
              <w:jc w:val="right"/>
            </w:pPr>
            <w:r>
              <w:t xml:space="preserve">244,6</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Pidie</w:t>
            </w:r>
          </w:p>
        </w:tc>
        <w:tc>
          <w:tcPr>
            <w:tcW w:w="1032" w:type="dxa"/>
          </w:tcPr>
          <w:p>
            <w:pPr>
              <w:pStyle w:val="IsiTabel"/>
              <w:suppressAutoHyphens/>
              <w:jc w:val="right"/>
            </w:pPr>
            <w:r>
              <w:t xml:space="preserve">21</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7</w:t>
            </w:r>
          </w:p>
        </w:tc>
        <w:tc>
          <w:tcPr>
            <w:tcW w:w="965" w:type="dxa"/>
          </w:tcPr>
          <w:p>
            <w:pPr>
              <w:pStyle w:val="IsiTabel"/>
              <w:suppressAutoHyphens/>
              <w:jc w:val="right"/>
            </w:pPr>
            <w:r>
              <w:t xml:space="preserve">224,7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Aceh Utara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233,6</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Simeulue</w:t>
            </w:r>
          </w:p>
        </w:tc>
        <w:tc>
          <w:tcPr>
            <w:tcW w:w="1032" w:type="dxa"/>
          </w:tcPr>
          <w:p>
            <w:pPr>
              <w:pStyle w:val="IsiTabel"/>
              <w:suppressAutoHyphens/>
              <w:jc w:val="right"/>
            </w:pPr>
            <w:r>
              <w:t xml:space="preserve">25</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Singkil</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235,3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Bireuen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Barat Daya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229,1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Gayo Lues</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170,3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Aceh Jaya</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Nagan Raya</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Tamiang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144,8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Bener Meriah</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170,6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Pidie Jaya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28</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256,1</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Banda Aceh</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129,4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Sabang</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191,7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Lhokseumawe</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169,0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Langsa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Subulussalam</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165,8</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Sumatera Utara</w:t>
            </w:r>
          </w:p>
        </w:tc>
      </w:tr>
      <w:tr>
        <w:trPr>
          <w:cantSplit/>
        </w:trPr>
        <w:tc>
          <w:tcPr>
            <w:tcW w:w="3707" w:type="dxa"/>
          </w:tcPr>
          <w:p>
            <w:pPr>
              <w:pStyle w:val="IsiTabel"/>
              <w:suppressAutoHyphens/>
              <w:jc w:val="left"/>
            </w:pPr>
            <w:r>
              <w:t xml:space="preserve">Kab. Tapanuli Tengah</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230,4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Tapanuli Utara</w:t>
            </w:r>
          </w:p>
        </w:tc>
        <w:tc>
          <w:tcPr>
            <w:tcW w:w="1032" w:type="dxa"/>
          </w:tcPr>
          <w:p>
            <w:pPr>
              <w:pStyle w:val="IsiTabel"/>
              <w:suppressAutoHyphens/>
              <w:jc w:val="right"/>
            </w:pPr>
            <w:r>
              <w:t xml:space="preserve">22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144,4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Tapanuli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6</w:t>
            </w:r>
          </w:p>
        </w:tc>
        <w:tc>
          <w:tcPr>
            <w:tcW w:w="965" w:type="dxa"/>
          </w:tcPr>
          <w:p>
            <w:pPr>
              <w:pStyle w:val="IsiTabel"/>
              <w:suppressAutoHyphens/>
              <w:jc w:val="right"/>
            </w:pPr>
            <w:r>
              <w:t xml:space="preserve">177,4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Nias</w:t>
            </w:r>
          </w:p>
        </w:tc>
        <w:tc>
          <w:tcPr>
            <w:tcW w:w="1032" w:type="dxa"/>
          </w:tcPr>
          <w:p>
            <w:pPr>
              <w:pStyle w:val="IsiTabel"/>
              <w:suppressAutoHyphens/>
              <w:jc w:val="right"/>
            </w:pPr>
            <w:r>
              <w:t xml:space="preserve">21</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Langkat</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4</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231,5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Karo</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124,7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Deli Serdang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209,7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Simalungun</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Asahan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148,9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Labuhanbatu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Dairi</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Toba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Mandailing Natal</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274,8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Nias Selatan</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207,0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Pakpak Bharat</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122,9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Humbang Hasundutan</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Samosir</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20</w:t>
            </w:r>
          </w:p>
        </w:tc>
        <w:tc>
          <w:tcPr>
            <w:tcW w:w="965" w:type="dxa"/>
          </w:tcPr>
          <w:p>
            <w:pPr>
              <w:pStyle w:val="IsiTabel"/>
              <w:suppressAutoHyphens/>
              <w:jc w:val="right"/>
            </w:pPr>
            <w:r>
              <w:t xml:space="preserve">185,4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Serdang Bedagai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Batu Bara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Padang Lawas Utara</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170,4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Padang Lawas</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170,5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Labuhanbatu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169,9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Labuhanbatu Utara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Nias Utara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Nias Barat</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Medan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Pematangsiantar</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93,2</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Sibolga</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35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Tanjungbalai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68,1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Binjai</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154,8</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Tebing Tinggi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58,0</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Padangsidimpuan</w:t>
            </w:r>
          </w:p>
        </w:tc>
        <w:tc>
          <w:tcPr>
            <w:tcW w:w="1032" w:type="dxa"/>
          </w:tcPr>
          <w:p>
            <w:pPr>
              <w:pStyle w:val="IsiTabel"/>
              <w:suppressAutoHyphens/>
              <w:jc w:val="right"/>
            </w:pPr>
            <w:r>
              <w:t xml:space="preserve">36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166,4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Gunungsitoli</w:t>
            </w:r>
          </w:p>
        </w:tc>
        <w:tc>
          <w:tcPr>
            <w:tcW w:w="1032" w:type="dxa"/>
          </w:tcPr>
          <w:p>
            <w:pPr>
              <w:pStyle w:val="IsiTabel"/>
              <w:suppressAutoHyphens/>
              <w:jc w:val="right"/>
            </w:pPr>
            <w:r>
              <w:t xml:space="preserve">22</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181,4</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Sumatera Barat</w:t>
            </w:r>
          </w:p>
        </w:tc>
      </w:tr>
      <w:tr>
        <w:trPr>
          <w:cantSplit/>
        </w:trPr>
        <w:tc>
          <w:tcPr>
            <w:tcW w:w="3707" w:type="dxa"/>
          </w:tcPr>
          <w:p>
            <w:pPr>
              <w:pStyle w:val="IsiTabel"/>
              <w:suppressAutoHyphens/>
              <w:jc w:val="left"/>
            </w:pPr>
            <w:r>
              <w:t xml:space="preserve">Kab. Pesisir Selatan</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Solok</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183,2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Sijunjung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166,0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Tanah Datar</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219,5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Padang Pariaman</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163,7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Agam</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240,3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Lima Puluh Kota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Pasaman</w:t>
            </w:r>
          </w:p>
        </w:tc>
        <w:tc>
          <w:tcPr>
            <w:tcW w:w="1032" w:type="dxa"/>
          </w:tcPr>
          <w:p>
            <w:pPr>
              <w:pStyle w:val="IsiTabel"/>
              <w:suppressAutoHyphens/>
              <w:jc w:val="right"/>
            </w:pPr>
            <w:r>
              <w:t xml:space="preserve">21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21</w:t>
            </w:r>
          </w:p>
        </w:tc>
        <w:tc>
          <w:tcPr>
            <w:tcW w:w="965" w:type="dxa"/>
          </w:tcPr>
          <w:p>
            <w:pPr>
              <w:pStyle w:val="IsiTabel"/>
              <w:suppressAutoHyphens/>
              <w:jc w:val="right"/>
            </w:pPr>
            <w:r>
              <w:t xml:space="preserve">213,9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Kepulauan Mentawai</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Dharmasraya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Solok Selatan</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172,2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Pasaman Barat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254,2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Padang</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Solok</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159,1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Sawahlunto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162,9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Padang Panjang</w:t>
            </w:r>
          </w:p>
        </w:tc>
        <w:tc>
          <w:tcPr>
            <w:tcW w:w="1032" w:type="dxa"/>
          </w:tcPr>
          <w:p>
            <w:pPr>
              <w:pStyle w:val="IsiTabel"/>
              <w:suppressAutoHyphens/>
              <w:jc w:val="right"/>
            </w:pPr>
            <w:r>
              <w:t xml:space="preserve">36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117,3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Bukittinggi</w:t>
            </w:r>
          </w:p>
        </w:tc>
        <w:tc>
          <w:tcPr>
            <w:tcW w:w="1032" w:type="dxa"/>
          </w:tcPr>
          <w:p>
            <w:pPr>
              <w:pStyle w:val="IsiTabel"/>
              <w:suppressAutoHyphens/>
              <w:jc w:val="right"/>
            </w:pPr>
            <w:r>
              <w:t xml:space="preserve">27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137,2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Payakumbuh</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130,1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Pariaman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146,5</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Riau</w:t>
            </w:r>
          </w:p>
        </w:tc>
      </w:tr>
      <w:tr>
        <w:trPr>
          <w:cantSplit/>
        </w:trPr>
        <w:tc>
          <w:tcPr>
            <w:tcW w:w="3707" w:type="dxa"/>
          </w:tcPr>
          <w:p>
            <w:pPr>
              <w:pStyle w:val="IsiTabel"/>
              <w:suppressAutoHyphens/>
              <w:jc w:val="left"/>
            </w:pPr>
            <w:r>
              <w:t xml:space="preserve">Kab. Kampar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145,8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Indragiri Hulu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Bengkalis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Indragiri Hilir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157,5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Pelalawan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142,0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Rokan Hulu</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136,2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Rokan Hilir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120,9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Siak</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80,9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Kuantan Singingi</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176,9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Kepulauan Meranti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Pekanbaru</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Dumai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61,1</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Jambi</w:t>
            </w:r>
          </w:p>
        </w:tc>
      </w:tr>
      <w:tr>
        <w:trPr>
          <w:cantSplit/>
        </w:trPr>
        <w:tc>
          <w:tcPr>
            <w:tcW w:w="3707" w:type="dxa"/>
          </w:tcPr>
          <w:p>
            <w:pPr>
              <w:pStyle w:val="IsiTabel"/>
              <w:suppressAutoHyphens/>
              <w:jc w:val="left"/>
            </w:pPr>
            <w:r>
              <w:t xml:space="preserve">Kab. Kerinci</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189,9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Merangin</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186,9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Sarolangun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141,4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Batanghari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Muaro Jambi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Tanjung Jabung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97,5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Tanjung Jabung Timur</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99,8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Bungo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148,2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Tebo</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176,1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Jambi</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92,3</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Sungai Penuh</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118,8</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Sumatera Selatan</w:t>
            </w:r>
          </w:p>
        </w:tc>
      </w:tr>
      <w:tr>
        <w:trPr>
          <w:cantSplit/>
        </w:trPr>
        <w:tc>
          <w:tcPr>
            <w:tcW w:w="3707" w:type="dxa"/>
          </w:tcPr>
          <w:p>
            <w:pPr>
              <w:pStyle w:val="IsiTabel"/>
              <w:suppressAutoHyphens/>
              <w:jc w:val="left"/>
            </w:pPr>
            <w:r>
              <w:t xml:space="preserve">Kab. Ogan Komering Ulu</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6</w:t>
            </w:r>
          </w:p>
        </w:tc>
        <w:tc>
          <w:tcPr>
            <w:tcW w:w="965" w:type="dxa"/>
          </w:tcPr>
          <w:p>
            <w:pPr>
              <w:pStyle w:val="IsiTabel"/>
              <w:suppressAutoHyphens/>
              <w:jc w:val="right"/>
            </w:pPr>
            <w:r>
              <w:t xml:space="preserve">185,3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Ogan Komering 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Muara Enim</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168,4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Lahat</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196,4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Musi Rawas</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151,7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Musi Banyuasin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108,2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Banyuasin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Ogan Komering Ulu Timur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Ogan Komering Ulu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113,6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Ogan 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85,6</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Empat Lawang</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19</w:t>
            </w:r>
          </w:p>
        </w:tc>
        <w:tc>
          <w:tcPr>
            <w:tcW w:w="965" w:type="dxa"/>
          </w:tcPr>
          <w:p>
            <w:pPr>
              <w:pStyle w:val="IsiTabel"/>
              <w:suppressAutoHyphens/>
              <w:jc w:val="right"/>
            </w:pPr>
            <w:r>
              <w:t xml:space="preserve">193,3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Penukal Abab Lematang 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121,7</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Musi Rawas Utara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Palembang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Pagar Alam</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161,6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Lubuk Linggau</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151,4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Prabumulih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121,0</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Bengkulu</w:t>
            </w:r>
          </w:p>
        </w:tc>
      </w:tr>
      <w:tr>
        <w:trPr>
          <w:cantSplit/>
        </w:trPr>
        <w:tc>
          <w:tcPr>
            <w:tcW w:w="3707" w:type="dxa"/>
          </w:tcPr>
          <w:p>
            <w:pPr>
              <w:pStyle w:val="IsiTabel"/>
              <w:suppressAutoHyphens/>
              <w:jc w:val="left"/>
            </w:pPr>
            <w:r>
              <w:t xml:space="preserve">Kab. Bengkulu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174,1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Rejang Lebong</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163,1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Bengkulu Utara</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8</w:t>
            </w:r>
          </w:p>
        </w:tc>
        <w:tc>
          <w:tcPr>
            <w:tcW w:w="965" w:type="dxa"/>
          </w:tcPr>
          <w:p>
            <w:pPr>
              <w:pStyle w:val="IsiTabel"/>
              <w:suppressAutoHyphens/>
              <w:jc w:val="right"/>
            </w:pPr>
            <w:r>
              <w:t xml:space="preserve">220,5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Kaur</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195,2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Seluma</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156,1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Mukomuko</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Lebong</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155,7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Kepahiang</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125,7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Bengkulu Tengah</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215,1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Bengkulu</w:t>
            </w:r>
          </w:p>
        </w:tc>
        <w:tc>
          <w:tcPr>
            <w:tcW w:w="1032" w:type="dxa"/>
          </w:tcPr>
          <w:p>
            <w:pPr>
              <w:pStyle w:val="IsiTabel"/>
              <w:suppressAutoHyphens/>
              <w:jc w:val="right"/>
            </w:pPr>
            <w:r>
              <w:t xml:space="preserve">25</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Lampung</w:t>
            </w:r>
          </w:p>
        </w:tc>
      </w:tr>
      <w:tr>
        <w:trPr>
          <w:cantSplit/>
        </w:trPr>
        <w:tc>
          <w:tcPr>
            <w:tcW w:w="3707" w:type="dxa"/>
          </w:tcPr>
          <w:p>
            <w:pPr>
              <w:pStyle w:val="IsiTabel"/>
              <w:suppressAutoHyphens/>
              <w:jc w:val="left"/>
            </w:pPr>
            <w:r>
              <w:t xml:space="preserve">Kab. Lampung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205,4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Lampung Tengah</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115,1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Lampung Utara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162,0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Lampung Barat</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132,9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Tulang Bawang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Tanggamus</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Lampung Timur</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Way Kanan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Pesawaran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176,8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Pringsewu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Mesuji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75,6</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Tulang Bawang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Pesisir Barat</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27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Bandar Lampung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Metro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39,4</w:t>
            </w:r>
          </w:p>
        </w:tc>
        <w:tc>
          <w:tcPr>
            <w:tcW w:w="1153" w:type="dxa"/>
          </w:tcPr>
          <w:p>
            <w:pPr>
              <w:pStyle w:val="IsiTabel"/>
              <w:suppressAutoHyphens/>
              <w:jc w:val="right"/>
            </w:pPr>
            <w:r>
              <w:t xml:space="preserve">4</w:t>
            </w:r>
          </w:p>
        </w:tc>
      </w:tr>
      <w:tr>
        <w:trPr>
          <w:cantSplit/>
        </w:trPr>
        <w:tc>
          <w:tcPr>
            <w:tcW w:w="9354" w:type="dxa"/>
            <w:gridSpan w:val="6"/>
            <w:shd w:val="clear" w:color="auto" w:fill="E6EAF0"/>
          </w:tcPr>
          <w:p>
            <w:pPr>
              <w:pStyle w:val="IsiTabel"/>
              <w:keepNext/>
              <w:suppressAutoHyphens/>
              <w:ind w:left="0"/>
            </w:pPr>
            <w:r>
              <w:rPr>
                <w:b/>
                <w:bCs/>
              </w:rPr>
              <w:t xml:space="preserve">Kep. Bangka Belitung</w:t>
            </w:r>
          </w:p>
        </w:tc>
      </w:tr>
      <w:tr>
        <w:trPr>
          <w:cantSplit/>
        </w:trPr>
        <w:tc>
          <w:tcPr>
            <w:tcW w:w="3707" w:type="dxa"/>
          </w:tcPr>
          <w:p>
            <w:pPr>
              <w:pStyle w:val="IsiTabel"/>
              <w:suppressAutoHyphens/>
              <w:jc w:val="left"/>
            </w:pPr>
            <w:r>
              <w:t xml:space="preserve">Kab. Bangka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100,0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Belitung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99,0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Bangka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Bangka Tengah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Bangka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Belitung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112,4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Pangkal Pinang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84,3</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Kepulauan Riau</w:t>
            </w:r>
          </w:p>
        </w:tc>
      </w:tr>
      <w:tr>
        <w:trPr>
          <w:cantSplit/>
        </w:trPr>
        <w:tc>
          <w:tcPr>
            <w:tcW w:w="3707" w:type="dxa"/>
          </w:tcPr>
          <w:p>
            <w:pPr>
              <w:pStyle w:val="IsiTabel"/>
              <w:suppressAutoHyphens/>
              <w:jc w:val="left"/>
            </w:pPr>
            <w:r>
              <w:t xml:space="preserve">Kab. Bintan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Karimun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Natuna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Lingga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138,3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Kepulauan Anambas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114,8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Batam</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147,2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Tanjung Pinang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117,7</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DKI Jakarta</w:t>
            </w:r>
          </w:p>
        </w:tc>
      </w:tr>
      <w:tr>
        <w:trPr>
          <w:cantSplit/>
        </w:trPr>
        <w:tc>
          <w:tcPr>
            <w:tcW w:w="3707" w:type="dxa"/>
          </w:tcPr>
          <w:p>
            <w:pPr>
              <w:pStyle w:val="IsiTabel"/>
              <w:suppressAutoHyphens/>
              <w:jc w:val="left"/>
            </w:pPr>
            <w:r>
              <w:t xml:space="preserve">Kab. Administrasi Kepulauan Seribu</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40,8</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Administrasi Jakarta Pusat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Administrasi Jakarta Utara</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Administrasi Jakarta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Administrasi Jakarta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Administrasi Jakarta Timur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9354" w:type="dxa"/>
            <w:gridSpan w:val="6"/>
            <w:shd w:val="clear" w:color="auto" w:fill="E6EAF0"/>
          </w:tcPr>
          <w:p>
            <w:pPr>
              <w:pStyle w:val="IsiTabel"/>
              <w:keepNext/>
              <w:suppressAutoHyphens/>
              <w:ind w:left="0"/>
            </w:pPr>
            <w:r>
              <w:rPr>
                <w:b/>
                <w:bCs/>
              </w:rPr>
              <w:t xml:space="preserve">Jawa Barat</w:t>
            </w:r>
          </w:p>
        </w:tc>
      </w:tr>
      <w:tr>
        <w:trPr>
          <w:cantSplit/>
        </w:trPr>
        <w:tc>
          <w:tcPr>
            <w:tcW w:w="3707" w:type="dxa"/>
          </w:tcPr>
          <w:p>
            <w:pPr>
              <w:pStyle w:val="IsiTabel"/>
              <w:suppressAutoHyphens/>
              <w:jc w:val="left"/>
            </w:pPr>
            <w:r>
              <w:t xml:space="preserve">Kab. Bogor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122,6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Sukabumi</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198,9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Cianjur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136,3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Bandung</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8</w:t>
            </w:r>
          </w:p>
        </w:tc>
        <w:tc>
          <w:tcPr>
            <w:tcW w:w="965" w:type="dxa"/>
          </w:tcPr>
          <w:p>
            <w:pPr>
              <w:pStyle w:val="IsiTabel"/>
              <w:suppressAutoHyphens/>
              <w:jc w:val="right"/>
            </w:pPr>
            <w:r>
              <w:t xml:space="preserve">112,3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Garut</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133,8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Tasikmalaya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156,2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Ciamis</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85,5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Kuningan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93,7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Cirebon</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109,7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Majalengka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100,6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Sumedang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Indramayu</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83,9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Subang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165,5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Purwakarta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Karawang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147,4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Bekasi</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Bandung Barat</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124,4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Pangandaran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118,2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Bogor</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54,6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Sukabumi</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61,1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Bandung</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76,5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Cirebon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93,3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Bekasi</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67,8</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Depok</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60,0</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Cimahi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57,6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Tasikmalaya</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90,8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Banjar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100,8</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Jawa Tengah</w:t>
            </w:r>
          </w:p>
        </w:tc>
      </w:tr>
      <w:tr>
        <w:trPr>
          <w:cantSplit/>
        </w:trPr>
        <w:tc>
          <w:tcPr>
            <w:tcW w:w="3707" w:type="dxa"/>
          </w:tcPr>
          <w:p>
            <w:pPr>
              <w:pStyle w:val="IsiTabel"/>
              <w:suppressAutoHyphens/>
              <w:jc w:val="left"/>
            </w:pPr>
            <w:r>
              <w:t xml:space="preserve">Kab. Cilacap</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108,7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Banyumas</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82,9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Purbalingga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130,2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Banjarnegara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87,6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Kebumen</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Purworejo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86,5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Wonosobo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74,6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Magelang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76,9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Boyolali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71,4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Klaten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74,3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Sukoharjo</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87,0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Wonogiri</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83,4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Karanganyar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7</w:t>
            </w:r>
          </w:p>
        </w:tc>
        <w:tc>
          <w:tcPr>
            <w:tcW w:w="965" w:type="dxa"/>
          </w:tcPr>
          <w:p>
            <w:pPr>
              <w:pStyle w:val="IsiTabel"/>
              <w:suppressAutoHyphens/>
              <w:jc w:val="right"/>
            </w:pPr>
            <w:r>
              <w:t xml:space="preserve">82,1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Sragen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97,4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Grobogan</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65,6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Blora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82,5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Rembang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82,0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Pati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125,8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Kudus</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Jepara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Demak</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Semarang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83,4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Temanggung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113,3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Kendal</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109,8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Batang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140,6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Pekalongan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Pemalang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97,5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Tegal</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110,9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Brebes</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131,6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Magelang</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92,3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Surakarta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51,1</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Salatiga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98,8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Semarang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82,8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Pekalongan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81,2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Tegal</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83,7</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DI Yogyakarta</w:t>
            </w:r>
          </w:p>
        </w:tc>
      </w:tr>
      <w:tr>
        <w:trPr>
          <w:cantSplit/>
        </w:trPr>
        <w:tc>
          <w:tcPr>
            <w:tcW w:w="3707" w:type="dxa"/>
          </w:tcPr>
          <w:p>
            <w:pPr>
              <w:pStyle w:val="IsiTabel"/>
              <w:suppressAutoHyphens/>
              <w:jc w:val="left"/>
            </w:pPr>
            <w:r>
              <w:t xml:space="preserve">Kab. Kulon Progo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107,5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Bantul</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Gunungkidul</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Sleman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102,3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Yogyakarta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51,8</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Jawa Timur</w:t>
            </w:r>
          </w:p>
        </w:tc>
      </w:tr>
      <w:tr>
        <w:trPr>
          <w:cantSplit/>
        </w:trPr>
        <w:tc>
          <w:tcPr>
            <w:tcW w:w="3707" w:type="dxa"/>
          </w:tcPr>
          <w:p>
            <w:pPr>
              <w:pStyle w:val="IsiTabel"/>
              <w:suppressAutoHyphens/>
              <w:jc w:val="left"/>
            </w:pPr>
            <w:r>
              <w:t xml:space="preserve">Kab. Pacitan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Ponorogo</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111,5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Trenggalek</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120,9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Tulungagung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132,3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Blitar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130,2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Kediri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103,8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Malang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142,2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Lumajang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116,9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Jember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161,9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Banyuwangi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126,2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Bondowoso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104,2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Situbondo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7</w:t>
            </w:r>
          </w:p>
        </w:tc>
        <w:tc>
          <w:tcPr>
            <w:tcW w:w="965" w:type="dxa"/>
          </w:tcPr>
          <w:p>
            <w:pPr>
              <w:pStyle w:val="IsiTabel"/>
              <w:suppressAutoHyphens/>
              <w:jc w:val="right"/>
            </w:pPr>
            <w:r>
              <w:t xml:space="preserve">138,4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Probolinggo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142,9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Pasuruan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116,8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Sidoarjo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91,7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Mojokerto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97,2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Jombang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4</w:t>
            </w:r>
          </w:p>
        </w:tc>
        <w:tc>
          <w:tcPr>
            <w:tcW w:w="965" w:type="dxa"/>
          </w:tcPr>
          <w:p>
            <w:pPr>
              <w:pStyle w:val="IsiTabel"/>
              <w:suppressAutoHyphens/>
              <w:jc w:val="right"/>
            </w:pPr>
            <w:r>
              <w:t xml:space="preserve">118,7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Nganjuk</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95,6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Madiun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114,3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Magetan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95,8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Ngawi</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129,3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Bojonegoro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97,3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Tuban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104,8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Lamongan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Gresik</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Bangkalan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Sampang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89,9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Pamekasan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Sumenep</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112,7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Kediri</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75,1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Blitar</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69,7</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Malang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67,7</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Probolinggo</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Pasuruan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Mojokerto</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116,3</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Madiun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66,8</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Surabaya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Batu</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4</w:t>
            </w:r>
          </w:p>
        </w:tc>
        <w:tc>
          <w:tcPr>
            <w:tcW w:w="965" w:type="dxa"/>
          </w:tcPr>
          <w:p>
            <w:pPr>
              <w:pStyle w:val="IsiTabel"/>
              <w:suppressAutoHyphens/>
              <w:jc w:val="right"/>
            </w:pPr>
            <w:r>
              <w:t xml:space="preserve">83,6</w:t>
            </w:r>
          </w:p>
        </w:tc>
        <w:tc>
          <w:tcPr>
            <w:tcW w:w="1153" w:type="dxa"/>
          </w:tcPr>
          <w:p>
            <w:pPr>
              <w:pStyle w:val="IsiTabel"/>
              <w:suppressAutoHyphens/>
              <w:jc w:val="right"/>
            </w:pPr>
            <w:r>
              <w:t xml:space="preserve">7</w:t>
            </w:r>
          </w:p>
        </w:tc>
      </w:tr>
      <w:tr>
        <w:trPr>
          <w:cantSplit/>
        </w:trPr>
        <w:tc>
          <w:tcPr>
            <w:tcW w:w="9354" w:type="dxa"/>
            <w:gridSpan w:val="6"/>
            <w:shd w:val="clear" w:color="auto" w:fill="E6EAF0"/>
          </w:tcPr>
          <w:p>
            <w:pPr>
              <w:pStyle w:val="IsiTabel"/>
              <w:keepNext/>
              <w:suppressAutoHyphens/>
              <w:ind w:left="0"/>
            </w:pPr>
            <w:r>
              <w:rPr>
                <w:b/>
                <w:bCs/>
              </w:rPr>
              <w:t xml:space="preserve">Banten</w:t>
            </w:r>
          </w:p>
        </w:tc>
      </w:tr>
      <w:tr>
        <w:trPr>
          <w:cantSplit/>
        </w:trPr>
        <w:tc>
          <w:tcPr>
            <w:tcW w:w="3707" w:type="dxa"/>
          </w:tcPr>
          <w:p>
            <w:pPr>
              <w:pStyle w:val="IsiTabel"/>
              <w:suppressAutoHyphens/>
              <w:jc w:val="left"/>
            </w:pPr>
            <w:r>
              <w:t xml:space="preserve">Kab. Pandeglang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116,8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Lebak</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146,0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Tangerang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73,1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Serang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138,4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Tangerang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68,0</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Cilegon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Serang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109,5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Tangerang Selatan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63,8</w:t>
            </w:r>
          </w:p>
        </w:tc>
        <w:tc>
          <w:tcPr>
            <w:tcW w:w="1153" w:type="dxa"/>
          </w:tcPr>
          <w:p>
            <w:pPr>
              <w:pStyle w:val="IsiTabel"/>
              <w:suppressAutoHyphens/>
              <w:jc w:val="right"/>
            </w:pPr>
            <w:r>
              <w:t xml:space="preserve">4</w:t>
            </w:r>
          </w:p>
        </w:tc>
      </w:tr>
      <w:tr>
        <w:trPr>
          <w:cantSplit/>
        </w:trPr>
        <w:tc>
          <w:tcPr>
            <w:tcW w:w="9354" w:type="dxa"/>
            <w:gridSpan w:val="6"/>
            <w:shd w:val="clear" w:color="auto" w:fill="E6EAF0"/>
          </w:tcPr>
          <w:p>
            <w:pPr>
              <w:pStyle w:val="IsiTabel"/>
              <w:keepNext/>
              <w:suppressAutoHyphens/>
              <w:ind w:left="0"/>
            </w:pPr>
            <w:r>
              <w:rPr>
                <w:b/>
                <w:bCs/>
              </w:rPr>
              <w:t xml:space="preserve">Bali</w:t>
            </w:r>
          </w:p>
        </w:tc>
      </w:tr>
      <w:tr>
        <w:trPr>
          <w:cantSplit/>
        </w:trPr>
        <w:tc>
          <w:tcPr>
            <w:tcW w:w="3707" w:type="dxa"/>
          </w:tcPr>
          <w:p>
            <w:pPr>
              <w:pStyle w:val="IsiTabel"/>
              <w:suppressAutoHyphens/>
              <w:jc w:val="left"/>
            </w:pPr>
            <w:r>
              <w:t xml:space="preserve">Kab. Jembrana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Tabanan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Badung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Gianyar</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Klungkung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149,5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Bangli</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21</w:t>
            </w:r>
          </w:p>
        </w:tc>
        <w:tc>
          <w:tcPr>
            <w:tcW w:w="965" w:type="dxa"/>
          </w:tcPr>
          <w:p>
            <w:pPr>
              <w:pStyle w:val="IsiTabel"/>
              <w:suppressAutoHyphens/>
              <w:jc w:val="right"/>
            </w:pPr>
            <w:r>
              <w:t xml:space="preserve">102,8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Karangasem</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131,4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Buleleng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Denpasar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103,3</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Nusa Tenggara Barat</w:t>
            </w:r>
          </w:p>
        </w:tc>
      </w:tr>
      <w:tr>
        <w:trPr>
          <w:cantSplit/>
        </w:trPr>
        <w:tc>
          <w:tcPr>
            <w:tcW w:w="3707" w:type="dxa"/>
          </w:tcPr>
          <w:p>
            <w:pPr>
              <w:pStyle w:val="IsiTabel"/>
              <w:suppressAutoHyphens/>
              <w:jc w:val="left"/>
            </w:pPr>
            <w:r>
              <w:t xml:space="preserve">Kab. Lombok Barat</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Lombok Tengah</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165,1</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Lombok Timur</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172,8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Sumbawa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195,1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Dompu</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169,0</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Bima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194,3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Sumbawa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144,2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Lombok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118,4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Mataram</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Bima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148,2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Nusa Tenggara Timur</w:t>
            </w:r>
          </w:p>
        </w:tc>
      </w:tr>
      <w:tr>
        <w:trPr>
          <w:cantSplit/>
        </w:trPr>
        <w:tc>
          <w:tcPr>
            <w:tcW w:w="3707" w:type="dxa"/>
          </w:tcPr>
          <w:p>
            <w:pPr>
              <w:pStyle w:val="IsiTabel"/>
              <w:suppressAutoHyphens/>
              <w:jc w:val="left"/>
            </w:pPr>
            <w:r>
              <w:t xml:space="preserve">Kab. Kupang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215,8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Timor Tengah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111,6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Timor Tengah Utara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Belu</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190,4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Alor</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196,3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Flores Timur</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200,9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Sikka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180,1</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Ende</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205,7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Ngada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240,3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Manggarai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31</w:t>
            </w:r>
          </w:p>
        </w:tc>
        <w:tc>
          <w:tcPr>
            <w:tcW w:w="965" w:type="dxa"/>
          </w:tcPr>
          <w:p>
            <w:pPr>
              <w:pStyle w:val="IsiTabel"/>
              <w:suppressAutoHyphens/>
              <w:jc w:val="right"/>
            </w:pPr>
            <w:r>
              <w:t xml:space="preserve">241,9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 Timur</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174,6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Sumba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193,3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Lembata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205,3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Rote Ndao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Manggarai Barat</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188,8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Nagekeo</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206,6</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 Tengah</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Sumba Barat Daya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220,5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Manggarai Timur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8</w:t>
            </w:r>
          </w:p>
        </w:tc>
        <w:tc>
          <w:tcPr>
            <w:tcW w:w="965" w:type="dxa"/>
          </w:tcPr>
          <w:p>
            <w:pPr>
              <w:pStyle w:val="IsiTabel"/>
              <w:suppressAutoHyphens/>
              <w:jc w:val="right"/>
            </w:pPr>
            <w:r>
              <w:t xml:space="preserve">172,9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Sabu Raijua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30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198,0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Malaka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233,1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Kupang</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187,5</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Kalimantan Barat</w:t>
            </w:r>
          </w:p>
        </w:tc>
      </w:tr>
      <w:tr>
        <w:trPr>
          <w:cantSplit/>
        </w:trPr>
        <w:tc>
          <w:tcPr>
            <w:tcW w:w="3707" w:type="dxa"/>
          </w:tcPr>
          <w:p>
            <w:pPr>
              <w:pStyle w:val="IsiTabel"/>
              <w:suppressAutoHyphens/>
              <w:jc w:val="left"/>
            </w:pPr>
            <w:r>
              <w:t xml:space="preserve">Kab. Sambas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109,6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Mempawah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Sanggau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113,4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Ketapang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101,1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Sintang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107,8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Kapuas Hulu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Bengkayang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Landak</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Sekadau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Melawi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137,8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Kayong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Kubu Raya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Pontianak</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50,1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Singkawang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143,6</w:t>
            </w:r>
          </w:p>
        </w:tc>
        <w:tc>
          <w:tcPr>
            <w:tcW w:w="1153" w:type="dxa"/>
          </w:tcPr>
          <w:p>
            <w:pPr>
              <w:pStyle w:val="IsiTabel"/>
              <w:suppressAutoHyphens/>
              <w:jc w:val="right"/>
            </w:pPr>
            <w:r>
              <w:t xml:space="preserve">7</w:t>
            </w:r>
          </w:p>
        </w:tc>
      </w:tr>
      <w:tr>
        <w:trPr>
          <w:cantSplit/>
        </w:trPr>
        <w:tc>
          <w:tcPr>
            <w:tcW w:w="9354" w:type="dxa"/>
            <w:gridSpan w:val="6"/>
            <w:shd w:val="clear" w:color="auto" w:fill="E6EAF0"/>
          </w:tcPr>
          <w:p>
            <w:pPr>
              <w:pStyle w:val="IsiTabel"/>
              <w:keepNext/>
              <w:suppressAutoHyphens/>
              <w:ind w:left="0"/>
            </w:pPr>
            <w:r>
              <w:rPr>
                <w:b/>
                <w:bCs/>
              </w:rPr>
              <w:t xml:space="preserve">Kalimantan Tengah</w:t>
            </w:r>
          </w:p>
        </w:tc>
      </w:tr>
      <w:tr>
        <w:trPr>
          <w:cantSplit/>
        </w:trPr>
        <w:tc>
          <w:tcPr>
            <w:tcW w:w="3707" w:type="dxa"/>
          </w:tcPr>
          <w:p>
            <w:pPr>
              <w:pStyle w:val="IsiTabel"/>
              <w:suppressAutoHyphens/>
              <w:jc w:val="left"/>
            </w:pPr>
            <w:r>
              <w:t xml:space="preserve">Kab. Kotawaringin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Kotawaringin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Kapuas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Barito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Barito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Katingan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131,8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Seruyan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Sukamara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Lamandau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Gunung Mas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115,5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Pulang Pisau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71,1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Murung Raya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Barito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Palangkaraya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64,7</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Kalimantan Selatan</w:t>
            </w:r>
          </w:p>
        </w:tc>
      </w:tr>
      <w:tr>
        <w:trPr>
          <w:cantSplit/>
        </w:trPr>
        <w:tc>
          <w:tcPr>
            <w:tcW w:w="3707" w:type="dxa"/>
          </w:tcPr>
          <w:p>
            <w:pPr>
              <w:pStyle w:val="IsiTabel"/>
              <w:suppressAutoHyphens/>
              <w:jc w:val="left"/>
            </w:pPr>
            <w:r>
              <w:t xml:space="preserve">Kab. Tanah Laut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131,8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Kotabaru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108,0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Banjar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75,7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Barito Kuala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67,6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Tapin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79,6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Hulu Sungai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Hulu Sungai Tengah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Hulu Sungai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52,6</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Tabalong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97,0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Tanah Bumbu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77,6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Balangan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63,6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Banjarmasin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48,0</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Banjarbaru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87,6</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Kalimantan Timur</w:t>
            </w:r>
          </w:p>
        </w:tc>
      </w:tr>
      <w:tr>
        <w:trPr>
          <w:cantSplit/>
        </w:trPr>
        <w:tc>
          <w:tcPr>
            <w:tcW w:w="3707" w:type="dxa"/>
          </w:tcPr>
          <w:p>
            <w:pPr>
              <w:pStyle w:val="IsiTabel"/>
              <w:suppressAutoHyphens/>
              <w:jc w:val="left"/>
            </w:pPr>
            <w:r>
              <w:t xml:space="preserve">Kab. Paser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136,6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Kutai Kartanegara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Berau</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155,3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Kutai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Kutai Timur</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Penajam Paser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88,5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Mahakam Ulu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Balikpapan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89,4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Samarinda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71,5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Bontang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85,3</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Kalimantan Utara</w:t>
            </w:r>
          </w:p>
        </w:tc>
      </w:tr>
      <w:tr>
        <w:trPr>
          <w:cantSplit/>
        </w:trPr>
        <w:tc>
          <w:tcPr>
            <w:tcW w:w="3707" w:type="dxa"/>
          </w:tcPr>
          <w:p>
            <w:pPr>
              <w:pStyle w:val="IsiTabel"/>
              <w:suppressAutoHyphens/>
              <w:jc w:val="left"/>
            </w:pPr>
            <w:r>
              <w:t xml:space="preserve">Kab. Bulungan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Malinau</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Nunukan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134,4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Tana Tidung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Tarakan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102,6</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Utara</w:t>
            </w:r>
          </w:p>
        </w:tc>
      </w:tr>
      <w:tr>
        <w:trPr>
          <w:cantSplit/>
        </w:trPr>
        <w:tc>
          <w:tcPr>
            <w:tcW w:w="3707" w:type="dxa"/>
          </w:tcPr>
          <w:p>
            <w:pPr>
              <w:pStyle w:val="IsiTabel"/>
              <w:suppressAutoHyphens/>
              <w:jc w:val="left"/>
            </w:pPr>
            <w:r>
              <w:t xml:space="preserve">Kab. Bolaang Mongondow</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4</w:t>
            </w:r>
          </w:p>
        </w:tc>
        <w:tc>
          <w:tcPr>
            <w:tcW w:w="965" w:type="dxa"/>
          </w:tcPr>
          <w:p>
            <w:pPr>
              <w:pStyle w:val="IsiTabel"/>
              <w:suppressAutoHyphens/>
              <w:jc w:val="right"/>
            </w:pPr>
            <w:r>
              <w:t xml:space="preserve">132,4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Minahasa</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231,9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Kepulauan Sangihe</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250,3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Kepulauan Talaud</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Minahasa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186,8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Minahasa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197,7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Minahasa Tenggara</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215,8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Bolaang Mongondow Utara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221,7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 Siau Tagulandang Biaro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113,1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Bolaang Mongondow Timur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167,4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Bolaang Mongondow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Manado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119,4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Bitung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140,8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Tomohon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147,0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Kotamobagu</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153,2</w:t>
            </w:r>
          </w:p>
        </w:tc>
        <w:tc>
          <w:tcPr>
            <w:tcW w:w="1153" w:type="dxa"/>
          </w:tcPr>
          <w:p>
            <w:pPr>
              <w:pStyle w:val="IsiTabel"/>
              <w:suppressAutoHyphens/>
              <w:jc w:val="right"/>
            </w:pPr>
            <w:r>
              <w:t xml:space="preserve">7</w:t>
            </w:r>
          </w:p>
        </w:tc>
      </w:tr>
      <w:tr>
        <w:trPr>
          <w:cantSplit/>
        </w:trPr>
        <w:tc>
          <w:tcPr>
            <w:tcW w:w="9354" w:type="dxa"/>
            <w:gridSpan w:val="6"/>
            <w:shd w:val="clear" w:color="auto" w:fill="E6EAF0"/>
          </w:tcPr>
          <w:p>
            <w:pPr>
              <w:pStyle w:val="IsiTabel"/>
              <w:keepNext/>
              <w:suppressAutoHyphens/>
              <w:ind w:left="0"/>
            </w:pPr>
            <w:r>
              <w:rPr>
                <w:b/>
                <w:bCs/>
              </w:rPr>
              <w:t xml:space="preserve">Sulawesi Tengah</w:t>
            </w:r>
          </w:p>
        </w:tc>
      </w:tr>
      <w:tr>
        <w:trPr>
          <w:cantSplit/>
        </w:trPr>
        <w:tc>
          <w:tcPr>
            <w:tcW w:w="3707" w:type="dxa"/>
          </w:tcPr>
          <w:p>
            <w:pPr>
              <w:pStyle w:val="IsiTabel"/>
              <w:suppressAutoHyphens/>
              <w:jc w:val="left"/>
            </w:pPr>
            <w:r>
              <w:t xml:space="preserve">Kab. Banggai</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249,3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Poso</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Donggala</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Toli-Toli</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189,2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Buol</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Morowali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Banggai Kepulauan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Parigi Moutong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Tojo Una Una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264,0</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Sigi</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Banggai Laut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210,0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Morowali Utara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Palu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132,6</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Selatan</w:t>
            </w:r>
          </w:p>
        </w:tc>
      </w:tr>
      <w:tr>
        <w:trPr>
          <w:cantSplit/>
        </w:trPr>
        <w:tc>
          <w:tcPr>
            <w:tcW w:w="3707" w:type="dxa"/>
          </w:tcPr>
          <w:p>
            <w:pPr>
              <w:pStyle w:val="IsiTabel"/>
              <w:suppressAutoHyphens/>
              <w:jc w:val="left"/>
            </w:pPr>
            <w:r>
              <w:t xml:space="preserve">Kab. Kepulauan Selayar</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155,4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Bulukumba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Bantaeng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93,7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Jeneponto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Takalar</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171,2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Gowa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138,2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Sinjai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184,0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Bone</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Maros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150,7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Pangkajene dan Kepulauan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Barru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Soppeng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Wajo</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125,4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Sidenreng Rappang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Pinrang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Enrekang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Luwu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147,5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Tana Toraja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Luwu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Luwu Timur</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Toraja Utara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145,0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Makassar</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91,4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Parepare</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Palopo</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153,7</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Tenggara</w:t>
            </w:r>
          </w:p>
        </w:tc>
      </w:tr>
      <w:tr>
        <w:trPr>
          <w:cantSplit/>
        </w:trPr>
        <w:tc>
          <w:tcPr>
            <w:tcW w:w="3707" w:type="dxa"/>
          </w:tcPr>
          <w:p>
            <w:pPr>
              <w:pStyle w:val="IsiTabel"/>
              <w:suppressAutoHyphens/>
              <w:jc w:val="left"/>
            </w:pPr>
            <w:r>
              <w:t xml:space="preserve">Kab. Kolaka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182,8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Konawe</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252,3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Muna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235,9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180,2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Konawe Selatan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209,8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Bombana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164,1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Wakatobi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174,8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Kolaka Utara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198,4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Konawe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208,2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Kolaka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Konawe Kepulauan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230,9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Muna Barat</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 Tengah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236,1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Kendari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115,4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Bau Bau</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215,6</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Gorontalo</w:t>
            </w:r>
          </w:p>
        </w:tc>
      </w:tr>
      <w:tr>
        <w:trPr>
          <w:cantSplit/>
        </w:trPr>
        <w:tc>
          <w:tcPr>
            <w:tcW w:w="3707" w:type="dxa"/>
          </w:tcPr>
          <w:p>
            <w:pPr>
              <w:pStyle w:val="IsiTabel"/>
              <w:suppressAutoHyphens/>
              <w:jc w:val="left"/>
            </w:pPr>
            <w:r>
              <w:t xml:space="preserve">Kab. Gorontalo</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129,0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Boalemo</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Bone Bolango</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Pohuwato</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182,5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Gorontalo Utara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Gorontalo</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126,9</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Barat</w:t>
            </w:r>
          </w:p>
        </w:tc>
      </w:tr>
      <w:tr>
        <w:trPr>
          <w:cantSplit/>
        </w:trPr>
        <w:tc>
          <w:tcPr>
            <w:tcW w:w="3707" w:type="dxa"/>
          </w:tcPr>
          <w:p>
            <w:pPr>
              <w:pStyle w:val="IsiTabel"/>
              <w:suppressAutoHyphens/>
              <w:jc w:val="left"/>
            </w:pPr>
            <w:r>
              <w:t xml:space="preserve">Kab. Pasangkayu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229,6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Mamuju</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233,7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Mamasa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152,8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Polewali Mandar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Majene</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Mamuju Tengah</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222,2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Maluku</w:t>
            </w:r>
          </w:p>
        </w:tc>
      </w:tr>
      <w:tr>
        <w:trPr>
          <w:cantSplit/>
        </w:trPr>
        <w:tc>
          <w:tcPr>
            <w:tcW w:w="3707" w:type="dxa"/>
          </w:tcPr>
          <w:p>
            <w:pPr>
              <w:pStyle w:val="IsiTabel"/>
              <w:suppressAutoHyphens/>
              <w:jc w:val="left"/>
            </w:pPr>
            <w:r>
              <w:t xml:space="preserve">Kab. Maluku Tengah</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186,4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Maluku Tenggara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Kepulauan Tanimbar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195,7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Buru</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193,0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Seram Bagian Timur</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30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Seram Bagian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Kepulauan Aru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183,9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Maluku Barat Daya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246,3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Buru Selatan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220,6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Ambon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Tual</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208,0</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Maluku Utara</w:t>
            </w:r>
          </w:p>
        </w:tc>
      </w:tr>
      <w:tr>
        <w:trPr>
          <w:cantSplit/>
        </w:trPr>
        <w:tc>
          <w:tcPr>
            <w:tcW w:w="3707" w:type="dxa"/>
          </w:tcPr>
          <w:p>
            <w:pPr>
              <w:pStyle w:val="IsiTabel"/>
              <w:suppressAutoHyphens/>
              <w:jc w:val="left"/>
            </w:pPr>
            <w:r>
              <w:t xml:space="preserve">Kab. Halmahera Barat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254,4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Halmahera Tengah</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251,1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Halmahera Utara</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19</w:t>
            </w:r>
          </w:p>
        </w:tc>
        <w:tc>
          <w:tcPr>
            <w:tcW w:w="965" w:type="dxa"/>
          </w:tcPr>
          <w:p>
            <w:pPr>
              <w:pStyle w:val="IsiTabel"/>
              <w:suppressAutoHyphens/>
              <w:jc w:val="right"/>
            </w:pPr>
            <w:r>
              <w:t xml:space="preserve">236,2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Halmahera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278,5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Kepulauan Sula</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Halmahera Timur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240,5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Pulau Morotai</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182,1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Pulau Taliabu</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223,4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Ternate</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109,6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Tidore Kepulauan</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34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241,2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Papua</w:t>
            </w:r>
          </w:p>
        </w:tc>
      </w:tr>
      <w:tr>
        <w:trPr>
          <w:cantSplit/>
        </w:trPr>
        <w:tc>
          <w:tcPr>
            <w:tcW w:w="3707" w:type="dxa"/>
          </w:tcPr>
          <w:p>
            <w:pPr>
              <w:pStyle w:val="IsiTabel"/>
              <w:suppressAutoHyphens/>
              <w:jc w:val="left"/>
            </w:pPr>
            <w:r>
              <w:t xml:space="preserve">Kab. Jayapura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244,1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Kepulauan Yapen</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219,2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Biak Numfor</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228,5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Sarmi</w:t>
            </w:r>
          </w:p>
        </w:tc>
        <w:tc>
          <w:tcPr>
            <w:tcW w:w="1032" w:type="dxa"/>
          </w:tcPr>
          <w:p>
            <w:pPr>
              <w:pStyle w:val="IsiTabel"/>
              <w:suppressAutoHyphens/>
              <w:jc w:val="right"/>
            </w:pPr>
            <w:r>
              <w:t xml:space="preserve">25</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232,0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Keerom</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Waropen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Supiori</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239,6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Mamberamo Raya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231,4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Jayapura</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128,3</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Papua Barat</w:t>
            </w:r>
          </w:p>
        </w:tc>
      </w:tr>
      <w:tr>
        <w:trPr>
          <w:cantSplit/>
        </w:trPr>
        <w:tc>
          <w:tcPr>
            <w:tcW w:w="3707" w:type="dxa"/>
          </w:tcPr>
          <w:p>
            <w:pPr>
              <w:pStyle w:val="IsiTabel"/>
              <w:suppressAutoHyphens/>
              <w:jc w:val="left"/>
            </w:pPr>
            <w:r>
              <w:t xml:space="preserve">Kab. Manokwari</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Fak Fak</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207,0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Teluk Bintuni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241,5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Teluk Wondama</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Kaimana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226,0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Manokwari Selatan</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221,4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Pegunungan Arfak</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192,0</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Papua Selatan</w:t>
            </w:r>
          </w:p>
        </w:tc>
      </w:tr>
      <w:tr>
        <w:trPr>
          <w:cantSplit/>
        </w:trPr>
        <w:tc>
          <w:tcPr>
            <w:tcW w:w="3707" w:type="dxa"/>
          </w:tcPr>
          <w:p>
            <w:pPr>
              <w:pStyle w:val="IsiTabel"/>
              <w:suppressAutoHyphens/>
              <w:jc w:val="left"/>
            </w:pPr>
            <w:r>
              <w:t xml:space="preserve">Kab. Merauke</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Boven Digoel</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192,5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Mappi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Asmat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189,0</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Papua Tengah</w:t>
            </w:r>
          </w:p>
        </w:tc>
      </w:tr>
      <w:tr>
        <w:trPr>
          <w:cantSplit/>
        </w:trPr>
        <w:tc>
          <w:tcPr>
            <w:tcW w:w="3707" w:type="dxa"/>
          </w:tcPr>
          <w:p>
            <w:pPr>
              <w:pStyle w:val="IsiTabel"/>
              <w:suppressAutoHyphens/>
              <w:jc w:val="left"/>
            </w:pPr>
            <w:r>
              <w:t xml:space="preserve">Kab. Nabire</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203,5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Puncak Jaya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200,2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Paniai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Mimika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203,5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Puncak</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Dogiyai</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Intan Jaya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Deiyai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194,1</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Papua Pegunungan</w:t>
            </w:r>
          </w:p>
        </w:tc>
      </w:tr>
      <w:tr>
        <w:trPr>
          <w:cantSplit/>
        </w:trPr>
        <w:tc>
          <w:tcPr>
            <w:tcW w:w="3707" w:type="dxa"/>
          </w:tcPr>
          <w:p>
            <w:pPr>
              <w:pStyle w:val="IsiTabel"/>
              <w:suppressAutoHyphens/>
              <w:jc w:val="left"/>
            </w:pPr>
            <w:r>
              <w:t xml:space="preserve">Kab. Jayawijaya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Pegunungan Bintang</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206,8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Yahukimo</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Tolikara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Mamberamo Tengah</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Yalimo</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Lanny Jaya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Nduga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188,3</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Papua Barat Daya</w:t>
            </w:r>
          </w:p>
        </w:tc>
      </w:tr>
      <w:tr>
        <w:trPr>
          <w:cantSplit/>
        </w:trPr>
        <w:tc>
          <w:tcPr>
            <w:tcW w:w="3707" w:type="dxa"/>
          </w:tcPr>
          <w:p>
            <w:pPr>
              <w:pStyle w:val="IsiTabel"/>
              <w:suppressAutoHyphens/>
              <w:jc w:val="left"/>
            </w:pPr>
            <w:r>
              <w:t xml:space="preserve">Kab. Sorong</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240,5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Sorong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221,3</w:t>
            </w:r>
          </w:p>
        </w:tc>
        <w:tc>
          <w:tcPr>
            <w:tcW w:w="1153" w:type="dxa"/>
          </w:tcPr>
          <w:p>
            <w:pPr>
              <w:pStyle w:val="IsiTabel"/>
              <w:suppressAutoHyphens/>
              <w:jc w:val="right"/>
            </w:pPr>
            <w:r>
              <w:t xml:space="preserve">8</w:t>
            </w:r>
          </w:p>
        </w:tc>
      </w:tr>
      <w:tr>
        <w:trPr>
          <w:cantSplit/>
        </w:trPr>
        <w:tc>
          <w:tcPr>
            <w:tcW w:w="3707" w:type="dxa"/>
          </w:tcPr>
          <w:p>
            <w:pPr>
              <w:pStyle w:val="IsiTabel"/>
              <w:keepNext/>
              <w:suppressAutoHyphens/>
              <w:jc w:val="left"/>
            </w:pPr>
            <w:bookmarkStart w:id="859" w:name="_Ekor096a"/>
            <w:bookmarkEnd w:id="859"/>
            <w:r>
              <w:t xml:space="preserve">Kab. Raja Ampat</w:t>
            </w:r>
          </w:p>
        </w:tc>
        <w:tc>
          <w:tcPr>
            <w:tcW w:w="1032" w:type="dxa"/>
          </w:tcPr>
          <w:p>
            <w:pPr>
              <w:pStyle w:val="IsiTabel"/>
              <w:keepNext/>
              <w:suppressAutoHyphens/>
              <w:jc w:val="right"/>
            </w:pPr>
            <w:r>
              <w:t xml:space="preserve">6</w:t>
            </w:r>
          </w:p>
        </w:tc>
        <w:tc>
          <w:tcPr>
            <w:tcW w:w="1293" w:type="dxa"/>
          </w:tcPr>
          <w:p>
            <w:pPr>
              <w:pStyle w:val="IsiTabel"/>
              <w:keepNext/>
              <w:suppressAutoHyphens/>
              <w:jc w:val="right"/>
            </w:pPr>
            <w:r>
              <w:t xml:space="preserve">12</w:t>
            </w:r>
          </w:p>
        </w:tc>
        <w:tc>
          <w:tcPr>
            <w:tcW w:w="1204" w:type="dxa"/>
          </w:tcPr>
          <w:p>
            <w:pPr>
              <w:pStyle w:val="IsiTabel"/>
              <w:keepNext/>
              <w:suppressAutoHyphens/>
              <w:jc w:val="right"/>
            </w:pPr>
            <w:r>
              <w:t xml:space="preserve">–</w:t>
            </w:r>
          </w:p>
        </w:tc>
        <w:tc>
          <w:tcPr>
            <w:tcW w:w="965" w:type="dxa"/>
          </w:tcPr>
          <w:p>
            <w:pPr>
              <w:pStyle w:val="IsiTabel"/>
              <w:keepNext/>
              <w:suppressAutoHyphens/>
              <w:jc w:val="right"/>
            </w:pPr>
            <w:r>
              <w:t xml:space="preserve">246,0</w:t>
            </w:r>
          </w:p>
        </w:tc>
        <w:tc>
          <w:tcPr>
            <w:tcW w:w="1153" w:type="dxa"/>
          </w:tcPr>
          <w:p>
            <w:pPr>
              <w:pStyle w:val="IsiTabel"/>
              <w:keepNext/>
              <w:suppressAutoHyphens/>
              <w:jc w:val="right"/>
            </w:pPr>
            <w:r>
              <w:t xml:space="preserve">8</w:t>
            </w:r>
          </w:p>
        </w:tc>
      </w:tr>
      <w:tr>
        <w:trPr>
          <w:cantSplit/>
        </w:trPr>
        <w:tc>
          <w:tcPr>
            <w:tcW w:w="3707" w:type="dxa"/>
          </w:tcPr>
          <w:p>
            <w:pPr>
              <w:pStyle w:val="IsiTabel"/>
              <w:keepNext/>
              <w:suppressAutoHyphens/>
              <w:jc w:val="left"/>
            </w:pPr>
            <w:r>
              <w:t xml:space="preserve">Kab. Tambrauw</w:t>
            </w:r>
          </w:p>
        </w:tc>
        <w:tc>
          <w:tcPr>
            <w:tcW w:w="1032" w:type="dxa"/>
          </w:tcPr>
          <w:p>
            <w:pPr>
              <w:pStyle w:val="IsiTabel"/>
              <w:keepNext/>
              <w:suppressAutoHyphens/>
              <w:jc w:val="right"/>
            </w:pPr>
            <w:r>
              <w:t xml:space="preserve">26</w:t>
            </w:r>
          </w:p>
        </w:tc>
        <w:tc>
          <w:tcPr>
            <w:tcW w:w="1293" w:type="dxa"/>
          </w:tcPr>
          <w:p>
            <w:pPr>
              <w:pStyle w:val="IsiTabel"/>
              <w:keepNext/>
              <w:suppressAutoHyphens/>
              <w:jc w:val="right"/>
            </w:pPr>
            <w:r>
              <w:t xml:space="preserve">26</w:t>
            </w:r>
          </w:p>
        </w:tc>
        <w:tc>
          <w:tcPr>
            <w:tcW w:w="1204" w:type="dxa"/>
          </w:tcPr>
          <w:p>
            <w:pPr>
              <w:pStyle w:val="IsiTabel"/>
              <w:keepNext/>
              <w:suppressAutoHyphens/>
              <w:jc w:val="right"/>
            </w:pPr>
            <w:r>
              <w:t xml:space="preserve">–</w:t>
            </w:r>
          </w:p>
        </w:tc>
        <w:tc>
          <w:tcPr>
            <w:tcW w:w="965" w:type="dxa"/>
          </w:tcPr>
          <w:p>
            <w:pPr>
              <w:pStyle w:val="IsiTabel"/>
              <w:keepNext/>
              <w:suppressAutoHyphens/>
              <w:jc w:val="right"/>
            </w:pPr>
            <w:r>
              <w:t xml:space="preserve">226,4</w:t>
            </w:r>
          </w:p>
        </w:tc>
        <w:tc>
          <w:tcPr>
            <w:tcW w:w="1153" w:type="dxa"/>
          </w:tcPr>
          <w:p>
            <w:pPr>
              <w:pStyle w:val="IsiTabel"/>
              <w:keepNext/>
              <w:suppressAutoHyphens/>
              <w:jc w:val="right"/>
            </w:pPr>
            <w:r>
              <w:t xml:space="preserve">8</w:t>
            </w:r>
          </w:p>
        </w:tc>
      </w:tr>
      <w:tr>
        <w:trPr>
          <w:cantSplit/>
        </w:trPr>
        <w:tc>
          <w:tcPr>
            <w:tcW w:w="3707" w:type="dxa"/>
          </w:tcPr>
          <w:p>
            <w:pPr>
              <w:pStyle w:val="IsiTabel"/>
              <w:keepNext/>
              <w:suppressAutoHyphens/>
              <w:jc w:val="left"/>
            </w:pPr>
            <w:r>
              <w:t xml:space="preserve">Kab. Maybrat</w:t>
            </w:r>
          </w:p>
        </w:tc>
        <w:tc>
          <w:tcPr>
            <w:tcW w:w="1032" w:type="dxa"/>
          </w:tcPr>
          <w:p>
            <w:pPr>
              <w:pStyle w:val="IsiTabel"/>
              <w:keepNext/>
              <w:suppressAutoHyphens/>
              <w:jc w:val="right"/>
            </w:pPr>
            <w:r>
              <w:t xml:space="preserve">9</w:t>
            </w:r>
          </w:p>
        </w:tc>
        <w:tc>
          <w:tcPr>
            <w:tcW w:w="1293" w:type="dxa"/>
          </w:tcPr>
          <w:p>
            <w:pPr>
              <w:pStyle w:val="IsiTabel"/>
              <w:keepNext/>
              <w:suppressAutoHyphens/>
              <w:jc w:val="right"/>
            </w:pPr>
            <w:r>
              <w:t xml:space="preserve">–</w:t>
            </w:r>
          </w:p>
        </w:tc>
        <w:tc>
          <w:tcPr>
            <w:tcW w:w="1204" w:type="dxa"/>
          </w:tcPr>
          <w:p>
            <w:pPr>
              <w:pStyle w:val="IsiTabel"/>
              <w:keepNext/>
              <w:suppressAutoHyphens/>
              <w:jc w:val="right"/>
            </w:pPr>
            <w:r>
              <w:t xml:space="preserve">–</w:t>
            </w:r>
          </w:p>
        </w:tc>
        <w:tc>
          <w:tcPr>
            <w:tcW w:w="965" w:type="dxa"/>
          </w:tcPr>
          <w:p>
            <w:pPr>
              <w:pStyle w:val="IsiTabel"/>
              <w:keepNext/>
              <w:suppressAutoHyphens/>
              <w:jc w:val="right"/>
            </w:pPr>
            <w:r>
              <w:t xml:space="preserve">197,1</w:t>
            </w:r>
          </w:p>
        </w:tc>
        <w:tc>
          <w:tcPr>
            <w:tcW w:w="1153" w:type="dxa"/>
          </w:tcPr>
          <w:p>
            <w:pPr>
              <w:pStyle w:val="IsiTabel"/>
              <w:keepNext/>
              <w:suppressAutoHyphens/>
              <w:jc w:val="right"/>
            </w:pPr>
            <w:r>
              <w:t xml:space="preserve">6</w:t>
            </w:r>
          </w:p>
        </w:tc>
      </w:tr>
      <w:tr>
        <w:trPr>
          <w:cantSplit/>
        </w:trPr>
        <w:tc>
          <w:tcPr>
            <w:tcW w:w="3707" w:type="dxa"/>
          </w:tcPr>
          <w:p>
            <w:pPr>
              <w:pStyle w:val="IsiTabel"/>
              <w:suppressAutoHyphens/>
              <w:jc w:val="left"/>
            </w:pPr>
            <w:bookmarkStart w:id="860" w:name="_Ekor096z"/>
            <w:bookmarkEnd w:id="860"/>
            <w:r>
              <w:t xml:space="preserve">Kota Sorong</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253,4</w:t>
            </w:r>
          </w:p>
        </w:tc>
        <w:tc>
          <w:tcPr>
            <w:tcW w:w="1153" w:type="dxa"/>
          </w:tcPr>
          <w:p>
            <w:pPr>
              <w:pStyle w:val="IsiTabel"/>
              <w:suppressAutoHyphens/>
              <w:jc w:val="right"/>
            </w:pPr>
            <w:r>
              <w:t xml:space="preserve">8</w:t>
            </w:r>
          </w:p>
        </w:tc>
      </w:tr>
    </w:tbl>
    <w:p>
      <w:pPr>
        <w:pStyle w:val="Sumber"/>
        <w:spacing w:after="40"/>
      </w:pPr>
      <w:r>
        <w:rPr>
          <w:b/>
          <w:bCs/>
          <w:color w:val="6B7280"/>
          <w:sz w:val="17"/>
          <w:szCs w:val="17"/>
        </w:rPr>
        <w:t xml:space="preserve">Sumber: </w:t>
      </w:r>
      <w:r>
        <w:rPr>
          <w:color w:val="6B7280"/>
          <w:sz w:val="17"/>
          <w:szCs w:val="17"/>
        </w:rPr>
        <w:t xml:space="preserve">InaRISK BNPB, IRBI 2025, kolom per bahaya dan total</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Nilai total IRBI 2025 bukan jumlah kolom bahaya; bahaya dinilai adalah jumlah dari sembilan bahaya yang bernilai di kab/kota itu.</w:t>
      </w:r>
    </w:p>
    <w:p>
      <w:pPr>
        <w:pStyle w:val="JudulLampiran"/>
      </w:pPr>
      <w:bookmarkStart w:id="862" w:name="_Toc00271"/>
      <w:bookmarkStart w:id="861" w:name="_Ref0068"/>
      <w:r>
        <w:t xml:space="preserve">Lampiran B</w:t>
      </w:r>
      <w:bookmarkEnd w:id="861"/>
      <w:r>
        <w:t xml:space="preserve">. Profil Provinsi</w:t>
      </w:r>
      <w:bookmarkEnd w:id="862"/>
    </w:p>
    <w:p>
      <w:pPr>
        <w:pStyle w:val="Isi"/>
      </w:pPr>
      <w:r>
        <w:t xml:space="preserve">Profil tiga puluh delapan provinsi merangkum </w:t>
      </w:r>
      <w:r>
        <w:t xml:space="preserve">514</w:t>
      </w:r>
      <w:r>
        <w:t xml:space="preserve"> kab/kota Lampiran A menurut provinsi dan pulau, dari paket data yang sama </w:t>
      </w:r>
      <w:r>
        <w:t xml:space="preserve">(BNPB, t.t.-b, t.t.-a)</w:t>
      </w:r>
      <w:r>
        <w:t xml:space="preserve">. Dua kriteria provinsi utama menurut </w:t>
      </w:r>
      <w:r>
        <w:t xml:space="preserve">Subbab </w:t>
      </w:r>
      <w:r>
        <w:fldChar w:fldCharType="begin"/>
      </w:r>
      <w:r>
        <w:instrText xml:space="preserve"> REF _Ref0116 \h \* CHARFORMAT </w:instrText>
      </w:r>
      <w:r>
        <w:fldChar w:fldCharType="separate"/>
      </w:r>
      <w:r>
        <w:t xml:space="preserve">3.8</w:t>
      </w:r>
      <w:r>
        <w:fldChar w:fldCharType="end"/>
      </w:r>
      <w:r>
        <w:t xml:space="preserve"> ditulis berdampingan: peringkat menurut jumlah kab/kota daftar perhatian dan peringkat menurut meninggal dan hilang DIBI 2015–2025. Keduanya menunjuk provinsi berbeda; Jawa Tengah dan Jawa Timur masing-masing memiliki </w:t>
      </w:r>
      <w:r>
        <w:t xml:space="preserve">33</w:t>
      </w:r>
      <w:r>
        <w:t xml:space="preserve"> kab/kota daftar perhatian, sedangkan Sulawesi Tengah mencatat </w:t>
      </w:r>
      <w:r>
        <w:t xml:space="preserve">4.925 jiwa</w:t>
      </w:r>
      <w:r>
        <w:t xml:space="preserve"> meninggal dan hilang.</w:t>
      </w:r>
    </w:p>
    <w:p>
      <w:pPr>
        <w:pStyle w:val="Isi"/>
      </w:pPr>
      <w:r>
        <w:t xml:space="preserve">Indeks provinsi 2025 belum memiliki metode resmi, sehingga lampiran ini tidak memuat nilai IRB per provinsi 2025; kelas provinsi resmi yang terakhir terbit adalah kelas 2023 (</w:t>
      </w:r>
      <w:r>
        <w:fldChar w:fldCharType="begin"/>
      </w:r>
      <w:r>
        <w:instrText xml:space="preserve"> REF _Ref0052 \h \* CHARFORMAT </w:instrText>
      </w:r>
      <w:r>
        <w:fldChar w:fldCharType="separate"/>
      </w:r>
      <w:r>
        <w:t xml:space="preserve">Gambar 5.6</w:t>
      </w:r>
      <w:r>
        <w:fldChar w:fldCharType="end"/>
      </w:r>
      <w:r>
        <w:t xml:space="preserve">). Kolom korban memakai DIBI tingkat kab/kota dengan cakupan semua laporan, sama dengan dasar </w:t>
      </w:r>
      <w:r>
        <w:fldChar w:fldCharType="begin"/>
      </w:r>
      <w:r>
        <w:instrText xml:space="preserve"> REF _Ref0316 \h \* CHARFORMAT </w:instrText>
      </w:r>
      <w:r>
        <w:fldChar w:fldCharType="separate"/>
      </w:r>
      <w:r>
        <w:t xml:space="preserve">Tabel 5.2</w:t>
      </w:r>
      <w:r>
        <w:fldChar w:fldCharType="end"/>
      </w:r>
      <w:r>
        <w:t xml:space="preserve">.</w:t>
      </w:r>
    </w:p>
    <w:p>
      <w:pPr>
        <w:pStyle w:val="Caption"/>
      </w:pPr>
      <w:bookmarkStart w:id="864" w:name="_Toc00272"/>
      <w:bookmarkStart w:id="863" w:name="_Ref0227"/>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63"/>
      <w:r>
        <w:rPr>
          <w:b/>
          <w:bCs/>
          <w:color w:val="051C2C"/>
        </w:rPr>
        <w:t xml:space="preserve"> </w:t>
      </w:r>
      <w:r>
        <w:t xml:space="preserve">Kab/kota, penduduk, status IRBI 2025, daftar perhatian, dan korban DIBI per provinsi, Indonesia, 2015–2025</w:t>
      </w:r>
      <w:bookmarkEnd w:id="86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48"/>
        <w:gridCol w:w="1093"/>
        <w:gridCol w:w="1149"/>
        <w:gridCol w:w="1093"/>
        <w:gridCol w:w="1213"/>
        <w:gridCol w:w="1201"/>
        <w:gridCol w:w="1254"/>
        <w:gridCol w:w="1203"/>
      </w:tblGrid>
      <w:tr>
        <w:trPr>
          <w:cantSplit/>
          <w:tblHeader/>
        </w:trPr>
        <w:tc>
          <w:tcPr>
            <w:tcW w:w="1148" w:type="dxa"/>
            <w:tcBorders>
              <w:bottom w:val="single" w:sz="8" w:space="0" w:color="6B7280"/>
            </w:tcBorders>
            <w:vAlign w:val="bottom"/>
          </w:tcPr>
          <w:p>
            <w:pPr>
              <w:pStyle w:val="KepalaTabel"/>
              <w:suppressAutoHyphens/>
            </w:pPr>
            <w:r>
              <w:rPr>
                <w:b/>
                <w:bCs/>
                <w:color w:val="6B7280"/>
                <w:sz w:val="17"/>
                <w:szCs w:val="17"/>
              </w:rPr>
              <w:t xml:space="preserve">PROVINSI</w:t>
            </w:r>
          </w:p>
        </w:tc>
        <w:tc>
          <w:tcPr>
            <w:tcW w:w="1093"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149" w:type="dxa"/>
            <w:tcBorders>
              <w:bottom w:val="single" w:sz="8" w:space="0" w:color="6B7280"/>
            </w:tcBorders>
            <w:vAlign w:val="bottom"/>
          </w:tcPr>
          <w:p>
            <w:pPr>
              <w:pStyle w:val="KepalaTabel"/>
              <w:suppressAutoHyphens/>
            </w:pPr>
            <w:r>
              <w:rPr>
                <w:b/>
                <w:bCs/>
                <w:color w:val="6B7280"/>
                <w:sz w:val="17"/>
                <w:szCs w:val="17"/>
              </w:rPr>
              <w:t xml:space="preserve">PENDUDUK 2026 (jiwa)</w:t>
            </w:r>
          </w:p>
        </w:tc>
        <w:tc>
          <w:tcPr>
            <w:tcW w:w="1093" w:type="dxa"/>
            <w:tcBorders>
              <w:bottom w:val="single" w:sz="8" w:space="0" w:color="6B7280"/>
            </w:tcBorders>
            <w:vAlign w:val="bottom"/>
          </w:tcPr>
          <w:p>
            <w:pPr>
              <w:pStyle w:val="KepalaTabel"/>
              <w:suppressAutoHyphens/>
            </w:pPr>
            <w:r>
              <w:rPr>
                <w:b/>
                <w:bCs/>
                <w:color w:val="6B7280"/>
                <w:sz w:val="17"/>
                <w:szCs w:val="17"/>
              </w:rPr>
              <w:t xml:space="preserve">KAB/KOTA STATUS TINGGI</w:t>
            </w:r>
          </w:p>
        </w:tc>
        <w:tc>
          <w:tcPr>
            <w:tcW w:w="1213" w:type="dxa"/>
            <w:tcBorders>
              <w:bottom w:val="single" w:sz="8" w:space="0" w:color="6B7280"/>
            </w:tcBorders>
            <w:vAlign w:val="bottom"/>
          </w:tcPr>
          <w:p>
            <w:pPr>
              <w:pStyle w:val="KepalaTabel"/>
              <w:suppressAutoHyphens/>
            </w:pPr>
            <w:r>
              <w:rPr>
                <w:b/>
                <w:bCs/>
                <w:color w:val="6B7280"/>
                <w:sz w:val="17"/>
                <w:szCs w:val="17"/>
              </w:rPr>
              <w:t xml:space="preserve">KAB/KOTA DAFTAR PERHATIAN</w:t>
            </w:r>
          </w:p>
        </w:tc>
        <w:tc>
          <w:tcPr>
            <w:tcW w:w="1201" w:type="dxa"/>
            <w:tcBorders>
              <w:bottom w:val="single" w:sz="8" w:space="0" w:color="6B7280"/>
            </w:tcBorders>
            <w:vAlign w:val="bottom"/>
          </w:tcPr>
          <w:p>
            <w:pPr>
              <w:pStyle w:val="KepalaTabel"/>
              <w:suppressAutoHyphens/>
            </w:pPr>
            <w:r>
              <w:rPr>
                <w:b/>
                <w:bCs/>
                <w:color w:val="6B7280"/>
                <w:sz w:val="17"/>
                <w:szCs w:val="17"/>
              </w:rPr>
              <w:t xml:space="preserve">PERINGKAT DAFTAR</w:t>
            </w:r>
          </w:p>
        </w:tc>
        <w:tc>
          <w:tcPr>
            <w:tcW w:w="1254"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c>
          <w:tcPr>
            <w:tcW w:w="1203" w:type="dxa"/>
            <w:tcBorders>
              <w:bottom w:val="single" w:sz="8" w:space="0" w:color="6B7280"/>
            </w:tcBorders>
            <w:vAlign w:val="bottom"/>
          </w:tcPr>
          <w:p>
            <w:pPr>
              <w:pStyle w:val="KepalaTabel"/>
              <w:suppressAutoHyphens/>
            </w:pPr>
            <w:r>
              <w:rPr>
                <w:b/>
                <w:bCs/>
                <w:color w:val="6B7280"/>
                <w:sz w:val="17"/>
                <w:szCs w:val="17"/>
              </w:rPr>
              <w:t xml:space="preserve">PERINGKAT KORBAN</w:t>
            </w:r>
          </w:p>
        </w:tc>
      </w:tr>
      <w:tr>
        <w:trPr>
          <w:cantSplit/>
        </w:trPr>
        <w:tc>
          <w:tcPr>
            <w:tcW w:w="9354" w:type="dxa"/>
            <w:gridSpan w:val="8"/>
            <w:shd w:val="clear" w:color="auto" w:fill="E6EAF0"/>
          </w:tcPr>
          <w:p>
            <w:pPr>
              <w:pStyle w:val="IsiTabel"/>
              <w:keepNext/>
              <w:suppressAutoHyphens/>
              <w:ind w:left="0"/>
            </w:pPr>
            <w:r>
              <w:rPr>
                <w:b/>
                <w:bCs/>
              </w:rPr>
              <w:t xml:space="preserve">Sumatra</w:t>
            </w:r>
          </w:p>
        </w:tc>
      </w:tr>
      <w:tr>
        <w:trPr>
          <w:cantSplit/>
        </w:trPr>
        <w:tc>
          <w:tcPr>
            <w:tcW w:w="1148" w:type="dxa"/>
          </w:tcPr>
          <w:p>
            <w:pPr>
              <w:pStyle w:val="IsiTabel"/>
              <w:suppressAutoHyphens/>
              <w:jc w:val="left"/>
            </w:pPr>
            <w:r>
              <w:t xml:space="preserve">Aceh</w:t>
            </w:r>
          </w:p>
        </w:tc>
        <w:tc>
          <w:tcPr>
            <w:tcW w:w="1093" w:type="dxa"/>
          </w:tcPr>
          <w:p>
            <w:pPr>
              <w:pStyle w:val="IsiTabel"/>
              <w:suppressAutoHyphens/>
              <w:jc w:val="right"/>
            </w:pPr>
            <w:r>
              <w:t xml:space="preserve">23</w:t>
            </w:r>
          </w:p>
        </w:tc>
        <w:tc>
          <w:tcPr>
            <w:tcW w:w="1149" w:type="dxa"/>
          </w:tcPr>
          <w:p>
            <w:pPr>
              <w:pStyle w:val="IsiTabel"/>
              <w:suppressAutoHyphens/>
              <w:jc w:val="right"/>
            </w:pPr>
            <w:r>
              <w:t xml:space="preserve">5.602.631</w:t>
            </w:r>
          </w:p>
        </w:tc>
        <w:tc>
          <w:tcPr>
            <w:tcW w:w="1093" w:type="dxa"/>
          </w:tcPr>
          <w:p>
            <w:pPr>
              <w:pStyle w:val="IsiTabel"/>
              <w:suppressAutoHyphens/>
              <w:jc w:val="right"/>
            </w:pPr>
            <w:r>
              <w:t xml:space="preserve">13</w:t>
            </w:r>
          </w:p>
        </w:tc>
        <w:tc>
          <w:tcPr>
            <w:tcW w:w="1213" w:type="dxa"/>
          </w:tcPr>
          <w:p>
            <w:pPr>
              <w:pStyle w:val="IsiTabel"/>
              <w:suppressAutoHyphens/>
              <w:jc w:val="right"/>
            </w:pPr>
            <w:r>
              <w:t xml:space="preserve">22</w:t>
            </w:r>
          </w:p>
        </w:tc>
        <w:tc>
          <w:tcPr>
            <w:tcW w:w="1201" w:type="dxa"/>
          </w:tcPr>
          <w:p>
            <w:pPr>
              <w:pStyle w:val="IsiTabel"/>
              <w:suppressAutoHyphens/>
              <w:jc w:val="left"/>
            </w:pPr>
            <w:r>
              <w:t xml:space="preserve">5</w:t>
            </w:r>
          </w:p>
        </w:tc>
        <w:tc>
          <w:tcPr>
            <w:tcW w:w="1254" w:type="dxa"/>
          </w:tcPr>
          <w:p>
            <w:pPr>
              <w:pStyle w:val="IsiTabel"/>
              <w:suppressAutoHyphens/>
              <w:jc w:val="right"/>
            </w:pPr>
            <w:r>
              <w:t xml:space="preserve">794</w:t>
            </w:r>
          </w:p>
        </w:tc>
        <w:tc>
          <w:tcPr>
            <w:tcW w:w="1203" w:type="dxa"/>
          </w:tcPr>
          <w:p>
            <w:pPr>
              <w:pStyle w:val="IsiTabel"/>
              <w:suppressAutoHyphens/>
              <w:jc w:val="left"/>
            </w:pPr>
            <w:r>
              <w:t xml:space="preserve">3</w:t>
            </w:r>
          </w:p>
        </w:tc>
      </w:tr>
      <w:tr>
        <w:trPr>
          <w:cantSplit/>
        </w:trPr>
        <w:tc>
          <w:tcPr>
            <w:tcW w:w="1148" w:type="dxa"/>
          </w:tcPr>
          <w:p>
            <w:pPr>
              <w:pStyle w:val="IsiTabel"/>
              <w:suppressAutoHyphens/>
              <w:jc w:val="left"/>
            </w:pPr>
            <w:r>
              <w:t xml:space="preserve">Sumatera Utara</w:t>
            </w:r>
          </w:p>
        </w:tc>
        <w:tc>
          <w:tcPr>
            <w:tcW w:w="1093" w:type="dxa"/>
          </w:tcPr>
          <w:p>
            <w:pPr>
              <w:pStyle w:val="IsiTabel"/>
              <w:suppressAutoHyphens/>
              <w:jc w:val="right"/>
            </w:pPr>
            <w:r>
              <w:t xml:space="preserve">33</w:t>
            </w:r>
          </w:p>
        </w:tc>
        <w:tc>
          <w:tcPr>
            <w:tcW w:w="1149" w:type="dxa"/>
          </w:tcPr>
          <w:p>
            <w:pPr>
              <w:pStyle w:val="IsiTabel"/>
              <w:suppressAutoHyphens/>
              <w:jc w:val="right"/>
            </w:pPr>
            <w:r>
              <w:t xml:space="preserve">15.719.991</w:t>
            </w:r>
          </w:p>
        </w:tc>
        <w:tc>
          <w:tcPr>
            <w:tcW w:w="1093" w:type="dxa"/>
          </w:tcPr>
          <w:p>
            <w:pPr>
              <w:pStyle w:val="IsiTabel"/>
              <w:suppressAutoHyphens/>
              <w:jc w:val="right"/>
            </w:pPr>
            <w:r>
              <w:t xml:space="preserve">14</w:t>
            </w:r>
          </w:p>
        </w:tc>
        <w:tc>
          <w:tcPr>
            <w:tcW w:w="1213" w:type="dxa"/>
          </w:tcPr>
          <w:p>
            <w:pPr>
              <w:pStyle w:val="IsiTabel"/>
              <w:suppressAutoHyphens/>
              <w:jc w:val="right"/>
            </w:pPr>
            <w:r>
              <w:t xml:space="preserve">32</w:t>
            </w:r>
          </w:p>
        </w:tc>
        <w:tc>
          <w:tcPr>
            <w:tcW w:w="1201" w:type="dxa"/>
          </w:tcPr>
          <w:p>
            <w:pPr>
              <w:pStyle w:val="IsiTabel"/>
              <w:suppressAutoHyphens/>
              <w:jc w:val="left"/>
            </w:pPr>
            <w:r>
              <w:t xml:space="preserve">3</w:t>
            </w:r>
          </w:p>
        </w:tc>
        <w:tc>
          <w:tcPr>
            <w:tcW w:w="1254" w:type="dxa"/>
          </w:tcPr>
          <w:p>
            <w:pPr>
              <w:pStyle w:val="IsiTabel"/>
              <w:suppressAutoHyphens/>
              <w:jc w:val="right"/>
            </w:pPr>
            <w:r>
              <w:t xml:space="preserve">739</w:t>
            </w:r>
          </w:p>
        </w:tc>
        <w:tc>
          <w:tcPr>
            <w:tcW w:w="1203" w:type="dxa"/>
          </w:tcPr>
          <w:p>
            <w:pPr>
              <w:pStyle w:val="IsiTabel"/>
              <w:suppressAutoHyphens/>
              <w:jc w:val="left"/>
            </w:pPr>
            <w:r>
              <w:t xml:space="preserve">4</w:t>
            </w:r>
          </w:p>
        </w:tc>
      </w:tr>
      <w:tr>
        <w:trPr>
          <w:cantSplit/>
        </w:trPr>
        <w:tc>
          <w:tcPr>
            <w:tcW w:w="1148" w:type="dxa"/>
          </w:tcPr>
          <w:p>
            <w:pPr>
              <w:pStyle w:val="IsiTabel"/>
              <w:suppressAutoHyphens/>
              <w:jc w:val="left"/>
            </w:pPr>
            <w:r>
              <w:t xml:space="preserve">Sumatera Barat</w:t>
            </w:r>
          </w:p>
        </w:tc>
        <w:tc>
          <w:tcPr>
            <w:tcW w:w="1093" w:type="dxa"/>
          </w:tcPr>
          <w:p>
            <w:pPr>
              <w:pStyle w:val="IsiTabel"/>
              <w:suppressAutoHyphens/>
              <w:jc w:val="right"/>
            </w:pPr>
            <w:r>
              <w:t xml:space="preserve">19</w:t>
            </w:r>
          </w:p>
        </w:tc>
        <w:tc>
          <w:tcPr>
            <w:tcW w:w="1149" w:type="dxa"/>
          </w:tcPr>
          <w:p>
            <w:pPr>
              <w:pStyle w:val="IsiTabel"/>
              <w:suppressAutoHyphens/>
              <w:jc w:val="right"/>
            </w:pPr>
            <w:r>
              <w:t xml:space="preserve">5.882.205</w:t>
            </w:r>
          </w:p>
        </w:tc>
        <w:tc>
          <w:tcPr>
            <w:tcW w:w="1093" w:type="dxa"/>
          </w:tcPr>
          <w:p>
            <w:pPr>
              <w:pStyle w:val="IsiTabel"/>
              <w:suppressAutoHyphens/>
              <w:jc w:val="right"/>
            </w:pPr>
            <w:r>
              <w:t xml:space="preserve">8</w:t>
            </w:r>
          </w:p>
        </w:tc>
        <w:tc>
          <w:tcPr>
            <w:tcW w:w="1213" w:type="dxa"/>
          </w:tcPr>
          <w:p>
            <w:pPr>
              <w:pStyle w:val="IsiTabel"/>
              <w:suppressAutoHyphens/>
              <w:jc w:val="right"/>
            </w:pPr>
            <w:r>
              <w:t xml:space="preserve">19</w:t>
            </w:r>
          </w:p>
        </w:tc>
        <w:tc>
          <w:tcPr>
            <w:tcW w:w="1201" w:type="dxa"/>
          </w:tcPr>
          <w:p>
            <w:pPr>
              <w:pStyle w:val="IsiTabel"/>
              <w:suppressAutoHyphens/>
              <w:jc w:val="left"/>
            </w:pPr>
            <w:r>
              <w:t xml:space="preserve">7</w:t>
            </w:r>
          </w:p>
        </w:tc>
        <w:tc>
          <w:tcPr>
            <w:tcW w:w="1254" w:type="dxa"/>
          </w:tcPr>
          <w:p>
            <w:pPr>
              <w:pStyle w:val="IsiTabel"/>
              <w:suppressAutoHyphens/>
              <w:jc w:val="right"/>
            </w:pPr>
            <w:r>
              <w:t xml:space="preserve">690</w:t>
            </w:r>
          </w:p>
        </w:tc>
        <w:tc>
          <w:tcPr>
            <w:tcW w:w="1203" w:type="dxa"/>
          </w:tcPr>
          <w:p>
            <w:pPr>
              <w:pStyle w:val="IsiTabel"/>
              <w:suppressAutoHyphens/>
              <w:jc w:val="left"/>
            </w:pPr>
            <w:r>
              <w:t xml:space="preserve">5</w:t>
            </w:r>
          </w:p>
        </w:tc>
      </w:tr>
      <w:tr>
        <w:trPr>
          <w:cantSplit/>
        </w:trPr>
        <w:tc>
          <w:tcPr>
            <w:tcW w:w="1148" w:type="dxa"/>
          </w:tcPr>
          <w:p>
            <w:pPr>
              <w:pStyle w:val="IsiTabel"/>
              <w:suppressAutoHyphens/>
              <w:jc w:val="left"/>
            </w:pPr>
            <w:r>
              <w:t xml:space="preserve">Riau</w:t>
            </w:r>
          </w:p>
        </w:tc>
        <w:tc>
          <w:tcPr>
            <w:tcW w:w="1093" w:type="dxa"/>
          </w:tcPr>
          <w:p>
            <w:pPr>
              <w:pStyle w:val="IsiTabel"/>
              <w:suppressAutoHyphens/>
              <w:jc w:val="right"/>
            </w:pPr>
            <w:r>
              <w:t xml:space="preserve">12</w:t>
            </w:r>
          </w:p>
        </w:tc>
        <w:tc>
          <w:tcPr>
            <w:tcW w:w="1149" w:type="dxa"/>
          </w:tcPr>
          <w:p>
            <w:pPr>
              <w:pStyle w:val="IsiTabel"/>
              <w:suppressAutoHyphens/>
              <w:jc w:val="right"/>
            </w:pPr>
            <w:r>
              <w:t xml:space="preserve">6.782.344</w:t>
            </w:r>
          </w:p>
        </w:tc>
        <w:tc>
          <w:tcPr>
            <w:tcW w:w="1093" w:type="dxa"/>
          </w:tcPr>
          <w:p>
            <w:pPr>
              <w:pStyle w:val="IsiTabel"/>
              <w:suppressAutoHyphens/>
              <w:jc w:val="right"/>
            </w:pPr>
            <w:r>
              <w:t xml:space="preserve">1</w:t>
            </w:r>
          </w:p>
        </w:tc>
        <w:tc>
          <w:tcPr>
            <w:tcW w:w="1213" w:type="dxa"/>
          </w:tcPr>
          <w:p>
            <w:pPr>
              <w:pStyle w:val="IsiTabel"/>
              <w:suppressAutoHyphens/>
              <w:jc w:val="right"/>
            </w:pPr>
            <w:r>
              <w:t xml:space="preserve">11</w:t>
            </w:r>
          </w:p>
        </w:tc>
        <w:tc>
          <w:tcPr>
            <w:tcW w:w="1201" w:type="dxa"/>
          </w:tcPr>
          <w:p>
            <w:pPr>
              <w:pStyle w:val="IsiTabel"/>
              <w:suppressAutoHyphens/>
              <w:jc w:val="left"/>
            </w:pPr>
            <w:r>
              <w:t xml:space="preserve">12</w:t>
            </w:r>
          </w:p>
        </w:tc>
        <w:tc>
          <w:tcPr>
            <w:tcW w:w="1254" w:type="dxa"/>
          </w:tcPr>
          <w:p>
            <w:pPr>
              <w:pStyle w:val="IsiTabel"/>
              <w:suppressAutoHyphens/>
              <w:jc w:val="right"/>
            </w:pPr>
            <w:r>
              <w:t xml:space="preserve">15</w:t>
            </w:r>
          </w:p>
        </w:tc>
        <w:tc>
          <w:tcPr>
            <w:tcW w:w="1203" w:type="dxa"/>
          </w:tcPr>
          <w:p>
            <w:pPr>
              <w:pStyle w:val="IsiTabel"/>
              <w:suppressAutoHyphens/>
              <w:jc w:val="left"/>
            </w:pPr>
            <w:r>
              <w:t xml:space="preserve">36</w:t>
            </w:r>
          </w:p>
        </w:tc>
      </w:tr>
      <w:tr>
        <w:trPr>
          <w:cantSplit/>
        </w:trPr>
        <w:tc>
          <w:tcPr>
            <w:tcW w:w="1148" w:type="dxa"/>
          </w:tcPr>
          <w:p>
            <w:pPr>
              <w:pStyle w:val="IsiTabel"/>
              <w:suppressAutoHyphens/>
              <w:jc w:val="left"/>
            </w:pPr>
            <w:r>
              <w:t xml:space="preserve">Jambi</w:t>
            </w:r>
          </w:p>
        </w:tc>
        <w:tc>
          <w:tcPr>
            <w:tcW w:w="1093" w:type="dxa"/>
          </w:tcPr>
          <w:p>
            <w:pPr>
              <w:pStyle w:val="IsiTabel"/>
              <w:suppressAutoHyphens/>
              <w:jc w:val="right"/>
            </w:pPr>
            <w:r>
              <w:t xml:space="preserve">11</w:t>
            </w:r>
          </w:p>
        </w:tc>
        <w:tc>
          <w:tcPr>
            <w:tcW w:w="1149" w:type="dxa"/>
          </w:tcPr>
          <w:p>
            <w:pPr>
              <w:pStyle w:val="IsiTabel"/>
              <w:suppressAutoHyphens/>
              <w:jc w:val="right"/>
            </w:pPr>
            <w:r>
              <w:t xml:space="preserve">3.762.630</w:t>
            </w:r>
          </w:p>
        </w:tc>
        <w:tc>
          <w:tcPr>
            <w:tcW w:w="1093" w:type="dxa"/>
          </w:tcPr>
          <w:p>
            <w:pPr>
              <w:pStyle w:val="IsiTabel"/>
              <w:suppressAutoHyphens/>
              <w:jc w:val="right"/>
            </w:pPr>
            <w:r>
              <w:t xml:space="preserve">3</w:t>
            </w:r>
          </w:p>
        </w:tc>
        <w:tc>
          <w:tcPr>
            <w:tcW w:w="1213" w:type="dxa"/>
          </w:tcPr>
          <w:p>
            <w:pPr>
              <w:pStyle w:val="IsiTabel"/>
              <w:suppressAutoHyphens/>
              <w:jc w:val="right"/>
            </w:pPr>
            <w:r>
              <w:t xml:space="preserve">8</w:t>
            </w:r>
          </w:p>
        </w:tc>
        <w:tc>
          <w:tcPr>
            <w:tcW w:w="1201" w:type="dxa"/>
          </w:tcPr>
          <w:p>
            <w:pPr>
              <w:pStyle w:val="IsiTabel"/>
              <w:suppressAutoHyphens/>
              <w:jc w:val="left"/>
            </w:pPr>
            <w:r>
              <w:t xml:space="preserve">20</w:t>
            </w:r>
          </w:p>
        </w:tc>
        <w:tc>
          <w:tcPr>
            <w:tcW w:w="1254" w:type="dxa"/>
          </w:tcPr>
          <w:p>
            <w:pPr>
              <w:pStyle w:val="IsiTabel"/>
              <w:suppressAutoHyphens/>
              <w:jc w:val="right"/>
            </w:pPr>
            <w:r>
              <w:t xml:space="preserve">52</w:t>
            </w:r>
          </w:p>
        </w:tc>
        <w:tc>
          <w:tcPr>
            <w:tcW w:w="1203" w:type="dxa"/>
          </w:tcPr>
          <w:p>
            <w:pPr>
              <w:pStyle w:val="IsiTabel"/>
              <w:suppressAutoHyphens/>
              <w:jc w:val="left"/>
            </w:pPr>
            <w:r>
              <w:t xml:space="preserve">27</w:t>
            </w:r>
          </w:p>
        </w:tc>
      </w:tr>
      <w:tr>
        <w:trPr>
          <w:cantSplit/>
        </w:trPr>
        <w:tc>
          <w:tcPr>
            <w:tcW w:w="1148" w:type="dxa"/>
          </w:tcPr>
          <w:p>
            <w:pPr>
              <w:pStyle w:val="IsiTabel"/>
              <w:suppressAutoHyphens/>
              <w:jc w:val="left"/>
            </w:pPr>
            <w:r>
              <w:t xml:space="preserve">Sumatera Selatan</w:t>
            </w:r>
          </w:p>
        </w:tc>
        <w:tc>
          <w:tcPr>
            <w:tcW w:w="1093" w:type="dxa"/>
          </w:tcPr>
          <w:p>
            <w:pPr>
              <w:pStyle w:val="IsiTabel"/>
              <w:suppressAutoHyphens/>
              <w:jc w:val="right"/>
            </w:pPr>
            <w:r>
              <w:t xml:space="preserve">17</w:t>
            </w:r>
          </w:p>
        </w:tc>
        <w:tc>
          <w:tcPr>
            <w:tcW w:w="1149" w:type="dxa"/>
          </w:tcPr>
          <w:p>
            <w:pPr>
              <w:pStyle w:val="IsiTabel"/>
              <w:suppressAutoHyphens/>
              <w:jc w:val="right"/>
            </w:pPr>
            <w:r>
              <w:t xml:space="preserve">8.997.440</w:t>
            </w:r>
          </w:p>
        </w:tc>
        <w:tc>
          <w:tcPr>
            <w:tcW w:w="1093" w:type="dxa"/>
          </w:tcPr>
          <w:p>
            <w:pPr>
              <w:pStyle w:val="IsiTabel"/>
              <w:suppressAutoHyphens/>
              <w:jc w:val="right"/>
            </w:pPr>
            <w:r>
              <w:t xml:space="preserve">3</w:t>
            </w:r>
          </w:p>
        </w:tc>
        <w:tc>
          <w:tcPr>
            <w:tcW w:w="1213" w:type="dxa"/>
          </w:tcPr>
          <w:p>
            <w:pPr>
              <w:pStyle w:val="IsiTabel"/>
              <w:suppressAutoHyphens/>
              <w:jc w:val="right"/>
            </w:pPr>
            <w:r>
              <w:t xml:space="preserve">13</w:t>
            </w:r>
          </w:p>
        </w:tc>
        <w:tc>
          <w:tcPr>
            <w:tcW w:w="1201" w:type="dxa"/>
          </w:tcPr>
          <w:p>
            <w:pPr>
              <w:pStyle w:val="IsiTabel"/>
              <w:suppressAutoHyphens/>
              <w:jc w:val="left"/>
            </w:pPr>
            <w:r>
              <w:t xml:space="preserve">9</w:t>
            </w:r>
          </w:p>
        </w:tc>
        <w:tc>
          <w:tcPr>
            <w:tcW w:w="1254" w:type="dxa"/>
          </w:tcPr>
          <w:p>
            <w:pPr>
              <w:pStyle w:val="IsiTabel"/>
              <w:suppressAutoHyphens/>
              <w:jc w:val="right"/>
            </w:pPr>
            <w:r>
              <w:t xml:space="preserve">57</w:t>
            </w:r>
          </w:p>
        </w:tc>
        <w:tc>
          <w:tcPr>
            <w:tcW w:w="1203" w:type="dxa"/>
          </w:tcPr>
          <w:p>
            <w:pPr>
              <w:pStyle w:val="IsiTabel"/>
              <w:suppressAutoHyphens/>
              <w:jc w:val="left"/>
            </w:pPr>
            <w:r>
              <w:t xml:space="preserve">26</w:t>
            </w:r>
          </w:p>
        </w:tc>
      </w:tr>
      <w:tr>
        <w:trPr>
          <w:cantSplit/>
        </w:trPr>
        <w:tc>
          <w:tcPr>
            <w:tcW w:w="1148" w:type="dxa"/>
          </w:tcPr>
          <w:p>
            <w:pPr>
              <w:pStyle w:val="IsiTabel"/>
              <w:suppressAutoHyphens/>
              <w:jc w:val="left"/>
            </w:pPr>
            <w:r>
              <w:t xml:space="preserve">Bengkulu</w:t>
            </w:r>
          </w:p>
        </w:tc>
        <w:tc>
          <w:tcPr>
            <w:tcW w:w="1093" w:type="dxa"/>
          </w:tcPr>
          <w:p>
            <w:pPr>
              <w:pStyle w:val="IsiTabel"/>
              <w:suppressAutoHyphens/>
              <w:jc w:val="right"/>
            </w:pPr>
            <w:r>
              <w:t xml:space="preserve">10</w:t>
            </w:r>
          </w:p>
        </w:tc>
        <w:tc>
          <w:tcPr>
            <w:tcW w:w="1149" w:type="dxa"/>
          </w:tcPr>
          <w:p>
            <w:pPr>
              <w:pStyle w:val="IsiTabel"/>
              <w:suppressAutoHyphens/>
              <w:jc w:val="right"/>
            </w:pPr>
            <w:r>
              <w:t xml:space="preserve">2.133.717</w:t>
            </w:r>
          </w:p>
        </w:tc>
        <w:tc>
          <w:tcPr>
            <w:tcW w:w="1093" w:type="dxa"/>
          </w:tcPr>
          <w:p>
            <w:pPr>
              <w:pStyle w:val="IsiTabel"/>
              <w:suppressAutoHyphens/>
              <w:jc w:val="right"/>
            </w:pPr>
            <w:r>
              <w:t xml:space="preserve">5</w:t>
            </w:r>
          </w:p>
        </w:tc>
        <w:tc>
          <w:tcPr>
            <w:tcW w:w="1213" w:type="dxa"/>
          </w:tcPr>
          <w:p>
            <w:pPr>
              <w:pStyle w:val="IsiTabel"/>
              <w:suppressAutoHyphens/>
              <w:jc w:val="right"/>
            </w:pPr>
            <w:r>
              <w:t xml:space="preserve">7</w:t>
            </w:r>
          </w:p>
        </w:tc>
        <w:tc>
          <w:tcPr>
            <w:tcW w:w="1201" w:type="dxa"/>
          </w:tcPr>
          <w:p>
            <w:pPr>
              <w:pStyle w:val="IsiTabel"/>
              <w:suppressAutoHyphens/>
              <w:jc w:val="left"/>
            </w:pPr>
            <w:r>
              <w:t xml:space="preserve">23</w:t>
            </w:r>
          </w:p>
        </w:tc>
        <w:tc>
          <w:tcPr>
            <w:tcW w:w="1254" w:type="dxa"/>
          </w:tcPr>
          <w:p>
            <w:pPr>
              <w:pStyle w:val="IsiTabel"/>
              <w:suppressAutoHyphens/>
              <w:jc w:val="right"/>
            </w:pPr>
            <w:r>
              <w:t xml:space="preserve">100</w:t>
            </w:r>
          </w:p>
        </w:tc>
        <w:tc>
          <w:tcPr>
            <w:tcW w:w="1203" w:type="dxa"/>
          </w:tcPr>
          <w:p>
            <w:pPr>
              <w:pStyle w:val="IsiTabel"/>
              <w:suppressAutoHyphens/>
              <w:jc w:val="left"/>
            </w:pPr>
            <w:r>
              <w:t xml:space="preserve">16</w:t>
            </w:r>
          </w:p>
        </w:tc>
      </w:tr>
      <w:tr>
        <w:trPr>
          <w:cantSplit/>
        </w:trPr>
        <w:tc>
          <w:tcPr>
            <w:tcW w:w="1148" w:type="dxa"/>
          </w:tcPr>
          <w:p>
            <w:pPr>
              <w:pStyle w:val="IsiTabel"/>
              <w:suppressAutoHyphens/>
              <w:jc w:val="left"/>
            </w:pPr>
            <w:r>
              <w:t xml:space="preserve">Lampung</w:t>
            </w:r>
          </w:p>
        </w:tc>
        <w:tc>
          <w:tcPr>
            <w:tcW w:w="1093" w:type="dxa"/>
          </w:tcPr>
          <w:p>
            <w:pPr>
              <w:pStyle w:val="IsiTabel"/>
              <w:suppressAutoHyphens/>
              <w:jc w:val="right"/>
            </w:pPr>
            <w:r>
              <w:t xml:space="preserve">15</w:t>
            </w:r>
          </w:p>
        </w:tc>
        <w:tc>
          <w:tcPr>
            <w:tcW w:w="1149" w:type="dxa"/>
          </w:tcPr>
          <w:p>
            <w:pPr>
              <w:pStyle w:val="IsiTabel"/>
              <w:suppressAutoHyphens/>
              <w:jc w:val="right"/>
            </w:pPr>
            <w:r>
              <w:t xml:space="preserve">9.559.544</w:t>
            </w:r>
          </w:p>
        </w:tc>
        <w:tc>
          <w:tcPr>
            <w:tcW w:w="1093" w:type="dxa"/>
          </w:tcPr>
          <w:p>
            <w:pPr>
              <w:pStyle w:val="IsiTabel"/>
              <w:suppressAutoHyphens/>
              <w:jc w:val="right"/>
            </w:pPr>
            <w:r>
              <w:t xml:space="preserve">3</w:t>
            </w:r>
          </w:p>
        </w:tc>
        <w:tc>
          <w:tcPr>
            <w:tcW w:w="1213" w:type="dxa"/>
          </w:tcPr>
          <w:p>
            <w:pPr>
              <w:pStyle w:val="IsiTabel"/>
              <w:suppressAutoHyphens/>
              <w:jc w:val="right"/>
            </w:pPr>
            <w:r>
              <w:t xml:space="preserve">12</w:t>
            </w:r>
          </w:p>
        </w:tc>
        <w:tc>
          <w:tcPr>
            <w:tcW w:w="1201" w:type="dxa"/>
          </w:tcPr>
          <w:p>
            <w:pPr>
              <w:pStyle w:val="IsiTabel"/>
              <w:suppressAutoHyphens/>
              <w:jc w:val="left"/>
            </w:pPr>
            <w:r>
              <w:t xml:space="preserve">11</w:t>
            </w:r>
          </w:p>
        </w:tc>
        <w:tc>
          <w:tcPr>
            <w:tcW w:w="1254" w:type="dxa"/>
          </w:tcPr>
          <w:p>
            <w:pPr>
              <w:pStyle w:val="IsiTabel"/>
              <w:suppressAutoHyphens/>
              <w:jc w:val="right"/>
            </w:pPr>
            <w:r>
              <w:t xml:space="preserve">199</w:t>
            </w:r>
          </w:p>
        </w:tc>
        <w:tc>
          <w:tcPr>
            <w:tcW w:w="1203" w:type="dxa"/>
          </w:tcPr>
          <w:p>
            <w:pPr>
              <w:pStyle w:val="IsiTabel"/>
              <w:suppressAutoHyphens/>
              <w:jc w:val="left"/>
            </w:pPr>
            <w:r>
              <w:t xml:space="preserve">13</w:t>
            </w:r>
          </w:p>
        </w:tc>
      </w:tr>
      <w:tr>
        <w:trPr>
          <w:cantSplit/>
        </w:trPr>
        <w:tc>
          <w:tcPr>
            <w:tcW w:w="1148" w:type="dxa"/>
          </w:tcPr>
          <w:p>
            <w:pPr>
              <w:pStyle w:val="IsiTabel"/>
              <w:suppressAutoHyphens/>
              <w:jc w:val="left"/>
            </w:pPr>
            <w:r>
              <w:t xml:space="preserve">Kep. Bangka Belitung</w:t>
            </w:r>
          </w:p>
        </w:tc>
        <w:tc>
          <w:tcPr>
            <w:tcW w:w="1093" w:type="dxa"/>
          </w:tcPr>
          <w:p>
            <w:pPr>
              <w:pStyle w:val="IsiTabel"/>
              <w:suppressAutoHyphens/>
              <w:jc w:val="right"/>
            </w:pPr>
            <w:r>
              <w:t xml:space="preserve">7</w:t>
            </w:r>
          </w:p>
        </w:tc>
        <w:tc>
          <w:tcPr>
            <w:tcW w:w="1149" w:type="dxa"/>
          </w:tcPr>
          <w:p>
            <w:pPr>
              <w:pStyle w:val="IsiTabel"/>
              <w:suppressAutoHyphens/>
              <w:jc w:val="right"/>
            </w:pPr>
            <w:r>
              <w:t xml:space="preserve">1.541.617</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5</w:t>
            </w:r>
          </w:p>
        </w:tc>
        <w:tc>
          <w:tcPr>
            <w:tcW w:w="1201" w:type="dxa"/>
          </w:tcPr>
          <w:p>
            <w:pPr>
              <w:pStyle w:val="IsiTabel"/>
              <w:suppressAutoHyphens/>
              <w:jc w:val="left"/>
            </w:pPr>
            <w:r>
              <w:t xml:space="preserve">28</w:t>
            </w:r>
          </w:p>
        </w:tc>
        <w:tc>
          <w:tcPr>
            <w:tcW w:w="1254" w:type="dxa"/>
          </w:tcPr>
          <w:p>
            <w:pPr>
              <w:pStyle w:val="IsiTabel"/>
              <w:suppressAutoHyphens/>
              <w:jc w:val="right"/>
            </w:pPr>
            <w:r>
              <w:t xml:space="preserve">27</w:t>
            </w:r>
          </w:p>
        </w:tc>
        <w:tc>
          <w:tcPr>
            <w:tcW w:w="1203" w:type="dxa"/>
          </w:tcPr>
          <w:p>
            <w:pPr>
              <w:pStyle w:val="IsiTabel"/>
              <w:suppressAutoHyphens/>
              <w:jc w:val="left"/>
            </w:pPr>
            <w:r>
              <w:t xml:space="preserve">34</w:t>
            </w:r>
          </w:p>
        </w:tc>
      </w:tr>
      <w:tr>
        <w:trPr>
          <w:cantSplit/>
        </w:trPr>
        <w:tc>
          <w:tcPr>
            <w:tcW w:w="1148" w:type="dxa"/>
          </w:tcPr>
          <w:p>
            <w:pPr>
              <w:pStyle w:val="IsiTabel"/>
              <w:suppressAutoHyphens/>
              <w:jc w:val="left"/>
            </w:pPr>
            <w:r>
              <w:t xml:space="preserve">Kepulauan Riau</w:t>
            </w:r>
          </w:p>
        </w:tc>
        <w:tc>
          <w:tcPr>
            <w:tcW w:w="1093" w:type="dxa"/>
          </w:tcPr>
          <w:p>
            <w:pPr>
              <w:pStyle w:val="IsiTabel"/>
              <w:suppressAutoHyphens/>
              <w:jc w:val="right"/>
            </w:pPr>
            <w:r>
              <w:t xml:space="preserve">7</w:t>
            </w:r>
          </w:p>
        </w:tc>
        <w:tc>
          <w:tcPr>
            <w:tcW w:w="1149" w:type="dxa"/>
          </w:tcPr>
          <w:p>
            <w:pPr>
              <w:pStyle w:val="IsiTabel"/>
              <w:suppressAutoHyphens/>
              <w:jc w:val="right"/>
            </w:pPr>
            <w:r>
              <w:t xml:space="preserve">2.173.180</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7</w:t>
            </w:r>
          </w:p>
        </w:tc>
        <w:tc>
          <w:tcPr>
            <w:tcW w:w="1201" w:type="dxa"/>
          </w:tcPr>
          <w:p>
            <w:pPr>
              <w:pStyle w:val="IsiTabel"/>
              <w:suppressAutoHyphens/>
              <w:jc w:val="left"/>
            </w:pPr>
            <w:r>
              <w:t xml:space="preserve">24</w:t>
            </w:r>
          </w:p>
        </w:tc>
        <w:tc>
          <w:tcPr>
            <w:tcW w:w="1254" w:type="dxa"/>
          </w:tcPr>
          <w:p>
            <w:pPr>
              <w:pStyle w:val="IsiTabel"/>
              <w:suppressAutoHyphens/>
              <w:jc w:val="right"/>
            </w:pPr>
            <w:r>
              <w:t xml:space="preserve">72</w:t>
            </w:r>
          </w:p>
        </w:tc>
        <w:tc>
          <w:tcPr>
            <w:tcW w:w="1203" w:type="dxa"/>
          </w:tcPr>
          <w:p>
            <w:pPr>
              <w:pStyle w:val="IsiTabel"/>
              <w:suppressAutoHyphens/>
              <w:jc w:val="left"/>
            </w:pPr>
            <w:r>
              <w:t xml:space="preserve">20</w:t>
            </w:r>
          </w:p>
        </w:tc>
      </w:tr>
      <w:tr>
        <w:trPr>
          <w:cantSplit/>
        </w:trPr>
        <w:tc>
          <w:tcPr>
            <w:tcW w:w="1148" w:type="dxa"/>
            <w:shd w:val="clear" w:color="auto" w:fill="E6EAF0"/>
          </w:tcPr>
          <w:p>
            <w:pPr>
              <w:pStyle w:val="IsiTabel"/>
              <w:suppressAutoHyphens/>
            </w:pPr>
            <w:r>
              <w:rPr>
                <w:b/>
                <w:bCs/>
                <w:color w:val="1A1A1A"/>
              </w:rPr>
              <w:t xml:space="preserve">Subtotal Sumatra</w:t>
            </w:r>
          </w:p>
        </w:tc>
        <w:tc>
          <w:tcPr>
            <w:tcW w:w="1093" w:type="dxa"/>
            <w:shd w:val="clear" w:color="auto" w:fill="E6EAF0"/>
          </w:tcPr>
          <w:p>
            <w:pPr>
              <w:pStyle w:val="IsiTabel"/>
              <w:suppressAutoHyphens/>
              <w:jc w:val="right"/>
            </w:pPr>
            <w:r>
              <w:rPr>
                <w:b/>
                <w:bCs/>
                <w:color w:val="1A1A1A"/>
              </w:rPr>
              <w:t xml:space="preserve">154</w:t>
            </w:r>
          </w:p>
        </w:tc>
        <w:tc>
          <w:tcPr>
            <w:tcW w:w="1149" w:type="dxa"/>
            <w:shd w:val="clear" w:color="auto" w:fill="E6EAF0"/>
          </w:tcPr>
          <w:p>
            <w:pPr>
              <w:pStyle w:val="IsiTabel"/>
              <w:suppressAutoHyphens/>
              <w:jc w:val="right"/>
            </w:pPr>
            <w:r>
              <w:rPr>
                <w:b/>
                <w:bCs/>
                <w:color w:val="1A1A1A"/>
              </w:rPr>
              <w:t xml:space="preserve">62.155.299</w:t>
            </w:r>
          </w:p>
        </w:tc>
        <w:tc>
          <w:tcPr>
            <w:tcW w:w="1093" w:type="dxa"/>
            <w:shd w:val="clear" w:color="auto" w:fill="E6EAF0"/>
          </w:tcPr>
          <w:p>
            <w:pPr>
              <w:pStyle w:val="IsiTabel"/>
              <w:suppressAutoHyphens/>
              <w:jc w:val="right"/>
            </w:pPr>
            <w:r>
              <w:rPr>
                <w:b/>
                <w:bCs/>
                <w:color w:val="1A1A1A"/>
              </w:rPr>
              <w:t xml:space="preserve">50</w:t>
            </w:r>
          </w:p>
        </w:tc>
        <w:tc>
          <w:tcPr>
            <w:tcW w:w="1213" w:type="dxa"/>
            <w:shd w:val="clear" w:color="auto" w:fill="E6EAF0"/>
          </w:tcPr>
          <w:p>
            <w:pPr>
              <w:pStyle w:val="IsiTabel"/>
              <w:suppressAutoHyphens/>
              <w:jc w:val="right"/>
            </w:pPr>
            <w:r>
              <w:rPr>
                <w:b/>
                <w:bCs/>
                <w:color w:val="1A1A1A"/>
              </w:rPr>
              <w:t xml:space="preserve">136</w:t>
            </w:r>
          </w:p>
        </w:tc>
        <w:tc>
          <w:tcPr>
            <w:tcW w:w="1201" w:type="dxa"/>
            <w:shd w:val="clear" w:color="auto" w:fill="E6EAF0"/>
          </w:tcPr>
          <w:p>
            <w:pPr>
              <w:pStyle w:val="IsiTabel"/>
              <w:suppressAutoHyphens/>
              <w:jc w:val="left"/>
            </w:pPr>
          </w:p>
        </w:tc>
        <w:tc>
          <w:tcPr>
            <w:tcW w:w="1254" w:type="dxa"/>
            <w:shd w:val="clear" w:color="auto" w:fill="E6EAF0"/>
          </w:tcPr>
          <w:p>
            <w:pPr>
              <w:pStyle w:val="IsiTabel"/>
              <w:suppressAutoHyphens/>
              <w:jc w:val="right"/>
            </w:pPr>
            <w:r>
              <w:rPr>
                <w:b/>
                <w:bCs/>
                <w:color w:val="1A1A1A"/>
              </w:rPr>
              <w:t xml:space="preserve">2.745</w:t>
            </w:r>
          </w:p>
        </w:tc>
        <w:tc>
          <w:tcPr>
            <w:tcW w:w="1203"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Jawa</w:t>
            </w:r>
          </w:p>
        </w:tc>
      </w:tr>
      <w:tr>
        <w:trPr>
          <w:cantSplit/>
        </w:trPr>
        <w:tc>
          <w:tcPr>
            <w:tcW w:w="1148" w:type="dxa"/>
          </w:tcPr>
          <w:p>
            <w:pPr>
              <w:pStyle w:val="IsiTabel"/>
              <w:suppressAutoHyphens/>
              <w:jc w:val="left"/>
            </w:pPr>
            <w:r>
              <w:t xml:space="preserve">DKI Jakarta</w:t>
            </w:r>
          </w:p>
        </w:tc>
        <w:tc>
          <w:tcPr>
            <w:tcW w:w="1093" w:type="dxa"/>
          </w:tcPr>
          <w:p>
            <w:pPr>
              <w:pStyle w:val="IsiTabel"/>
              <w:suppressAutoHyphens/>
              <w:jc w:val="right"/>
            </w:pPr>
            <w:r>
              <w:t xml:space="preserve">6</w:t>
            </w:r>
          </w:p>
        </w:tc>
        <w:tc>
          <w:tcPr>
            <w:tcW w:w="1149" w:type="dxa"/>
          </w:tcPr>
          <w:p>
            <w:pPr>
              <w:pStyle w:val="IsiTabel"/>
              <w:suppressAutoHyphens/>
              <w:jc w:val="right"/>
            </w:pPr>
            <w:r>
              <w:t xml:space="preserve">11.147.200</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6</w:t>
            </w:r>
          </w:p>
        </w:tc>
        <w:tc>
          <w:tcPr>
            <w:tcW w:w="1201" w:type="dxa"/>
          </w:tcPr>
          <w:p>
            <w:pPr>
              <w:pStyle w:val="IsiTabel"/>
              <w:suppressAutoHyphens/>
              <w:jc w:val="left"/>
            </w:pPr>
            <w:r>
              <w:t xml:space="preserve">26</w:t>
            </w:r>
          </w:p>
        </w:tc>
        <w:tc>
          <w:tcPr>
            <w:tcW w:w="1254" w:type="dxa"/>
          </w:tcPr>
          <w:p>
            <w:pPr>
              <w:pStyle w:val="IsiTabel"/>
              <w:suppressAutoHyphens/>
              <w:jc w:val="right"/>
            </w:pPr>
            <w:r>
              <w:t xml:space="preserve">64</w:t>
            </w:r>
          </w:p>
        </w:tc>
        <w:tc>
          <w:tcPr>
            <w:tcW w:w="1203" w:type="dxa"/>
          </w:tcPr>
          <w:p>
            <w:pPr>
              <w:pStyle w:val="IsiTabel"/>
              <w:suppressAutoHyphens/>
              <w:jc w:val="left"/>
            </w:pPr>
            <w:r>
              <w:t xml:space="preserve">22</w:t>
            </w:r>
          </w:p>
        </w:tc>
      </w:tr>
      <w:tr>
        <w:trPr>
          <w:cantSplit/>
        </w:trPr>
        <w:tc>
          <w:tcPr>
            <w:tcW w:w="1148" w:type="dxa"/>
          </w:tcPr>
          <w:p>
            <w:pPr>
              <w:pStyle w:val="IsiTabel"/>
              <w:suppressAutoHyphens/>
              <w:jc w:val="left"/>
            </w:pPr>
            <w:r>
              <w:t xml:space="preserve">Jawa Barat</w:t>
            </w:r>
          </w:p>
        </w:tc>
        <w:tc>
          <w:tcPr>
            <w:tcW w:w="1093" w:type="dxa"/>
          </w:tcPr>
          <w:p>
            <w:pPr>
              <w:pStyle w:val="IsiTabel"/>
              <w:suppressAutoHyphens/>
              <w:jc w:val="right"/>
            </w:pPr>
            <w:r>
              <w:t xml:space="preserve">27</w:t>
            </w:r>
          </w:p>
        </w:tc>
        <w:tc>
          <w:tcPr>
            <w:tcW w:w="1149" w:type="dxa"/>
          </w:tcPr>
          <w:p>
            <w:pPr>
              <w:pStyle w:val="IsiTabel"/>
              <w:suppressAutoHyphens/>
              <w:jc w:val="right"/>
            </w:pPr>
            <w:r>
              <w:t xml:space="preserve">51.002.450</w:t>
            </w:r>
          </w:p>
        </w:tc>
        <w:tc>
          <w:tcPr>
            <w:tcW w:w="1093" w:type="dxa"/>
          </w:tcPr>
          <w:p>
            <w:pPr>
              <w:pStyle w:val="IsiTabel"/>
              <w:suppressAutoHyphens/>
              <w:jc w:val="right"/>
            </w:pPr>
            <w:r>
              <w:t xml:space="preserve">1</w:t>
            </w:r>
          </w:p>
        </w:tc>
        <w:tc>
          <w:tcPr>
            <w:tcW w:w="1213" w:type="dxa"/>
          </w:tcPr>
          <w:p>
            <w:pPr>
              <w:pStyle w:val="IsiTabel"/>
              <w:suppressAutoHyphens/>
              <w:jc w:val="right"/>
            </w:pPr>
            <w:r>
              <w:t xml:space="preserve">26</w:t>
            </w:r>
          </w:p>
        </w:tc>
        <w:tc>
          <w:tcPr>
            <w:tcW w:w="1201" w:type="dxa"/>
          </w:tcPr>
          <w:p>
            <w:pPr>
              <w:pStyle w:val="IsiTabel"/>
              <w:suppressAutoHyphens/>
              <w:jc w:val="left"/>
            </w:pPr>
            <w:r>
              <w:t xml:space="preserve">4</w:t>
            </w:r>
          </w:p>
        </w:tc>
        <w:tc>
          <w:tcPr>
            <w:tcW w:w="1254" w:type="dxa"/>
          </w:tcPr>
          <w:p>
            <w:pPr>
              <w:pStyle w:val="IsiTabel"/>
              <w:suppressAutoHyphens/>
              <w:jc w:val="right"/>
            </w:pPr>
            <w:r>
              <w:t xml:space="preserve">1.260</w:t>
            </w:r>
          </w:p>
        </w:tc>
        <w:tc>
          <w:tcPr>
            <w:tcW w:w="1203" w:type="dxa"/>
          </w:tcPr>
          <w:p>
            <w:pPr>
              <w:pStyle w:val="IsiTabel"/>
              <w:suppressAutoHyphens/>
              <w:jc w:val="left"/>
            </w:pPr>
            <w:r>
              <w:t xml:space="preserve">2</w:t>
            </w:r>
          </w:p>
        </w:tc>
      </w:tr>
      <w:tr>
        <w:trPr>
          <w:cantSplit/>
        </w:trPr>
        <w:tc>
          <w:tcPr>
            <w:tcW w:w="1148" w:type="dxa"/>
          </w:tcPr>
          <w:p>
            <w:pPr>
              <w:pStyle w:val="IsiTabel"/>
              <w:suppressAutoHyphens/>
              <w:jc w:val="left"/>
            </w:pPr>
            <w:r>
              <w:t xml:space="preserve">Jawa Tengah</w:t>
            </w:r>
          </w:p>
        </w:tc>
        <w:tc>
          <w:tcPr>
            <w:tcW w:w="1093" w:type="dxa"/>
          </w:tcPr>
          <w:p>
            <w:pPr>
              <w:pStyle w:val="IsiTabel"/>
              <w:suppressAutoHyphens/>
              <w:jc w:val="right"/>
            </w:pPr>
            <w:r>
              <w:t xml:space="preserve">35</w:t>
            </w:r>
          </w:p>
        </w:tc>
        <w:tc>
          <w:tcPr>
            <w:tcW w:w="1149" w:type="dxa"/>
          </w:tcPr>
          <w:p>
            <w:pPr>
              <w:pStyle w:val="IsiTabel"/>
              <w:suppressAutoHyphens/>
              <w:jc w:val="right"/>
            </w:pPr>
            <w:r>
              <w:t xml:space="preserve">38.770.526</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33</w:t>
            </w:r>
          </w:p>
        </w:tc>
        <w:tc>
          <w:tcPr>
            <w:tcW w:w="1201" w:type="dxa"/>
          </w:tcPr>
          <w:p>
            <w:pPr>
              <w:pStyle w:val="IsiTabel"/>
              <w:suppressAutoHyphens/>
              <w:jc w:val="left"/>
            </w:pPr>
            <w:r>
              <w:t xml:space="preserve">1</w:t>
            </w:r>
          </w:p>
        </w:tc>
        <w:tc>
          <w:tcPr>
            <w:tcW w:w="1254" w:type="dxa"/>
          </w:tcPr>
          <w:p>
            <w:pPr>
              <w:pStyle w:val="IsiTabel"/>
              <w:suppressAutoHyphens/>
              <w:jc w:val="right"/>
            </w:pPr>
            <w:r>
              <w:t xml:space="preserve">559</w:t>
            </w:r>
          </w:p>
        </w:tc>
        <w:tc>
          <w:tcPr>
            <w:tcW w:w="1203" w:type="dxa"/>
          </w:tcPr>
          <w:p>
            <w:pPr>
              <w:pStyle w:val="IsiTabel"/>
              <w:suppressAutoHyphens/>
              <w:jc w:val="left"/>
            </w:pPr>
            <w:r>
              <w:t xml:space="preserve">7</w:t>
            </w:r>
          </w:p>
        </w:tc>
      </w:tr>
      <w:tr>
        <w:trPr>
          <w:cantSplit/>
        </w:trPr>
        <w:tc>
          <w:tcPr>
            <w:tcW w:w="1148" w:type="dxa"/>
          </w:tcPr>
          <w:p>
            <w:pPr>
              <w:pStyle w:val="IsiTabel"/>
              <w:suppressAutoHyphens/>
              <w:jc w:val="left"/>
            </w:pPr>
            <w:r>
              <w:t xml:space="preserve">DI Yogyakarta</w:t>
            </w:r>
          </w:p>
        </w:tc>
        <w:tc>
          <w:tcPr>
            <w:tcW w:w="1093" w:type="dxa"/>
          </w:tcPr>
          <w:p>
            <w:pPr>
              <w:pStyle w:val="IsiTabel"/>
              <w:suppressAutoHyphens/>
              <w:jc w:val="right"/>
            </w:pPr>
            <w:r>
              <w:t xml:space="preserve">5</w:t>
            </w:r>
          </w:p>
        </w:tc>
        <w:tc>
          <w:tcPr>
            <w:tcW w:w="1149" w:type="dxa"/>
          </w:tcPr>
          <w:p>
            <w:pPr>
              <w:pStyle w:val="IsiTabel"/>
              <w:suppressAutoHyphens/>
              <w:jc w:val="right"/>
            </w:pPr>
            <w:r>
              <w:t xml:space="preserve">3.913.753</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5</w:t>
            </w:r>
          </w:p>
        </w:tc>
        <w:tc>
          <w:tcPr>
            <w:tcW w:w="1201" w:type="dxa"/>
          </w:tcPr>
          <w:p>
            <w:pPr>
              <w:pStyle w:val="IsiTabel"/>
              <w:suppressAutoHyphens/>
              <w:jc w:val="left"/>
            </w:pPr>
            <w:r>
              <w:t xml:space="preserve">29</w:t>
            </w:r>
          </w:p>
        </w:tc>
        <w:tc>
          <w:tcPr>
            <w:tcW w:w="1254" w:type="dxa"/>
          </w:tcPr>
          <w:p>
            <w:pPr>
              <w:pStyle w:val="IsiTabel"/>
              <w:suppressAutoHyphens/>
              <w:jc w:val="right"/>
            </w:pPr>
            <w:r>
              <w:t xml:space="preserve">52</w:t>
            </w:r>
          </w:p>
        </w:tc>
        <w:tc>
          <w:tcPr>
            <w:tcW w:w="1203" w:type="dxa"/>
          </w:tcPr>
          <w:p>
            <w:pPr>
              <w:pStyle w:val="IsiTabel"/>
              <w:suppressAutoHyphens/>
              <w:jc w:val="left"/>
            </w:pPr>
            <w:r>
              <w:t xml:space="preserve">28</w:t>
            </w:r>
          </w:p>
        </w:tc>
      </w:tr>
      <w:tr>
        <w:trPr>
          <w:cantSplit/>
        </w:trPr>
        <w:tc>
          <w:tcPr>
            <w:tcW w:w="1148" w:type="dxa"/>
          </w:tcPr>
          <w:p>
            <w:pPr>
              <w:pStyle w:val="IsiTabel"/>
              <w:suppressAutoHyphens/>
              <w:jc w:val="left"/>
            </w:pPr>
            <w:r>
              <w:t xml:space="preserve">Jawa Timur</w:t>
            </w:r>
          </w:p>
        </w:tc>
        <w:tc>
          <w:tcPr>
            <w:tcW w:w="1093" w:type="dxa"/>
          </w:tcPr>
          <w:p>
            <w:pPr>
              <w:pStyle w:val="IsiTabel"/>
              <w:suppressAutoHyphens/>
              <w:jc w:val="right"/>
            </w:pPr>
            <w:r>
              <w:t xml:space="preserve">38</w:t>
            </w:r>
          </w:p>
        </w:tc>
        <w:tc>
          <w:tcPr>
            <w:tcW w:w="1149" w:type="dxa"/>
          </w:tcPr>
          <w:p>
            <w:pPr>
              <w:pStyle w:val="IsiTabel"/>
              <w:suppressAutoHyphens/>
              <w:jc w:val="right"/>
            </w:pPr>
            <w:r>
              <w:t xml:space="preserve">43.211.767</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33</w:t>
            </w:r>
          </w:p>
        </w:tc>
        <w:tc>
          <w:tcPr>
            <w:tcW w:w="1201" w:type="dxa"/>
          </w:tcPr>
          <w:p>
            <w:pPr>
              <w:pStyle w:val="IsiTabel"/>
              <w:suppressAutoHyphens/>
              <w:jc w:val="left"/>
            </w:pPr>
            <w:r>
              <w:t xml:space="preserve">2</w:t>
            </w:r>
          </w:p>
        </w:tc>
        <w:tc>
          <w:tcPr>
            <w:tcW w:w="1254" w:type="dxa"/>
          </w:tcPr>
          <w:p>
            <w:pPr>
              <w:pStyle w:val="IsiTabel"/>
              <w:suppressAutoHyphens/>
              <w:jc w:val="right"/>
            </w:pPr>
            <w:r>
              <w:t xml:space="preserve">467</w:t>
            </w:r>
          </w:p>
        </w:tc>
        <w:tc>
          <w:tcPr>
            <w:tcW w:w="1203" w:type="dxa"/>
          </w:tcPr>
          <w:p>
            <w:pPr>
              <w:pStyle w:val="IsiTabel"/>
              <w:suppressAutoHyphens/>
              <w:jc w:val="left"/>
            </w:pPr>
            <w:r>
              <w:t xml:space="preserve">8</w:t>
            </w:r>
          </w:p>
        </w:tc>
      </w:tr>
      <w:tr>
        <w:trPr>
          <w:cantSplit/>
        </w:trPr>
        <w:tc>
          <w:tcPr>
            <w:tcW w:w="1148" w:type="dxa"/>
          </w:tcPr>
          <w:p>
            <w:pPr>
              <w:pStyle w:val="IsiTabel"/>
              <w:suppressAutoHyphens/>
              <w:jc w:val="left"/>
            </w:pPr>
            <w:r>
              <w:t xml:space="preserve">Banten</w:t>
            </w:r>
          </w:p>
        </w:tc>
        <w:tc>
          <w:tcPr>
            <w:tcW w:w="1093" w:type="dxa"/>
          </w:tcPr>
          <w:p>
            <w:pPr>
              <w:pStyle w:val="IsiTabel"/>
              <w:suppressAutoHyphens/>
              <w:jc w:val="right"/>
            </w:pPr>
            <w:r>
              <w:t xml:space="preserve">8</w:t>
            </w:r>
          </w:p>
        </w:tc>
        <w:tc>
          <w:tcPr>
            <w:tcW w:w="1149" w:type="dxa"/>
          </w:tcPr>
          <w:p>
            <w:pPr>
              <w:pStyle w:val="IsiTabel"/>
              <w:suppressAutoHyphens/>
              <w:jc w:val="right"/>
            </w:pPr>
            <w:r>
              <w:t xml:space="preserve">12.784.923</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5</w:t>
            </w:r>
          </w:p>
        </w:tc>
        <w:tc>
          <w:tcPr>
            <w:tcW w:w="1201" w:type="dxa"/>
          </w:tcPr>
          <w:p>
            <w:pPr>
              <w:pStyle w:val="IsiTabel"/>
              <w:suppressAutoHyphens/>
              <w:jc w:val="left"/>
            </w:pPr>
            <w:r>
              <w:t xml:space="preserve">30</w:t>
            </w:r>
          </w:p>
        </w:tc>
        <w:tc>
          <w:tcPr>
            <w:tcW w:w="1254" w:type="dxa"/>
          </w:tcPr>
          <w:p>
            <w:pPr>
              <w:pStyle w:val="IsiTabel"/>
              <w:suppressAutoHyphens/>
              <w:jc w:val="right"/>
            </w:pPr>
            <w:r>
              <w:t xml:space="preserve">403</w:t>
            </w:r>
          </w:p>
        </w:tc>
        <w:tc>
          <w:tcPr>
            <w:tcW w:w="1203" w:type="dxa"/>
          </w:tcPr>
          <w:p>
            <w:pPr>
              <w:pStyle w:val="IsiTabel"/>
              <w:suppressAutoHyphens/>
              <w:jc w:val="left"/>
            </w:pPr>
            <w:r>
              <w:t xml:space="preserve">9</w:t>
            </w:r>
          </w:p>
        </w:tc>
      </w:tr>
      <w:tr>
        <w:trPr>
          <w:cantSplit/>
        </w:trPr>
        <w:tc>
          <w:tcPr>
            <w:tcW w:w="1148" w:type="dxa"/>
            <w:shd w:val="clear" w:color="auto" w:fill="E6EAF0"/>
          </w:tcPr>
          <w:p>
            <w:pPr>
              <w:pStyle w:val="IsiTabel"/>
              <w:suppressAutoHyphens/>
            </w:pPr>
            <w:r>
              <w:rPr>
                <w:b/>
                <w:bCs/>
                <w:color w:val="1A1A1A"/>
              </w:rPr>
              <w:t xml:space="preserve">Subtotal Jawa</w:t>
            </w:r>
          </w:p>
        </w:tc>
        <w:tc>
          <w:tcPr>
            <w:tcW w:w="1093" w:type="dxa"/>
            <w:shd w:val="clear" w:color="auto" w:fill="E6EAF0"/>
          </w:tcPr>
          <w:p>
            <w:pPr>
              <w:pStyle w:val="IsiTabel"/>
              <w:suppressAutoHyphens/>
              <w:jc w:val="right"/>
            </w:pPr>
            <w:r>
              <w:rPr>
                <w:b/>
                <w:bCs/>
                <w:color w:val="1A1A1A"/>
              </w:rPr>
              <w:t xml:space="preserve">119</w:t>
            </w:r>
          </w:p>
        </w:tc>
        <w:tc>
          <w:tcPr>
            <w:tcW w:w="1149" w:type="dxa"/>
            <w:shd w:val="clear" w:color="auto" w:fill="E6EAF0"/>
          </w:tcPr>
          <w:p>
            <w:pPr>
              <w:pStyle w:val="IsiTabel"/>
              <w:suppressAutoHyphens/>
              <w:jc w:val="right"/>
            </w:pPr>
            <w:r>
              <w:rPr>
                <w:b/>
                <w:bCs/>
                <w:color w:val="1A1A1A"/>
              </w:rPr>
              <w:t xml:space="preserve">160.830.619</w:t>
            </w:r>
          </w:p>
        </w:tc>
        <w:tc>
          <w:tcPr>
            <w:tcW w:w="1093" w:type="dxa"/>
            <w:shd w:val="clear" w:color="auto" w:fill="E6EAF0"/>
          </w:tcPr>
          <w:p>
            <w:pPr>
              <w:pStyle w:val="IsiTabel"/>
              <w:suppressAutoHyphens/>
              <w:jc w:val="right"/>
            </w:pPr>
            <w:r>
              <w:rPr>
                <w:b/>
                <w:bCs/>
                <w:color w:val="1A1A1A"/>
              </w:rPr>
              <w:t xml:space="preserve">1</w:t>
            </w:r>
          </w:p>
        </w:tc>
        <w:tc>
          <w:tcPr>
            <w:tcW w:w="1213" w:type="dxa"/>
            <w:shd w:val="clear" w:color="auto" w:fill="E6EAF0"/>
          </w:tcPr>
          <w:p>
            <w:pPr>
              <w:pStyle w:val="IsiTabel"/>
              <w:suppressAutoHyphens/>
              <w:jc w:val="right"/>
            </w:pPr>
            <w:r>
              <w:rPr>
                <w:b/>
                <w:bCs/>
                <w:color w:val="1A1A1A"/>
              </w:rPr>
              <w:t xml:space="preserve">108</w:t>
            </w:r>
          </w:p>
        </w:tc>
        <w:tc>
          <w:tcPr>
            <w:tcW w:w="1201" w:type="dxa"/>
            <w:shd w:val="clear" w:color="auto" w:fill="E6EAF0"/>
          </w:tcPr>
          <w:p>
            <w:pPr>
              <w:pStyle w:val="IsiTabel"/>
              <w:suppressAutoHyphens/>
              <w:jc w:val="left"/>
            </w:pPr>
          </w:p>
        </w:tc>
        <w:tc>
          <w:tcPr>
            <w:tcW w:w="1254" w:type="dxa"/>
            <w:shd w:val="clear" w:color="auto" w:fill="E6EAF0"/>
          </w:tcPr>
          <w:p>
            <w:pPr>
              <w:pStyle w:val="IsiTabel"/>
              <w:suppressAutoHyphens/>
              <w:jc w:val="right"/>
            </w:pPr>
            <w:r>
              <w:rPr>
                <w:b/>
                <w:bCs/>
                <w:color w:val="1A1A1A"/>
              </w:rPr>
              <w:t xml:space="preserve">2.805</w:t>
            </w:r>
          </w:p>
        </w:tc>
        <w:tc>
          <w:tcPr>
            <w:tcW w:w="1203"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Bali dan Nusa Tenggara</w:t>
            </w:r>
          </w:p>
        </w:tc>
      </w:tr>
      <w:tr>
        <w:trPr>
          <w:cantSplit/>
        </w:trPr>
        <w:tc>
          <w:tcPr>
            <w:tcW w:w="1148" w:type="dxa"/>
          </w:tcPr>
          <w:p>
            <w:pPr>
              <w:pStyle w:val="IsiTabel"/>
              <w:suppressAutoHyphens/>
              <w:jc w:val="left"/>
            </w:pPr>
            <w:r>
              <w:t xml:space="preserve">Bali</w:t>
            </w:r>
          </w:p>
        </w:tc>
        <w:tc>
          <w:tcPr>
            <w:tcW w:w="1093" w:type="dxa"/>
          </w:tcPr>
          <w:p>
            <w:pPr>
              <w:pStyle w:val="IsiTabel"/>
              <w:suppressAutoHyphens/>
              <w:jc w:val="right"/>
            </w:pPr>
            <w:r>
              <w:t xml:space="preserve">9</w:t>
            </w:r>
          </w:p>
        </w:tc>
        <w:tc>
          <w:tcPr>
            <w:tcW w:w="1149" w:type="dxa"/>
          </w:tcPr>
          <w:p>
            <w:pPr>
              <w:pStyle w:val="IsiTabel"/>
              <w:suppressAutoHyphens/>
              <w:jc w:val="right"/>
            </w:pPr>
            <w:r>
              <w:t xml:space="preserve">4.591.019</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9</w:t>
            </w:r>
          </w:p>
        </w:tc>
        <w:tc>
          <w:tcPr>
            <w:tcW w:w="1201" w:type="dxa"/>
          </w:tcPr>
          <w:p>
            <w:pPr>
              <w:pStyle w:val="IsiTabel"/>
              <w:suppressAutoHyphens/>
              <w:jc w:val="left"/>
            </w:pPr>
            <w:r>
              <w:t xml:space="preserve">17</w:t>
            </w:r>
          </w:p>
        </w:tc>
        <w:tc>
          <w:tcPr>
            <w:tcW w:w="1254" w:type="dxa"/>
          </w:tcPr>
          <w:p>
            <w:pPr>
              <w:pStyle w:val="IsiTabel"/>
              <w:suppressAutoHyphens/>
              <w:jc w:val="right"/>
            </w:pPr>
            <w:r>
              <w:t xml:space="preserve">186</w:t>
            </w:r>
          </w:p>
        </w:tc>
        <w:tc>
          <w:tcPr>
            <w:tcW w:w="1203" w:type="dxa"/>
          </w:tcPr>
          <w:p>
            <w:pPr>
              <w:pStyle w:val="IsiTabel"/>
              <w:suppressAutoHyphens/>
              <w:jc w:val="left"/>
            </w:pPr>
            <w:r>
              <w:t xml:space="preserve">14</w:t>
            </w:r>
          </w:p>
        </w:tc>
      </w:tr>
      <w:tr>
        <w:trPr>
          <w:cantSplit/>
        </w:trPr>
        <w:tc>
          <w:tcPr>
            <w:tcW w:w="1148" w:type="dxa"/>
          </w:tcPr>
          <w:p>
            <w:pPr>
              <w:pStyle w:val="IsiTabel"/>
              <w:suppressAutoHyphens/>
              <w:jc w:val="left"/>
            </w:pPr>
            <w:r>
              <w:t xml:space="preserve">Nusa Tenggara Barat</w:t>
            </w:r>
          </w:p>
        </w:tc>
        <w:tc>
          <w:tcPr>
            <w:tcW w:w="1093" w:type="dxa"/>
          </w:tcPr>
          <w:p>
            <w:pPr>
              <w:pStyle w:val="IsiTabel"/>
              <w:suppressAutoHyphens/>
              <w:jc w:val="right"/>
            </w:pPr>
            <w:r>
              <w:t xml:space="preserve">10</w:t>
            </w:r>
          </w:p>
        </w:tc>
        <w:tc>
          <w:tcPr>
            <w:tcW w:w="1149" w:type="dxa"/>
          </w:tcPr>
          <w:p>
            <w:pPr>
              <w:pStyle w:val="IsiTabel"/>
              <w:suppressAutoHyphens/>
              <w:jc w:val="right"/>
            </w:pPr>
            <w:r>
              <w:t xml:space="preserve">5.642.061</w:t>
            </w:r>
          </w:p>
        </w:tc>
        <w:tc>
          <w:tcPr>
            <w:tcW w:w="1093" w:type="dxa"/>
          </w:tcPr>
          <w:p>
            <w:pPr>
              <w:pStyle w:val="IsiTabel"/>
              <w:suppressAutoHyphens/>
              <w:jc w:val="right"/>
            </w:pPr>
            <w:r>
              <w:t xml:space="preserve">2</w:t>
            </w:r>
          </w:p>
        </w:tc>
        <w:tc>
          <w:tcPr>
            <w:tcW w:w="1213" w:type="dxa"/>
          </w:tcPr>
          <w:p>
            <w:pPr>
              <w:pStyle w:val="IsiTabel"/>
              <w:suppressAutoHyphens/>
              <w:jc w:val="right"/>
            </w:pPr>
            <w:r>
              <w:t xml:space="preserve">8</w:t>
            </w:r>
          </w:p>
        </w:tc>
        <w:tc>
          <w:tcPr>
            <w:tcW w:w="1201" w:type="dxa"/>
          </w:tcPr>
          <w:p>
            <w:pPr>
              <w:pStyle w:val="IsiTabel"/>
              <w:suppressAutoHyphens/>
              <w:jc w:val="left"/>
            </w:pPr>
            <w:r>
              <w:t xml:space="preserve">21</w:t>
            </w:r>
          </w:p>
        </w:tc>
        <w:tc>
          <w:tcPr>
            <w:tcW w:w="1254" w:type="dxa"/>
          </w:tcPr>
          <w:p>
            <w:pPr>
              <w:pStyle w:val="IsiTabel"/>
              <w:suppressAutoHyphens/>
              <w:jc w:val="right"/>
            </w:pPr>
            <w:r>
              <w:t xml:space="preserve">664</w:t>
            </w:r>
          </w:p>
        </w:tc>
        <w:tc>
          <w:tcPr>
            <w:tcW w:w="1203" w:type="dxa"/>
          </w:tcPr>
          <w:p>
            <w:pPr>
              <w:pStyle w:val="IsiTabel"/>
              <w:suppressAutoHyphens/>
              <w:jc w:val="left"/>
            </w:pPr>
            <w:r>
              <w:t xml:space="preserve">6</w:t>
            </w:r>
          </w:p>
        </w:tc>
      </w:tr>
      <w:tr>
        <w:trPr>
          <w:cantSplit/>
        </w:trPr>
        <w:tc>
          <w:tcPr>
            <w:tcW w:w="1148" w:type="dxa"/>
          </w:tcPr>
          <w:p>
            <w:pPr>
              <w:pStyle w:val="IsiTabel"/>
              <w:suppressAutoHyphens/>
              <w:jc w:val="left"/>
            </w:pPr>
            <w:r>
              <w:t xml:space="preserve">Nusa Tenggara Timur</w:t>
            </w:r>
          </w:p>
        </w:tc>
        <w:tc>
          <w:tcPr>
            <w:tcW w:w="1093" w:type="dxa"/>
          </w:tcPr>
          <w:p>
            <w:pPr>
              <w:pStyle w:val="IsiTabel"/>
              <w:suppressAutoHyphens/>
              <w:jc w:val="right"/>
            </w:pPr>
            <w:r>
              <w:t xml:space="preserve">22</w:t>
            </w:r>
          </w:p>
        </w:tc>
        <w:tc>
          <w:tcPr>
            <w:tcW w:w="1149" w:type="dxa"/>
          </w:tcPr>
          <w:p>
            <w:pPr>
              <w:pStyle w:val="IsiTabel"/>
              <w:suppressAutoHyphens/>
              <w:jc w:val="right"/>
            </w:pPr>
            <w:r>
              <w:t xml:space="preserve">5.670.394</w:t>
            </w:r>
          </w:p>
        </w:tc>
        <w:tc>
          <w:tcPr>
            <w:tcW w:w="1093" w:type="dxa"/>
          </w:tcPr>
          <w:p>
            <w:pPr>
              <w:pStyle w:val="IsiTabel"/>
              <w:suppressAutoHyphens/>
              <w:jc w:val="right"/>
            </w:pPr>
            <w:r>
              <w:t xml:space="preserve">19</w:t>
            </w:r>
          </w:p>
        </w:tc>
        <w:tc>
          <w:tcPr>
            <w:tcW w:w="1213" w:type="dxa"/>
          </w:tcPr>
          <w:p>
            <w:pPr>
              <w:pStyle w:val="IsiTabel"/>
              <w:suppressAutoHyphens/>
              <w:jc w:val="right"/>
            </w:pPr>
            <w:r>
              <w:t xml:space="preserve">17</w:t>
            </w:r>
          </w:p>
        </w:tc>
        <w:tc>
          <w:tcPr>
            <w:tcW w:w="1201" w:type="dxa"/>
          </w:tcPr>
          <w:p>
            <w:pPr>
              <w:pStyle w:val="IsiTabel"/>
              <w:suppressAutoHyphens/>
              <w:jc w:val="left"/>
            </w:pPr>
            <w:r>
              <w:t xml:space="preserve">8</w:t>
            </w:r>
          </w:p>
        </w:tc>
        <w:tc>
          <w:tcPr>
            <w:tcW w:w="1254" w:type="dxa"/>
          </w:tcPr>
          <w:p>
            <w:pPr>
              <w:pStyle w:val="IsiTabel"/>
              <w:suppressAutoHyphens/>
              <w:jc w:val="right"/>
            </w:pPr>
            <w:r>
              <w:t xml:space="preserve">351</w:t>
            </w:r>
          </w:p>
        </w:tc>
        <w:tc>
          <w:tcPr>
            <w:tcW w:w="1203" w:type="dxa"/>
          </w:tcPr>
          <w:p>
            <w:pPr>
              <w:pStyle w:val="IsiTabel"/>
              <w:suppressAutoHyphens/>
              <w:jc w:val="left"/>
            </w:pPr>
            <w:r>
              <w:t xml:space="preserve">10</w:t>
            </w:r>
          </w:p>
        </w:tc>
      </w:tr>
      <w:tr>
        <w:trPr>
          <w:cantSplit/>
        </w:trPr>
        <w:tc>
          <w:tcPr>
            <w:tcW w:w="1148" w:type="dxa"/>
            <w:shd w:val="clear" w:color="auto" w:fill="E6EAF0"/>
          </w:tcPr>
          <w:p>
            <w:pPr>
              <w:pStyle w:val="IsiTabel"/>
              <w:suppressAutoHyphens/>
            </w:pPr>
            <w:r>
              <w:rPr>
                <w:b/>
                <w:bCs/>
                <w:color w:val="1A1A1A"/>
              </w:rPr>
              <w:t xml:space="preserve">Subtotal Bali dan Nusa Tenggara</w:t>
            </w:r>
          </w:p>
        </w:tc>
        <w:tc>
          <w:tcPr>
            <w:tcW w:w="1093" w:type="dxa"/>
            <w:shd w:val="clear" w:color="auto" w:fill="E6EAF0"/>
          </w:tcPr>
          <w:p>
            <w:pPr>
              <w:pStyle w:val="IsiTabel"/>
              <w:suppressAutoHyphens/>
              <w:jc w:val="right"/>
            </w:pPr>
            <w:r>
              <w:rPr>
                <w:b/>
                <w:bCs/>
                <w:color w:val="1A1A1A"/>
              </w:rPr>
              <w:t xml:space="preserve">41</w:t>
            </w:r>
          </w:p>
        </w:tc>
        <w:tc>
          <w:tcPr>
            <w:tcW w:w="1149" w:type="dxa"/>
            <w:shd w:val="clear" w:color="auto" w:fill="E6EAF0"/>
          </w:tcPr>
          <w:p>
            <w:pPr>
              <w:pStyle w:val="IsiTabel"/>
              <w:suppressAutoHyphens/>
              <w:jc w:val="right"/>
            </w:pPr>
            <w:r>
              <w:rPr>
                <w:b/>
                <w:bCs/>
                <w:color w:val="1A1A1A"/>
              </w:rPr>
              <w:t xml:space="preserve">15.903.474</w:t>
            </w:r>
          </w:p>
        </w:tc>
        <w:tc>
          <w:tcPr>
            <w:tcW w:w="1093" w:type="dxa"/>
            <w:shd w:val="clear" w:color="auto" w:fill="E6EAF0"/>
          </w:tcPr>
          <w:p>
            <w:pPr>
              <w:pStyle w:val="IsiTabel"/>
              <w:suppressAutoHyphens/>
              <w:jc w:val="right"/>
            </w:pPr>
            <w:r>
              <w:rPr>
                <w:b/>
                <w:bCs/>
                <w:color w:val="1A1A1A"/>
              </w:rPr>
              <w:t xml:space="preserve">21</w:t>
            </w:r>
          </w:p>
        </w:tc>
        <w:tc>
          <w:tcPr>
            <w:tcW w:w="1213" w:type="dxa"/>
            <w:shd w:val="clear" w:color="auto" w:fill="E6EAF0"/>
          </w:tcPr>
          <w:p>
            <w:pPr>
              <w:pStyle w:val="IsiTabel"/>
              <w:suppressAutoHyphens/>
              <w:jc w:val="right"/>
            </w:pPr>
            <w:r>
              <w:rPr>
                <w:b/>
                <w:bCs/>
                <w:color w:val="1A1A1A"/>
              </w:rPr>
              <w:t xml:space="preserve">34</w:t>
            </w:r>
          </w:p>
        </w:tc>
        <w:tc>
          <w:tcPr>
            <w:tcW w:w="1201" w:type="dxa"/>
            <w:shd w:val="clear" w:color="auto" w:fill="E6EAF0"/>
          </w:tcPr>
          <w:p>
            <w:pPr>
              <w:pStyle w:val="IsiTabel"/>
              <w:suppressAutoHyphens/>
              <w:jc w:val="left"/>
            </w:pPr>
          </w:p>
        </w:tc>
        <w:tc>
          <w:tcPr>
            <w:tcW w:w="1254" w:type="dxa"/>
            <w:shd w:val="clear" w:color="auto" w:fill="E6EAF0"/>
          </w:tcPr>
          <w:p>
            <w:pPr>
              <w:pStyle w:val="IsiTabel"/>
              <w:suppressAutoHyphens/>
              <w:jc w:val="right"/>
            </w:pPr>
            <w:r>
              <w:rPr>
                <w:b/>
                <w:bCs/>
                <w:color w:val="1A1A1A"/>
              </w:rPr>
              <w:t xml:space="preserve">1.201</w:t>
            </w:r>
          </w:p>
        </w:tc>
        <w:tc>
          <w:tcPr>
            <w:tcW w:w="1203"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Kalimantan</w:t>
            </w:r>
          </w:p>
        </w:tc>
      </w:tr>
      <w:tr>
        <w:trPr>
          <w:cantSplit/>
        </w:trPr>
        <w:tc>
          <w:tcPr>
            <w:tcW w:w="1148" w:type="dxa"/>
          </w:tcPr>
          <w:p>
            <w:pPr>
              <w:pStyle w:val="IsiTabel"/>
              <w:suppressAutoHyphens/>
              <w:jc w:val="left"/>
            </w:pPr>
            <w:r>
              <w:t xml:space="preserve">Kalimantan Barat</w:t>
            </w:r>
          </w:p>
        </w:tc>
        <w:tc>
          <w:tcPr>
            <w:tcW w:w="1093" w:type="dxa"/>
          </w:tcPr>
          <w:p>
            <w:pPr>
              <w:pStyle w:val="IsiTabel"/>
              <w:suppressAutoHyphens/>
              <w:jc w:val="right"/>
            </w:pPr>
            <w:r>
              <w:t xml:space="preserve">14</w:t>
            </w:r>
          </w:p>
        </w:tc>
        <w:tc>
          <w:tcPr>
            <w:tcW w:w="1149" w:type="dxa"/>
          </w:tcPr>
          <w:p>
            <w:pPr>
              <w:pStyle w:val="IsiTabel"/>
              <w:suppressAutoHyphens/>
              <w:jc w:val="right"/>
            </w:pPr>
            <w:r>
              <w:t xml:space="preserve">5.750.703</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13</w:t>
            </w:r>
          </w:p>
        </w:tc>
        <w:tc>
          <w:tcPr>
            <w:tcW w:w="1201" w:type="dxa"/>
          </w:tcPr>
          <w:p>
            <w:pPr>
              <w:pStyle w:val="IsiTabel"/>
              <w:suppressAutoHyphens/>
              <w:jc w:val="left"/>
            </w:pPr>
            <w:r>
              <w:t xml:space="preserve">10</w:t>
            </w:r>
          </w:p>
        </w:tc>
        <w:tc>
          <w:tcPr>
            <w:tcW w:w="1254" w:type="dxa"/>
          </w:tcPr>
          <w:p>
            <w:pPr>
              <w:pStyle w:val="IsiTabel"/>
              <w:suppressAutoHyphens/>
              <w:jc w:val="right"/>
            </w:pPr>
            <w:r>
              <w:t xml:space="preserve">59</w:t>
            </w:r>
          </w:p>
        </w:tc>
        <w:tc>
          <w:tcPr>
            <w:tcW w:w="1203" w:type="dxa"/>
          </w:tcPr>
          <w:p>
            <w:pPr>
              <w:pStyle w:val="IsiTabel"/>
              <w:suppressAutoHyphens/>
              <w:jc w:val="left"/>
            </w:pPr>
            <w:r>
              <w:t xml:space="preserve">25</w:t>
            </w:r>
          </w:p>
        </w:tc>
      </w:tr>
      <w:tr>
        <w:trPr>
          <w:cantSplit/>
        </w:trPr>
        <w:tc>
          <w:tcPr>
            <w:tcW w:w="1148" w:type="dxa"/>
          </w:tcPr>
          <w:p>
            <w:pPr>
              <w:pStyle w:val="IsiTabel"/>
              <w:suppressAutoHyphens/>
              <w:jc w:val="left"/>
            </w:pPr>
            <w:r>
              <w:t xml:space="preserve">Kalimantan Tengah</w:t>
            </w:r>
          </w:p>
        </w:tc>
        <w:tc>
          <w:tcPr>
            <w:tcW w:w="1093" w:type="dxa"/>
          </w:tcPr>
          <w:p>
            <w:pPr>
              <w:pStyle w:val="IsiTabel"/>
              <w:suppressAutoHyphens/>
              <w:jc w:val="right"/>
            </w:pPr>
            <w:r>
              <w:t xml:space="preserve">14</w:t>
            </w:r>
          </w:p>
        </w:tc>
        <w:tc>
          <w:tcPr>
            <w:tcW w:w="1149" w:type="dxa"/>
          </w:tcPr>
          <w:p>
            <w:pPr>
              <w:pStyle w:val="IsiTabel"/>
              <w:suppressAutoHyphens/>
              <w:jc w:val="right"/>
            </w:pPr>
            <w:r>
              <w:t xml:space="preserve">2.823.573</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6</w:t>
            </w:r>
          </w:p>
        </w:tc>
        <w:tc>
          <w:tcPr>
            <w:tcW w:w="1201" w:type="dxa"/>
          </w:tcPr>
          <w:p>
            <w:pPr>
              <w:pStyle w:val="IsiTabel"/>
              <w:suppressAutoHyphens/>
              <w:jc w:val="left"/>
            </w:pPr>
            <w:r>
              <w:t xml:space="preserve">27</w:t>
            </w:r>
          </w:p>
        </w:tc>
        <w:tc>
          <w:tcPr>
            <w:tcW w:w="1254" w:type="dxa"/>
          </w:tcPr>
          <w:p>
            <w:pPr>
              <w:pStyle w:val="IsiTabel"/>
              <w:suppressAutoHyphens/>
              <w:jc w:val="right"/>
            </w:pPr>
            <w:r>
              <w:t xml:space="preserve">51</w:t>
            </w:r>
          </w:p>
        </w:tc>
        <w:tc>
          <w:tcPr>
            <w:tcW w:w="1203" w:type="dxa"/>
          </w:tcPr>
          <w:p>
            <w:pPr>
              <w:pStyle w:val="IsiTabel"/>
              <w:suppressAutoHyphens/>
              <w:jc w:val="left"/>
            </w:pPr>
            <w:r>
              <w:t xml:space="preserve">29</w:t>
            </w:r>
          </w:p>
        </w:tc>
      </w:tr>
      <w:tr>
        <w:trPr>
          <w:cantSplit/>
        </w:trPr>
        <w:tc>
          <w:tcPr>
            <w:tcW w:w="1148" w:type="dxa"/>
          </w:tcPr>
          <w:p>
            <w:pPr>
              <w:pStyle w:val="IsiTabel"/>
              <w:suppressAutoHyphens/>
              <w:jc w:val="left"/>
            </w:pPr>
            <w:r>
              <w:t xml:space="preserve">Kalimantan Selatan</w:t>
            </w:r>
          </w:p>
        </w:tc>
        <w:tc>
          <w:tcPr>
            <w:tcW w:w="1093" w:type="dxa"/>
          </w:tcPr>
          <w:p>
            <w:pPr>
              <w:pStyle w:val="IsiTabel"/>
              <w:suppressAutoHyphens/>
              <w:jc w:val="right"/>
            </w:pPr>
            <w:r>
              <w:t xml:space="preserve">13</w:t>
            </w:r>
          </w:p>
        </w:tc>
        <w:tc>
          <w:tcPr>
            <w:tcW w:w="1149" w:type="dxa"/>
          </w:tcPr>
          <w:p>
            <w:pPr>
              <w:pStyle w:val="IsiTabel"/>
              <w:suppressAutoHyphens/>
              <w:jc w:val="right"/>
            </w:pPr>
            <w:r>
              <w:t xml:space="preserve">4.317.654</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8</w:t>
            </w:r>
          </w:p>
        </w:tc>
        <w:tc>
          <w:tcPr>
            <w:tcW w:w="1201" w:type="dxa"/>
          </w:tcPr>
          <w:p>
            <w:pPr>
              <w:pStyle w:val="IsiTabel"/>
              <w:suppressAutoHyphens/>
              <w:jc w:val="left"/>
            </w:pPr>
            <w:r>
              <w:t xml:space="preserve">22</w:t>
            </w:r>
          </w:p>
        </w:tc>
        <w:tc>
          <w:tcPr>
            <w:tcW w:w="1254" w:type="dxa"/>
          </w:tcPr>
          <w:p>
            <w:pPr>
              <w:pStyle w:val="IsiTabel"/>
              <w:suppressAutoHyphens/>
              <w:jc w:val="right"/>
            </w:pPr>
            <w:r>
              <w:t xml:space="preserve">86</w:t>
            </w:r>
          </w:p>
        </w:tc>
        <w:tc>
          <w:tcPr>
            <w:tcW w:w="1203" w:type="dxa"/>
          </w:tcPr>
          <w:p>
            <w:pPr>
              <w:pStyle w:val="IsiTabel"/>
              <w:suppressAutoHyphens/>
              <w:jc w:val="left"/>
            </w:pPr>
            <w:r>
              <w:t xml:space="preserve">17</w:t>
            </w:r>
          </w:p>
        </w:tc>
      </w:tr>
      <w:tr>
        <w:trPr>
          <w:cantSplit/>
        </w:trPr>
        <w:tc>
          <w:tcPr>
            <w:tcW w:w="1148" w:type="dxa"/>
          </w:tcPr>
          <w:p>
            <w:pPr>
              <w:pStyle w:val="IsiTabel"/>
              <w:suppressAutoHyphens/>
              <w:jc w:val="left"/>
            </w:pPr>
            <w:r>
              <w:t xml:space="preserve">Kalimantan Timur</w:t>
            </w:r>
          </w:p>
        </w:tc>
        <w:tc>
          <w:tcPr>
            <w:tcW w:w="1093" w:type="dxa"/>
          </w:tcPr>
          <w:p>
            <w:pPr>
              <w:pStyle w:val="IsiTabel"/>
              <w:suppressAutoHyphens/>
              <w:jc w:val="right"/>
            </w:pPr>
            <w:r>
              <w:t xml:space="preserve">10</w:t>
            </w:r>
          </w:p>
        </w:tc>
        <w:tc>
          <w:tcPr>
            <w:tcW w:w="1149" w:type="dxa"/>
          </w:tcPr>
          <w:p>
            <w:pPr>
              <w:pStyle w:val="IsiTabel"/>
              <w:suppressAutoHyphens/>
              <w:jc w:val="right"/>
            </w:pPr>
            <w:r>
              <w:t xml:space="preserve">3.987.512</w:t>
            </w:r>
          </w:p>
        </w:tc>
        <w:tc>
          <w:tcPr>
            <w:tcW w:w="1093" w:type="dxa"/>
          </w:tcPr>
          <w:p>
            <w:pPr>
              <w:pStyle w:val="IsiTabel"/>
              <w:suppressAutoHyphens/>
              <w:jc w:val="right"/>
            </w:pPr>
            <w:r>
              <w:t xml:space="preserve">1</w:t>
            </w:r>
          </w:p>
        </w:tc>
        <w:tc>
          <w:tcPr>
            <w:tcW w:w="1213" w:type="dxa"/>
          </w:tcPr>
          <w:p>
            <w:pPr>
              <w:pStyle w:val="IsiTabel"/>
              <w:suppressAutoHyphens/>
              <w:jc w:val="right"/>
            </w:pPr>
            <w:r>
              <w:t xml:space="preserve">9</w:t>
            </w:r>
          </w:p>
        </w:tc>
        <w:tc>
          <w:tcPr>
            <w:tcW w:w="1201" w:type="dxa"/>
          </w:tcPr>
          <w:p>
            <w:pPr>
              <w:pStyle w:val="IsiTabel"/>
              <w:suppressAutoHyphens/>
              <w:jc w:val="left"/>
            </w:pPr>
            <w:r>
              <w:t xml:space="preserve">18</w:t>
            </w:r>
          </w:p>
        </w:tc>
        <w:tc>
          <w:tcPr>
            <w:tcW w:w="1254" w:type="dxa"/>
          </w:tcPr>
          <w:p>
            <w:pPr>
              <w:pStyle w:val="IsiTabel"/>
              <w:suppressAutoHyphens/>
              <w:jc w:val="right"/>
            </w:pPr>
            <w:r>
              <w:t xml:space="preserve">64</w:t>
            </w:r>
          </w:p>
        </w:tc>
        <w:tc>
          <w:tcPr>
            <w:tcW w:w="1203" w:type="dxa"/>
          </w:tcPr>
          <w:p>
            <w:pPr>
              <w:pStyle w:val="IsiTabel"/>
              <w:suppressAutoHyphens/>
              <w:jc w:val="left"/>
            </w:pPr>
            <w:r>
              <w:t xml:space="preserve">23</w:t>
            </w:r>
          </w:p>
        </w:tc>
      </w:tr>
      <w:tr>
        <w:trPr>
          <w:cantSplit/>
        </w:trPr>
        <w:tc>
          <w:tcPr>
            <w:tcW w:w="1148" w:type="dxa"/>
          </w:tcPr>
          <w:p>
            <w:pPr>
              <w:pStyle w:val="IsiTabel"/>
              <w:suppressAutoHyphens/>
              <w:jc w:val="left"/>
            </w:pPr>
            <w:r>
              <w:t xml:space="preserve">Kalimantan Utara</w:t>
            </w:r>
          </w:p>
        </w:tc>
        <w:tc>
          <w:tcPr>
            <w:tcW w:w="1093" w:type="dxa"/>
          </w:tcPr>
          <w:p>
            <w:pPr>
              <w:pStyle w:val="IsiTabel"/>
              <w:suppressAutoHyphens/>
              <w:jc w:val="right"/>
            </w:pPr>
            <w:r>
              <w:t xml:space="preserve">5</w:t>
            </w:r>
          </w:p>
        </w:tc>
        <w:tc>
          <w:tcPr>
            <w:tcW w:w="1149" w:type="dxa"/>
          </w:tcPr>
          <w:p>
            <w:pPr>
              <w:pStyle w:val="IsiTabel"/>
              <w:suppressAutoHyphens/>
              <w:jc w:val="right"/>
            </w:pPr>
            <w:r>
              <w:t xml:space="preserve">743.519</w:t>
            </w:r>
          </w:p>
        </w:tc>
        <w:tc>
          <w:tcPr>
            <w:tcW w:w="1093" w:type="dxa"/>
          </w:tcPr>
          <w:p>
            <w:pPr>
              <w:pStyle w:val="IsiTabel"/>
              <w:suppressAutoHyphens/>
              <w:jc w:val="right"/>
            </w:pPr>
            <w:r>
              <w:t xml:space="preserve">0</w:t>
            </w:r>
          </w:p>
        </w:tc>
        <w:tc>
          <w:tcPr>
            <w:tcW w:w="1213" w:type="dxa"/>
          </w:tcPr>
          <w:p>
            <w:pPr>
              <w:pStyle w:val="IsiTabel"/>
              <w:suppressAutoHyphens/>
              <w:jc w:val="right"/>
            </w:pPr>
            <w:r>
              <w:t xml:space="preserve">4</w:t>
            </w:r>
          </w:p>
        </w:tc>
        <w:tc>
          <w:tcPr>
            <w:tcW w:w="1201" w:type="dxa"/>
          </w:tcPr>
          <w:p>
            <w:pPr>
              <w:pStyle w:val="IsiTabel"/>
              <w:suppressAutoHyphens/>
              <w:jc w:val="left"/>
            </w:pPr>
            <w:r>
              <w:t xml:space="preserve">34</w:t>
            </w:r>
          </w:p>
        </w:tc>
        <w:tc>
          <w:tcPr>
            <w:tcW w:w="1254" w:type="dxa"/>
          </w:tcPr>
          <w:p>
            <w:pPr>
              <w:pStyle w:val="IsiTabel"/>
              <w:suppressAutoHyphens/>
              <w:jc w:val="right"/>
            </w:pPr>
            <w:r>
              <w:t xml:space="preserve">23</w:t>
            </w:r>
          </w:p>
        </w:tc>
        <w:tc>
          <w:tcPr>
            <w:tcW w:w="1203" w:type="dxa"/>
          </w:tcPr>
          <w:p>
            <w:pPr>
              <w:pStyle w:val="IsiTabel"/>
              <w:suppressAutoHyphens/>
              <w:jc w:val="left"/>
            </w:pPr>
            <w:r>
              <w:t xml:space="preserve">35</w:t>
            </w:r>
          </w:p>
        </w:tc>
      </w:tr>
      <w:tr>
        <w:trPr>
          <w:cantSplit/>
        </w:trPr>
        <w:tc>
          <w:tcPr>
            <w:tcW w:w="1148" w:type="dxa"/>
            <w:shd w:val="clear" w:color="auto" w:fill="E6EAF0"/>
          </w:tcPr>
          <w:p>
            <w:pPr>
              <w:pStyle w:val="IsiTabel"/>
              <w:suppressAutoHyphens/>
            </w:pPr>
            <w:r>
              <w:rPr>
                <w:b/>
                <w:bCs/>
                <w:color w:val="1A1A1A"/>
              </w:rPr>
              <w:t xml:space="preserve">Subtotal Kalimantan</w:t>
            </w:r>
          </w:p>
        </w:tc>
        <w:tc>
          <w:tcPr>
            <w:tcW w:w="1093" w:type="dxa"/>
            <w:shd w:val="clear" w:color="auto" w:fill="E6EAF0"/>
          </w:tcPr>
          <w:p>
            <w:pPr>
              <w:pStyle w:val="IsiTabel"/>
              <w:suppressAutoHyphens/>
              <w:jc w:val="right"/>
            </w:pPr>
            <w:r>
              <w:rPr>
                <w:b/>
                <w:bCs/>
                <w:color w:val="1A1A1A"/>
              </w:rPr>
              <w:t xml:space="preserve">56</w:t>
            </w:r>
          </w:p>
        </w:tc>
        <w:tc>
          <w:tcPr>
            <w:tcW w:w="1149" w:type="dxa"/>
            <w:shd w:val="clear" w:color="auto" w:fill="E6EAF0"/>
          </w:tcPr>
          <w:p>
            <w:pPr>
              <w:pStyle w:val="IsiTabel"/>
              <w:suppressAutoHyphens/>
              <w:jc w:val="right"/>
            </w:pPr>
            <w:r>
              <w:rPr>
                <w:b/>
                <w:bCs/>
                <w:color w:val="1A1A1A"/>
              </w:rPr>
              <w:t xml:space="preserve">17.622.961</w:t>
            </w:r>
          </w:p>
        </w:tc>
        <w:tc>
          <w:tcPr>
            <w:tcW w:w="1093" w:type="dxa"/>
            <w:shd w:val="clear" w:color="auto" w:fill="E6EAF0"/>
          </w:tcPr>
          <w:p>
            <w:pPr>
              <w:pStyle w:val="IsiTabel"/>
              <w:suppressAutoHyphens/>
              <w:jc w:val="right"/>
            </w:pPr>
            <w:r>
              <w:rPr>
                <w:b/>
                <w:bCs/>
                <w:color w:val="1A1A1A"/>
              </w:rPr>
              <w:t xml:space="preserve">1</w:t>
            </w:r>
          </w:p>
        </w:tc>
        <w:tc>
          <w:tcPr>
            <w:tcW w:w="1213" w:type="dxa"/>
            <w:shd w:val="clear" w:color="auto" w:fill="E6EAF0"/>
          </w:tcPr>
          <w:p>
            <w:pPr>
              <w:pStyle w:val="IsiTabel"/>
              <w:suppressAutoHyphens/>
              <w:jc w:val="right"/>
            </w:pPr>
            <w:r>
              <w:rPr>
                <w:b/>
                <w:bCs/>
                <w:color w:val="1A1A1A"/>
              </w:rPr>
              <w:t xml:space="preserve">40</w:t>
            </w:r>
          </w:p>
        </w:tc>
        <w:tc>
          <w:tcPr>
            <w:tcW w:w="1201" w:type="dxa"/>
            <w:shd w:val="clear" w:color="auto" w:fill="E6EAF0"/>
          </w:tcPr>
          <w:p>
            <w:pPr>
              <w:pStyle w:val="IsiTabel"/>
              <w:suppressAutoHyphens/>
              <w:jc w:val="left"/>
            </w:pPr>
          </w:p>
        </w:tc>
        <w:tc>
          <w:tcPr>
            <w:tcW w:w="1254" w:type="dxa"/>
            <w:shd w:val="clear" w:color="auto" w:fill="E6EAF0"/>
          </w:tcPr>
          <w:p>
            <w:pPr>
              <w:pStyle w:val="IsiTabel"/>
              <w:suppressAutoHyphens/>
              <w:jc w:val="right"/>
            </w:pPr>
            <w:r>
              <w:rPr>
                <w:b/>
                <w:bCs/>
                <w:color w:val="1A1A1A"/>
              </w:rPr>
              <w:t xml:space="preserve">283</w:t>
            </w:r>
          </w:p>
        </w:tc>
        <w:tc>
          <w:tcPr>
            <w:tcW w:w="1203"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Sulawesi</w:t>
            </w:r>
          </w:p>
        </w:tc>
      </w:tr>
      <w:tr>
        <w:trPr>
          <w:cantSplit/>
        </w:trPr>
        <w:tc>
          <w:tcPr>
            <w:tcW w:w="1148" w:type="dxa"/>
          </w:tcPr>
          <w:p>
            <w:pPr>
              <w:pStyle w:val="IsiTabel"/>
              <w:suppressAutoHyphens/>
              <w:jc w:val="left"/>
            </w:pPr>
            <w:r>
              <w:t xml:space="preserve">Sulawesi Utara</w:t>
            </w:r>
          </w:p>
        </w:tc>
        <w:tc>
          <w:tcPr>
            <w:tcW w:w="1093" w:type="dxa"/>
          </w:tcPr>
          <w:p>
            <w:pPr>
              <w:pStyle w:val="IsiTabel"/>
              <w:suppressAutoHyphens/>
              <w:jc w:val="right"/>
            </w:pPr>
            <w:r>
              <w:t xml:space="preserve">15</w:t>
            </w:r>
          </w:p>
        </w:tc>
        <w:tc>
          <w:tcPr>
            <w:tcW w:w="1149" w:type="dxa"/>
          </w:tcPr>
          <w:p>
            <w:pPr>
              <w:pStyle w:val="IsiTabel"/>
              <w:suppressAutoHyphens/>
              <w:jc w:val="right"/>
            </w:pPr>
            <w:r>
              <w:t xml:space="preserve">2.784.192</w:t>
            </w:r>
          </w:p>
        </w:tc>
        <w:tc>
          <w:tcPr>
            <w:tcW w:w="1093" w:type="dxa"/>
          </w:tcPr>
          <w:p>
            <w:pPr>
              <w:pStyle w:val="IsiTabel"/>
              <w:suppressAutoHyphens/>
              <w:jc w:val="right"/>
            </w:pPr>
            <w:r>
              <w:t xml:space="preserve">8</w:t>
            </w:r>
          </w:p>
        </w:tc>
        <w:tc>
          <w:tcPr>
            <w:tcW w:w="1213" w:type="dxa"/>
          </w:tcPr>
          <w:p>
            <w:pPr>
              <w:pStyle w:val="IsiTabel"/>
              <w:suppressAutoHyphens/>
              <w:jc w:val="right"/>
            </w:pPr>
            <w:r>
              <w:t xml:space="preserve">11</w:t>
            </w:r>
          </w:p>
        </w:tc>
        <w:tc>
          <w:tcPr>
            <w:tcW w:w="1201" w:type="dxa"/>
          </w:tcPr>
          <w:p>
            <w:pPr>
              <w:pStyle w:val="IsiTabel"/>
              <w:suppressAutoHyphens/>
              <w:jc w:val="left"/>
            </w:pPr>
            <w:r>
              <w:t xml:space="preserve">13</w:t>
            </w:r>
          </w:p>
        </w:tc>
        <w:tc>
          <w:tcPr>
            <w:tcW w:w="1254" w:type="dxa"/>
          </w:tcPr>
          <w:p>
            <w:pPr>
              <w:pStyle w:val="IsiTabel"/>
              <w:suppressAutoHyphens/>
              <w:jc w:val="right"/>
            </w:pPr>
            <w:r>
              <w:t xml:space="preserve">86</w:t>
            </w:r>
          </w:p>
        </w:tc>
        <w:tc>
          <w:tcPr>
            <w:tcW w:w="1203" w:type="dxa"/>
          </w:tcPr>
          <w:p>
            <w:pPr>
              <w:pStyle w:val="IsiTabel"/>
              <w:suppressAutoHyphens/>
              <w:jc w:val="left"/>
            </w:pPr>
            <w:r>
              <w:t xml:space="preserve">18</w:t>
            </w:r>
          </w:p>
        </w:tc>
      </w:tr>
      <w:tr>
        <w:trPr>
          <w:cantSplit/>
        </w:trPr>
        <w:tc>
          <w:tcPr>
            <w:tcW w:w="1148" w:type="dxa"/>
          </w:tcPr>
          <w:p>
            <w:pPr>
              <w:pStyle w:val="IsiTabel"/>
              <w:suppressAutoHyphens/>
              <w:jc w:val="left"/>
            </w:pPr>
            <w:r>
              <w:t xml:space="preserve">Sulawesi Tengah</w:t>
            </w:r>
          </w:p>
        </w:tc>
        <w:tc>
          <w:tcPr>
            <w:tcW w:w="1093" w:type="dxa"/>
          </w:tcPr>
          <w:p>
            <w:pPr>
              <w:pStyle w:val="IsiTabel"/>
              <w:suppressAutoHyphens/>
              <w:jc w:val="right"/>
            </w:pPr>
            <w:r>
              <w:t xml:space="preserve">13</w:t>
            </w:r>
          </w:p>
        </w:tc>
        <w:tc>
          <w:tcPr>
            <w:tcW w:w="1149" w:type="dxa"/>
          </w:tcPr>
          <w:p>
            <w:pPr>
              <w:pStyle w:val="IsiTabel"/>
              <w:suppressAutoHyphens/>
              <w:jc w:val="right"/>
            </w:pPr>
            <w:r>
              <w:t xml:space="preserve">3.164.781</w:t>
            </w:r>
          </w:p>
        </w:tc>
        <w:tc>
          <w:tcPr>
            <w:tcW w:w="1093" w:type="dxa"/>
          </w:tcPr>
          <w:p>
            <w:pPr>
              <w:pStyle w:val="IsiTabel"/>
              <w:suppressAutoHyphens/>
              <w:jc w:val="right"/>
            </w:pPr>
            <w:r>
              <w:t xml:space="preserve">9</w:t>
            </w:r>
          </w:p>
        </w:tc>
        <w:tc>
          <w:tcPr>
            <w:tcW w:w="1213" w:type="dxa"/>
          </w:tcPr>
          <w:p>
            <w:pPr>
              <w:pStyle w:val="IsiTabel"/>
              <w:suppressAutoHyphens/>
              <w:jc w:val="right"/>
            </w:pPr>
            <w:r>
              <w:t xml:space="preserve">11</w:t>
            </w:r>
          </w:p>
        </w:tc>
        <w:tc>
          <w:tcPr>
            <w:tcW w:w="1201" w:type="dxa"/>
          </w:tcPr>
          <w:p>
            <w:pPr>
              <w:pStyle w:val="IsiTabel"/>
              <w:suppressAutoHyphens/>
              <w:jc w:val="left"/>
            </w:pPr>
            <w:r>
              <w:t xml:space="preserve">14</w:t>
            </w:r>
          </w:p>
        </w:tc>
        <w:tc>
          <w:tcPr>
            <w:tcW w:w="1254" w:type="dxa"/>
          </w:tcPr>
          <w:p>
            <w:pPr>
              <w:pStyle w:val="IsiTabel"/>
              <w:suppressAutoHyphens/>
              <w:jc w:val="right"/>
            </w:pPr>
            <w:r>
              <w:t xml:space="preserve">4.925</w:t>
            </w:r>
          </w:p>
        </w:tc>
        <w:tc>
          <w:tcPr>
            <w:tcW w:w="1203" w:type="dxa"/>
          </w:tcPr>
          <w:p>
            <w:pPr>
              <w:pStyle w:val="IsiTabel"/>
              <w:suppressAutoHyphens/>
              <w:jc w:val="left"/>
            </w:pPr>
            <w:r>
              <w:t xml:space="preserve">1</w:t>
            </w:r>
          </w:p>
        </w:tc>
      </w:tr>
      <w:tr>
        <w:trPr>
          <w:cantSplit/>
        </w:trPr>
        <w:tc>
          <w:tcPr>
            <w:tcW w:w="1148" w:type="dxa"/>
          </w:tcPr>
          <w:p>
            <w:pPr>
              <w:pStyle w:val="IsiTabel"/>
              <w:suppressAutoHyphens/>
              <w:jc w:val="left"/>
            </w:pPr>
            <w:r>
              <w:t xml:space="preserve">Sulawesi Selatan</w:t>
            </w:r>
          </w:p>
        </w:tc>
        <w:tc>
          <w:tcPr>
            <w:tcW w:w="1093" w:type="dxa"/>
          </w:tcPr>
          <w:p>
            <w:pPr>
              <w:pStyle w:val="IsiTabel"/>
              <w:suppressAutoHyphens/>
              <w:jc w:val="right"/>
            </w:pPr>
            <w:r>
              <w:t xml:space="preserve">24</w:t>
            </w:r>
          </w:p>
        </w:tc>
        <w:tc>
          <w:tcPr>
            <w:tcW w:w="1149" w:type="dxa"/>
          </w:tcPr>
          <w:p>
            <w:pPr>
              <w:pStyle w:val="IsiTabel"/>
              <w:suppressAutoHyphens/>
              <w:jc w:val="right"/>
            </w:pPr>
            <w:r>
              <w:t xml:space="preserve">9.621.547</w:t>
            </w:r>
          </w:p>
        </w:tc>
        <w:tc>
          <w:tcPr>
            <w:tcW w:w="1093" w:type="dxa"/>
          </w:tcPr>
          <w:p>
            <w:pPr>
              <w:pStyle w:val="IsiTabel"/>
              <w:suppressAutoHyphens/>
              <w:jc w:val="right"/>
            </w:pPr>
            <w:r>
              <w:t xml:space="preserve">4</w:t>
            </w:r>
          </w:p>
        </w:tc>
        <w:tc>
          <w:tcPr>
            <w:tcW w:w="1213" w:type="dxa"/>
          </w:tcPr>
          <w:p>
            <w:pPr>
              <w:pStyle w:val="IsiTabel"/>
              <w:suppressAutoHyphens/>
              <w:jc w:val="right"/>
            </w:pPr>
            <w:r>
              <w:t xml:space="preserve">22</w:t>
            </w:r>
          </w:p>
        </w:tc>
        <w:tc>
          <w:tcPr>
            <w:tcW w:w="1201" w:type="dxa"/>
          </w:tcPr>
          <w:p>
            <w:pPr>
              <w:pStyle w:val="IsiTabel"/>
              <w:suppressAutoHyphens/>
              <w:jc w:val="left"/>
            </w:pPr>
            <w:r>
              <w:t xml:space="preserve">6</w:t>
            </w:r>
          </w:p>
        </w:tc>
        <w:tc>
          <w:tcPr>
            <w:tcW w:w="1254" w:type="dxa"/>
          </w:tcPr>
          <w:p>
            <w:pPr>
              <w:pStyle w:val="IsiTabel"/>
              <w:suppressAutoHyphens/>
              <w:jc w:val="right"/>
            </w:pPr>
            <w:r>
              <w:t xml:space="preserve">301</w:t>
            </w:r>
          </w:p>
        </w:tc>
        <w:tc>
          <w:tcPr>
            <w:tcW w:w="1203" w:type="dxa"/>
          </w:tcPr>
          <w:p>
            <w:pPr>
              <w:pStyle w:val="IsiTabel"/>
              <w:suppressAutoHyphens/>
              <w:jc w:val="left"/>
            </w:pPr>
            <w:r>
              <w:t xml:space="preserve">11</w:t>
            </w:r>
          </w:p>
        </w:tc>
      </w:tr>
      <w:tr>
        <w:trPr>
          <w:cantSplit/>
        </w:trPr>
        <w:tc>
          <w:tcPr>
            <w:tcW w:w="1148" w:type="dxa"/>
          </w:tcPr>
          <w:p>
            <w:pPr>
              <w:pStyle w:val="IsiTabel"/>
              <w:suppressAutoHyphens/>
              <w:jc w:val="left"/>
            </w:pPr>
            <w:r>
              <w:t xml:space="preserve">Sulawesi Tenggara</w:t>
            </w:r>
          </w:p>
        </w:tc>
        <w:tc>
          <w:tcPr>
            <w:tcW w:w="1093" w:type="dxa"/>
          </w:tcPr>
          <w:p>
            <w:pPr>
              <w:pStyle w:val="IsiTabel"/>
              <w:suppressAutoHyphens/>
              <w:jc w:val="right"/>
            </w:pPr>
            <w:r>
              <w:t xml:space="preserve">17</w:t>
            </w:r>
          </w:p>
        </w:tc>
        <w:tc>
          <w:tcPr>
            <w:tcW w:w="1149" w:type="dxa"/>
          </w:tcPr>
          <w:p>
            <w:pPr>
              <w:pStyle w:val="IsiTabel"/>
              <w:suppressAutoHyphens/>
              <w:jc w:val="right"/>
            </w:pPr>
            <w:r>
              <w:t xml:space="preserve">2.786.042</w:t>
            </w:r>
          </w:p>
        </w:tc>
        <w:tc>
          <w:tcPr>
            <w:tcW w:w="1093" w:type="dxa"/>
          </w:tcPr>
          <w:p>
            <w:pPr>
              <w:pStyle w:val="IsiTabel"/>
              <w:suppressAutoHyphens/>
              <w:jc w:val="right"/>
            </w:pPr>
            <w:r>
              <w:t xml:space="preserve">12</w:t>
            </w:r>
          </w:p>
        </w:tc>
        <w:tc>
          <w:tcPr>
            <w:tcW w:w="1213" w:type="dxa"/>
          </w:tcPr>
          <w:p>
            <w:pPr>
              <w:pStyle w:val="IsiTabel"/>
              <w:suppressAutoHyphens/>
              <w:jc w:val="right"/>
            </w:pPr>
            <w:r>
              <w:t xml:space="preserve">11</w:t>
            </w:r>
          </w:p>
        </w:tc>
        <w:tc>
          <w:tcPr>
            <w:tcW w:w="1201" w:type="dxa"/>
          </w:tcPr>
          <w:p>
            <w:pPr>
              <w:pStyle w:val="IsiTabel"/>
              <w:suppressAutoHyphens/>
              <w:jc w:val="left"/>
            </w:pPr>
            <w:r>
              <w:t xml:space="preserve">15</w:t>
            </w:r>
          </w:p>
        </w:tc>
        <w:tc>
          <w:tcPr>
            <w:tcW w:w="1254" w:type="dxa"/>
          </w:tcPr>
          <w:p>
            <w:pPr>
              <w:pStyle w:val="IsiTabel"/>
              <w:suppressAutoHyphens/>
              <w:jc w:val="right"/>
            </w:pPr>
            <w:r>
              <w:t xml:space="preserve">28</w:t>
            </w:r>
          </w:p>
        </w:tc>
        <w:tc>
          <w:tcPr>
            <w:tcW w:w="1203" w:type="dxa"/>
          </w:tcPr>
          <w:p>
            <w:pPr>
              <w:pStyle w:val="IsiTabel"/>
              <w:suppressAutoHyphens/>
              <w:jc w:val="left"/>
            </w:pPr>
            <w:r>
              <w:t xml:space="preserve">33</w:t>
            </w:r>
          </w:p>
        </w:tc>
      </w:tr>
      <w:tr>
        <w:trPr>
          <w:cantSplit/>
        </w:trPr>
        <w:tc>
          <w:tcPr>
            <w:tcW w:w="1148" w:type="dxa"/>
          </w:tcPr>
          <w:p>
            <w:pPr>
              <w:pStyle w:val="IsiTabel"/>
              <w:suppressAutoHyphens/>
              <w:jc w:val="left"/>
            </w:pPr>
            <w:r>
              <w:t xml:space="preserve">Gorontalo</w:t>
            </w:r>
          </w:p>
        </w:tc>
        <w:tc>
          <w:tcPr>
            <w:tcW w:w="1093" w:type="dxa"/>
          </w:tcPr>
          <w:p>
            <w:pPr>
              <w:pStyle w:val="IsiTabel"/>
              <w:suppressAutoHyphens/>
              <w:jc w:val="right"/>
            </w:pPr>
            <w:r>
              <w:t xml:space="preserve">6</w:t>
            </w:r>
          </w:p>
        </w:tc>
        <w:tc>
          <w:tcPr>
            <w:tcW w:w="1149" w:type="dxa"/>
          </w:tcPr>
          <w:p>
            <w:pPr>
              <w:pStyle w:val="IsiTabel"/>
              <w:suppressAutoHyphens/>
              <w:jc w:val="right"/>
            </w:pPr>
            <w:r>
              <w:t xml:space="preserve">1.233.337</w:t>
            </w:r>
          </w:p>
        </w:tc>
        <w:tc>
          <w:tcPr>
            <w:tcW w:w="1093" w:type="dxa"/>
          </w:tcPr>
          <w:p>
            <w:pPr>
              <w:pStyle w:val="IsiTabel"/>
              <w:suppressAutoHyphens/>
              <w:jc w:val="right"/>
            </w:pPr>
            <w:r>
              <w:t xml:space="preserve">2</w:t>
            </w:r>
          </w:p>
        </w:tc>
        <w:tc>
          <w:tcPr>
            <w:tcW w:w="1213" w:type="dxa"/>
          </w:tcPr>
          <w:p>
            <w:pPr>
              <w:pStyle w:val="IsiTabel"/>
              <w:suppressAutoHyphens/>
              <w:jc w:val="right"/>
            </w:pPr>
            <w:r>
              <w:t xml:space="preserve">5</w:t>
            </w:r>
          </w:p>
        </w:tc>
        <w:tc>
          <w:tcPr>
            <w:tcW w:w="1201" w:type="dxa"/>
          </w:tcPr>
          <w:p>
            <w:pPr>
              <w:pStyle w:val="IsiTabel"/>
              <w:suppressAutoHyphens/>
              <w:jc w:val="left"/>
            </w:pPr>
            <w:r>
              <w:t xml:space="preserve">31</w:t>
            </w:r>
          </w:p>
        </w:tc>
        <w:tc>
          <w:tcPr>
            <w:tcW w:w="1254" w:type="dxa"/>
          </w:tcPr>
          <w:p>
            <w:pPr>
              <w:pStyle w:val="IsiTabel"/>
              <w:suppressAutoHyphens/>
              <w:jc w:val="right"/>
            </w:pPr>
            <w:r>
              <w:t xml:space="preserve">68</w:t>
            </w:r>
          </w:p>
        </w:tc>
        <w:tc>
          <w:tcPr>
            <w:tcW w:w="1203" w:type="dxa"/>
          </w:tcPr>
          <w:p>
            <w:pPr>
              <w:pStyle w:val="IsiTabel"/>
              <w:suppressAutoHyphens/>
              <w:jc w:val="left"/>
            </w:pPr>
            <w:r>
              <w:t xml:space="preserve">21</w:t>
            </w:r>
          </w:p>
        </w:tc>
      </w:tr>
      <w:tr>
        <w:trPr>
          <w:cantSplit/>
        </w:trPr>
        <w:tc>
          <w:tcPr>
            <w:tcW w:w="1148" w:type="dxa"/>
          </w:tcPr>
          <w:p>
            <w:pPr>
              <w:pStyle w:val="IsiTabel"/>
              <w:suppressAutoHyphens/>
              <w:jc w:val="left"/>
            </w:pPr>
            <w:r>
              <w:t xml:space="preserve">Sulawesi Barat</w:t>
            </w:r>
          </w:p>
        </w:tc>
        <w:tc>
          <w:tcPr>
            <w:tcW w:w="1093" w:type="dxa"/>
          </w:tcPr>
          <w:p>
            <w:pPr>
              <w:pStyle w:val="IsiTabel"/>
              <w:suppressAutoHyphens/>
              <w:jc w:val="right"/>
            </w:pPr>
            <w:r>
              <w:t xml:space="preserve">6</w:t>
            </w:r>
          </w:p>
        </w:tc>
        <w:tc>
          <w:tcPr>
            <w:tcW w:w="1149" w:type="dxa"/>
          </w:tcPr>
          <w:p>
            <w:pPr>
              <w:pStyle w:val="IsiTabel"/>
              <w:suppressAutoHyphens/>
              <w:jc w:val="right"/>
            </w:pPr>
            <w:r>
              <w:t xml:space="preserve">1.510.610</w:t>
            </w:r>
          </w:p>
        </w:tc>
        <w:tc>
          <w:tcPr>
            <w:tcW w:w="1093" w:type="dxa"/>
          </w:tcPr>
          <w:p>
            <w:pPr>
              <w:pStyle w:val="IsiTabel"/>
              <w:suppressAutoHyphens/>
              <w:jc w:val="right"/>
            </w:pPr>
            <w:r>
              <w:t xml:space="preserve">5</w:t>
            </w:r>
          </w:p>
        </w:tc>
        <w:tc>
          <w:tcPr>
            <w:tcW w:w="1213" w:type="dxa"/>
          </w:tcPr>
          <w:p>
            <w:pPr>
              <w:pStyle w:val="IsiTabel"/>
              <w:suppressAutoHyphens/>
              <w:jc w:val="right"/>
            </w:pPr>
            <w:r>
              <w:t xml:space="preserve">5</w:t>
            </w:r>
          </w:p>
        </w:tc>
        <w:tc>
          <w:tcPr>
            <w:tcW w:w="1201" w:type="dxa"/>
          </w:tcPr>
          <w:p>
            <w:pPr>
              <w:pStyle w:val="IsiTabel"/>
              <w:suppressAutoHyphens/>
              <w:jc w:val="left"/>
            </w:pPr>
            <w:r>
              <w:t xml:space="preserve">32</w:t>
            </w:r>
          </w:p>
        </w:tc>
        <w:tc>
          <w:tcPr>
            <w:tcW w:w="1254" w:type="dxa"/>
          </w:tcPr>
          <w:p>
            <w:pPr>
              <w:pStyle w:val="IsiTabel"/>
              <w:suppressAutoHyphens/>
              <w:jc w:val="right"/>
            </w:pPr>
            <w:r>
              <w:t xml:space="preserve">138</w:t>
            </w:r>
          </w:p>
        </w:tc>
        <w:tc>
          <w:tcPr>
            <w:tcW w:w="1203" w:type="dxa"/>
          </w:tcPr>
          <w:p>
            <w:pPr>
              <w:pStyle w:val="IsiTabel"/>
              <w:suppressAutoHyphens/>
              <w:jc w:val="left"/>
            </w:pPr>
            <w:r>
              <w:t xml:space="preserve">15</w:t>
            </w:r>
          </w:p>
        </w:tc>
      </w:tr>
      <w:tr>
        <w:trPr>
          <w:cantSplit/>
        </w:trPr>
        <w:tc>
          <w:tcPr>
            <w:tcW w:w="1148" w:type="dxa"/>
            <w:shd w:val="clear" w:color="auto" w:fill="E6EAF0"/>
          </w:tcPr>
          <w:p>
            <w:pPr>
              <w:pStyle w:val="IsiTabel"/>
              <w:suppressAutoHyphens/>
            </w:pPr>
            <w:r>
              <w:rPr>
                <w:b/>
                <w:bCs/>
                <w:color w:val="1A1A1A"/>
              </w:rPr>
              <w:t xml:space="preserve">Subtotal Sulawesi</w:t>
            </w:r>
          </w:p>
        </w:tc>
        <w:tc>
          <w:tcPr>
            <w:tcW w:w="1093" w:type="dxa"/>
            <w:shd w:val="clear" w:color="auto" w:fill="E6EAF0"/>
          </w:tcPr>
          <w:p>
            <w:pPr>
              <w:pStyle w:val="IsiTabel"/>
              <w:suppressAutoHyphens/>
              <w:jc w:val="right"/>
            </w:pPr>
            <w:r>
              <w:rPr>
                <w:b/>
                <w:bCs/>
                <w:color w:val="1A1A1A"/>
              </w:rPr>
              <w:t xml:space="preserve">81</w:t>
            </w:r>
          </w:p>
        </w:tc>
        <w:tc>
          <w:tcPr>
            <w:tcW w:w="1149" w:type="dxa"/>
            <w:shd w:val="clear" w:color="auto" w:fill="E6EAF0"/>
          </w:tcPr>
          <w:p>
            <w:pPr>
              <w:pStyle w:val="IsiTabel"/>
              <w:suppressAutoHyphens/>
              <w:jc w:val="right"/>
            </w:pPr>
            <w:r>
              <w:rPr>
                <w:b/>
                <w:bCs/>
                <w:color w:val="1A1A1A"/>
              </w:rPr>
              <w:t xml:space="preserve">21.100.509</w:t>
            </w:r>
          </w:p>
        </w:tc>
        <w:tc>
          <w:tcPr>
            <w:tcW w:w="1093" w:type="dxa"/>
            <w:shd w:val="clear" w:color="auto" w:fill="E6EAF0"/>
          </w:tcPr>
          <w:p>
            <w:pPr>
              <w:pStyle w:val="IsiTabel"/>
              <w:suppressAutoHyphens/>
              <w:jc w:val="right"/>
            </w:pPr>
            <w:r>
              <w:rPr>
                <w:b/>
                <w:bCs/>
                <w:color w:val="1A1A1A"/>
              </w:rPr>
              <w:t xml:space="preserve">40</w:t>
            </w:r>
          </w:p>
        </w:tc>
        <w:tc>
          <w:tcPr>
            <w:tcW w:w="1213" w:type="dxa"/>
            <w:shd w:val="clear" w:color="auto" w:fill="E6EAF0"/>
          </w:tcPr>
          <w:p>
            <w:pPr>
              <w:pStyle w:val="IsiTabel"/>
              <w:suppressAutoHyphens/>
              <w:jc w:val="right"/>
            </w:pPr>
            <w:r>
              <w:rPr>
                <w:b/>
                <w:bCs/>
                <w:color w:val="1A1A1A"/>
              </w:rPr>
              <w:t xml:space="preserve">65</w:t>
            </w:r>
          </w:p>
        </w:tc>
        <w:tc>
          <w:tcPr>
            <w:tcW w:w="1201" w:type="dxa"/>
            <w:shd w:val="clear" w:color="auto" w:fill="E6EAF0"/>
          </w:tcPr>
          <w:p>
            <w:pPr>
              <w:pStyle w:val="IsiTabel"/>
              <w:suppressAutoHyphens/>
              <w:jc w:val="left"/>
            </w:pPr>
          </w:p>
        </w:tc>
        <w:tc>
          <w:tcPr>
            <w:tcW w:w="1254" w:type="dxa"/>
            <w:shd w:val="clear" w:color="auto" w:fill="E6EAF0"/>
          </w:tcPr>
          <w:p>
            <w:pPr>
              <w:pStyle w:val="IsiTabel"/>
              <w:suppressAutoHyphens/>
              <w:jc w:val="right"/>
            </w:pPr>
            <w:r>
              <w:rPr>
                <w:b/>
                <w:bCs/>
                <w:color w:val="1A1A1A"/>
              </w:rPr>
              <w:t xml:space="preserve">5.546</w:t>
            </w:r>
          </w:p>
        </w:tc>
        <w:tc>
          <w:tcPr>
            <w:tcW w:w="1203"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Maluku</w:t>
            </w:r>
          </w:p>
        </w:tc>
      </w:tr>
      <w:tr>
        <w:trPr>
          <w:cantSplit/>
        </w:trPr>
        <w:tc>
          <w:tcPr>
            <w:tcW w:w="1148" w:type="dxa"/>
          </w:tcPr>
          <w:p>
            <w:pPr>
              <w:pStyle w:val="IsiTabel"/>
              <w:suppressAutoHyphens/>
              <w:jc w:val="left"/>
            </w:pPr>
            <w:r>
              <w:t xml:space="preserve">Maluku</w:t>
            </w:r>
          </w:p>
        </w:tc>
        <w:tc>
          <w:tcPr>
            <w:tcW w:w="1093" w:type="dxa"/>
          </w:tcPr>
          <w:p>
            <w:pPr>
              <w:pStyle w:val="IsiTabel"/>
              <w:suppressAutoHyphens/>
              <w:jc w:val="right"/>
            </w:pPr>
            <w:r>
              <w:t xml:space="preserve">11</w:t>
            </w:r>
          </w:p>
        </w:tc>
        <w:tc>
          <w:tcPr>
            <w:tcW w:w="1149" w:type="dxa"/>
          </w:tcPr>
          <w:p>
            <w:pPr>
              <w:pStyle w:val="IsiTabel"/>
              <w:suppressAutoHyphens/>
              <w:jc w:val="right"/>
            </w:pPr>
            <w:r>
              <w:t xml:space="preserve">1.958.501</w:t>
            </w:r>
          </w:p>
        </w:tc>
        <w:tc>
          <w:tcPr>
            <w:tcW w:w="1093" w:type="dxa"/>
          </w:tcPr>
          <w:p>
            <w:pPr>
              <w:pStyle w:val="IsiTabel"/>
              <w:suppressAutoHyphens/>
              <w:jc w:val="right"/>
            </w:pPr>
            <w:r>
              <w:t xml:space="preserve">10</w:t>
            </w:r>
          </w:p>
        </w:tc>
        <w:tc>
          <w:tcPr>
            <w:tcW w:w="1213" w:type="dxa"/>
          </w:tcPr>
          <w:p>
            <w:pPr>
              <w:pStyle w:val="IsiTabel"/>
              <w:suppressAutoHyphens/>
              <w:jc w:val="right"/>
            </w:pPr>
            <w:r>
              <w:t xml:space="preserve">10</w:t>
            </w:r>
          </w:p>
        </w:tc>
        <w:tc>
          <w:tcPr>
            <w:tcW w:w="1201" w:type="dxa"/>
          </w:tcPr>
          <w:p>
            <w:pPr>
              <w:pStyle w:val="IsiTabel"/>
              <w:suppressAutoHyphens/>
              <w:jc w:val="left"/>
            </w:pPr>
            <w:r>
              <w:t xml:space="preserve">16</w:t>
            </w:r>
          </w:p>
        </w:tc>
        <w:tc>
          <w:tcPr>
            <w:tcW w:w="1254" w:type="dxa"/>
          </w:tcPr>
          <w:p>
            <w:pPr>
              <w:pStyle w:val="IsiTabel"/>
              <w:suppressAutoHyphens/>
              <w:jc w:val="right"/>
            </w:pPr>
            <w:r>
              <w:t xml:space="preserve">76</w:t>
            </w:r>
          </w:p>
        </w:tc>
        <w:tc>
          <w:tcPr>
            <w:tcW w:w="1203" w:type="dxa"/>
          </w:tcPr>
          <w:p>
            <w:pPr>
              <w:pStyle w:val="IsiTabel"/>
              <w:suppressAutoHyphens/>
              <w:jc w:val="left"/>
            </w:pPr>
            <w:r>
              <w:t xml:space="preserve">19</w:t>
            </w:r>
          </w:p>
        </w:tc>
      </w:tr>
      <w:tr>
        <w:trPr>
          <w:cantSplit/>
        </w:trPr>
        <w:tc>
          <w:tcPr>
            <w:tcW w:w="1148" w:type="dxa"/>
          </w:tcPr>
          <w:p>
            <w:pPr>
              <w:pStyle w:val="IsiTabel"/>
              <w:suppressAutoHyphens/>
              <w:jc w:val="left"/>
            </w:pPr>
            <w:r>
              <w:t xml:space="preserve">Maluku Utara</w:t>
            </w:r>
          </w:p>
        </w:tc>
        <w:tc>
          <w:tcPr>
            <w:tcW w:w="1093" w:type="dxa"/>
          </w:tcPr>
          <w:p>
            <w:pPr>
              <w:pStyle w:val="IsiTabel"/>
              <w:suppressAutoHyphens/>
              <w:jc w:val="right"/>
            </w:pPr>
            <w:r>
              <w:t xml:space="preserve">10</w:t>
            </w:r>
          </w:p>
        </w:tc>
        <w:tc>
          <w:tcPr>
            <w:tcW w:w="1149" w:type="dxa"/>
          </w:tcPr>
          <w:p>
            <w:pPr>
              <w:pStyle w:val="IsiTabel"/>
              <w:suppressAutoHyphens/>
              <w:jc w:val="right"/>
            </w:pPr>
            <w:r>
              <w:t xml:space="preserve">1.356.755</w:t>
            </w:r>
          </w:p>
        </w:tc>
        <w:tc>
          <w:tcPr>
            <w:tcW w:w="1093" w:type="dxa"/>
          </w:tcPr>
          <w:p>
            <w:pPr>
              <w:pStyle w:val="IsiTabel"/>
              <w:suppressAutoHyphens/>
              <w:jc w:val="right"/>
            </w:pPr>
            <w:r>
              <w:t xml:space="preserve">9</w:t>
            </w:r>
          </w:p>
        </w:tc>
        <w:tc>
          <w:tcPr>
            <w:tcW w:w="1213" w:type="dxa"/>
          </w:tcPr>
          <w:p>
            <w:pPr>
              <w:pStyle w:val="IsiTabel"/>
              <w:suppressAutoHyphens/>
              <w:jc w:val="right"/>
            </w:pPr>
            <w:r>
              <w:t xml:space="preserve">9</w:t>
            </w:r>
          </w:p>
        </w:tc>
        <w:tc>
          <w:tcPr>
            <w:tcW w:w="1201" w:type="dxa"/>
          </w:tcPr>
          <w:p>
            <w:pPr>
              <w:pStyle w:val="IsiTabel"/>
              <w:suppressAutoHyphens/>
              <w:jc w:val="left"/>
            </w:pPr>
            <w:r>
              <w:t xml:space="preserve">19</w:t>
            </w:r>
          </w:p>
        </w:tc>
        <w:tc>
          <w:tcPr>
            <w:tcW w:w="1254" w:type="dxa"/>
          </w:tcPr>
          <w:p>
            <w:pPr>
              <w:pStyle w:val="IsiTabel"/>
              <w:suppressAutoHyphens/>
              <w:jc w:val="right"/>
            </w:pPr>
            <w:r>
              <w:t xml:space="preserve">61</w:t>
            </w:r>
          </w:p>
        </w:tc>
        <w:tc>
          <w:tcPr>
            <w:tcW w:w="1203" w:type="dxa"/>
          </w:tcPr>
          <w:p>
            <w:pPr>
              <w:pStyle w:val="IsiTabel"/>
              <w:suppressAutoHyphens/>
              <w:jc w:val="left"/>
            </w:pPr>
            <w:r>
              <w:t xml:space="preserve">24</w:t>
            </w:r>
          </w:p>
        </w:tc>
      </w:tr>
      <w:tr>
        <w:trPr>
          <w:cantSplit/>
        </w:trPr>
        <w:tc>
          <w:tcPr>
            <w:tcW w:w="1148" w:type="dxa"/>
            <w:shd w:val="clear" w:color="auto" w:fill="E6EAF0"/>
          </w:tcPr>
          <w:p>
            <w:pPr>
              <w:pStyle w:val="IsiTabel"/>
              <w:suppressAutoHyphens/>
            </w:pPr>
            <w:r>
              <w:rPr>
                <w:b/>
                <w:bCs/>
                <w:color w:val="1A1A1A"/>
              </w:rPr>
              <w:t xml:space="preserve">Subtotal Maluku</w:t>
            </w:r>
          </w:p>
        </w:tc>
        <w:tc>
          <w:tcPr>
            <w:tcW w:w="1093" w:type="dxa"/>
            <w:shd w:val="clear" w:color="auto" w:fill="E6EAF0"/>
          </w:tcPr>
          <w:p>
            <w:pPr>
              <w:pStyle w:val="IsiTabel"/>
              <w:suppressAutoHyphens/>
              <w:jc w:val="right"/>
            </w:pPr>
            <w:r>
              <w:rPr>
                <w:b/>
                <w:bCs/>
                <w:color w:val="1A1A1A"/>
              </w:rPr>
              <w:t xml:space="preserve">21</w:t>
            </w:r>
          </w:p>
        </w:tc>
        <w:tc>
          <w:tcPr>
            <w:tcW w:w="1149" w:type="dxa"/>
            <w:shd w:val="clear" w:color="auto" w:fill="E6EAF0"/>
          </w:tcPr>
          <w:p>
            <w:pPr>
              <w:pStyle w:val="IsiTabel"/>
              <w:suppressAutoHyphens/>
              <w:jc w:val="right"/>
            </w:pPr>
            <w:r>
              <w:rPr>
                <w:b/>
                <w:bCs/>
                <w:color w:val="1A1A1A"/>
              </w:rPr>
              <w:t xml:space="preserve">3.315.256</w:t>
            </w:r>
          </w:p>
        </w:tc>
        <w:tc>
          <w:tcPr>
            <w:tcW w:w="1093" w:type="dxa"/>
            <w:shd w:val="clear" w:color="auto" w:fill="E6EAF0"/>
          </w:tcPr>
          <w:p>
            <w:pPr>
              <w:pStyle w:val="IsiTabel"/>
              <w:suppressAutoHyphens/>
              <w:jc w:val="right"/>
            </w:pPr>
            <w:r>
              <w:rPr>
                <w:b/>
                <w:bCs/>
                <w:color w:val="1A1A1A"/>
              </w:rPr>
              <w:t xml:space="preserve">19</w:t>
            </w:r>
          </w:p>
        </w:tc>
        <w:tc>
          <w:tcPr>
            <w:tcW w:w="1213" w:type="dxa"/>
            <w:shd w:val="clear" w:color="auto" w:fill="E6EAF0"/>
          </w:tcPr>
          <w:p>
            <w:pPr>
              <w:pStyle w:val="IsiTabel"/>
              <w:suppressAutoHyphens/>
              <w:jc w:val="right"/>
            </w:pPr>
            <w:r>
              <w:rPr>
                <w:b/>
                <w:bCs/>
                <w:color w:val="1A1A1A"/>
              </w:rPr>
              <w:t xml:space="preserve">19</w:t>
            </w:r>
          </w:p>
        </w:tc>
        <w:tc>
          <w:tcPr>
            <w:tcW w:w="1201" w:type="dxa"/>
            <w:shd w:val="clear" w:color="auto" w:fill="E6EAF0"/>
          </w:tcPr>
          <w:p>
            <w:pPr>
              <w:pStyle w:val="IsiTabel"/>
              <w:suppressAutoHyphens/>
              <w:jc w:val="left"/>
            </w:pPr>
          </w:p>
        </w:tc>
        <w:tc>
          <w:tcPr>
            <w:tcW w:w="1254" w:type="dxa"/>
            <w:shd w:val="clear" w:color="auto" w:fill="E6EAF0"/>
          </w:tcPr>
          <w:p>
            <w:pPr>
              <w:pStyle w:val="IsiTabel"/>
              <w:suppressAutoHyphens/>
              <w:jc w:val="right"/>
            </w:pPr>
            <w:r>
              <w:rPr>
                <w:b/>
                <w:bCs/>
                <w:color w:val="1A1A1A"/>
              </w:rPr>
              <w:t xml:space="preserve">137</w:t>
            </w:r>
          </w:p>
        </w:tc>
        <w:tc>
          <w:tcPr>
            <w:tcW w:w="1203"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Papua</w:t>
            </w:r>
          </w:p>
        </w:tc>
      </w:tr>
      <w:tr>
        <w:trPr>
          <w:cantSplit/>
        </w:trPr>
        <w:tc>
          <w:tcPr>
            <w:tcW w:w="1148" w:type="dxa"/>
          </w:tcPr>
          <w:p>
            <w:pPr>
              <w:pStyle w:val="IsiTabel"/>
              <w:suppressAutoHyphens/>
              <w:jc w:val="left"/>
            </w:pPr>
            <w:r>
              <w:t xml:space="preserve">Papua</w:t>
            </w:r>
          </w:p>
        </w:tc>
        <w:tc>
          <w:tcPr>
            <w:tcW w:w="1093" w:type="dxa"/>
          </w:tcPr>
          <w:p>
            <w:pPr>
              <w:pStyle w:val="IsiTabel"/>
              <w:suppressAutoHyphens/>
              <w:jc w:val="right"/>
            </w:pPr>
            <w:r>
              <w:t xml:space="preserve">9</w:t>
            </w:r>
          </w:p>
        </w:tc>
        <w:tc>
          <w:tcPr>
            <w:tcW w:w="1149" w:type="dxa"/>
          </w:tcPr>
          <w:p>
            <w:pPr>
              <w:pStyle w:val="IsiTabel"/>
              <w:suppressAutoHyphens/>
              <w:jc w:val="right"/>
            </w:pPr>
            <w:r>
              <w:t xml:space="preserve">1.072.358</w:t>
            </w:r>
          </w:p>
        </w:tc>
        <w:tc>
          <w:tcPr>
            <w:tcW w:w="1093" w:type="dxa"/>
          </w:tcPr>
          <w:p>
            <w:pPr>
              <w:pStyle w:val="IsiTabel"/>
              <w:suppressAutoHyphens/>
              <w:jc w:val="right"/>
            </w:pPr>
            <w:r>
              <w:t xml:space="preserve">8</w:t>
            </w:r>
          </w:p>
        </w:tc>
        <w:tc>
          <w:tcPr>
            <w:tcW w:w="1213" w:type="dxa"/>
          </w:tcPr>
          <w:p>
            <w:pPr>
              <w:pStyle w:val="IsiTabel"/>
              <w:suppressAutoHyphens/>
              <w:jc w:val="right"/>
            </w:pPr>
            <w:r>
              <w:t xml:space="preserve">7</w:t>
            </w:r>
          </w:p>
        </w:tc>
        <w:tc>
          <w:tcPr>
            <w:tcW w:w="1201" w:type="dxa"/>
          </w:tcPr>
          <w:p>
            <w:pPr>
              <w:pStyle w:val="IsiTabel"/>
              <w:suppressAutoHyphens/>
              <w:jc w:val="left"/>
            </w:pPr>
            <w:r>
              <w:t xml:space="preserve">25</w:t>
            </w:r>
          </w:p>
        </w:tc>
        <w:tc>
          <w:tcPr>
            <w:tcW w:w="1254" w:type="dxa"/>
          </w:tcPr>
          <w:p>
            <w:pPr>
              <w:pStyle w:val="IsiTabel"/>
              <w:suppressAutoHyphens/>
              <w:jc w:val="right"/>
            </w:pPr>
            <w:r>
              <w:t xml:space="preserve">219</w:t>
            </w:r>
          </w:p>
        </w:tc>
        <w:tc>
          <w:tcPr>
            <w:tcW w:w="1203" w:type="dxa"/>
          </w:tcPr>
          <w:p>
            <w:pPr>
              <w:pStyle w:val="IsiTabel"/>
              <w:suppressAutoHyphens/>
              <w:jc w:val="left"/>
            </w:pPr>
            <w:r>
              <w:t xml:space="preserve">12</w:t>
            </w:r>
          </w:p>
        </w:tc>
      </w:tr>
      <w:tr>
        <w:trPr>
          <w:cantSplit/>
        </w:trPr>
        <w:tc>
          <w:tcPr>
            <w:tcW w:w="1148" w:type="dxa"/>
          </w:tcPr>
          <w:p>
            <w:pPr>
              <w:pStyle w:val="IsiTabel"/>
              <w:suppressAutoHyphens/>
              <w:jc w:val="left"/>
            </w:pPr>
            <w:r>
              <w:t xml:space="preserve">Papua Barat</w:t>
            </w:r>
          </w:p>
        </w:tc>
        <w:tc>
          <w:tcPr>
            <w:tcW w:w="1093" w:type="dxa"/>
          </w:tcPr>
          <w:p>
            <w:pPr>
              <w:pStyle w:val="IsiTabel"/>
              <w:suppressAutoHyphens/>
              <w:jc w:val="right"/>
            </w:pPr>
            <w:r>
              <w:t xml:space="preserve">7</w:t>
            </w:r>
          </w:p>
        </w:tc>
        <w:tc>
          <w:tcPr>
            <w:tcW w:w="1149" w:type="dxa"/>
          </w:tcPr>
          <w:p>
            <w:pPr>
              <w:pStyle w:val="IsiTabel"/>
              <w:suppressAutoHyphens/>
              <w:jc w:val="right"/>
            </w:pPr>
            <w:r>
              <w:t xml:space="preserve">574.213</w:t>
            </w:r>
          </w:p>
        </w:tc>
        <w:tc>
          <w:tcPr>
            <w:tcW w:w="1093" w:type="dxa"/>
          </w:tcPr>
          <w:p>
            <w:pPr>
              <w:pStyle w:val="IsiTabel"/>
              <w:suppressAutoHyphens/>
              <w:jc w:val="right"/>
            </w:pPr>
            <w:r>
              <w:t xml:space="preserve">7</w:t>
            </w:r>
          </w:p>
        </w:tc>
        <w:tc>
          <w:tcPr>
            <w:tcW w:w="1213" w:type="dxa"/>
          </w:tcPr>
          <w:p>
            <w:pPr>
              <w:pStyle w:val="IsiTabel"/>
              <w:suppressAutoHyphens/>
              <w:jc w:val="right"/>
            </w:pPr>
            <w:r>
              <w:t xml:space="preserve">4</w:t>
            </w:r>
          </w:p>
        </w:tc>
        <w:tc>
          <w:tcPr>
            <w:tcW w:w="1201" w:type="dxa"/>
          </w:tcPr>
          <w:p>
            <w:pPr>
              <w:pStyle w:val="IsiTabel"/>
              <w:suppressAutoHyphens/>
              <w:jc w:val="left"/>
            </w:pPr>
            <w:r>
              <w:t xml:space="preserve">35</w:t>
            </w:r>
          </w:p>
        </w:tc>
        <w:tc>
          <w:tcPr>
            <w:tcW w:w="1254" w:type="dxa"/>
          </w:tcPr>
          <w:p>
            <w:pPr>
              <w:pStyle w:val="IsiTabel"/>
              <w:suppressAutoHyphens/>
              <w:jc w:val="right"/>
            </w:pPr>
            <w:r>
              <w:t xml:space="preserve">35</w:t>
            </w:r>
          </w:p>
        </w:tc>
        <w:tc>
          <w:tcPr>
            <w:tcW w:w="1203" w:type="dxa"/>
          </w:tcPr>
          <w:p>
            <w:pPr>
              <w:pStyle w:val="IsiTabel"/>
              <w:suppressAutoHyphens/>
              <w:jc w:val="left"/>
            </w:pPr>
            <w:r>
              <w:t xml:space="preserve">31</w:t>
            </w:r>
          </w:p>
        </w:tc>
      </w:tr>
      <w:tr>
        <w:trPr>
          <w:cantSplit/>
        </w:trPr>
        <w:tc>
          <w:tcPr>
            <w:tcW w:w="1148" w:type="dxa"/>
          </w:tcPr>
          <w:p>
            <w:pPr>
              <w:pStyle w:val="IsiTabel"/>
              <w:suppressAutoHyphens/>
              <w:jc w:val="left"/>
            </w:pPr>
            <w:r>
              <w:t xml:space="preserve">Papua Selatan</w:t>
            </w:r>
          </w:p>
        </w:tc>
        <w:tc>
          <w:tcPr>
            <w:tcW w:w="1093" w:type="dxa"/>
          </w:tcPr>
          <w:p>
            <w:pPr>
              <w:pStyle w:val="IsiTabel"/>
              <w:suppressAutoHyphens/>
              <w:jc w:val="right"/>
            </w:pPr>
            <w:r>
              <w:t xml:space="preserve">4</w:t>
            </w:r>
          </w:p>
        </w:tc>
        <w:tc>
          <w:tcPr>
            <w:tcW w:w="1149" w:type="dxa"/>
          </w:tcPr>
          <w:p>
            <w:pPr>
              <w:pStyle w:val="IsiTabel"/>
              <w:suppressAutoHyphens/>
              <w:jc w:val="right"/>
            </w:pPr>
            <w:r>
              <w:t xml:space="preserve">548.594</w:t>
            </w:r>
          </w:p>
        </w:tc>
        <w:tc>
          <w:tcPr>
            <w:tcW w:w="1093" w:type="dxa"/>
          </w:tcPr>
          <w:p>
            <w:pPr>
              <w:pStyle w:val="IsiTabel"/>
              <w:suppressAutoHyphens/>
              <w:jc w:val="right"/>
            </w:pPr>
            <w:r>
              <w:t xml:space="preserve">2</w:t>
            </w:r>
          </w:p>
        </w:tc>
        <w:tc>
          <w:tcPr>
            <w:tcW w:w="1213" w:type="dxa"/>
          </w:tcPr>
          <w:p>
            <w:pPr>
              <w:pStyle w:val="IsiTabel"/>
              <w:suppressAutoHyphens/>
              <w:jc w:val="right"/>
            </w:pPr>
            <w:r>
              <w:t xml:space="preserve">1</w:t>
            </w:r>
          </w:p>
        </w:tc>
        <w:tc>
          <w:tcPr>
            <w:tcW w:w="1201" w:type="dxa"/>
          </w:tcPr>
          <w:p>
            <w:pPr>
              <w:pStyle w:val="IsiTabel"/>
              <w:suppressAutoHyphens/>
              <w:jc w:val="left"/>
            </w:pPr>
            <w:r>
              <w:t xml:space="preserve">38</w:t>
            </w:r>
          </w:p>
        </w:tc>
        <w:tc>
          <w:tcPr>
            <w:tcW w:w="1254" w:type="dxa"/>
          </w:tcPr>
          <w:p>
            <w:pPr>
              <w:pStyle w:val="IsiTabel"/>
              <w:suppressAutoHyphens/>
              <w:jc w:val="right"/>
            </w:pPr>
            <w:r>
              <w:t xml:space="preserve">0</w:t>
            </w:r>
          </w:p>
        </w:tc>
        <w:tc>
          <w:tcPr>
            <w:tcW w:w="1203" w:type="dxa"/>
          </w:tcPr>
          <w:p>
            <w:pPr>
              <w:pStyle w:val="IsiTabel"/>
              <w:suppressAutoHyphens/>
              <w:jc w:val="left"/>
            </w:pPr>
            <w:r>
              <w:t xml:space="preserve">38</w:t>
            </w:r>
          </w:p>
        </w:tc>
      </w:tr>
      <w:tr>
        <w:trPr>
          <w:cantSplit/>
        </w:trPr>
        <w:tc>
          <w:tcPr>
            <w:tcW w:w="1148" w:type="dxa"/>
          </w:tcPr>
          <w:p>
            <w:pPr>
              <w:pStyle w:val="IsiTabel"/>
              <w:suppressAutoHyphens/>
              <w:jc w:val="left"/>
            </w:pPr>
            <w:r>
              <w:t xml:space="preserve">Papua Tengah</w:t>
            </w:r>
          </w:p>
        </w:tc>
        <w:tc>
          <w:tcPr>
            <w:tcW w:w="1093" w:type="dxa"/>
          </w:tcPr>
          <w:p>
            <w:pPr>
              <w:pStyle w:val="IsiTabel"/>
              <w:suppressAutoHyphens/>
              <w:jc w:val="right"/>
            </w:pPr>
            <w:r>
              <w:t xml:space="preserve">8</w:t>
            </w:r>
          </w:p>
        </w:tc>
        <w:tc>
          <w:tcPr>
            <w:tcW w:w="1149" w:type="dxa"/>
          </w:tcPr>
          <w:p>
            <w:pPr>
              <w:pStyle w:val="IsiTabel"/>
              <w:suppressAutoHyphens/>
              <w:jc w:val="right"/>
            </w:pPr>
            <w:r>
              <w:t xml:space="preserve">1.485.046</w:t>
            </w:r>
          </w:p>
        </w:tc>
        <w:tc>
          <w:tcPr>
            <w:tcW w:w="1093" w:type="dxa"/>
          </w:tcPr>
          <w:p>
            <w:pPr>
              <w:pStyle w:val="IsiTabel"/>
              <w:suppressAutoHyphens/>
              <w:jc w:val="right"/>
            </w:pPr>
            <w:r>
              <w:t xml:space="preserve">7</w:t>
            </w:r>
          </w:p>
        </w:tc>
        <w:tc>
          <w:tcPr>
            <w:tcW w:w="1213" w:type="dxa"/>
          </w:tcPr>
          <w:p>
            <w:pPr>
              <w:pStyle w:val="IsiTabel"/>
              <w:suppressAutoHyphens/>
              <w:jc w:val="right"/>
            </w:pPr>
            <w:r>
              <w:t xml:space="preserve">4</w:t>
            </w:r>
          </w:p>
        </w:tc>
        <w:tc>
          <w:tcPr>
            <w:tcW w:w="1201" w:type="dxa"/>
          </w:tcPr>
          <w:p>
            <w:pPr>
              <w:pStyle w:val="IsiTabel"/>
              <w:suppressAutoHyphens/>
              <w:jc w:val="left"/>
            </w:pPr>
            <w:r>
              <w:t xml:space="preserve">36</w:t>
            </w:r>
          </w:p>
        </w:tc>
        <w:tc>
          <w:tcPr>
            <w:tcW w:w="1254" w:type="dxa"/>
          </w:tcPr>
          <w:p>
            <w:pPr>
              <w:pStyle w:val="IsiTabel"/>
              <w:suppressAutoHyphens/>
              <w:jc w:val="right"/>
            </w:pPr>
            <w:r>
              <w:t xml:space="preserve">29</w:t>
            </w:r>
          </w:p>
        </w:tc>
        <w:tc>
          <w:tcPr>
            <w:tcW w:w="1203" w:type="dxa"/>
          </w:tcPr>
          <w:p>
            <w:pPr>
              <w:pStyle w:val="IsiTabel"/>
              <w:suppressAutoHyphens/>
              <w:jc w:val="left"/>
            </w:pPr>
            <w:r>
              <w:t xml:space="preserve">32</w:t>
            </w:r>
          </w:p>
        </w:tc>
      </w:tr>
      <w:tr>
        <w:trPr>
          <w:cantSplit/>
        </w:trPr>
        <w:tc>
          <w:tcPr>
            <w:tcW w:w="1148" w:type="dxa"/>
          </w:tcPr>
          <w:p>
            <w:pPr>
              <w:pStyle w:val="IsiTabel"/>
              <w:keepNext/>
              <w:suppressAutoHyphens/>
              <w:jc w:val="left"/>
            </w:pPr>
            <w:bookmarkStart w:id="865" w:name="_Ekor097a"/>
            <w:bookmarkEnd w:id="865"/>
            <w:r>
              <w:t xml:space="preserve">Papua Pegunungan</w:t>
            </w:r>
          </w:p>
        </w:tc>
        <w:tc>
          <w:tcPr>
            <w:tcW w:w="1093" w:type="dxa"/>
          </w:tcPr>
          <w:p>
            <w:pPr>
              <w:pStyle w:val="IsiTabel"/>
              <w:keepNext/>
              <w:suppressAutoHyphens/>
              <w:jc w:val="right"/>
            </w:pPr>
            <w:r>
              <w:t xml:space="preserve">8</w:t>
            </w:r>
          </w:p>
        </w:tc>
        <w:tc>
          <w:tcPr>
            <w:tcW w:w="1149" w:type="dxa"/>
          </w:tcPr>
          <w:p>
            <w:pPr>
              <w:pStyle w:val="IsiTabel"/>
              <w:keepNext/>
              <w:suppressAutoHyphens/>
              <w:jc w:val="right"/>
            </w:pPr>
            <w:r>
              <w:t xml:space="preserve">1.446.708</w:t>
            </w:r>
          </w:p>
        </w:tc>
        <w:tc>
          <w:tcPr>
            <w:tcW w:w="1093" w:type="dxa"/>
          </w:tcPr>
          <w:p>
            <w:pPr>
              <w:pStyle w:val="IsiTabel"/>
              <w:keepNext/>
              <w:suppressAutoHyphens/>
              <w:jc w:val="right"/>
            </w:pPr>
            <w:r>
              <w:t xml:space="preserve">7</w:t>
            </w:r>
          </w:p>
        </w:tc>
        <w:tc>
          <w:tcPr>
            <w:tcW w:w="1213" w:type="dxa"/>
          </w:tcPr>
          <w:p>
            <w:pPr>
              <w:pStyle w:val="IsiTabel"/>
              <w:keepNext/>
              <w:suppressAutoHyphens/>
              <w:jc w:val="right"/>
            </w:pPr>
            <w:r>
              <w:t xml:space="preserve">5</w:t>
            </w:r>
          </w:p>
        </w:tc>
        <w:tc>
          <w:tcPr>
            <w:tcW w:w="1201" w:type="dxa"/>
          </w:tcPr>
          <w:p>
            <w:pPr>
              <w:pStyle w:val="IsiTabel"/>
              <w:keepNext/>
              <w:suppressAutoHyphens/>
              <w:jc w:val="left"/>
            </w:pPr>
            <w:r>
              <w:t xml:space="preserve">33</w:t>
            </w:r>
          </w:p>
        </w:tc>
        <w:tc>
          <w:tcPr>
            <w:tcW w:w="1254" w:type="dxa"/>
          </w:tcPr>
          <w:p>
            <w:pPr>
              <w:pStyle w:val="IsiTabel"/>
              <w:keepNext/>
              <w:suppressAutoHyphens/>
              <w:jc w:val="right"/>
            </w:pPr>
            <w:r>
              <w:t xml:space="preserve">50</w:t>
            </w:r>
          </w:p>
        </w:tc>
        <w:tc>
          <w:tcPr>
            <w:tcW w:w="1203" w:type="dxa"/>
          </w:tcPr>
          <w:p>
            <w:pPr>
              <w:pStyle w:val="IsiTabel"/>
              <w:keepNext/>
              <w:suppressAutoHyphens/>
              <w:jc w:val="left"/>
            </w:pPr>
            <w:r>
              <w:t xml:space="preserve">30</w:t>
            </w:r>
          </w:p>
        </w:tc>
      </w:tr>
      <w:tr>
        <w:trPr>
          <w:cantSplit/>
        </w:trPr>
        <w:tc>
          <w:tcPr>
            <w:tcW w:w="1148" w:type="dxa"/>
          </w:tcPr>
          <w:p>
            <w:pPr>
              <w:pStyle w:val="IsiTabel"/>
              <w:keepNext/>
              <w:suppressAutoHyphens/>
              <w:jc w:val="left"/>
            </w:pPr>
            <w:r>
              <w:t xml:space="preserve">Papua Barat Daya</w:t>
            </w:r>
          </w:p>
        </w:tc>
        <w:tc>
          <w:tcPr>
            <w:tcW w:w="1093" w:type="dxa"/>
          </w:tcPr>
          <w:p>
            <w:pPr>
              <w:pStyle w:val="IsiTabel"/>
              <w:keepNext/>
              <w:suppressAutoHyphens/>
              <w:jc w:val="right"/>
            </w:pPr>
            <w:r>
              <w:t xml:space="preserve">6</w:t>
            </w:r>
          </w:p>
        </w:tc>
        <w:tc>
          <w:tcPr>
            <w:tcW w:w="1149" w:type="dxa"/>
          </w:tcPr>
          <w:p>
            <w:pPr>
              <w:pStyle w:val="IsiTabel"/>
              <w:keepNext/>
              <w:suppressAutoHyphens/>
              <w:jc w:val="right"/>
            </w:pPr>
            <w:r>
              <w:t xml:space="preserve">619.495</w:t>
            </w:r>
          </w:p>
        </w:tc>
        <w:tc>
          <w:tcPr>
            <w:tcW w:w="1093" w:type="dxa"/>
          </w:tcPr>
          <w:p>
            <w:pPr>
              <w:pStyle w:val="IsiTabel"/>
              <w:keepNext/>
              <w:suppressAutoHyphens/>
              <w:jc w:val="right"/>
            </w:pPr>
            <w:r>
              <w:t xml:space="preserve">6</w:t>
            </w:r>
          </w:p>
        </w:tc>
        <w:tc>
          <w:tcPr>
            <w:tcW w:w="1213" w:type="dxa"/>
          </w:tcPr>
          <w:p>
            <w:pPr>
              <w:pStyle w:val="IsiTabel"/>
              <w:keepNext/>
              <w:suppressAutoHyphens/>
              <w:jc w:val="right"/>
            </w:pPr>
            <w:r>
              <w:t xml:space="preserve">3</w:t>
            </w:r>
          </w:p>
        </w:tc>
        <w:tc>
          <w:tcPr>
            <w:tcW w:w="1201" w:type="dxa"/>
          </w:tcPr>
          <w:p>
            <w:pPr>
              <w:pStyle w:val="IsiTabel"/>
              <w:keepNext/>
              <w:suppressAutoHyphens/>
              <w:jc w:val="left"/>
            </w:pPr>
            <w:r>
              <w:t xml:space="preserve">37</w:t>
            </w:r>
          </w:p>
        </w:tc>
        <w:tc>
          <w:tcPr>
            <w:tcW w:w="1254" w:type="dxa"/>
          </w:tcPr>
          <w:p>
            <w:pPr>
              <w:pStyle w:val="IsiTabel"/>
              <w:keepNext/>
              <w:suppressAutoHyphens/>
              <w:jc w:val="right"/>
            </w:pPr>
            <w:r>
              <w:t xml:space="preserve">13</w:t>
            </w:r>
          </w:p>
        </w:tc>
        <w:tc>
          <w:tcPr>
            <w:tcW w:w="1203" w:type="dxa"/>
          </w:tcPr>
          <w:p>
            <w:pPr>
              <w:pStyle w:val="IsiTabel"/>
              <w:keepNext/>
              <w:suppressAutoHyphens/>
              <w:jc w:val="left"/>
            </w:pPr>
            <w:r>
              <w:t xml:space="preserve">37</w:t>
            </w:r>
          </w:p>
        </w:tc>
      </w:tr>
      <w:tr>
        <w:trPr>
          <w:cantSplit/>
        </w:trPr>
        <w:tc>
          <w:tcPr>
            <w:tcW w:w="1148" w:type="dxa"/>
            <w:shd w:val="clear" w:color="auto" w:fill="E6EAF0"/>
          </w:tcPr>
          <w:p>
            <w:pPr>
              <w:pStyle w:val="IsiTabel"/>
              <w:keepNext/>
              <w:suppressAutoHyphens/>
            </w:pPr>
            <w:r>
              <w:rPr>
                <w:b/>
                <w:bCs/>
                <w:color w:val="1A1A1A"/>
              </w:rPr>
              <w:t xml:space="preserve">Subtotal Papua</w:t>
            </w:r>
          </w:p>
        </w:tc>
        <w:tc>
          <w:tcPr>
            <w:tcW w:w="1093" w:type="dxa"/>
            <w:shd w:val="clear" w:color="auto" w:fill="E6EAF0"/>
          </w:tcPr>
          <w:p>
            <w:pPr>
              <w:pStyle w:val="IsiTabel"/>
              <w:keepNext/>
              <w:suppressAutoHyphens/>
              <w:jc w:val="right"/>
            </w:pPr>
            <w:r>
              <w:rPr>
                <w:b/>
                <w:bCs/>
                <w:color w:val="1A1A1A"/>
              </w:rPr>
              <w:t xml:space="preserve">42</w:t>
            </w:r>
          </w:p>
        </w:tc>
        <w:tc>
          <w:tcPr>
            <w:tcW w:w="1149" w:type="dxa"/>
            <w:shd w:val="clear" w:color="auto" w:fill="E6EAF0"/>
          </w:tcPr>
          <w:p>
            <w:pPr>
              <w:pStyle w:val="IsiTabel"/>
              <w:keepNext/>
              <w:suppressAutoHyphens/>
              <w:jc w:val="right"/>
            </w:pPr>
            <w:r>
              <w:rPr>
                <w:b/>
                <w:bCs/>
                <w:color w:val="1A1A1A"/>
              </w:rPr>
              <w:t xml:space="preserve">5.746.414</w:t>
            </w:r>
          </w:p>
        </w:tc>
        <w:tc>
          <w:tcPr>
            <w:tcW w:w="1093" w:type="dxa"/>
            <w:shd w:val="clear" w:color="auto" w:fill="E6EAF0"/>
          </w:tcPr>
          <w:p>
            <w:pPr>
              <w:pStyle w:val="IsiTabel"/>
              <w:keepNext/>
              <w:suppressAutoHyphens/>
              <w:jc w:val="right"/>
            </w:pPr>
            <w:r>
              <w:rPr>
                <w:b/>
                <w:bCs/>
                <w:color w:val="1A1A1A"/>
              </w:rPr>
              <w:t xml:space="preserve">37</w:t>
            </w:r>
          </w:p>
        </w:tc>
        <w:tc>
          <w:tcPr>
            <w:tcW w:w="1213" w:type="dxa"/>
            <w:shd w:val="clear" w:color="auto" w:fill="E6EAF0"/>
          </w:tcPr>
          <w:p>
            <w:pPr>
              <w:pStyle w:val="IsiTabel"/>
              <w:keepNext/>
              <w:suppressAutoHyphens/>
              <w:jc w:val="right"/>
            </w:pPr>
            <w:r>
              <w:rPr>
                <w:b/>
                <w:bCs/>
                <w:color w:val="1A1A1A"/>
              </w:rPr>
              <w:t xml:space="preserve">24</w:t>
            </w:r>
          </w:p>
        </w:tc>
        <w:tc>
          <w:tcPr>
            <w:tcW w:w="1201" w:type="dxa"/>
            <w:shd w:val="clear" w:color="auto" w:fill="E6EAF0"/>
          </w:tcPr>
          <w:p>
            <w:pPr>
              <w:pStyle w:val="IsiTabel"/>
              <w:keepNext/>
              <w:suppressAutoHyphens/>
              <w:jc w:val="left"/>
            </w:pPr>
          </w:p>
        </w:tc>
        <w:tc>
          <w:tcPr>
            <w:tcW w:w="1254" w:type="dxa"/>
            <w:shd w:val="clear" w:color="auto" w:fill="E6EAF0"/>
          </w:tcPr>
          <w:p>
            <w:pPr>
              <w:pStyle w:val="IsiTabel"/>
              <w:keepNext/>
              <w:suppressAutoHyphens/>
              <w:jc w:val="right"/>
            </w:pPr>
            <w:r>
              <w:rPr>
                <w:b/>
                <w:bCs/>
                <w:color w:val="1A1A1A"/>
              </w:rPr>
              <w:t xml:space="preserve">346</w:t>
            </w:r>
          </w:p>
        </w:tc>
        <w:tc>
          <w:tcPr>
            <w:tcW w:w="1203" w:type="dxa"/>
            <w:shd w:val="clear" w:color="auto" w:fill="E6EAF0"/>
          </w:tcPr>
          <w:p>
            <w:pPr>
              <w:pStyle w:val="IsiTabel"/>
              <w:keepNext/>
              <w:suppressAutoHyphens/>
              <w:jc w:val="left"/>
            </w:pPr>
          </w:p>
        </w:tc>
      </w:tr>
      <w:tr>
        <w:trPr>
          <w:cantSplit/>
        </w:trPr>
        <w:tc>
          <w:tcPr>
            <w:tcW w:w="1148" w:type="dxa"/>
            <w:shd w:val="clear" w:color="auto" w:fill="051C2C"/>
          </w:tcPr>
          <w:p>
            <w:pPr>
              <w:pStyle w:val="IsiTabel"/>
              <w:suppressAutoHyphens/>
            </w:pPr>
            <w:bookmarkStart w:id="866" w:name="_Ekor097z"/>
            <w:bookmarkEnd w:id="866"/>
            <w:r>
              <w:rPr>
                <w:b/>
                <w:bCs/>
                <w:color w:val="FFFFFF"/>
              </w:rPr>
              <w:t xml:space="preserve">Jumlah</w:t>
            </w:r>
          </w:p>
        </w:tc>
        <w:tc>
          <w:tcPr>
            <w:tcW w:w="1093" w:type="dxa"/>
            <w:shd w:val="clear" w:color="auto" w:fill="051C2C"/>
          </w:tcPr>
          <w:p>
            <w:pPr>
              <w:pStyle w:val="IsiTabel"/>
              <w:suppressAutoHyphens/>
              <w:jc w:val="right"/>
            </w:pPr>
            <w:r>
              <w:rPr>
                <w:b/>
                <w:bCs/>
                <w:color w:val="FFFFFF"/>
              </w:rPr>
              <w:t xml:space="preserve">514</w:t>
            </w:r>
          </w:p>
        </w:tc>
        <w:tc>
          <w:tcPr>
            <w:tcW w:w="1149" w:type="dxa"/>
            <w:shd w:val="clear" w:color="auto" w:fill="051C2C"/>
          </w:tcPr>
          <w:p>
            <w:pPr>
              <w:pStyle w:val="IsiTabel"/>
              <w:suppressAutoHyphens/>
              <w:jc w:val="right"/>
            </w:pPr>
            <w:r>
              <w:rPr>
                <w:b/>
                <w:bCs/>
                <w:color w:val="FFFFFF"/>
              </w:rPr>
              <w:t xml:space="preserve">286.674.532</w:t>
            </w:r>
          </w:p>
        </w:tc>
        <w:tc>
          <w:tcPr>
            <w:tcW w:w="1093" w:type="dxa"/>
            <w:shd w:val="clear" w:color="auto" w:fill="051C2C"/>
          </w:tcPr>
          <w:p>
            <w:pPr>
              <w:pStyle w:val="IsiTabel"/>
              <w:suppressAutoHyphens/>
              <w:jc w:val="right"/>
            </w:pPr>
            <w:r>
              <w:rPr>
                <w:b/>
                <w:bCs/>
                <w:color w:val="FFFFFF"/>
              </w:rPr>
              <w:t xml:space="preserve">169</w:t>
            </w:r>
          </w:p>
        </w:tc>
        <w:tc>
          <w:tcPr>
            <w:tcW w:w="1213" w:type="dxa"/>
            <w:shd w:val="clear" w:color="auto" w:fill="051C2C"/>
          </w:tcPr>
          <w:p>
            <w:pPr>
              <w:pStyle w:val="IsiTabel"/>
              <w:suppressAutoHyphens/>
              <w:jc w:val="right"/>
            </w:pPr>
            <w:r>
              <w:rPr>
                <w:b/>
                <w:bCs/>
                <w:color w:val="FFFFFF"/>
              </w:rPr>
              <w:t xml:space="preserve">426</w:t>
            </w:r>
          </w:p>
        </w:tc>
        <w:tc>
          <w:tcPr>
            <w:tcW w:w="1201" w:type="dxa"/>
            <w:shd w:val="clear" w:color="auto" w:fill="051C2C"/>
          </w:tcPr>
          <w:p>
            <w:pPr>
              <w:pStyle w:val="IsiTabel"/>
              <w:suppressAutoHyphens/>
              <w:jc w:val="left"/>
            </w:pPr>
          </w:p>
        </w:tc>
        <w:tc>
          <w:tcPr>
            <w:tcW w:w="1254" w:type="dxa"/>
            <w:shd w:val="clear" w:color="auto" w:fill="051C2C"/>
          </w:tcPr>
          <w:p>
            <w:pPr>
              <w:pStyle w:val="IsiTabel"/>
              <w:suppressAutoHyphens/>
              <w:jc w:val="right"/>
            </w:pPr>
            <w:r>
              <w:rPr>
                <w:b/>
                <w:bCs/>
                <w:color w:val="FFFFFF"/>
              </w:rPr>
              <w:t xml:space="preserve">13.063</w:t>
            </w:r>
          </w:p>
        </w:tc>
        <w:tc>
          <w:tcPr>
            <w:tcW w:w="1203" w:type="dxa"/>
            <w:shd w:val="clear" w:color="auto" w:fill="051C2C"/>
          </w:tcPr>
          <w:p>
            <w:pPr>
              <w:pStyle w:val="IsiTabel"/>
              <w:suppressAutoHyphens/>
              <w:jc w:val="left"/>
            </w:pPr>
          </w:p>
        </w:tc>
      </w:tr>
    </w:tbl>
    <w:p>
      <w:pPr>
        <w:pStyle w:val="Sumber"/>
        <w:spacing w:after="40"/>
      </w:pPr>
      <w:r>
        <w:rPr>
          <w:b/>
          <w:bCs/>
          <w:color w:val="6B7280"/>
          <w:sz w:val="17"/>
          <w:szCs w:val="17"/>
        </w:rPr>
        <w:t xml:space="preserve">Sumber: </w:t>
      </w:r>
      <w:r>
        <w:rPr>
          <w:color w:val="6B7280"/>
          <w:sz w:val="17"/>
          <w:szCs w:val="17"/>
        </w:rPr>
        <w:t xml:space="preserve">InaRISK BNPB, IRBI 2025; DIBI BNPB 2015–2025; WorldPop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Status IRBI dan korban DIBI resmi; penduduk WorldPop estimasi model; daftar perhatian dan peringkat asumsi kebijakan. Peringkat 1 paling banyak; pengelompokan pulau pilihan penyusun.</w:t>
      </w:r>
    </w:p>
    <w:p>
      <w:pPr>
        <w:pStyle w:val="JudulLampiran"/>
      </w:pPr>
      <w:bookmarkStart w:id="868" w:name="_Toc00273"/>
      <w:bookmarkStart w:id="867" w:name="_Ref0072"/>
      <w:r>
        <w:t xml:space="preserve">Lampiran C</w:t>
      </w:r>
      <w:bookmarkEnd w:id="867"/>
      <w:r>
        <w:t xml:space="preserve">. Kartu Skenario dan Keluaran Model per Jenis</w:t>
      </w:r>
      <w:bookmarkEnd w:id="868"/>
    </w:p>
    <w:p>
      <w:pPr>
        <w:pStyle w:val="Isi"/>
      </w:pPr>
      <w:r>
        <w:t xml:space="preserve">Kartu skenario terburuk yang masuk akal untuk kelima belas jenis bencana dimuat lengkap di Bab 6 sampai Bab 9; </w:t>
      </w:r>
      <w:r>
        <w:fldChar w:fldCharType="begin"/>
      </w:r>
      <w:r>
        <w:instrText xml:space="preserve"> REF _Ref0232 \h \* CHARFORMAT </w:instrText>
      </w:r>
      <w:r>
        <w:fldChar w:fldCharType="separate"/>
      </w:r>
      <w:r>
        <w:t xml:space="preserve">Tabel C.1</w:t>
      </w:r>
      <w:r>
        <w:fldChar w:fldCharType="end"/>
      </w:r>
      <w:r>
        <w:t xml:space="preserve"> menunjukkan letak tiap kartu dan variannya. Lampiran ini menambahkan keluaran model yang tidak dipakai sebagai angka utama di kartu: pita korban dan kerugian skenario gempa dan gunung api dari platform Pantau Bencana, serta keluaran mesin hidrometeorologi per musim </w:t>
      </w:r>
      <w:r>
        <w:t xml:space="preserve">(Pantau Bencana, 2026e; BNPB, t.t.-a)</w:t>
      </w:r>
      <w:r>
        <w:t xml:space="preserve">. Pita ditulis utuh tanpa dipotong ke lantai tercatat; lantai tercatat tetap angka utama di kartu (</w:t>
      </w:r>
      <w:r>
        <w:t xml:space="preserve">Subbab </w:t>
      </w:r>
      <w:r>
        <w:fldChar w:fldCharType="begin"/>
      </w:r>
      <w:r>
        <w:instrText xml:space="preserve"> REF _Ref0212 \h \* CHARFORMAT </w:instrText>
      </w:r>
      <w:r>
        <w:fldChar w:fldCharType="separate"/>
      </w:r>
      <w:r>
        <w:t xml:space="preserve">3.4</w:t>
      </w:r>
      <w:r>
        <w:fldChar w:fldCharType="end"/>
      </w:r>
      <w:r>
        <w:t xml:space="preserve">).</w:t>
      </w:r>
    </w:p>
    <w:p>
      <w:pPr>
        <w:pStyle w:val="IsiTemuan"/>
      </w:pPr>
      <w:r>
        <w:rPr>
          <w:b/>
          <w:bCs/>
          <w:color w:val="051C2C"/>
        </w:rPr>
        <w:t xml:space="preserve">Pernyataan produsen.</w:t>
      </w:r>
      <w:r>
        <w:t xml:space="preserve"> Keluaran di lampiran ini dihasilkan platform Pantau Bencana dari data terbuka, bukan oleh unit kerja BNPB, sehingga bukan Data Bencana menurut Perban BNPB 1/2023 </w:t>
      </w:r>
      <w:r>
        <w:t xml:space="preserve">(BNPB, 2023b)</w:t>
      </w:r>
      <w:r>
        <w:t xml:space="preserve">. Galat validasi silang mesin korban gempa </w:t>
      </w:r>
      <w:r>
        <w:t xml:space="preserve">sekitar 5,3</w:t>
      </w:r>
      <w:r>
        <w:t xml:space="preserve"> kali, dan model memberi </w:t>
      </w:r>
      <w:r>
        <w:t xml:space="preserve">sekitar 560</w:t>
      </w:r>
      <w:r>
        <w:t xml:space="preserve"> korban untuk Yogyakarta 2006, padahal tercatat </w:t>
      </w:r>
      <w:r>
        <w:t xml:space="preserve">5.749</w:t>
      </w:r>
      <w:r>
        <w:t xml:space="preserve"> </w:t>
      </w:r>
      <w:r>
        <w:t xml:space="preserve">(USGS, 2006a)</w:t>
      </w:r>
      <w:r>
        <w:t xml:space="preserve">. Korban tsunami model dan faktor evakuasi interpolasi paket tidak dimuat, karena korban tsunami belum dapat dihitung dari genangan resmi (</w:t>
      </w:r>
      <w:r>
        <w:t xml:space="preserve">Subbab </w:t>
      </w:r>
      <w:r>
        <w:fldChar w:fldCharType="begin"/>
      </w:r>
      <w:r>
        <w:instrText xml:space="preserve"> REF _Ref0205 \h \* CHARFORMAT </w:instrText>
      </w:r>
      <w:r>
        <w:fldChar w:fldCharType="separate"/>
      </w:r>
      <w:r>
        <w:t xml:space="preserve">3.9</w:t>
      </w:r>
      <w:r>
        <w:fldChar w:fldCharType="end"/>
      </w:r>
      <w:r>
        <w:t xml:space="preserve">). Rumah terdampak gempa dihitung dari jiwa dibagi </w:t>
      </w:r>
      <w:r>
        <w:t xml:space="preserve">3,9</w:t>
      </w:r>
      <w:r>
        <w:t xml:space="preserve"> jiwa per rumah, bukan dari data bangunan.</w:t>
      </w:r>
    </w:p>
    <w:p>
      <w:pPr>
        <w:pStyle w:val="Caption"/>
      </w:pPr>
      <w:bookmarkStart w:id="870" w:name="_Toc00274"/>
      <w:bookmarkStart w:id="869" w:name="_Ref0232"/>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69"/>
      <w:r>
        <w:rPr>
          <w:b/>
          <w:bCs/>
          <w:color w:val="051C2C"/>
        </w:rPr>
        <w:t xml:space="preserve"> </w:t>
      </w:r>
      <w:r>
        <w:t xml:space="preserve">Letak kartu skenario terburuk per jenis bencana dan sumber keluaran model, kajian mitigasi 2026</w:t>
      </w:r>
      <w:bookmarkEnd w:id="87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92"/>
        <w:gridCol w:w="1738"/>
        <w:gridCol w:w="908"/>
        <w:gridCol w:w="3016"/>
      </w:tblGrid>
      <w:tr>
        <w:trPr>
          <w:cantSplit/>
          <w:tblHeader/>
        </w:trPr>
        <w:tc>
          <w:tcPr>
            <w:tcW w:w="3692" w:type="dxa"/>
            <w:tcBorders>
              <w:bottom w:val="single" w:sz="8" w:space="0" w:color="6B7280"/>
            </w:tcBorders>
            <w:vAlign w:val="bottom"/>
          </w:tcPr>
          <w:p>
            <w:pPr>
              <w:pStyle w:val="KepalaTabel"/>
              <w:suppressAutoHyphens/>
            </w:pPr>
            <w:r>
              <w:rPr>
                <w:b/>
                <w:bCs/>
                <w:color w:val="6B7280"/>
                <w:sz w:val="17"/>
                <w:szCs w:val="17"/>
              </w:rPr>
              <w:t xml:space="preserve">JENIS</w:t>
            </w:r>
          </w:p>
        </w:tc>
        <w:tc>
          <w:tcPr>
            <w:tcW w:w="1738" w:type="dxa"/>
            <w:tcBorders>
              <w:bottom w:val="single" w:sz="8" w:space="0" w:color="6B7280"/>
            </w:tcBorders>
            <w:vAlign w:val="bottom"/>
          </w:tcPr>
          <w:p>
            <w:pPr>
              <w:pStyle w:val="KepalaTabel"/>
              <w:suppressAutoHyphens/>
            </w:pPr>
            <w:r>
              <w:rPr>
                <w:b/>
                <w:bCs/>
                <w:color w:val="6B7280"/>
                <w:sz w:val="17"/>
                <w:szCs w:val="17"/>
              </w:rPr>
              <w:t xml:space="preserve">KARTU</w:t>
            </w:r>
          </w:p>
        </w:tc>
        <w:tc>
          <w:tcPr>
            <w:tcW w:w="908" w:type="dxa"/>
            <w:tcBorders>
              <w:bottom w:val="single" w:sz="8" w:space="0" w:color="6B7280"/>
            </w:tcBorders>
            <w:vAlign w:val="bottom"/>
          </w:tcPr>
          <w:p>
            <w:pPr>
              <w:pStyle w:val="KepalaTabel"/>
              <w:suppressAutoHyphens/>
            </w:pPr>
            <w:r>
              <w:rPr>
                <w:b/>
                <w:bCs/>
                <w:color w:val="6B7280"/>
                <w:sz w:val="17"/>
                <w:szCs w:val="17"/>
              </w:rPr>
              <w:t xml:space="preserve">VARIAN</w:t>
            </w:r>
          </w:p>
        </w:tc>
        <w:tc>
          <w:tcPr>
            <w:tcW w:w="3016" w:type="dxa"/>
            <w:tcBorders>
              <w:bottom w:val="single" w:sz="8" w:space="0" w:color="6B7280"/>
            </w:tcBorders>
            <w:vAlign w:val="bottom"/>
          </w:tcPr>
          <w:p>
            <w:pPr>
              <w:pStyle w:val="KepalaTabel"/>
              <w:suppressAutoHyphens/>
            </w:pPr>
            <w:r>
              <w:rPr>
                <w:b/>
                <w:bCs/>
                <w:color w:val="6B7280"/>
                <w:sz w:val="17"/>
                <w:szCs w:val="17"/>
              </w:rPr>
              <w:t xml:space="preserve">KELUARAN MODEL DI LAMPIRAN INI</w:t>
            </w:r>
          </w:p>
        </w:tc>
      </w:tr>
      <w:tr>
        <w:trPr>
          <w:cantSplit/>
        </w:trPr>
        <w:tc>
          <w:tcPr>
            <w:tcW w:w="3692" w:type="dxa"/>
          </w:tcPr>
          <w:p>
            <w:pPr>
              <w:pStyle w:val="IsiTabel"/>
              <w:suppressAutoHyphens/>
              <w:jc w:val="left"/>
            </w:pPr>
            <w:r>
              <w:t xml:space="preserve">Gempa bumi megathrust</w:t>
            </w:r>
          </w:p>
        </w:tc>
        <w:tc>
          <w:tcPr>
            <w:tcW w:w="1738" w:type="dxa"/>
          </w:tcPr>
          <w:p>
            <w:pPr>
              <w:pStyle w:val="IsiTabel"/>
              <w:suppressAutoHyphens/>
              <w:jc w:val="left"/>
            </w:pPr>
            <w:r>
              <w:fldChar w:fldCharType="begin"/>
            </w:r>
            <w:r>
              <w:instrText xml:space="preserve"> REF _Ref0289 \h \* CHARFORMAT </w:instrText>
            </w:r>
            <w:r>
              <w:fldChar w:fldCharType="separate"/>
            </w:r>
            <w:r>
              <w:t xml:space="preserve">Tabel 6.2</w:t>
            </w:r>
            <w:r>
              <w:fldChar w:fldCharType="end"/>
            </w:r>
            <w:r>
              <w:t xml:space="preserve">; </w:t>
            </w:r>
            <w:r>
              <w:fldChar w:fldCharType="begin"/>
            </w:r>
            <w:r>
              <w:instrText xml:space="preserve"> REF _Ref0290 \h \* CHARFORMAT </w:instrText>
            </w:r>
            <w:r>
              <w:fldChar w:fldCharType="separate"/>
            </w:r>
            <w:r>
              <w:t xml:space="preserve">Tabel 6.3</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_Ref0231 \h \* CHARFORMAT </w:instrText>
            </w:r>
            <w:r>
              <w:fldChar w:fldCharType="separate"/>
            </w:r>
            <w:r>
              <w:t xml:space="preserve">Tabel C.2</w:t>
            </w:r>
            <w:r>
              <w:fldChar w:fldCharType="end"/>
            </w:r>
          </w:p>
        </w:tc>
      </w:tr>
      <w:tr>
        <w:trPr>
          <w:cantSplit/>
        </w:trPr>
        <w:tc>
          <w:tcPr>
            <w:tcW w:w="3692" w:type="dxa"/>
          </w:tcPr>
          <w:p>
            <w:pPr>
              <w:pStyle w:val="IsiTabel"/>
              <w:suppressAutoHyphens/>
              <w:jc w:val="left"/>
            </w:pPr>
            <w:r>
              <w:t xml:space="preserve">Gempa bumi sesar darat</w:t>
            </w:r>
          </w:p>
        </w:tc>
        <w:tc>
          <w:tcPr>
            <w:tcW w:w="1738" w:type="dxa"/>
          </w:tcPr>
          <w:p>
            <w:pPr>
              <w:pStyle w:val="IsiTabel"/>
              <w:suppressAutoHyphens/>
              <w:jc w:val="left"/>
            </w:pPr>
            <w:r>
              <w:fldChar w:fldCharType="begin"/>
            </w:r>
            <w:r>
              <w:instrText xml:space="preserve"> REF _Ref0292 \h \* CHARFORMAT </w:instrText>
            </w:r>
            <w:r>
              <w:fldChar w:fldCharType="separate"/>
            </w:r>
            <w:r>
              <w:t xml:space="preserve">Tabel 6.4</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t xml:space="preserve">tidak ada; skenario sesar darat belum dijalankan</w:t>
            </w:r>
          </w:p>
        </w:tc>
      </w:tr>
      <w:tr>
        <w:trPr>
          <w:cantSplit/>
        </w:trPr>
        <w:tc>
          <w:tcPr>
            <w:tcW w:w="3692" w:type="dxa"/>
          </w:tcPr>
          <w:p>
            <w:pPr>
              <w:pStyle w:val="IsiTabel"/>
              <w:suppressAutoHyphens/>
              <w:jc w:val="left"/>
            </w:pPr>
            <w:r>
              <w:t xml:space="preserve">Tsunami</w:t>
            </w:r>
          </w:p>
        </w:tc>
        <w:tc>
          <w:tcPr>
            <w:tcW w:w="1738" w:type="dxa"/>
          </w:tcPr>
          <w:p>
            <w:pPr>
              <w:pStyle w:val="IsiTabel"/>
              <w:suppressAutoHyphens/>
              <w:jc w:val="left"/>
            </w:pPr>
            <w:r>
              <w:fldChar w:fldCharType="begin"/>
            </w:r>
            <w:r>
              <w:instrText xml:space="preserve"> REF _Ref0295 \h \* CHARFORMAT </w:instrText>
            </w:r>
            <w:r>
              <w:fldChar w:fldCharType="separate"/>
            </w:r>
            <w:r>
              <w:t xml:space="preserve">Tabel 6.5</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t xml:space="preserve">paparan pesisir rendah di </w:t>
            </w:r>
            <w:r>
              <w:fldChar w:fldCharType="begin"/>
            </w:r>
            <w:r>
              <w:instrText xml:space="preserve"> REF _Ref0231 \h \* CHARFORMAT </w:instrText>
            </w:r>
            <w:r>
              <w:fldChar w:fldCharType="separate"/>
            </w:r>
            <w:r>
              <w:t xml:space="preserve">Tabel C.2</w:t>
            </w:r>
            <w:r>
              <w:fldChar w:fldCharType="end"/>
            </w:r>
            <w:r>
              <w:t xml:space="preserve">; korban tidak dihitung</w:t>
            </w:r>
          </w:p>
        </w:tc>
      </w:tr>
      <w:tr>
        <w:trPr>
          <w:cantSplit/>
        </w:trPr>
        <w:tc>
          <w:tcPr>
            <w:tcW w:w="3692" w:type="dxa"/>
          </w:tcPr>
          <w:p>
            <w:pPr>
              <w:pStyle w:val="IsiTabel"/>
              <w:suppressAutoHyphens/>
              <w:jc w:val="left"/>
            </w:pPr>
            <w:r>
              <w:t xml:space="preserve">Gunung api</w:t>
            </w:r>
          </w:p>
        </w:tc>
        <w:tc>
          <w:tcPr>
            <w:tcW w:w="1738" w:type="dxa"/>
          </w:tcPr>
          <w:p>
            <w:pPr>
              <w:pStyle w:val="IsiTabel"/>
              <w:suppressAutoHyphens/>
              <w:jc w:val="left"/>
            </w:pPr>
            <w:r>
              <w:fldChar w:fldCharType="begin"/>
            </w:r>
            <w:r>
              <w:instrText xml:space="preserve"> REF _Ref0286 \h \* CHARFORMAT </w:instrText>
            </w:r>
            <w:r>
              <w:fldChar w:fldCharType="separate"/>
            </w:r>
            <w:r>
              <w:t xml:space="preserve">Tabel 6.6</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_Ref0231 \h \* CHARFORMAT </w:instrText>
            </w:r>
            <w:r>
              <w:fldChar w:fldCharType="separate"/>
            </w:r>
            <w:r>
              <w:t xml:space="preserve">Tabel C.2</w:t>
            </w:r>
            <w:r>
              <w:fldChar w:fldCharType="end"/>
            </w:r>
          </w:p>
        </w:tc>
      </w:tr>
      <w:tr>
        <w:trPr>
          <w:cantSplit/>
        </w:trPr>
        <w:tc>
          <w:tcPr>
            <w:tcW w:w="3692" w:type="dxa"/>
          </w:tcPr>
          <w:p>
            <w:pPr>
              <w:pStyle w:val="IsiTabel"/>
              <w:suppressAutoHyphens/>
              <w:jc w:val="left"/>
            </w:pPr>
            <w:r>
              <w:t xml:space="preserve">Likuefaksi</w:t>
            </w:r>
          </w:p>
        </w:tc>
        <w:tc>
          <w:tcPr>
            <w:tcW w:w="1738" w:type="dxa"/>
          </w:tcPr>
          <w:p>
            <w:pPr>
              <w:pStyle w:val="IsiTabel"/>
              <w:suppressAutoHyphens/>
              <w:jc w:val="left"/>
            </w:pPr>
            <w:r>
              <w:fldChar w:fldCharType="begin"/>
            </w:r>
            <w:r>
              <w:instrText xml:space="preserve"> REF _Ref0288 \h \* CHARFORMAT </w:instrText>
            </w:r>
            <w:r>
              <w:fldChar w:fldCharType="separate"/>
            </w:r>
            <w:r>
              <w:t xml:space="preserve">Tabel 6.8</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t xml:space="preserve">tidak ada; kartu memakai analog Sulawesi Tengah 2018</w:t>
            </w:r>
          </w:p>
        </w:tc>
      </w:tr>
      <w:tr>
        <w:trPr>
          <w:cantSplit/>
        </w:trPr>
        <w:tc>
          <w:tcPr>
            <w:tcW w:w="3692" w:type="dxa"/>
          </w:tcPr>
          <w:p>
            <w:pPr>
              <w:pStyle w:val="IsiTabel"/>
              <w:suppressAutoHyphens/>
              <w:jc w:val="left"/>
            </w:pPr>
            <w:r>
              <w:t xml:space="preserve">Banjir dan banjir bandang</w:t>
            </w:r>
          </w:p>
        </w:tc>
        <w:tc>
          <w:tcPr>
            <w:tcW w:w="1738" w:type="dxa"/>
          </w:tcPr>
          <w:p>
            <w:pPr>
              <w:pStyle w:val="IsiTabel"/>
              <w:suppressAutoHyphens/>
              <w:jc w:val="left"/>
            </w:pPr>
            <w:r>
              <w:fldChar w:fldCharType="begin"/>
            </w:r>
            <w:r>
              <w:instrText xml:space="preserve"> REF _Ref0268 \h \* CHARFORMAT </w:instrText>
            </w:r>
            <w:r>
              <w:fldChar w:fldCharType="separate"/>
            </w:r>
            <w:r>
              <w:t xml:space="preserve">Tabel 7.1</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_Ref0235 \h \* CHARFORMAT </w:instrText>
            </w:r>
            <w:r>
              <w:fldChar w:fldCharType="separate"/>
            </w:r>
            <w:r>
              <w:t xml:space="preserve">Tabel C.3</w:t>
            </w:r>
            <w:r>
              <w:fldChar w:fldCharType="end"/>
            </w:r>
            <w:r>
              <w:t xml:space="preserve">; </w:t>
            </w:r>
            <w:r>
              <w:fldChar w:fldCharType="begin"/>
            </w:r>
            <w:r>
              <w:instrText xml:space="preserve"> REF _Ref0238 \h \* CHARFORMAT </w:instrText>
            </w:r>
            <w:r>
              <w:fldChar w:fldCharType="separate"/>
            </w:r>
            <w:r>
              <w:t xml:space="preserve">Tabel C.4</w:t>
            </w:r>
            <w:r>
              <w:fldChar w:fldCharType="end"/>
            </w:r>
          </w:p>
        </w:tc>
      </w:tr>
      <w:tr>
        <w:trPr>
          <w:cantSplit/>
        </w:trPr>
        <w:tc>
          <w:tcPr>
            <w:tcW w:w="3692" w:type="dxa"/>
          </w:tcPr>
          <w:p>
            <w:pPr>
              <w:pStyle w:val="IsiTabel"/>
              <w:suppressAutoHyphens/>
              <w:jc w:val="left"/>
            </w:pPr>
            <w:r>
              <w:t xml:space="preserve">Tanah longsor</w:t>
            </w:r>
          </w:p>
        </w:tc>
        <w:tc>
          <w:tcPr>
            <w:tcW w:w="1738" w:type="dxa"/>
          </w:tcPr>
          <w:p>
            <w:pPr>
              <w:pStyle w:val="IsiTabel"/>
              <w:suppressAutoHyphens/>
              <w:jc w:val="left"/>
            </w:pPr>
            <w:r>
              <w:fldChar w:fldCharType="begin"/>
            </w:r>
            <w:r>
              <w:instrText xml:space="preserve"> REF _Ref0273 \h \* CHARFORMAT </w:instrText>
            </w:r>
            <w:r>
              <w:fldChar w:fldCharType="separate"/>
            </w:r>
            <w:r>
              <w:t xml:space="preserve">Tabel 7.2</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_Ref0235 \h \* CHARFORMAT </w:instrText>
            </w:r>
            <w:r>
              <w:fldChar w:fldCharType="separate"/>
            </w:r>
            <w:r>
              <w:t xml:space="preserve">Tabel C.3</w:t>
            </w:r>
            <w:r>
              <w:fldChar w:fldCharType="end"/>
            </w:r>
            <w:r>
              <w:t xml:space="preserve">; </w:t>
            </w:r>
            <w:r>
              <w:fldChar w:fldCharType="begin"/>
            </w:r>
            <w:r>
              <w:instrText xml:space="preserve"> REF _Ref0238 \h \* CHARFORMAT </w:instrText>
            </w:r>
            <w:r>
              <w:fldChar w:fldCharType="separate"/>
            </w:r>
            <w:r>
              <w:t xml:space="preserve">Tabel C.4</w:t>
            </w:r>
            <w:r>
              <w:fldChar w:fldCharType="end"/>
            </w:r>
          </w:p>
        </w:tc>
      </w:tr>
      <w:tr>
        <w:trPr>
          <w:cantSplit/>
        </w:trPr>
        <w:tc>
          <w:tcPr>
            <w:tcW w:w="3692" w:type="dxa"/>
          </w:tcPr>
          <w:p>
            <w:pPr>
              <w:pStyle w:val="IsiTabel"/>
              <w:suppressAutoHyphens/>
              <w:jc w:val="left"/>
            </w:pPr>
            <w:r>
              <w:t xml:space="preserve">Cuaca ekstrem</w:t>
            </w:r>
          </w:p>
        </w:tc>
        <w:tc>
          <w:tcPr>
            <w:tcW w:w="1738" w:type="dxa"/>
          </w:tcPr>
          <w:p>
            <w:pPr>
              <w:pStyle w:val="IsiTabel"/>
              <w:suppressAutoHyphens/>
              <w:jc w:val="left"/>
            </w:pPr>
            <w:r>
              <w:fldChar w:fldCharType="begin"/>
            </w:r>
            <w:r>
              <w:instrText xml:space="preserve"> REF _Ref0269 \h \* CHARFORMAT </w:instrText>
            </w:r>
            <w:r>
              <w:fldChar w:fldCharType="separate"/>
            </w:r>
            <w:r>
              <w:t xml:space="preserve">Tabel 7.3</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_Ref0235 \h \* CHARFORMAT </w:instrText>
            </w:r>
            <w:r>
              <w:fldChar w:fldCharType="separate"/>
            </w:r>
            <w:r>
              <w:t xml:space="preserve">Tabel C.3</w:t>
            </w:r>
            <w:r>
              <w:fldChar w:fldCharType="end"/>
            </w:r>
            <w:r>
              <w:t xml:space="preserve">; </w:t>
            </w:r>
            <w:r>
              <w:fldChar w:fldCharType="begin"/>
            </w:r>
            <w:r>
              <w:instrText xml:space="preserve"> REF _Ref0238 \h \* CHARFORMAT </w:instrText>
            </w:r>
            <w:r>
              <w:fldChar w:fldCharType="separate"/>
            </w:r>
            <w:r>
              <w:t xml:space="preserve">Tabel C.4</w:t>
            </w:r>
            <w:r>
              <w:fldChar w:fldCharType="end"/>
            </w:r>
          </w:p>
        </w:tc>
      </w:tr>
      <w:tr>
        <w:trPr>
          <w:cantSplit/>
        </w:trPr>
        <w:tc>
          <w:tcPr>
            <w:tcW w:w="3692" w:type="dxa"/>
          </w:tcPr>
          <w:p>
            <w:pPr>
              <w:pStyle w:val="IsiTabel"/>
              <w:suppressAutoHyphens/>
              <w:jc w:val="left"/>
            </w:pPr>
            <w:r>
              <w:t xml:space="preserve">Gelombang ekstrem, abrasi, dan rob</w:t>
            </w:r>
          </w:p>
        </w:tc>
        <w:tc>
          <w:tcPr>
            <w:tcW w:w="1738" w:type="dxa"/>
          </w:tcPr>
          <w:p>
            <w:pPr>
              <w:pStyle w:val="IsiTabel"/>
              <w:suppressAutoHyphens/>
              <w:jc w:val="left"/>
            </w:pPr>
            <w:r>
              <w:fldChar w:fldCharType="begin"/>
            </w:r>
            <w:r>
              <w:instrText xml:space="preserve"> REF _Ref0270 \h \* CHARFORMAT </w:instrText>
            </w:r>
            <w:r>
              <w:fldChar w:fldCharType="separate"/>
            </w:r>
            <w:r>
              <w:t xml:space="preserve">Tabel 7.4</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_Ref0230 \h \* CHARFORMAT </w:instrText>
            </w:r>
            <w:r>
              <w:fldChar w:fldCharType="separate"/>
            </w:r>
            <w:r>
              <w:t xml:space="preserve">Tabel C.7</w:t>
            </w:r>
            <w:r>
              <w:fldChar w:fldCharType="end"/>
            </w:r>
          </w:p>
        </w:tc>
      </w:tr>
      <w:tr>
        <w:trPr>
          <w:cantSplit/>
        </w:trPr>
        <w:tc>
          <w:tcPr>
            <w:tcW w:w="3692" w:type="dxa"/>
          </w:tcPr>
          <w:p>
            <w:pPr>
              <w:pStyle w:val="IsiTabel"/>
              <w:suppressAutoHyphens/>
              <w:jc w:val="left"/>
            </w:pPr>
            <w:r>
              <w:t xml:space="preserve">Kekeringan</w:t>
            </w:r>
          </w:p>
        </w:tc>
        <w:tc>
          <w:tcPr>
            <w:tcW w:w="1738" w:type="dxa"/>
          </w:tcPr>
          <w:p>
            <w:pPr>
              <w:pStyle w:val="IsiTabel"/>
              <w:suppressAutoHyphens/>
              <w:jc w:val="left"/>
            </w:pPr>
            <w:r>
              <w:fldChar w:fldCharType="begin"/>
            </w:r>
            <w:r>
              <w:instrText xml:space="preserve"> REF _Ref0272 \h \* CHARFORMAT </w:instrText>
            </w:r>
            <w:r>
              <w:fldChar w:fldCharType="separate"/>
            </w:r>
            <w:r>
              <w:t xml:space="preserve">Tabel 7.5</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_Ref0234 \h \* CHARFORMAT </w:instrText>
            </w:r>
            <w:r>
              <w:fldChar w:fldCharType="separate"/>
            </w:r>
            <w:r>
              <w:t xml:space="preserve">Tabel C.8</w:t>
            </w:r>
            <w:r>
              <w:fldChar w:fldCharType="end"/>
            </w:r>
          </w:p>
        </w:tc>
      </w:tr>
      <w:tr>
        <w:trPr>
          <w:cantSplit/>
        </w:trPr>
        <w:tc>
          <w:tcPr>
            <w:tcW w:w="3692" w:type="dxa"/>
          </w:tcPr>
          <w:p>
            <w:pPr>
              <w:pStyle w:val="IsiTabel"/>
              <w:suppressAutoHyphens/>
              <w:jc w:val="left"/>
            </w:pPr>
            <w:r>
              <w:t xml:space="preserve">Karhutla</w:t>
            </w:r>
          </w:p>
        </w:tc>
        <w:tc>
          <w:tcPr>
            <w:tcW w:w="1738" w:type="dxa"/>
          </w:tcPr>
          <w:p>
            <w:pPr>
              <w:pStyle w:val="IsiTabel"/>
              <w:suppressAutoHyphens/>
              <w:jc w:val="left"/>
            </w:pPr>
            <w:r>
              <w:fldChar w:fldCharType="begin"/>
            </w:r>
            <w:r>
              <w:instrText xml:space="preserve"> REF _Ref0271 \h \* CHARFORMAT </w:instrText>
            </w:r>
            <w:r>
              <w:fldChar w:fldCharType="separate"/>
            </w:r>
            <w:r>
              <w:t xml:space="preserve">Tabel 7.7</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_Ref0233 \h \* CHARFORMAT </w:instrText>
            </w:r>
            <w:r>
              <w:fldChar w:fldCharType="separate"/>
            </w:r>
            <w:r>
              <w:t xml:space="preserve">Tabel C.9</w:t>
            </w:r>
            <w:r>
              <w:fldChar w:fldCharType="end"/>
            </w:r>
          </w:p>
        </w:tc>
      </w:tr>
      <w:tr>
        <w:trPr>
          <w:cantSplit/>
        </w:trPr>
        <w:tc>
          <w:tcPr>
            <w:tcW w:w="3692" w:type="dxa"/>
          </w:tcPr>
          <w:p>
            <w:pPr>
              <w:pStyle w:val="IsiTabel"/>
              <w:suppressAutoHyphens/>
              <w:jc w:val="left"/>
            </w:pPr>
            <w:r>
              <w:t xml:space="preserve">Musim hujan, kartu agregat</w:t>
            </w:r>
          </w:p>
        </w:tc>
        <w:tc>
          <w:tcPr>
            <w:tcW w:w="1738" w:type="dxa"/>
          </w:tcPr>
          <w:p>
            <w:pPr>
              <w:pStyle w:val="IsiTabel"/>
              <w:suppressAutoHyphens/>
              <w:jc w:val="left"/>
            </w:pPr>
            <w:r>
              <w:fldChar w:fldCharType="begin"/>
            </w:r>
            <w:r>
              <w:instrText xml:space="preserve"> REF _Ref0274 \h \* CHARFORMAT </w:instrText>
            </w:r>
            <w:r>
              <w:fldChar w:fldCharType="separate"/>
            </w:r>
            <w:r>
              <w:t xml:space="preserve">Tabel 7.8</w:t>
            </w:r>
            <w:r>
              <w:fldChar w:fldCharType="end"/>
            </w:r>
            <w:r>
              <w:t xml:space="preserve">; </w:t>
            </w:r>
            <w:r>
              <w:fldChar w:fldCharType="begin"/>
            </w:r>
            <w:r>
              <w:instrText xml:space="preserve"> REF _Ref0267 \h \* CHARFORMAT </w:instrText>
            </w:r>
            <w:r>
              <w:fldChar w:fldCharType="separate"/>
            </w:r>
            <w:r>
              <w:t xml:space="preserve">Tabel 7.9</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_Ref0236 \h \* CHARFORMAT </w:instrText>
            </w:r>
            <w:r>
              <w:fldChar w:fldCharType="separate"/>
            </w:r>
            <w:r>
              <w:t xml:space="preserve">Tabel C.5</w:t>
            </w:r>
            <w:r>
              <w:fldChar w:fldCharType="end"/>
            </w:r>
            <w:r>
              <w:t xml:space="preserve">; </w:t>
            </w:r>
            <w:r>
              <w:fldChar w:fldCharType="begin"/>
            </w:r>
            <w:r>
              <w:instrText xml:space="preserve"> REF _Ref0237 \h \* CHARFORMAT </w:instrText>
            </w:r>
            <w:r>
              <w:fldChar w:fldCharType="separate"/>
            </w:r>
            <w:r>
              <w:t xml:space="preserve">Tabel C.6</w:t>
            </w:r>
            <w:r>
              <w:fldChar w:fldCharType="end"/>
            </w:r>
          </w:p>
        </w:tc>
      </w:tr>
      <w:tr>
        <w:trPr>
          <w:cantSplit/>
        </w:trPr>
        <w:tc>
          <w:tcPr>
            <w:tcW w:w="3692" w:type="dxa"/>
          </w:tcPr>
          <w:p>
            <w:pPr>
              <w:pStyle w:val="IsiTabel"/>
              <w:keepNext/>
              <w:suppressAutoHyphens/>
              <w:jc w:val="left"/>
            </w:pPr>
            <w:bookmarkStart w:id="871" w:name="_Ekor098a"/>
            <w:bookmarkEnd w:id="871"/>
            <w:r>
              <w:t xml:space="preserve">Epidemi dan pandemi</w:t>
            </w:r>
          </w:p>
        </w:tc>
        <w:tc>
          <w:tcPr>
            <w:tcW w:w="1738" w:type="dxa"/>
          </w:tcPr>
          <w:p>
            <w:pPr>
              <w:pStyle w:val="IsiTabel"/>
              <w:keepNext/>
              <w:suppressAutoHyphens/>
              <w:jc w:val="left"/>
            </w:pPr>
            <w:r>
              <w:fldChar w:fldCharType="begin"/>
            </w:r>
            <w:r>
              <w:instrText xml:space="preserve"> REF _Ref0291 \h \* CHARFORMAT </w:instrText>
            </w:r>
            <w:r>
              <w:fldChar w:fldCharType="separate"/>
            </w:r>
            <w:r>
              <w:t xml:space="preserve">Tabel 8.2</w:t>
            </w:r>
            <w:r>
              <w:fldChar w:fldCharType="end"/>
            </w:r>
          </w:p>
        </w:tc>
        <w:tc>
          <w:tcPr>
            <w:tcW w:w="908" w:type="dxa"/>
          </w:tcPr>
          <w:p>
            <w:pPr>
              <w:pStyle w:val="IsiTabel"/>
              <w:keepNext/>
              <w:suppressAutoHyphens/>
              <w:jc w:val="left"/>
            </w:pPr>
            <w:r>
              <w:t xml:space="preserve">b</w:t>
            </w:r>
          </w:p>
        </w:tc>
        <w:tc>
          <w:tcPr>
            <w:tcW w:w="3016" w:type="dxa"/>
          </w:tcPr>
          <w:p>
            <w:pPr>
              <w:pStyle w:val="IsiTabel"/>
              <w:keepNext/>
              <w:suppressAutoHyphens/>
              <w:jc w:val="left"/>
            </w:pPr>
            <w:r>
              <w:t xml:space="preserve">tidak ada; analog COVID-19</w:t>
            </w:r>
          </w:p>
        </w:tc>
      </w:tr>
      <w:tr>
        <w:trPr>
          <w:cantSplit/>
        </w:trPr>
        <w:tc>
          <w:tcPr>
            <w:tcW w:w="3692" w:type="dxa"/>
          </w:tcPr>
          <w:p>
            <w:pPr>
              <w:pStyle w:val="IsiTabel"/>
              <w:keepNext/>
              <w:suppressAutoHyphens/>
              <w:jc w:val="left"/>
            </w:pPr>
            <w:r>
              <w:t xml:space="preserve">Kebakaran industri dan kegagalan teknologi</w:t>
            </w:r>
          </w:p>
        </w:tc>
        <w:tc>
          <w:tcPr>
            <w:tcW w:w="1738" w:type="dxa"/>
          </w:tcPr>
          <w:p>
            <w:pPr>
              <w:pStyle w:val="IsiTabel"/>
              <w:keepNext/>
              <w:suppressAutoHyphens/>
              <w:jc w:val="left"/>
            </w:pPr>
            <w:r>
              <w:fldChar w:fldCharType="begin"/>
            </w:r>
            <w:r>
              <w:instrText xml:space="preserve"> REF _Ref0287 \h \* CHARFORMAT </w:instrText>
            </w:r>
            <w:r>
              <w:fldChar w:fldCharType="separate"/>
            </w:r>
            <w:r>
              <w:t xml:space="preserve">Tabel 8.3</w:t>
            </w:r>
            <w:r>
              <w:fldChar w:fldCharType="end"/>
            </w:r>
          </w:p>
        </w:tc>
        <w:tc>
          <w:tcPr>
            <w:tcW w:w="908" w:type="dxa"/>
          </w:tcPr>
          <w:p>
            <w:pPr>
              <w:pStyle w:val="IsiTabel"/>
              <w:keepNext/>
              <w:suppressAutoHyphens/>
              <w:jc w:val="left"/>
            </w:pPr>
            <w:r>
              <w:t xml:space="preserve">b</w:t>
            </w:r>
          </w:p>
        </w:tc>
        <w:tc>
          <w:tcPr>
            <w:tcW w:w="3016" w:type="dxa"/>
          </w:tcPr>
          <w:p>
            <w:pPr>
              <w:pStyle w:val="IsiTabel"/>
              <w:keepNext/>
              <w:suppressAutoHyphens/>
              <w:jc w:val="left"/>
            </w:pPr>
            <w:r>
              <w:t xml:space="preserve">tidak ada; analog Plumpang 2023</w:t>
            </w:r>
          </w:p>
        </w:tc>
      </w:tr>
      <w:tr>
        <w:trPr>
          <w:cantSplit/>
        </w:trPr>
        <w:tc>
          <w:tcPr>
            <w:tcW w:w="3692" w:type="dxa"/>
          </w:tcPr>
          <w:p>
            <w:pPr>
              <w:pStyle w:val="IsiTabel"/>
              <w:keepNext/>
              <w:suppressAutoHyphens/>
              <w:jc w:val="left"/>
            </w:pPr>
            <w:r>
              <w:t xml:space="preserve">Kebakaran TPA</w:t>
            </w:r>
          </w:p>
        </w:tc>
        <w:tc>
          <w:tcPr>
            <w:tcW w:w="1738" w:type="dxa"/>
          </w:tcPr>
          <w:p>
            <w:pPr>
              <w:pStyle w:val="IsiTabel"/>
              <w:keepNext/>
              <w:suppressAutoHyphens/>
              <w:jc w:val="left"/>
            </w:pPr>
            <w:r>
              <w:fldChar w:fldCharType="begin"/>
            </w:r>
            <w:r>
              <w:instrText xml:space="preserve"> REF _Ref0294 \h \* CHARFORMAT </w:instrText>
            </w:r>
            <w:r>
              <w:fldChar w:fldCharType="separate"/>
            </w:r>
            <w:r>
              <w:t xml:space="preserve">Tabel 8.6</w:t>
            </w:r>
            <w:r>
              <w:fldChar w:fldCharType="end"/>
            </w:r>
          </w:p>
        </w:tc>
        <w:tc>
          <w:tcPr>
            <w:tcW w:w="908" w:type="dxa"/>
          </w:tcPr>
          <w:p>
            <w:pPr>
              <w:pStyle w:val="IsiTabel"/>
              <w:keepNext/>
              <w:suppressAutoHyphens/>
              <w:jc w:val="left"/>
            </w:pPr>
            <w:r>
              <w:t xml:space="preserve">b</w:t>
            </w:r>
          </w:p>
        </w:tc>
        <w:tc>
          <w:tcPr>
            <w:tcW w:w="3016" w:type="dxa"/>
          </w:tcPr>
          <w:p>
            <w:pPr>
              <w:pStyle w:val="IsiTabel"/>
              <w:keepNext/>
              <w:suppressAutoHyphens/>
              <w:jc w:val="left"/>
            </w:pPr>
            <w:r>
              <w:t xml:space="preserve">tidak ada; analog kemarau 2023</w:t>
            </w:r>
          </w:p>
        </w:tc>
      </w:tr>
      <w:tr>
        <w:trPr>
          <w:cantSplit/>
        </w:trPr>
        <w:tc>
          <w:tcPr>
            <w:tcW w:w="3692" w:type="dxa"/>
          </w:tcPr>
          <w:p>
            <w:pPr>
              <w:pStyle w:val="IsiTabel"/>
              <w:suppressAutoHyphens/>
              <w:jc w:val="left"/>
            </w:pPr>
            <w:bookmarkStart w:id="872" w:name="_Ekor098z"/>
            <w:bookmarkEnd w:id="872"/>
            <w:r>
              <w:t xml:space="preserve">Konflik sosial</w:t>
            </w:r>
          </w:p>
        </w:tc>
        <w:tc>
          <w:tcPr>
            <w:tcW w:w="1738" w:type="dxa"/>
          </w:tcPr>
          <w:p>
            <w:pPr>
              <w:pStyle w:val="IsiTabel"/>
              <w:suppressAutoHyphens/>
              <w:jc w:val="left"/>
            </w:pPr>
            <w:r>
              <w:fldChar w:fldCharType="begin"/>
            </w:r>
            <w:r>
              <w:instrText xml:space="preserve"> REF _Ref0293 \h \* CHARFORMAT </w:instrText>
            </w:r>
            <w:r>
              <w:fldChar w:fldCharType="separate"/>
            </w:r>
            <w:r>
              <w:t xml:space="preserve">Tabel 9.2</w:t>
            </w:r>
            <w:r>
              <w:fldChar w:fldCharType="end"/>
            </w:r>
          </w:p>
        </w:tc>
        <w:tc>
          <w:tcPr>
            <w:tcW w:w="908" w:type="dxa"/>
          </w:tcPr>
          <w:p>
            <w:pPr>
              <w:pStyle w:val="IsiTabel"/>
              <w:suppressAutoHyphens/>
              <w:jc w:val="left"/>
            </w:pPr>
            <w:r>
              <w:t xml:space="preserve">c</w:t>
            </w:r>
          </w:p>
        </w:tc>
        <w:tc>
          <w:tcPr>
            <w:tcW w:w="3016" w:type="dxa"/>
          </w:tcPr>
          <w:p>
            <w:pPr>
              <w:pStyle w:val="IsiTabel"/>
              <w:suppressAutoHyphens/>
              <w:jc w:val="left"/>
            </w:pPr>
            <w:r>
              <w:t xml:space="preserve">tidak ada; analog Maluku dan Maluku Utara 1999–2002</w:t>
            </w:r>
          </w:p>
        </w:tc>
      </w:tr>
    </w:tbl>
    <w:p>
      <w:pPr>
        <w:pStyle w:val="Sumber"/>
        <w:spacing w:after="40"/>
      </w:pPr>
      <w:r>
        <w:rPr>
          <w:b/>
          <w:bCs/>
          <w:color w:val="6B7280"/>
          <w:sz w:val="17"/>
          <w:szCs w:val="17"/>
        </w:rPr>
        <w:t xml:space="preserve">Sumber: </w:t>
      </w:r>
      <w:r>
        <w:rPr>
          <w:color w:val="6B7280"/>
          <w:sz w:val="17"/>
          <w:szCs w:val="17"/>
        </w:rPr>
        <w:t xml:space="preserve">Bab 6 sampai Bab 9 kajian ini; NASKAH-SPEK varian kartu skenario</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Varian a alam dimodelkan dengan kemungkinan dan kepekaan; b nonalam dan c sosial memakai kejadian analog berangka tanpa perkalian. Rob dimuat dalam kartu gelombang ekstrem dan abrasi.</w:t>
      </w:r>
    </w:p>
    <w:p>
      <w:pPr>
        <w:pStyle w:val="Heading2"/>
      </w:pPr>
      <w:bookmarkStart w:id="874" w:name="_Toc00275"/>
      <w:bookmarkStart w:id="873" w:name="_Ref0112"/>
      <w:r>
        <w:t xml:space="preserve">C.1</w:t>
      </w:r>
      <w:bookmarkEnd w:id="873"/>
      <w:r>
        <w:tab/>
      </w:r>
      <w:r>
        <w:t xml:space="preserve">Keluaran Model Geologi</w:t>
      </w:r>
      <w:bookmarkEnd w:id="874"/>
    </w:p>
    <w:p>
      <w:pPr>
        <w:pStyle w:val="IsiTemuan"/>
      </w:pPr>
      <w:r>
        <w:rPr>
          <w:b/>
          <w:bCs/>
          <w:color w:val="051C2C"/>
        </w:rPr>
        <w:t xml:space="preserve">Pita korban dan kerugian megathrust dari platform semuanya lebih lebar dari satu orde besaran, sehingga angkanya hanya tampil di lampiran ini</w:t>
      </w:r>
      <w:r>
        <w:t xml:space="preserve"> (</w:t>
      </w:r>
      <w:r>
        <w:fldChar w:fldCharType="begin"/>
      </w:r>
      <w:r>
        <w:instrText xml:space="preserve"> REF _Ref0231 \h \* CHARFORMAT </w:instrText>
      </w:r>
      <w:r>
        <w:fldChar w:fldCharType="separate"/>
      </w:r>
      <w:r>
        <w:t xml:space="preserve">Tabel C.2</w:t>
      </w:r>
      <w:r>
        <w:fldChar w:fldCharType="end"/>
      </w:r>
      <w:r>
        <w:t xml:space="preserve">). Skenario ilustratif megathrust Jawa di bawah magnitudo maksimum tidak menghasilkan intensitas VII di pusat kecamatan mana pun, dan skenario Sumba tidak memiliki sumber magnitudo. Baris erupsi memakai pola historis Merapi 2010 dan Semeru 2021.</w:t>
      </w:r>
    </w:p>
    <w:p>
      <w:pPr>
        <w:pStyle w:val="Caption"/>
      </w:pPr>
      <w:bookmarkStart w:id="876" w:name="_Toc00276"/>
      <w:bookmarkStart w:id="875" w:name="_Ref0231"/>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875"/>
      <w:r>
        <w:rPr>
          <w:b/>
          <w:bCs/>
          <w:color w:val="051C2C"/>
        </w:rPr>
        <w:t xml:space="preserve"> </w:t>
      </w:r>
      <w:r>
        <w:t xml:space="preserve">Keluaran model skenario gempa dan gunung api platform Pantau Bencana menurut skenario dan butir, estimasi 2026</w:t>
      </w:r>
      <w:bookmarkEnd w:id="87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306"/>
        <w:gridCol w:w="1132"/>
        <w:gridCol w:w="1134"/>
        <w:gridCol w:w="1134"/>
        <w:gridCol w:w="955"/>
        <w:gridCol w:w="1693"/>
      </w:tblGrid>
      <w:tr>
        <w:trPr>
          <w:cantSplit/>
          <w:tblHeader/>
        </w:trPr>
        <w:tc>
          <w:tcPr>
            <w:tcW w:w="3306" w:type="dxa"/>
            <w:tcBorders>
              <w:bottom w:val="single" w:sz="8" w:space="0" w:color="6B7280"/>
            </w:tcBorders>
            <w:vAlign w:val="bottom"/>
          </w:tcPr>
          <w:p>
            <w:pPr>
              <w:pStyle w:val="KepalaTabel"/>
              <w:suppressAutoHyphens/>
            </w:pPr>
            <w:r>
              <w:rPr>
                <w:b/>
                <w:bCs/>
                <w:color w:val="6B7280"/>
                <w:sz w:val="17"/>
                <w:szCs w:val="17"/>
              </w:rPr>
              <w:t xml:space="preserve">BUTIR</w:t>
            </w:r>
          </w:p>
        </w:tc>
        <w:tc>
          <w:tcPr>
            <w:tcW w:w="1132" w:type="dxa"/>
            <w:tcBorders>
              <w:bottom w:val="single" w:sz="8" w:space="0" w:color="6B7280"/>
            </w:tcBorders>
            <w:vAlign w:val="bottom"/>
          </w:tcPr>
          <w:p>
            <w:pPr>
              <w:pStyle w:val="KepalaTabel"/>
              <w:suppressAutoHyphens/>
            </w:pPr>
            <w:r>
              <w:rPr>
                <w:b/>
                <w:bCs/>
                <w:color w:val="6B7280"/>
                <w:sz w:val="17"/>
                <w:szCs w:val="17"/>
              </w:rPr>
              <w:t xml:space="preserve">RENDAH</w:t>
            </w:r>
          </w:p>
        </w:tc>
        <w:tc>
          <w:tcPr>
            <w:tcW w:w="1134" w:type="dxa"/>
            <w:tcBorders>
              <w:bottom w:val="single" w:sz="8" w:space="0" w:color="6B7280"/>
            </w:tcBorders>
            <w:vAlign w:val="bottom"/>
          </w:tcPr>
          <w:p>
            <w:pPr>
              <w:pStyle w:val="KepalaTabel"/>
              <w:suppressAutoHyphens/>
            </w:pPr>
            <w:r>
              <w:rPr>
                <w:b/>
                <w:bCs/>
                <w:color w:val="6B7280"/>
                <w:sz w:val="17"/>
                <w:szCs w:val="17"/>
              </w:rPr>
              <w:t xml:space="preserve">TENGAH</w:t>
            </w:r>
          </w:p>
        </w:tc>
        <w:tc>
          <w:tcPr>
            <w:tcW w:w="1134" w:type="dxa"/>
            <w:tcBorders>
              <w:bottom w:val="single" w:sz="8" w:space="0" w:color="6B7280"/>
            </w:tcBorders>
            <w:vAlign w:val="bottom"/>
          </w:tcPr>
          <w:p>
            <w:pPr>
              <w:pStyle w:val="KepalaTabel"/>
              <w:suppressAutoHyphens/>
            </w:pPr>
            <w:r>
              <w:rPr>
                <w:b/>
                <w:bCs/>
                <w:color w:val="6B7280"/>
                <w:sz w:val="17"/>
                <w:szCs w:val="17"/>
              </w:rPr>
              <w:t xml:space="preserve">TINGGI</w:t>
            </w:r>
          </w:p>
        </w:tc>
        <w:tc>
          <w:tcPr>
            <w:tcW w:w="955"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3"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9354" w:type="dxa"/>
            <w:gridSpan w:val="6"/>
            <w:shd w:val="clear" w:color="auto" w:fill="E6EAF0"/>
          </w:tcPr>
          <w:p>
            <w:pPr>
              <w:pStyle w:val="IsiTabel"/>
              <w:keepNext/>
              <w:suppressAutoHyphens/>
              <w:ind w:left="0"/>
            </w:pPr>
            <w:r>
              <w:rPr>
                <w:b/>
                <w:bCs/>
              </w:rPr>
              <w:t xml:space="preserve">Megathrust selatan Jawa, di bawah magnitudo maksimum</w:t>
            </w:r>
          </w:p>
        </w:tc>
      </w:tr>
      <w:tr>
        <w:trPr>
          <w:cantSplit/>
        </w:trPr>
        <w:tc>
          <w:tcPr>
            <w:tcW w:w="3306" w:type="dxa"/>
          </w:tcPr>
          <w:p>
            <w:pPr>
              <w:pStyle w:val="IsiTabel"/>
              <w:suppressAutoHyphens/>
              <w:jc w:val="left"/>
            </w:pPr>
            <w:r>
              <w:t xml:space="preserve">jiwa terpapar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17,4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jiwa terpapar MMI ≥ VII</w:t>
            </w:r>
          </w:p>
        </w:tc>
        <w:tc>
          <w:tcPr>
            <w:tcW w:w="1132"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1134" w:type="dxa"/>
          </w:tcPr>
          <w:p>
            <w:pPr>
              <w:pStyle w:val="IsiTabel"/>
              <w:suppressAutoHyphens/>
              <w:jc w:val="right"/>
            </w:pPr>
            <w:r>
              <w:t xml:space="preserve">5,5 juta</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luas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17.481</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berat</w:t>
            </w:r>
          </w:p>
        </w:tc>
        <w:tc>
          <w:tcPr>
            <w:tcW w:w="1132" w:type="dxa"/>
          </w:tcPr>
          <w:p>
            <w:pPr>
              <w:pStyle w:val="IsiTabel"/>
              <w:suppressAutoHyphens/>
              <w:jc w:val="right"/>
            </w:pPr>
            <w:r>
              <w:t xml:space="preserve">2.554</w:t>
            </w:r>
          </w:p>
        </w:tc>
        <w:tc>
          <w:tcPr>
            <w:tcW w:w="1134" w:type="dxa"/>
          </w:tcPr>
          <w:p>
            <w:pPr>
              <w:pStyle w:val="IsiTabel"/>
              <w:suppressAutoHyphens/>
              <w:jc w:val="right"/>
            </w:pPr>
            <w:r>
              <w:t xml:space="preserve">24.991</w:t>
            </w:r>
          </w:p>
        </w:tc>
        <w:tc>
          <w:tcPr>
            <w:tcW w:w="1134" w:type="dxa"/>
          </w:tcPr>
          <w:p>
            <w:pPr>
              <w:pStyle w:val="IsiTabel"/>
              <w:suppressAutoHyphens/>
              <w:jc w:val="right"/>
            </w:pPr>
            <w:r>
              <w:t xml:space="preserve">218.417</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sedang</w:t>
            </w:r>
          </w:p>
        </w:tc>
        <w:tc>
          <w:tcPr>
            <w:tcW w:w="1132" w:type="dxa"/>
          </w:tcPr>
          <w:p>
            <w:pPr>
              <w:pStyle w:val="IsiTabel"/>
              <w:suppressAutoHyphens/>
              <w:jc w:val="right"/>
            </w:pPr>
            <w:r>
              <w:t xml:space="preserve">10.226</w:t>
            </w:r>
          </w:p>
        </w:tc>
        <w:tc>
          <w:tcPr>
            <w:tcW w:w="1134" w:type="dxa"/>
          </w:tcPr>
          <w:p>
            <w:pPr>
              <w:pStyle w:val="IsiTabel"/>
              <w:suppressAutoHyphens/>
              <w:jc w:val="right"/>
            </w:pPr>
            <w:r>
              <w:t xml:space="preserve">86.503</w:t>
            </w:r>
          </w:p>
        </w:tc>
        <w:tc>
          <w:tcPr>
            <w:tcW w:w="1134" w:type="dxa"/>
          </w:tcPr>
          <w:p>
            <w:pPr>
              <w:pStyle w:val="IsiTabel"/>
              <w:suppressAutoHyphens/>
              <w:jc w:val="right"/>
            </w:pPr>
            <w:r>
              <w:t xml:space="preserve">660.038</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ringan</w:t>
            </w:r>
          </w:p>
        </w:tc>
        <w:tc>
          <w:tcPr>
            <w:tcW w:w="1132" w:type="dxa"/>
          </w:tcPr>
          <w:p>
            <w:pPr>
              <w:pStyle w:val="IsiTabel"/>
              <w:suppressAutoHyphens/>
              <w:jc w:val="right"/>
            </w:pPr>
            <w:r>
              <w:t xml:space="preserve">25.437</w:t>
            </w:r>
          </w:p>
        </w:tc>
        <w:tc>
          <w:tcPr>
            <w:tcW w:w="1134" w:type="dxa"/>
          </w:tcPr>
          <w:p>
            <w:pPr>
              <w:pStyle w:val="IsiTabel"/>
              <w:suppressAutoHyphens/>
              <w:jc w:val="right"/>
            </w:pPr>
            <w:r>
              <w:t xml:space="preserve">197.943</w:t>
            </w:r>
          </w:p>
        </w:tc>
        <w:tc>
          <w:tcPr>
            <w:tcW w:w="1134" w:type="dxa"/>
          </w:tcPr>
          <w:p>
            <w:pPr>
              <w:pStyle w:val="IsiTabel"/>
              <w:suppressAutoHyphens/>
              <w:jc w:val="right"/>
            </w:pPr>
            <w:r>
              <w:t xml:space="preserve">1,4 juta</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pita mesin</w:t>
            </w:r>
          </w:p>
        </w:tc>
        <w:tc>
          <w:tcPr>
            <w:tcW w:w="1132" w:type="dxa"/>
          </w:tcPr>
          <w:p>
            <w:pPr>
              <w:pStyle w:val="IsiTabel"/>
              <w:suppressAutoHyphens/>
              <w:jc w:val="right"/>
            </w:pPr>
            <w:r>
              <w:t xml:space="preserve">29</w:t>
            </w:r>
          </w:p>
        </w:tc>
        <w:tc>
          <w:tcPr>
            <w:tcW w:w="1134" w:type="dxa"/>
          </w:tcPr>
          <w:p>
            <w:pPr>
              <w:pStyle w:val="IsiTabel"/>
              <w:suppressAutoHyphens/>
              <w:jc w:val="right"/>
            </w:pPr>
            <w:r>
              <w:t xml:space="preserve">312</w:t>
            </w:r>
          </w:p>
        </w:tc>
        <w:tc>
          <w:tcPr>
            <w:tcW w:w="1134" w:type="dxa"/>
          </w:tcPr>
          <w:p>
            <w:pPr>
              <w:pStyle w:val="IsiTabel"/>
              <w:suppressAutoHyphens/>
              <w:jc w:val="right"/>
            </w:pPr>
            <w:r>
              <w:t xml:space="preserve">2.979</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rasio analog</w:t>
            </w:r>
          </w:p>
        </w:tc>
        <w:tc>
          <w:tcPr>
            <w:tcW w:w="1132"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1134" w:type="dxa"/>
          </w:tcPr>
          <w:p>
            <w:pPr>
              <w:pStyle w:val="IsiTabel"/>
              <w:suppressAutoHyphens/>
              <w:jc w:val="right"/>
            </w:pPr>
            <w:r>
              <w:t xml:space="preserve">2.602</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pengungsi (penghuni rumah rusak berat dan sedang)</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434.828</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jiwa evakuasi tsunami (pesisir rendah, tiba ≤ 30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2,9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panjang pantai tiba ≤ 30 menit</w:t>
            </w:r>
          </w:p>
        </w:tc>
        <w:tc>
          <w:tcPr>
            <w:tcW w:w="1132" w:type="dxa"/>
          </w:tcPr>
          <w:p>
            <w:pPr>
              <w:pStyle w:val="IsiTabel"/>
              <w:suppressAutoHyphens/>
              <w:jc w:val="right"/>
            </w:pPr>
            <w:r>
              <w:t xml:space="preserve">851</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1.389</w:t>
            </w:r>
          </w:p>
        </w:tc>
        <w:tc>
          <w:tcPr>
            <w:tcW w:w="955" w:type="dxa"/>
          </w:tcPr>
          <w:p>
            <w:pPr>
              <w:pStyle w:val="IsiTabel"/>
              <w:suppressAutoHyphens/>
              <w:jc w:val="left"/>
            </w:pPr>
            <w:r>
              <w:t xml:space="preserve">km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kerugian materiil batas bawah (stimulan rumah)</w:t>
            </w:r>
          </w:p>
        </w:tc>
        <w:tc>
          <w:tcPr>
            <w:tcW w:w="1132" w:type="dxa"/>
          </w:tcPr>
          <w:p>
            <w:pPr>
              <w:pStyle w:val="IsiTabel"/>
              <w:suppressAutoHyphens/>
              <w:jc w:val="right"/>
            </w:pPr>
            <w:r>
              <w:t xml:space="preserve">841,6 miliar</w:t>
            </w:r>
          </w:p>
        </w:tc>
        <w:tc>
          <w:tcPr>
            <w:tcW w:w="1134" w:type="dxa"/>
          </w:tcPr>
          <w:p>
            <w:pPr>
              <w:pStyle w:val="IsiTabel"/>
              <w:suppressAutoHyphens/>
              <w:jc w:val="right"/>
            </w:pPr>
            <w:r>
              <w:t xml:space="preserve">7,1 triliun</w:t>
            </w:r>
          </w:p>
        </w:tc>
        <w:tc>
          <w:tcPr>
            <w:tcW w:w="1134" w:type="dxa"/>
          </w:tcPr>
          <w:p>
            <w:pPr>
              <w:pStyle w:val="IsiTabel"/>
              <w:suppressAutoHyphens/>
              <w:jc w:val="right"/>
            </w:pPr>
            <w:r>
              <w:t xml:space="preserve">53,9 triliun</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kerugian materiil batas bawah, skema lama 50/25/10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5,4 triliun</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tahun hidup hilang (YLL), guncangan analog</w:t>
            </w:r>
          </w:p>
        </w:tc>
        <w:tc>
          <w:tcPr>
            <w:tcW w:w="1132"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1134" w:type="dxa"/>
          </w:tcPr>
          <w:p>
            <w:pPr>
              <w:pStyle w:val="IsiTabel"/>
              <w:suppressAutoHyphens/>
              <w:jc w:val="right"/>
            </w:pPr>
            <w:r>
              <w:t xml:space="preserve">117.100</w:t>
            </w:r>
          </w:p>
        </w:tc>
        <w:tc>
          <w:tcPr>
            <w:tcW w:w="955" w:type="dxa"/>
          </w:tcPr>
          <w:p>
            <w:pPr>
              <w:pStyle w:val="IsiTabel"/>
              <w:suppressAutoHyphens/>
              <w:jc w:val="left"/>
            </w:pPr>
            <w:r>
              <w:t xml:space="preserve">tahun</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(7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3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(30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13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(90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39,1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tsunami: kab/kota tercapai ≤ 180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134</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tsunami: tinggi indikatif maksimum di pantai</w:t>
            </w:r>
          </w:p>
        </w:tc>
        <w:tc>
          <w:tcPr>
            <w:tcW w:w="1132" w:type="dxa"/>
          </w:tcPr>
          <w:p>
            <w:pPr>
              <w:pStyle w:val="IsiTabel"/>
              <w:suppressAutoHyphens/>
              <w:jc w:val="right"/>
            </w:pPr>
            <w:r>
              <w:t xml:space="preserve">5,6</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22,3</w:t>
            </w:r>
          </w:p>
        </w:tc>
        <w:tc>
          <w:tcPr>
            <w:tcW w:w="955" w:type="dxa"/>
          </w:tcPr>
          <w:p>
            <w:pPr>
              <w:pStyle w:val="IsiTabel"/>
              <w:suppressAutoHyphens/>
              <w:jc w:val="left"/>
            </w:pPr>
            <w:r>
              <w:t xml:space="preserve">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Mentawai, di bawah magnitudo maksimum</w:t>
            </w:r>
          </w:p>
        </w:tc>
      </w:tr>
      <w:tr>
        <w:trPr>
          <w:cantSplit/>
        </w:trPr>
        <w:tc>
          <w:tcPr>
            <w:tcW w:w="3306" w:type="dxa"/>
          </w:tcPr>
          <w:p>
            <w:pPr>
              <w:pStyle w:val="IsiTabel"/>
              <w:suppressAutoHyphens/>
              <w:jc w:val="left"/>
            </w:pPr>
            <w:r>
              <w:t xml:space="preserve">jiwa terpapar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9,6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jiwa terpapar MMI ≥ VII</w:t>
            </w:r>
          </w:p>
        </w:tc>
        <w:tc>
          <w:tcPr>
            <w:tcW w:w="1132" w:type="dxa"/>
          </w:tcPr>
          <w:p>
            <w:pPr>
              <w:pStyle w:val="IsiTabel"/>
              <w:suppressAutoHyphens/>
              <w:jc w:val="right"/>
            </w:pPr>
            <w:r>
              <w:t xml:space="preserve">1,2 juta</w:t>
            </w:r>
          </w:p>
        </w:tc>
        <w:tc>
          <w:tcPr>
            <w:tcW w:w="1134" w:type="dxa"/>
          </w:tcPr>
          <w:p>
            <w:pPr>
              <w:pStyle w:val="IsiTabel"/>
              <w:suppressAutoHyphens/>
              <w:jc w:val="right"/>
            </w:pPr>
            <w:r>
              <w:t xml:space="preserve">3,9 juta</w:t>
            </w:r>
          </w:p>
        </w:tc>
        <w:tc>
          <w:tcPr>
            <w:tcW w:w="1134" w:type="dxa"/>
          </w:tcPr>
          <w:p>
            <w:pPr>
              <w:pStyle w:val="IsiTabel"/>
              <w:suppressAutoHyphens/>
              <w:jc w:val="right"/>
            </w:pPr>
            <w:r>
              <w:t xml:space="preserve">7,5 juta</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luas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80.637</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berat</w:t>
            </w:r>
          </w:p>
        </w:tc>
        <w:tc>
          <w:tcPr>
            <w:tcW w:w="1132" w:type="dxa"/>
          </w:tcPr>
          <w:p>
            <w:pPr>
              <w:pStyle w:val="IsiTabel"/>
              <w:suppressAutoHyphens/>
              <w:jc w:val="right"/>
            </w:pPr>
            <w:r>
              <w:t xml:space="preserve">6.807</w:t>
            </w:r>
          </w:p>
        </w:tc>
        <w:tc>
          <w:tcPr>
            <w:tcW w:w="1134" w:type="dxa"/>
          </w:tcPr>
          <w:p>
            <w:pPr>
              <w:pStyle w:val="IsiTabel"/>
              <w:suppressAutoHyphens/>
              <w:jc w:val="right"/>
            </w:pPr>
            <w:r>
              <w:t xml:space="preserve">50.378</w:t>
            </w:r>
          </w:p>
        </w:tc>
        <w:tc>
          <w:tcPr>
            <w:tcW w:w="1134" w:type="dxa"/>
          </w:tcPr>
          <w:p>
            <w:pPr>
              <w:pStyle w:val="IsiTabel"/>
              <w:suppressAutoHyphens/>
              <w:jc w:val="right"/>
            </w:pPr>
            <w:r>
              <w:t xml:space="preserve">350.761</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sedang</w:t>
            </w:r>
          </w:p>
        </w:tc>
        <w:tc>
          <w:tcPr>
            <w:tcW w:w="1132" w:type="dxa"/>
          </w:tcPr>
          <w:p>
            <w:pPr>
              <w:pStyle w:val="IsiTabel"/>
              <w:suppressAutoHyphens/>
              <w:jc w:val="right"/>
            </w:pPr>
            <w:r>
              <w:t xml:space="preserve">13.984</w:t>
            </w:r>
          </w:p>
        </w:tc>
        <w:tc>
          <w:tcPr>
            <w:tcW w:w="1134" w:type="dxa"/>
          </w:tcPr>
          <w:p>
            <w:pPr>
              <w:pStyle w:val="IsiTabel"/>
              <w:suppressAutoHyphens/>
              <w:jc w:val="right"/>
            </w:pPr>
            <w:r>
              <w:t xml:space="preserve">94.160</w:t>
            </w:r>
          </w:p>
        </w:tc>
        <w:tc>
          <w:tcPr>
            <w:tcW w:w="1134" w:type="dxa"/>
          </w:tcPr>
          <w:p>
            <w:pPr>
              <w:pStyle w:val="IsiTabel"/>
              <w:suppressAutoHyphens/>
              <w:jc w:val="right"/>
            </w:pPr>
            <w:r>
              <w:t xml:space="preserve">599.681</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ringan</w:t>
            </w:r>
          </w:p>
        </w:tc>
        <w:tc>
          <w:tcPr>
            <w:tcW w:w="1132" w:type="dxa"/>
          </w:tcPr>
          <w:p>
            <w:pPr>
              <w:pStyle w:val="IsiTabel"/>
              <w:suppressAutoHyphens/>
              <w:jc w:val="right"/>
            </w:pPr>
            <w:r>
              <w:t xml:space="preserve">23.913</w:t>
            </w:r>
          </w:p>
        </w:tc>
        <w:tc>
          <w:tcPr>
            <w:tcW w:w="1134" w:type="dxa"/>
          </w:tcPr>
          <w:p>
            <w:pPr>
              <w:pStyle w:val="IsiTabel"/>
              <w:suppressAutoHyphens/>
              <w:jc w:val="right"/>
            </w:pPr>
            <w:r>
              <w:t xml:space="preserve">153.172</w:t>
            </w:r>
          </w:p>
        </w:tc>
        <w:tc>
          <w:tcPr>
            <w:tcW w:w="1134" w:type="dxa"/>
          </w:tcPr>
          <w:p>
            <w:pPr>
              <w:pStyle w:val="IsiTabel"/>
              <w:suppressAutoHyphens/>
              <w:jc w:val="right"/>
            </w:pPr>
            <w:r>
              <w:t xml:space="preserve">934.859</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pita mesin</w:t>
            </w:r>
          </w:p>
        </w:tc>
        <w:tc>
          <w:tcPr>
            <w:tcW w:w="1132" w:type="dxa"/>
          </w:tcPr>
          <w:p>
            <w:pPr>
              <w:pStyle w:val="IsiTabel"/>
              <w:suppressAutoHyphens/>
              <w:jc w:val="right"/>
            </w:pPr>
            <w:r>
              <w:t xml:space="preserve">116</w:t>
            </w:r>
          </w:p>
        </w:tc>
        <w:tc>
          <w:tcPr>
            <w:tcW w:w="1134" w:type="dxa"/>
          </w:tcPr>
          <w:p>
            <w:pPr>
              <w:pStyle w:val="IsiTabel"/>
              <w:suppressAutoHyphens/>
              <w:jc w:val="right"/>
            </w:pPr>
            <w:r>
              <w:t xml:space="preserve">902</w:t>
            </w:r>
          </w:p>
        </w:tc>
        <w:tc>
          <w:tcPr>
            <w:tcW w:w="1134" w:type="dxa"/>
          </w:tcPr>
          <w:p>
            <w:pPr>
              <w:pStyle w:val="IsiTabel"/>
              <w:suppressAutoHyphens/>
              <w:jc w:val="right"/>
            </w:pPr>
            <w:r>
              <w:t xml:space="preserve">6.574</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rasio analog</w:t>
            </w:r>
          </w:p>
        </w:tc>
        <w:tc>
          <w:tcPr>
            <w:tcW w:w="1132" w:type="dxa"/>
          </w:tcPr>
          <w:p>
            <w:pPr>
              <w:pStyle w:val="IsiTabel"/>
              <w:suppressAutoHyphens/>
              <w:jc w:val="right"/>
            </w:pPr>
            <w:r>
              <w:t xml:space="preserve">567</w:t>
            </w:r>
          </w:p>
        </w:tc>
        <w:tc>
          <w:tcPr>
            <w:tcW w:w="1134" w:type="dxa"/>
          </w:tcPr>
          <w:p>
            <w:pPr>
              <w:pStyle w:val="IsiTabel"/>
              <w:suppressAutoHyphens/>
              <w:jc w:val="right"/>
            </w:pPr>
            <w:r>
              <w:t xml:space="preserve">1.836</w:t>
            </w:r>
          </w:p>
        </w:tc>
        <w:tc>
          <w:tcPr>
            <w:tcW w:w="1134" w:type="dxa"/>
          </w:tcPr>
          <w:p>
            <w:pPr>
              <w:pStyle w:val="IsiTabel"/>
              <w:suppressAutoHyphens/>
              <w:jc w:val="right"/>
            </w:pPr>
            <w:r>
              <w:t xml:space="preserve">7.708</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pengungsi (penghuni rumah rusak berat dan sedang)</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563.696</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jiwa evakuasi tsunami (pesisir rendah, tiba ≤ 30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930.750</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panjang pantai tiba ≤ 30 menit</w:t>
            </w:r>
          </w:p>
        </w:tc>
        <w:tc>
          <w:tcPr>
            <w:tcW w:w="1132" w:type="dxa"/>
          </w:tcPr>
          <w:p>
            <w:pPr>
              <w:pStyle w:val="IsiTabel"/>
              <w:suppressAutoHyphens/>
              <w:jc w:val="right"/>
            </w:pPr>
            <w:r>
              <w:t xml:space="preserve">1.440</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2.061</w:t>
            </w:r>
          </w:p>
        </w:tc>
        <w:tc>
          <w:tcPr>
            <w:tcW w:w="955" w:type="dxa"/>
          </w:tcPr>
          <w:p>
            <w:pPr>
              <w:pStyle w:val="IsiTabel"/>
              <w:suppressAutoHyphens/>
              <w:jc w:val="left"/>
            </w:pPr>
            <w:r>
              <w:t xml:space="preserve">km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kerugian materiil batas bawah (stimulan rumah)</w:t>
            </w:r>
          </w:p>
        </w:tc>
        <w:tc>
          <w:tcPr>
            <w:tcW w:w="1132" w:type="dxa"/>
          </w:tcPr>
          <w:p>
            <w:pPr>
              <w:pStyle w:val="IsiTabel"/>
              <w:suppressAutoHyphens/>
              <w:jc w:val="right"/>
            </w:pPr>
            <w:r>
              <w:t xml:space="preserve">1,2 triliun</w:t>
            </w:r>
          </w:p>
        </w:tc>
        <w:tc>
          <w:tcPr>
            <w:tcW w:w="1134" w:type="dxa"/>
          </w:tcPr>
          <w:p>
            <w:pPr>
              <w:pStyle w:val="IsiTabel"/>
              <w:suppressAutoHyphens/>
              <w:jc w:val="right"/>
            </w:pPr>
            <w:r>
              <w:t xml:space="preserve">8,1 triliun</w:t>
            </w:r>
          </w:p>
        </w:tc>
        <w:tc>
          <w:tcPr>
            <w:tcW w:w="1134" w:type="dxa"/>
          </w:tcPr>
          <w:p>
            <w:pPr>
              <w:pStyle w:val="IsiTabel"/>
              <w:suppressAutoHyphens/>
              <w:jc w:val="right"/>
            </w:pPr>
            <w:r>
              <w:t xml:space="preserve">53,1 triliun</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kerugian materiil batas bawah, skema lama 50/25/10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6,4 triliun</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tahun hidup hilang (YLL), guncangan analog</w:t>
            </w:r>
          </w:p>
        </w:tc>
        <w:tc>
          <w:tcPr>
            <w:tcW w:w="1132" w:type="dxa"/>
          </w:tcPr>
          <w:p>
            <w:pPr>
              <w:pStyle w:val="IsiTabel"/>
              <w:suppressAutoHyphens/>
              <w:jc w:val="right"/>
            </w:pPr>
            <w:r>
              <w:t xml:space="preserve">14.173</w:t>
            </w:r>
          </w:p>
        </w:tc>
        <w:tc>
          <w:tcPr>
            <w:tcW w:w="1134" w:type="dxa"/>
          </w:tcPr>
          <w:p>
            <w:pPr>
              <w:pStyle w:val="IsiTabel"/>
              <w:suppressAutoHyphens/>
              <w:jc w:val="right"/>
            </w:pPr>
            <w:r>
              <w:t xml:space="preserve">64.249</w:t>
            </w:r>
          </w:p>
        </w:tc>
        <w:tc>
          <w:tcPr>
            <w:tcW w:w="1134" w:type="dxa"/>
          </w:tcPr>
          <w:p>
            <w:pPr>
              <w:pStyle w:val="IsiTabel"/>
              <w:suppressAutoHyphens/>
              <w:jc w:val="right"/>
            </w:pPr>
            <w:r>
              <w:t xml:space="preserve">346.860</w:t>
            </w:r>
          </w:p>
        </w:tc>
        <w:tc>
          <w:tcPr>
            <w:tcW w:w="955" w:type="dxa"/>
          </w:tcPr>
          <w:p>
            <w:pPr>
              <w:pStyle w:val="IsiTabel"/>
              <w:suppressAutoHyphens/>
              <w:jc w:val="left"/>
            </w:pPr>
            <w:r>
              <w:t xml:space="preserve">tahun</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(7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3,9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(30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16,9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(90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50,7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tsunami: kab/kota tercapai ≤ 180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95</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tsunami: tinggi indikatif maksimum di pantai</w:t>
            </w:r>
          </w:p>
        </w:tc>
        <w:tc>
          <w:tcPr>
            <w:tcW w:w="1132" w:type="dxa"/>
          </w:tcPr>
          <w:p>
            <w:pPr>
              <w:pStyle w:val="IsiTabel"/>
              <w:suppressAutoHyphens/>
              <w:jc w:val="right"/>
            </w:pPr>
            <w:r>
              <w:t xml:space="preserve">9,4</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37,8</w:t>
            </w:r>
          </w:p>
        </w:tc>
        <w:tc>
          <w:tcPr>
            <w:tcW w:w="955" w:type="dxa"/>
          </w:tcPr>
          <w:p>
            <w:pPr>
              <w:pStyle w:val="IsiTabel"/>
              <w:suppressAutoHyphens/>
              <w:jc w:val="left"/>
            </w:pPr>
            <w:r>
              <w:t xml:space="preserve">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Sumba, magnitudo tanpa sumber</w:t>
            </w:r>
          </w:p>
        </w:tc>
      </w:tr>
      <w:tr>
        <w:trPr>
          <w:cantSplit/>
        </w:trPr>
        <w:tc>
          <w:tcPr>
            <w:tcW w:w="3306" w:type="dxa"/>
          </w:tcPr>
          <w:p>
            <w:pPr>
              <w:pStyle w:val="IsiTabel"/>
              <w:suppressAutoHyphens/>
              <w:jc w:val="left"/>
            </w:pPr>
            <w:r>
              <w:t xml:space="preserve">jiwa terpapar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0</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jiwa terpapar MMI ≥ VII</w:t>
            </w:r>
          </w:p>
        </w:tc>
        <w:tc>
          <w:tcPr>
            <w:tcW w:w="1132"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luas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122</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berat</w:t>
            </w:r>
          </w:p>
        </w:tc>
        <w:tc>
          <w:tcPr>
            <w:tcW w:w="1132" w:type="dxa"/>
          </w:tcPr>
          <w:p>
            <w:pPr>
              <w:pStyle w:val="IsiTabel"/>
              <w:suppressAutoHyphens/>
              <w:jc w:val="right"/>
            </w:pPr>
            <w:r>
              <w:t xml:space="preserve">81</w:t>
            </w:r>
          </w:p>
        </w:tc>
        <w:tc>
          <w:tcPr>
            <w:tcW w:w="1134" w:type="dxa"/>
          </w:tcPr>
          <w:p>
            <w:pPr>
              <w:pStyle w:val="IsiTabel"/>
              <w:suppressAutoHyphens/>
              <w:jc w:val="right"/>
            </w:pPr>
            <w:r>
              <w:t xml:space="preserve">928</w:t>
            </w:r>
          </w:p>
        </w:tc>
        <w:tc>
          <w:tcPr>
            <w:tcW w:w="1134" w:type="dxa"/>
          </w:tcPr>
          <w:p>
            <w:pPr>
              <w:pStyle w:val="IsiTabel"/>
              <w:suppressAutoHyphens/>
              <w:jc w:val="right"/>
            </w:pPr>
            <w:r>
              <w:t xml:space="preserve">9.300</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sedang</w:t>
            </w:r>
          </w:p>
        </w:tc>
        <w:tc>
          <w:tcPr>
            <w:tcW w:w="1132" w:type="dxa"/>
          </w:tcPr>
          <w:p>
            <w:pPr>
              <w:pStyle w:val="IsiTabel"/>
              <w:suppressAutoHyphens/>
              <w:jc w:val="right"/>
            </w:pPr>
            <w:r>
              <w:t xml:space="preserve">435</w:t>
            </w:r>
          </w:p>
        </w:tc>
        <w:tc>
          <w:tcPr>
            <w:tcW w:w="1134" w:type="dxa"/>
          </w:tcPr>
          <w:p>
            <w:pPr>
              <w:pStyle w:val="IsiTabel"/>
              <w:suppressAutoHyphens/>
              <w:jc w:val="right"/>
            </w:pPr>
            <w:r>
              <w:t xml:space="preserve">4.237</w:t>
            </w:r>
          </w:p>
        </w:tc>
        <w:tc>
          <w:tcPr>
            <w:tcW w:w="1134" w:type="dxa"/>
          </w:tcPr>
          <w:p>
            <w:pPr>
              <w:pStyle w:val="IsiTabel"/>
              <w:suppressAutoHyphens/>
              <w:jc w:val="right"/>
            </w:pPr>
            <w:r>
              <w:t xml:space="preserve">36.398</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ringan</w:t>
            </w:r>
          </w:p>
        </w:tc>
        <w:tc>
          <w:tcPr>
            <w:tcW w:w="1132" w:type="dxa"/>
          </w:tcPr>
          <w:p>
            <w:pPr>
              <w:pStyle w:val="IsiTabel"/>
              <w:suppressAutoHyphens/>
              <w:jc w:val="right"/>
            </w:pPr>
            <w:r>
              <w:t xml:space="preserve">1.296</w:t>
            </w:r>
          </w:p>
        </w:tc>
        <w:tc>
          <w:tcPr>
            <w:tcW w:w="1134" w:type="dxa"/>
          </w:tcPr>
          <w:p>
            <w:pPr>
              <w:pStyle w:val="IsiTabel"/>
              <w:suppressAutoHyphens/>
              <w:jc w:val="right"/>
            </w:pPr>
            <w:r>
              <w:t xml:space="preserve">11.458</w:t>
            </w:r>
          </w:p>
        </w:tc>
        <w:tc>
          <w:tcPr>
            <w:tcW w:w="1134" w:type="dxa"/>
          </w:tcPr>
          <w:p>
            <w:pPr>
              <w:pStyle w:val="IsiTabel"/>
              <w:suppressAutoHyphens/>
              <w:jc w:val="right"/>
            </w:pPr>
            <w:r>
              <w:t xml:space="preserve">90.016</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pita mesin</w:t>
            </w:r>
          </w:p>
        </w:tc>
        <w:tc>
          <w:tcPr>
            <w:tcW w:w="1132" w:type="dxa"/>
          </w:tcPr>
          <w:p>
            <w:pPr>
              <w:pStyle w:val="IsiTabel"/>
              <w:suppressAutoHyphens/>
              <w:jc w:val="right"/>
            </w:pPr>
            <w:r>
              <w:t xml:space="preserve">1</w:t>
            </w:r>
          </w:p>
        </w:tc>
        <w:tc>
          <w:tcPr>
            <w:tcW w:w="1134" w:type="dxa"/>
          </w:tcPr>
          <w:p>
            <w:pPr>
              <w:pStyle w:val="IsiTabel"/>
              <w:suppressAutoHyphens/>
              <w:jc w:val="right"/>
            </w:pPr>
            <w:r>
              <w:t xml:space="preserve">10</w:t>
            </w:r>
          </w:p>
        </w:tc>
        <w:tc>
          <w:tcPr>
            <w:tcW w:w="1134" w:type="dxa"/>
          </w:tcPr>
          <w:p>
            <w:pPr>
              <w:pStyle w:val="IsiTabel"/>
              <w:suppressAutoHyphens/>
              <w:jc w:val="right"/>
            </w:pPr>
            <w:r>
              <w:t xml:space="preserve">107</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rasio analog</w:t>
            </w:r>
          </w:p>
        </w:tc>
        <w:tc>
          <w:tcPr>
            <w:tcW w:w="1132"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pengungsi (penghuni rumah rusak berat dan sedang)</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20.142</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jiwa evakuasi tsunami (pesisir rendah, tiba ≤ 30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1,4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panjang pantai tiba ≤ 30 menit</w:t>
            </w:r>
          </w:p>
        </w:tc>
        <w:tc>
          <w:tcPr>
            <w:tcW w:w="1132" w:type="dxa"/>
          </w:tcPr>
          <w:p>
            <w:pPr>
              <w:pStyle w:val="IsiTabel"/>
              <w:suppressAutoHyphens/>
              <w:jc w:val="right"/>
            </w:pPr>
            <w:r>
              <w:t xml:space="preserve">1.261</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2.031</w:t>
            </w:r>
          </w:p>
        </w:tc>
        <w:tc>
          <w:tcPr>
            <w:tcW w:w="955" w:type="dxa"/>
          </w:tcPr>
          <w:p>
            <w:pPr>
              <w:pStyle w:val="IsiTabel"/>
              <w:suppressAutoHyphens/>
              <w:jc w:val="left"/>
            </w:pPr>
            <w:r>
              <w:t xml:space="preserve">km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kerugian materiil batas bawah (stimulan rumah)</w:t>
            </w:r>
          </w:p>
        </w:tc>
        <w:tc>
          <w:tcPr>
            <w:tcW w:w="1132" w:type="dxa"/>
          </w:tcPr>
          <w:p>
            <w:pPr>
              <w:pStyle w:val="IsiTabel"/>
              <w:suppressAutoHyphens/>
              <w:jc w:val="right"/>
            </w:pPr>
            <w:r>
              <w:t xml:space="preserve">37,4 miliar</w:t>
            </w:r>
          </w:p>
        </w:tc>
        <w:tc>
          <w:tcPr>
            <w:tcW w:w="1134" w:type="dxa"/>
          </w:tcPr>
          <w:p>
            <w:pPr>
              <w:pStyle w:val="IsiTabel"/>
              <w:suppressAutoHyphens/>
              <w:jc w:val="right"/>
            </w:pPr>
            <w:r>
              <w:t xml:space="preserve">354,6 miliar</w:t>
            </w:r>
          </w:p>
        </w:tc>
        <w:tc>
          <w:tcPr>
            <w:tcW w:w="1134" w:type="dxa"/>
          </w:tcPr>
          <w:p>
            <w:pPr>
              <w:pStyle w:val="IsiTabel"/>
              <w:suppressAutoHyphens/>
              <w:jc w:val="right"/>
            </w:pPr>
            <w:r>
              <w:t xml:space="preserve">3 triliun</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kerugian materiil batas bawah, skema lama 50/25/10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266,9 miliar</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tahun hidup hilang (YLL), guncangan analog</w:t>
            </w:r>
          </w:p>
        </w:tc>
        <w:tc>
          <w:tcPr>
            <w:tcW w:w="1132"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1134" w:type="dxa"/>
          </w:tcPr>
          <w:p>
            <w:pPr>
              <w:pStyle w:val="IsiTabel"/>
              <w:suppressAutoHyphens/>
              <w:jc w:val="right"/>
            </w:pPr>
            <w:r>
              <w:t xml:space="preserve">0</w:t>
            </w:r>
          </w:p>
        </w:tc>
        <w:tc>
          <w:tcPr>
            <w:tcW w:w="955" w:type="dxa"/>
          </w:tcPr>
          <w:p>
            <w:pPr>
              <w:pStyle w:val="IsiTabel"/>
              <w:suppressAutoHyphens/>
              <w:jc w:val="left"/>
            </w:pPr>
            <w:r>
              <w:t xml:space="preserve">tahun</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(7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140.991</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(30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604.246</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(90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1,8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tsunami: kab/kota tercapai ≤ 180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150</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tsunami: tinggi indikatif maksimum di pantai</w:t>
            </w:r>
          </w:p>
        </w:tc>
        <w:tc>
          <w:tcPr>
            <w:tcW w:w="1132" w:type="dxa"/>
          </w:tcPr>
          <w:p>
            <w:pPr>
              <w:pStyle w:val="IsiTabel"/>
              <w:suppressAutoHyphens/>
              <w:jc w:val="right"/>
            </w:pPr>
            <w:r>
              <w:t xml:space="preserve">2,7</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10,6</w:t>
            </w:r>
          </w:p>
        </w:tc>
        <w:tc>
          <w:tcPr>
            <w:tcW w:w="955" w:type="dxa"/>
          </w:tcPr>
          <w:p>
            <w:pPr>
              <w:pStyle w:val="IsiTabel"/>
              <w:suppressAutoHyphens/>
              <w:jc w:val="left"/>
            </w:pPr>
            <w:r>
              <w:t xml:space="preserve">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selatan Jawa, magnitudo maksimum</w:t>
            </w:r>
          </w:p>
        </w:tc>
      </w:tr>
      <w:tr>
        <w:trPr>
          <w:cantSplit/>
        </w:trPr>
        <w:tc>
          <w:tcPr>
            <w:tcW w:w="3306" w:type="dxa"/>
          </w:tcPr>
          <w:p>
            <w:pPr>
              <w:pStyle w:val="IsiTabel"/>
              <w:suppressAutoHyphens/>
              <w:jc w:val="left"/>
            </w:pPr>
            <w:r>
              <w:t xml:space="preserve">jiwa terpapar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129,7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jiwa terpapar MMI ≥ VII</w:t>
            </w:r>
          </w:p>
        </w:tc>
        <w:tc>
          <w:tcPr>
            <w:tcW w:w="1132" w:type="dxa"/>
          </w:tcPr>
          <w:p>
            <w:pPr>
              <w:pStyle w:val="IsiTabel"/>
              <w:suppressAutoHyphens/>
              <w:jc w:val="right"/>
            </w:pPr>
            <w:r>
              <w:t xml:space="preserve">30,2 juta</w:t>
            </w:r>
          </w:p>
        </w:tc>
        <w:tc>
          <w:tcPr>
            <w:tcW w:w="1134" w:type="dxa"/>
          </w:tcPr>
          <w:p>
            <w:pPr>
              <w:pStyle w:val="IsiTabel"/>
              <w:suppressAutoHyphens/>
              <w:jc w:val="right"/>
            </w:pPr>
            <w:r>
              <w:t xml:space="preserve">69 juta</w:t>
            </w:r>
          </w:p>
        </w:tc>
        <w:tc>
          <w:tcPr>
            <w:tcW w:w="1134" w:type="dxa"/>
          </w:tcPr>
          <w:p>
            <w:pPr>
              <w:pStyle w:val="IsiTabel"/>
              <w:suppressAutoHyphens/>
              <w:jc w:val="right"/>
            </w:pPr>
            <w:r>
              <w:t xml:space="preserve">110,4 juta</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luas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120.796</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berat</w:t>
            </w:r>
          </w:p>
        </w:tc>
        <w:tc>
          <w:tcPr>
            <w:tcW w:w="1132" w:type="dxa"/>
          </w:tcPr>
          <w:p>
            <w:pPr>
              <w:pStyle w:val="IsiTabel"/>
              <w:suppressAutoHyphens/>
              <w:jc w:val="right"/>
            </w:pPr>
            <w:r>
              <w:t xml:space="preserve">121.057</w:t>
            </w:r>
          </w:p>
        </w:tc>
        <w:tc>
          <w:tcPr>
            <w:tcW w:w="1134" w:type="dxa"/>
          </w:tcPr>
          <w:p>
            <w:pPr>
              <w:pStyle w:val="IsiTabel"/>
              <w:suppressAutoHyphens/>
              <w:jc w:val="right"/>
            </w:pPr>
            <w:r>
              <w:t xml:space="preserve">896.686</w:t>
            </w:r>
          </w:p>
        </w:tc>
        <w:tc>
          <w:tcPr>
            <w:tcW w:w="1134" w:type="dxa"/>
          </w:tcPr>
          <w:p>
            <w:pPr>
              <w:pStyle w:val="IsiTabel"/>
              <w:suppressAutoHyphens/>
              <w:jc w:val="right"/>
            </w:pPr>
            <w:r>
              <w:t xml:space="preserve">6,2 juta</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sedang</w:t>
            </w:r>
          </w:p>
        </w:tc>
        <w:tc>
          <w:tcPr>
            <w:tcW w:w="1132" w:type="dxa"/>
          </w:tcPr>
          <w:p>
            <w:pPr>
              <w:pStyle w:val="IsiTabel"/>
              <w:suppressAutoHyphens/>
              <w:jc w:val="right"/>
            </w:pPr>
            <w:r>
              <w:t xml:space="preserve">242.560</w:t>
            </w:r>
          </w:p>
        </w:tc>
        <w:tc>
          <w:tcPr>
            <w:tcW w:w="1134" w:type="dxa"/>
          </w:tcPr>
          <w:p>
            <w:pPr>
              <w:pStyle w:val="IsiTabel"/>
              <w:suppressAutoHyphens/>
              <w:jc w:val="right"/>
            </w:pPr>
            <w:r>
              <w:t xml:space="preserve">1,6 juta</w:t>
            </w:r>
          </w:p>
        </w:tc>
        <w:tc>
          <w:tcPr>
            <w:tcW w:w="1134" w:type="dxa"/>
          </w:tcPr>
          <w:p>
            <w:pPr>
              <w:pStyle w:val="IsiTabel"/>
              <w:suppressAutoHyphens/>
              <w:jc w:val="right"/>
            </w:pPr>
            <w:r>
              <w:t xml:space="preserve">9,9 juta</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ringan</w:t>
            </w:r>
          </w:p>
        </w:tc>
        <w:tc>
          <w:tcPr>
            <w:tcW w:w="1132" w:type="dxa"/>
          </w:tcPr>
          <w:p>
            <w:pPr>
              <w:pStyle w:val="IsiTabel"/>
              <w:suppressAutoHyphens/>
              <w:jc w:val="right"/>
            </w:pPr>
            <w:r>
              <w:t xml:space="preserve">391.428</w:t>
            </w:r>
          </w:p>
        </w:tc>
        <w:tc>
          <w:tcPr>
            <w:tcW w:w="1134" w:type="dxa"/>
          </w:tcPr>
          <w:p>
            <w:pPr>
              <w:pStyle w:val="IsiTabel"/>
              <w:suppressAutoHyphens/>
              <w:jc w:val="right"/>
            </w:pPr>
            <w:r>
              <w:t xml:space="preserve">2,4 juta</w:t>
            </w:r>
          </w:p>
        </w:tc>
        <w:tc>
          <w:tcPr>
            <w:tcW w:w="1134" w:type="dxa"/>
          </w:tcPr>
          <w:p>
            <w:pPr>
              <w:pStyle w:val="IsiTabel"/>
              <w:suppressAutoHyphens/>
              <w:jc w:val="right"/>
            </w:pPr>
            <w:r>
              <w:t xml:space="preserve">14,4 juta</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pita mesin</w:t>
            </w:r>
          </w:p>
        </w:tc>
        <w:tc>
          <w:tcPr>
            <w:tcW w:w="1132" w:type="dxa"/>
          </w:tcPr>
          <w:p>
            <w:pPr>
              <w:pStyle w:val="IsiTabel"/>
              <w:suppressAutoHyphens/>
              <w:jc w:val="right"/>
            </w:pPr>
            <w:r>
              <w:t xml:space="preserve">2.036</w:t>
            </w:r>
          </w:p>
        </w:tc>
        <w:tc>
          <w:tcPr>
            <w:tcW w:w="1134" w:type="dxa"/>
          </w:tcPr>
          <w:p>
            <w:pPr>
              <w:pStyle w:val="IsiTabel"/>
              <w:suppressAutoHyphens/>
              <w:jc w:val="right"/>
            </w:pPr>
            <w:r>
              <w:t xml:space="preserve">16.132</w:t>
            </w:r>
          </w:p>
        </w:tc>
        <w:tc>
          <w:tcPr>
            <w:tcW w:w="1134" w:type="dxa"/>
          </w:tcPr>
          <w:p>
            <w:pPr>
              <w:pStyle w:val="IsiTabel"/>
              <w:suppressAutoHyphens/>
              <w:jc w:val="right"/>
            </w:pPr>
            <w:r>
              <w:t xml:space="preserve">117.107</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rasio analog</w:t>
            </w:r>
          </w:p>
        </w:tc>
        <w:tc>
          <w:tcPr>
            <w:tcW w:w="1132" w:type="dxa"/>
          </w:tcPr>
          <w:p>
            <w:pPr>
              <w:pStyle w:val="IsiTabel"/>
              <w:suppressAutoHyphens/>
              <w:jc w:val="right"/>
            </w:pPr>
            <w:r>
              <w:t xml:space="preserve">10.720</w:t>
            </w:r>
          </w:p>
        </w:tc>
        <w:tc>
          <w:tcPr>
            <w:tcW w:w="1134" w:type="dxa"/>
          </w:tcPr>
          <w:p>
            <w:pPr>
              <w:pStyle w:val="IsiTabel"/>
              <w:suppressAutoHyphens/>
              <w:jc w:val="right"/>
            </w:pPr>
            <w:r>
              <w:t xml:space="preserve">32.397</w:t>
            </w:r>
          </w:p>
        </w:tc>
        <w:tc>
          <w:tcPr>
            <w:tcW w:w="1134" w:type="dxa"/>
          </w:tcPr>
          <w:p>
            <w:pPr>
              <w:pStyle w:val="IsiTabel"/>
              <w:suppressAutoHyphens/>
              <w:jc w:val="right"/>
            </w:pPr>
            <w:r>
              <w:t xml:space="preserve">136.032</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pengungsi (penghuni rumah rusak berat dan sedang)</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9,7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jiwa evakuasi tsunami (pesisir rendah, tiba ≤ 30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3,4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panjang pantai tiba ≤ 30 menit</w:t>
            </w:r>
          </w:p>
        </w:tc>
        <w:tc>
          <w:tcPr>
            <w:tcW w:w="1132" w:type="dxa"/>
          </w:tcPr>
          <w:p>
            <w:pPr>
              <w:pStyle w:val="IsiTabel"/>
              <w:suppressAutoHyphens/>
              <w:jc w:val="right"/>
            </w:pPr>
            <w:r>
              <w:t xml:space="preserve">1.585</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2.175</w:t>
            </w:r>
          </w:p>
        </w:tc>
        <w:tc>
          <w:tcPr>
            <w:tcW w:w="955" w:type="dxa"/>
          </w:tcPr>
          <w:p>
            <w:pPr>
              <w:pStyle w:val="IsiTabel"/>
              <w:suppressAutoHyphens/>
              <w:jc w:val="left"/>
            </w:pPr>
            <w:r>
              <w:t xml:space="preserve">km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kerugian materiil batas bawah (stimulan rumah)</w:t>
            </w:r>
          </w:p>
        </w:tc>
        <w:tc>
          <w:tcPr>
            <w:tcW w:w="1132" w:type="dxa"/>
          </w:tcPr>
          <w:p>
            <w:pPr>
              <w:pStyle w:val="IsiTabel"/>
              <w:suppressAutoHyphens/>
              <w:jc w:val="right"/>
            </w:pPr>
            <w:r>
              <w:t xml:space="preserve">20,4 triliun</w:t>
            </w:r>
          </w:p>
        </w:tc>
        <w:tc>
          <w:tcPr>
            <w:tcW w:w="1134" w:type="dxa"/>
          </w:tcPr>
          <w:p>
            <w:pPr>
              <w:pStyle w:val="IsiTabel"/>
              <w:suppressAutoHyphens/>
              <w:jc w:val="right"/>
            </w:pPr>
            <w:r>
              <w:t xml:space="preserve">138,3 triliun</w:t>
            </w:r>
          </w:p>
        </w:tc>
        <w:tc>
          <w:tcPr>
            <w:tcW w:w="1134" w:type="dxa"/>
          </w:tcPr>
          <w:p>
            <w:pPr>
              <w:pStyle w:val="IsiTabel"/>
              <w:suppressAutoHyphens/>
              <w:jc w:val="right"/>
            </w:pPr>
            <w:r>
              <w:t xml:space="preserve">883,2 triliun</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kerugian materiil batas bawah, skema lama 50/25/10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109,2 triliun</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tahun hidup hilang (YLL), guncangan analog</w:t>
            </w:r>
          </w:p>
        </w:tc>
        <w:tc>
          <w:tcPr>
            <w:tcW w:w="1132" w:type="dxa"/>
          </w:tcPr>
          <w:p>
            <w:pPr>
              <w:pStyle w:val="IsiTabel"/>
              <w:suppressAutoHyphens/>
              <w:jc w:val="right"/>
            </w:pPr>
            <w:r>
              <w:t xml:space="preserve">267.996</w:t>
            </w:r>
          </w:p>
        </w:tc>
        <w:tc>
          <w:tcPr>
            <w:tcW w:w="1134" w:type="dxa"/>
          </w:tcPr>
          <w:p>
            <w:pPr>
              <w:pStyle w:val="IsiTabel"/>
              <w:suppressAutoHyphens/>
              <w:jc w:val="right"/>
            </w:pPr>
            <w:r>
              <w:t xml:space="preserve">1,1 juta</w:t>
            </w:r>
          </w:p>
        </w:tc>
        <w:tc>
          <w:tcPr>
            <w:tcW w:w="1134" w:type="dxa"/>
          </w:tcPr>
          <w:p>
            <w:pPr>
              <w:pStyle w:val="IsiTabel"/>
              <w:suppressAutoHyphens/>
              <w:jc w:val="right"/>
            </w:pPr>
            <w:r>
              <w:t xml:space="preserve">6,1 juta</w:t>
            </w:r>
          </w:p>
        </w:tc>
        <w:tc>
          <w:tcPr>
            <w:tcW w:w="955" w:type="dxa"/>
          </w:tcPr>
          <w:p>
            <w:pPr>
              <w:pStyle w:val="IsiTabel"/>
              <w:suppressAutoHyphens/>
              <w:jc w:val="left"/>
            </w:pPr>
            <w:r>
              <w:t xml:space="preserve">tahun</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(7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68,1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(30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292,1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(90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876,2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tsunami: kab/kota tercapai ≤ 180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160</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tsunami: tinggi indikatif maksimum di pantai</w:t>
            </w:r>
          </w:p>
        </w:tc>
        <w:tc>
          <w:tcPr>
            <w:tcW w:w="1132" w:type="dxa"/>
          </w:tcPr>
          <w:p>
            <w:pPr>
              <w:pStyle w:val="IsiTabel"/>
              <w:suppressAutoHyphens/>
              <w:jc w:val="right"/>
            </w:pPr>
            <w:r>
              <w:t xml:space="preserve">13,3</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53,3</w:t>
            </w:r>
          </w:p>
        </w:tc>
        <w:tc>
          <w:tcPr>
            <w:tcW w:w="955" w:type="dxa"/>
          </w:tcPr>
          <w:p>
            <w:pPr>
              <w:pStyle w:val="IsiTabel"/>
              <w:suppressAutoHyphens/>
              <w:jc w:val="left"/>
            </w:pPr>
            <w:r>
              <w:t xml:space="preserve">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Mentawai, magnitudo maksimum</w:t>
            </w:r>
          </w:p>
        </w:tc>
      </w:tr>
      <w:tr>
        <w:trPr>
          <w:cantSplit/>
        </w:trPr>
        <w:tc>
          <w:tcPr>
            <w:tcW w:w="3306" w:type="dxa"/>
          </w:tcPr>
          <w:p>
            <w:pPr>
              <w:pStyle w:val="IsiTabel"/>
              <w:suppressAutoHyphens/>
              <w:jc w:val="left"/>
            </w:pPr>
            <w:r>
              <w:t xml:space="preserve">jiwa terpapar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11,7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jiwa terpapar MMI ≥ VII</w:t>
            </w:r>
          </w:p>
        </w:tc>
        <w:tc>
          <w:tcPr>
            <w:tcW w:w="1132" w:type="dxa"/>
          </w:tcPr>
          <w:p>
            <w:pPr>
              <w:pStyle w:val="IsiTabel"/>
              <w:suppressAutoHyphens/>
              <w:jc w:val="right"/>
            </w:pPr>
            <w:r>
              <w:t xml:space="preserve">2,2 juta</w:t>
            </w:r>
          </w:p>
        </w:tc>
        <w:tc>
          <w:tcPr>
            <w:tcW w:w="1134" w:type="dxa"/>
          </w:tcPr>
          <w:p>
            <w:pPr>
              <w:pStyle w:val="IsiTabel"/>
              <w:suppressAutoHyphens/>
              <w:jc w:val="right"/>
            </w:pPr>
            <w:r>
              <w:t xml:space="preserve">5,8 juta</w:t>
            </w:r>
          </w:p>
        </w:tc>
        <w:tc>
          <w:tcPr>
            <w:tcW w:w="1134" w:type="dxa"/>
          </w:tcPr>
          <w:p>
            <w:pPr>
              <w:pStyle w:val="IsiTabel"/>
              <w:suppressAutoHyphens/>
              <w:jc w:val="right"/>
            </w:pPr>
            <w:r>
              <w:t xml:space="preserve">9,7 juta</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luas MMI ≥ VI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107.023</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berat</w:t>
            </w:r>
          </w:p>
        </w:tc>
        <w:tc>
          <w:tcPr>
            <w:tcW w:w="1132" w:type="dxa"/>
          </w:tcPr>
          <w:p>
            <w:pPr>
              <w:pStyle w:val="IsiTabel"/>
              <w:suppressAutoHyphens/>
              <w:jc w:val="right"/>
            </w:pPr>
            <w:r>
              <w:t xml:space="preserve">11.657</w:t>
            </w:r>
          </w:p>
        </w:tc>
        <w:tc>
          <w:tcPr>
            <w:tcW w:w="1134" w:type="dxa"/>
          </w:tcPr>
          <w:p>
            <w:pPr>
              <w:pStyle w:val="IsiTabel"/>
              <w:suppressAutoHyphens/>
              <w:jc w:val="right"/>
            </w:pPr>
            <w:r>
              <w:t xml:space="preserve">84.335</w:t>
            </w:r>
          </w:p>
        </w:tc>
        <w:tc>
          <w:tcPr>
            <w:tcW w:w="1134" w:type="dxa"/>
          </w:tcPr>
          <w:p>
            <w:pPr>
              <w:pStyle w:val="IsiTabel"/>
              <w:suppressAutoHyphens/>
              <w:jc w:val="right"/>
            </w:pPr>
            <w:r>
              <w:t xml:space="preserve">573.253</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sedang</w:t>
            </w:r>
          </w:p>
        </w:tc>
        <w:tc>
          <w:tcPr>
            <w:tcW w:w="1132" w:type="dxa"/>
          </w:tcPr>
          <w:p>
            <w:pPr>
              <w:pStyle w:val="IsiTabel"/>
              <w:suppressAutoHyphens/>
              <w:jc w:val="right"/>
            </w:pPr>
            <w:r>
              <w:t xml:space="preserve">22.027</w:t>
            </w:r>
          </w:p>
        </w:tc>
        <w:tc>
          <w:tcPr>
            <w:tcW w:w="1134" w:type="dxa"/>
          </w:tcPr>
          <w:p>
            <w:pPr>
              <w:pStyle w:val="IsiTabel"/>
              <w:suppressAutoHyphens/>
              <w:jc w:val="right"/>
            </w:pPr>
            <w:r>
              <w:t xml:space="preserve">144.339</w:t>
            </w:r>
          </w:p>
        </w:tc>
        <w:tc>
          <w:tcPr>
            <w:tcW w:w="1134" w:type="dxa"/>
          </w:tcPr>
          <w:p>
            <w:pPr>
              <w:pStyle w:val="IsiTabel"/>
              <w:suppressAutoHyphens/>
              <w:jc w:val="right"/>
            </w:pPr>
            <w:r>
              <w:t xml:space="preserve">897.670</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ringan</w:t>
            </w:r>
          </w:p>
        </w:tc>
        <w:tc>
          <w:tcPr>
            <w:tcW w:w="1132" w:type="dxa"/>
          </w:tcPr>
          <w:p>
            <w:pPr>
              <w:pStyle w:val="IsiTabel"/>
              <w:suppressAutoHyphens/>
              <w:jc w:val="right"/>
            </w:pPr>
            <w:r>
              <w:t xml:space="preserve">35.420</w:t>
            </w:r>
          </w:p>
        </w:tc>
        <w:tc>
          <w:tcPr>
            <w:tcW w:w="1134" w:type="dxa"/>
          </w:tcPr>
          <w:p>
            <w:pPr>
              <w:pStyle w:val="IsiTabel"/>
              <w:suppressAutoHyphens/>
              <w:jc w:val="right"/>
            </w:pPr>
            <w:r>
              <w:t xml:space="preserve">221.188</w:t>
            </w:r>
          </w:p>
        </w:tc>
        <w:tc>
          <w:tcPr>
            <w:tcW w:w="1134" w:type="dxa"/>
          </w:tcPr>
          <w:p>
            <w:pPr>
              <w:pStyle w:val="IsiTabel"/>
              <w:suppressAutoHyphens/>
              <w:jc w:val="right"/>
            </w:pPr>
            <w:r>
              <w:t xml:space="preserve">1,3 juta</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pita mesin</w:t>
            </w:r>
          </w:p>
        </w:tc>
        <w:tc>
          <w:tcPr>
            <w:tcW w:w="1132" w:type="dxa"/>
          </w:tcPr>
          <w:p>
            <w:pPr>
              <w:pStyle w:val="IsiTabel"/>
              <w:suppressAutoHyphens/>
              <w:jc w:val="right"/>
            </w:pPr>
            <w:r>
              <w:t xml:space="preserve">205</w:t>
            </w:r>
          </w:p>
        </w:tc>
        <w:tc>
          <w:tcPr>
            <w:tcW w:w="1134" w:type="dxa"/>
          </w:tcPr>
          <w:p>
            <w:pPr>
              <w:pStyle w:val="IsiTabel"/>
              <w:suppressAutoHyphens/>
              <w:jc w:val="right"/>
            </w:pPr>
            <w:r>
              <w:t xml:space="preserve">1.566</w:t>
            </w:r>
          </w:p>
        </w:tc>
        <w:tc>
          <w:tcPr>
            <w:tcW w:w="1134" w:type="dxa"/>
          </w:tcPr>
          <w:p>
            <w:pPr>
              <w:pStyle w:val="IsiTabel"/>
              <w:suppressAutoHyphens/>
              <w:jc w:val="right"/>
            </w:pPr>
            <w:r>
              <w:t xml:space="preserve">11.135</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guncangan, rasio analog</w:t>
            </w:r>
          </w:p>
        </w:tc>
        <w:tc>
          <w:tcPr>
            <w:tcW w:w="1132" w:type="dxa"/>
          </w:tcPr>
          <w:p>
            <w:pPr>
              <w:pStyle w:val="IsiTabel"/>
              <w:suppressAutoHyphens/>
              <w:jc w:val="right"/>
            </w:pPr>
            <w:r>
              <w:t xml:space="preserve">901</w:t>
            </w:r>
          </w:p>
        </w:tc>
        <w:tc>
          <w:tcPr>
            <w:tcW w:w="1134" w:type="dxa"/>
          </w:tcPr>
          <w:p>
            <w:pPr>
              <w:pStyle w:val="IsiTabel"/>
              <w:suppressAutoHyphens/>
              <w:jc w:val="right"/>
            </w:pPr>
            <w:r>
              <w:t xml:space="preserve">2.723</w:t>
            </w:r>
          </w:p>
        </w:tc>
        <w:tc>
          <w:tcPr>
            <w:tcW w:w="1134" w:type="dxa"/>
          </w:tcPr>
          <w:p>
            <w:pPr>
              <w:pStyle w:val="IsiTabel"/>
              <w:suppressAutoHyphens/>
              <w:jc w:val="right"/>
            </w:pPr>
            <w:r>
              <w:t xml:space="preserve">11.435</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pengungsi (penghuni rumah rusak berat dan sedang)</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891.831</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jiwa evakuasi tsunami (pesisir rendah, tiba ≤ 30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930.750</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panjang pantai tiba ≤ 30 menit</w:t>
            </w:r>
          </w:p>
        </w:tc>
        <w:tc>
          <w:tcPr>
            <w:tcW w:w="1132" w:type="dxa"/>
          </w:tcPr>
          <w:p>
            <w:pPr>
              <w:pStyle w:val="IsiTabel"/>
              <w:suppressAutoHyphens/>
              <w:jc w:val="right"/>
            </w:pPr>
            <w:r>
              <w:t xml:space="preserve">1.622</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2.193</w:t>
            </w:r>
          </w:p>
        </w:tc>
        <w:tc>
          <w:tcPr>
            <w:tcW w:w="955" w:type="dxa"/>
          </w:tcPr>
          <w:p>
            <w:pPr>
              <w:pStyle w:val="IsiTabel"/>
              <w:suppressAutoHyphens/>
              <w:jc w:val="left"/>
            </w:pPr>
            <w:r>
              <w:t xml:space="preserve">km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kerugian materiil batas bawah (stimulan rumah)</w:t>
            </w:r>
          </w:p>
        </w:tc>
        <w:tc>
          <w:tcPr>
            <w:tcW w:w="1132" w:type="dxa"/>
          </w:tcPr>
          <w:p>
            <w:pPr>
              <w:pStyle w:val="IsiTabel"/>
              <w:suppressAutoHyphens/>
              <w:jc w:val="right"/>
            </w:pPr>
            <w:r>
              <w:t xml:space="preserve">1,9 triliun</w:t>
            </w:r>
          </w:p>
        </w:tc>
        <w:tc>
          <w:tcPr>
            <w:tcW w:w="1134" w:type="dxa"/>
          </w:tcPr>
          <w:p>
            <w:pPr>
              <w:pStyle w:val="IsiTabel"/>
              <w:suppressAutoHyphens/>
              <w:jc w:val="right"/>
            </w:pPr>
            <w:r>
              <w:t xml:space="preserve">12,7 triliun</w:t>
            </w:r>
          </w:p>
        </w:tc>
        <w:tc>
          <w:tcPr>
            <w:tcW w:w="1134" w:type="dxa"/>
          </w:tcPr>
          <w:p>
            <w:pPr>
              <w:pStyle w:val="IsiTabel"/>
              <w:suppressAutoHyphens/>
              <w:jc w:val="right"/>
            </w:pPr>
            <w:r>
              <w:t xml:space="preserve">81,2 triliun</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kerugian materiil batas bawah, skema lama 50/25/10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10 triliun</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tahun hidup hilang (YLL), guncangan analog</w:t>
            </w:r>
          </w:p>
        </w:tc>
        <w:tc>
          <w:tcPr>
            <w:tcW w:w="1132" w:type="dxa"/>
          </w:tcPr>
          <w:p>
            <w:pPr>
              <w:pStyle w:val="IsiTabel"/>
              <w:suppressAutoHyphens/>
              <w:jc w:val="right"/>
            </w:pPr>
            <w:r>
              <w:t xml:space="preserve">22.528</w:t>
            </w:r>
          </w:p>
        </w:tc>
        <w:tc>
          <w:tcPr>
            <w:tcW w:w="1134" w:type="dxa"/>
          </w:tcPr>
          <w:p>
            <w:pPr>
              <w:pStyle w:val="IsiTabel"/>
              <w:suppressAutoHyphens/>
              <w:jc w:val="right"/>
            </w:pPr>
            <w:r>
              <w:t xml:space="preserve">95.313</w:t>
            </w:r>
          </w:p>
        </w:tc>
        <w:tc>
          <w:tcPr>
            <w:tcW w:w="1134" w:type="dxa"/>
          </w:tcPr>
          <w:p>
            <w:pPr>
              <w:pStyle w:val="IsiTabel"/>
              <w:suppressAutoHyphens/>
              <w:jc w:val="right"/>
            </w:pPr>
            <w:r>
              <w:t xml:space="preserve">514.564</w:t>
            </w:r>
          </w:p>
        </w:tc>
        <w:tc>
          <w:tcPr>
            <w:tcW w:w="955" w:type="dxa"/>
          </w:tcPr>
          <w:p>
            <w:pPr>
              <w:pStyle w:val="IsiTabel"/>
              <w:suppressAutoHyphens/>
              <w:jc w:val="left"/>
            </w:pPr>
            <w:r>
              <w:t xml:space="preserve">tahun</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(7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6,2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(30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26,8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hari-mengungsi guncangan (90 hari)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80,3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tsunami: kab/kota tercapai ≤ 180 menit</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97</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tsunami: tinggi indikatif maksimum di pantai</w:t>
            </w:r>
          </w:p>
        </w:tc>
        <w:tc>
          <w:tcPr>
            <w:tcW w:w="1132" w:type="dxa"/>
          </w:tcPr>
          <w:p>
            <w:pPr>
              <w:pStyle w:val="IsiTabel"/>
              <w:suppressAutoHyphens/>
              <w:jc w:val="right"/>
            </w:pPr>
            <w:r>
              <w:t xml:space="preserve">10,6</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42,4</w:t>
            </w:r>
          </w:p>
        </w:tc>
        <w:tc>
          <w:tcPr>
            <w:tcW w:w="955" w:type="dxa"/>
          </w:tcPr>
          <w:p>
            <w:pPr>
              <w:pStyle w:val="IsiTabel"/>
              <w:suppressAutoHyphens/>
              <w:jc w:val="left"/>
            </w:pPr>
            <w:r>
              <w:t xml:space="preserve">m</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Erupsi setara Merapi 2010</w:t>
            </w:r>
          </w:p>
        </w:tc>
      </w:tr>
      <w:tr>
        <w:trPr>
          <w:cantSplit/>
        </w:trPr>
        <w:tc>
          <w:tcPr>
            <w:tcW w:w="3306" w:type="dxa"/>
          </w:tcPr>
          <w:p>
            <w:pPr>
              <w:pStyle w:val="IsiTabel"/>
              <w:suppressAutoHyphens/>
              <w:jc w:val="left"/>
            </w:pPr>
            <w:r>
              <w:t xml:space="preserve">jiwa di area sapuan awan panas + lahar tanpa evakuasi</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89.707</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luas sapuan</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7.993</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korban jiwa (pola evakuasi 2010)</w:t>
            </w:r>
          </w:p>
        </w:tc>
        <w:tc>
          <w:tcPr>
            <w:tcW w:w="1132" w:type="dxa"/>
          </w:tcPr>
          <w:p>
            <w:pPr>
              <w:pStyle w:val="IsiTabel"/>
              <w:suppressAutoHyphens/>
              <w:jc w:val="right"/>
            </w:pPr>
            <w:r>
              <w:t xml:space="preserve">347</w:t>
            </w:r>
          </w:p>
        </w:tc>
        <w:tc>
          <w:tcPr>
            <w:tcW w:w="1134" w:type="dxa"/>
          </w:tcPr>
          <w:p>
            <w:pPr>
              <w:pStyle w:val="IsiTabel"/>
              <w:suppressAutoHyphens/>
              <w:jc w:val="right"/>
            </w:pPr>
            <w:r>
              <w:t xml:space="preserve">–</w:t>
            </w:r>
          </w:p>
        </w:tc>
        <w:tc>
          <w:tcPr>
            <w:tcW w:w="1134" w:type="dxa"/>
          </w:tcPr>
          <w:p>
            <w:pPr>
              <w:pStyle w:val="IsiTabel"/>
              <w:suppressAutoHyphens/>
              <w:jc w:val="right"/>
            </w:pPr>
            <w:r>
              <w:t xml:space="preserve">386</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FFFFFF"/>
                <w:sz w:val="16"/>
                <w:szCs w:val="16"/>
                <w:shd w:val="clear" w:color="auto" w:fill="051C2C"/>
              </w:rPr>
              <w:t xml:space="preserve">  Resmi  </w:t>
            </w:r>
          </w:p>
        </w:tc>
      </w:tr>
      <w:tr>
        <w:trPr>
          <w:cantSplit/>
        </w:trPr>
        <w:tc>
          <w:tcPr>
            <w:tcW w:w="3306" w:type="dxa"/>
          </w:tcPr>
          <w:p>
            <w:pPr>
              <w:pStyle w:val="IsiTabel"/>
              <w:suppressAutoHyphens/>
              <w:jc w:val="left"/>
            </w:pPr>
            <w:r>
              <w:t xml:space="preserve">pengungsi (radius 20 km seperti 2010)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1,6 juta</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suppressAutoHyphens/>
              <w:jc w:val="left"/>
            </w:pPr>
            <w:r>
              <w:t xml:space="preserve">rumah rusak berat (analog 2010)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2.465</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FFFFFF"/>
                <w:sz w:val="16"/>
                <w:szCs w:val="16"/>
                <w:shd w:val="clear" w:color="auto" w:fill="051C2C"/>
              </w:rPr>
              <w:t xml:space="preserve">  Resmi  </w:t>
            </w:r>
          </w:p>
        </w:tc>
      </w:tr>
      <w:tr>
        <w:trPr>
          <w:cantSplit/>
        </w:trPr>
        <w:tc>
          <w:tcPr>
            <w:tcW w:w="3306" w:type="dxa"/>
          </w:tcPr>
          <w:p>
            <w:pPr>
              <w:pStyle w:val="IsiTabel"/>
              <w:suppressAutoHyphens/>
              <w:jc w:val="left"/>
            </w:pPr>
            <w:r>
              <w:t xml:space="preserve">rumah rusak sedang (analog 2010)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158</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FFFFFF"/>
                <w:sz w:val="16"/>
                <w:szCs w:val="16"/>
                <w:shd w:val="clear" w:color="auto" w:fill="051C2C"/>
              </w:rPr>
              <w:t xml:space="preserve">  Resmi  </w:t>
            </w:r>
          </w:p>
        </w:tc>
      </w:tr>
      <w:tr>
        <w:trPr>
          <w:cantSplit/>
        </w:trPr>
        <w:tc>
          <w:tcPr>
            <w:tcW w:w="3306" w:type="dxa"/>
          </w:tcPr>
          <w:p>
            <w:pPr>
              <w:pStyle w:val="IsiTabel"/>
              <w:suppressAutoHyphens/>
              <w:jc w:val="left"/>
            </w:pPr>
            <w:r>
              <w:t xml:space="preserve">rumah rusak ringan (analog 2010)</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296</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3" w:type="dxa"/>
          </w:tcPr>
          <w:p>
            <w:pPr>
              <w:pStyle w:val="IsiTabel"/>
              <w:suppressAutoHyphens/>
              <w:jc w:val="left"/>
            </w:pPr>
            <w:r>
              <w:rPr>
                <w:b/>
                <w:bCs/>
                <w:color w:val="FFFFFF"/>
                <w:sz w:val="16"/>
                <w:szCs w:val="16"/>
                <w:shd w:val="clear" w:color="auto" w:fill="051C2C"/>
              </w:rPr>
              <w:t xml:space="preserve">  Resmi  </w:t>
            </w:r>
          </w:p>
        </w:tc>
      </w:tr>
      <w:tr>
        <w:trPr>
          <w:cantSplit/>
        </w:trPr>
        <w:tc>
          <w:tcPr>
            <w:tcW w:w="3306" w:type="dxa"/>
          </w:tcPr>
          <w:p>
            <w:pPr>
              <w:pStyle w:val="IsiTabel"/>
              <w:suppressAutoHyphens/>
              <w:jc w:val="left"/>
            </w:pPr>
            <w:r>
              <w:t xml:space="preserve">kerugian materiil batas bawah (stimulan)</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157,1 miliar</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6" w:type="dxa"/>
          </w:tcPr>
          <w:p>
            <w:pPr>
              <w:pStyle w:val="IsiTabel"/>
              <w:suppressAutoHyphens/>
              <w:jc w:val="left"/>
            </w:pPr>
            <w:r>
              <w:t xml:space="preserve">tahun hidup hilang (YLL)</w:t>
            </w:r>
          </w:p>
        </w:tc>
        <w:tc>
          <w:tcPr>
            <w:tcW w:w="1132" w:type="dxa"/>
          </w:tcPr>
          <w:p>
            <w:pPr>
              <w:pStyle w:val="IsiTabel"/>
              <w:suppressAutoHyphens/>
              <w:jc w:val="right"/>
            </w:pPr>
            <w:r>
              <w:t xml:space="preserve">8.675</w:t>
            </w:r>
          </w:p>
        </w:tc>
        <w:tc>
          <w:tcPr>
            <w:tcW w:w="1134" w:type="dxa"/>
          </w:tcPr>
          <w:p>
            <w:pPr>
              <w:pStyle w:val="IsiTabel"/>
              <w:suppressAutoHyphens/>
              <w:jc w:val="right"/>
            </w:pPr>
            <w:r>
              <w:t xml:space="preserve">12.828</w:t>
            </w:r>
          </w:p>
        </w:tc>
        <w:tc>
          <w:tcPr>
            <w:tcW w:w="1134" w:type="dxa"/>
          </w:tcPr>
          <w:p>
            <w:pPr>
              <w:pStyle w:val="IsiTabel"/>
              <w:suppressAutoHyphens/>
              <w:jc w:val="right"/>
            </w:pPr>
            <w:r>
              <w:t xml:space="preserve">17.370</w:t>
            </w:r>
          </w:p>
        </w:tc>
        <w:tc>
          <w:tcPr>
            <w:tcW w:w="955" w:type="dxa"/>
          </w:tcPr>
          <w:p>
            <w:pPr>
              <w:pStyle w:val="IsiTabel"/>
              <w:suppressAutoHyphens/>
              <w:jc w:val="left"/>
            </w:pPr>
            <w:r>
              <w:t xml:space="preserve">tahun</w:t>
            </w:r>
          </w:p>
        </w:tc>
        <w:tc>
          <w:tcPr>
            <w:tcW w:w="169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9354" w:type="dxa"/>
            <w:gridSpan w:val="6"/>
            <w:shd w:val="clear" w:color="auto" w:fill="E6EAF0"/>
          </w:tcPr>
          <w:p>
            <w:pPr>
              <w:pStyle w:val="IsiTabel"/>
              <w:keepNext/>
              <w:suppressAutoHyphens/>
              <w:ind w:left="0"/>
            </w:pPr>
            <w:r>
              <w:rPr>
                <w:b/>
                <w:bCs/>
              </w:rPr>
              <w:t xml:space="preserve">Erupsi besar tiga puluh gunung api, pola historis</w:t>
            </w:r>
          </w:p>
        </w:tc>
      </w:tr>
      <w:tr>
        <w:trPr>
          <w:cantSplit/>
        </w:trPr>
        <w:tc>
          <w:tcPr>
            <w:tcW w:w="3306" w:type="dxa"/>
          </w:tcPr>
          <w:p>
            <w:pPr>
              <w:pStyle w:val="IsiTabel"/>
              <w:suppressAutoHyphens/>
              <w:jc w:val="left"/>
            </w:pPr>
            <w:r>
              <w:t xml:space="preserve">jiwa KRB III (jumlah 30 gunung, piksel ≤ 20 km)</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86.615</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FFFFFF"/>
                <w:sz w:val="16"/>
                <w:szCs w:val="16"/>
                <w:shd w:val="clear" w:color="auto" w:fill="051C2C"/>
              </w:rPr>
              <w:t xml:space="preserve">  Resmi  </w:t>
            </w:r>
          </w:p>
        </w:tc>
      </w:tr>
      <w:tr>
        <w:trPr>
          <w:cantSplit/>
        </w:trPr>
        <w:tc>
          <w:tcPr>
            <w:tcW w:w="3306" w:type="dxa"/>
          </w:tcPr>
          <w:p>
            <w:pPr>
              <w:pStyle w:val="IsiTabel"/>
              <w:suppressAutoHyphens/>
              <w:jc w:val="left"/>
            </w:pPr>
            <w:r>
              <w:t xml:space="preserve">jiwa KRB II (jumlah 30 gunung, piksel ≤ 20 km)</w:t>
            </w:r>
          </w:p>
        </w:tc>
        <w:tc>
          <w:tcPr>
            <w:tcW w:w="1132" w:type="dxa"/>
          </w:tcPr>
          <w:p>
            <w:pPr>
              <w:pStyle w:val="IsiTabel"/>
              <w:suppressAutoHyphens/>
              <w:jc w:val="right"/>
            </w:pPr>
            <w:r>
              <w:t xml:space="preserve">–</w:t>
            </w:r>
          </w:p>
        </w:tc>
        <w:tc>
          <w:tcPr>
            <w:tcW w:w="1134" w:type="dxa"/>
          </w:tcPr>
          <w:p>
            <w:pPr>
              <w:pStyle w:val="IsiTabel"/>
              <w:suppressAutoHyphens/>
              <w:jc w:val="right"/>
            </w:pPr>
            <w:r>
              <w:t xml:space="preserve">297.012</w:t>
            </w:r>
          </w:p>
        </w:tc>
        <w:tc>
          <w:tcPr>
            <w:tcW w:w="113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3" w:type="dxa"/>
          </w:tcPr>
          <w:p>
            <w:pPr>
              <w:pStyle w:val="IsiTabel"/>
              <w:suppressAutoHyphens/>
              <w:jc w:val="left"/>
            </w:pPr>
            <w:r>
              <w:rPr>
                <w:b/>
                <w:bCs/>
                <w:color w:val="FFFFFF"/>
                <w:sz w:val="16"/>
                <w:szCs w:val="16"/>
                <w:shd w:val="clear" w:color="auto" w:fill="051C2C"/>
              </w:rPr>
              <w:t xml:space="preserve">  Resmi  </w:t>
            </w:r>
          </w:p>
        </w:tc>
      </w:tr>
      <w:tr>
        <w:trPr>
          <w:cantSplit/>
        </w:trPr>
        <w:tc>
          <w:tcPr>
            <w:tcW w:w="3306" w:type="dxa"/>
          </w:tcPr>
          <w:p>
            <w:pPr>
              <w:pStyle w:val="IsiTabel"/>
              <w:keepNext/>
              <w:suppressAutoHyphens/>
              <w:jc w:val="left"/>
            </w:pPr>
            <w:bookmarkStart w:id="877" w:name="_Ekor099a"/>
            <w:bookmarkEnd w:id="877"/>
            <w:r>
              <w:t xml:space="preserve">jiwa KRB I (jumlah 30 gunung, piksel ≤ 20 km)</w:t>
            </w:r>
          </w:p>
        </w:tc>
        <w:tc>
          <w:tcPr>
            <w:tcW w:w="1132" w:type="dxa"/>
          </w:tcPr>
          <w:p>
            <w:pPr>
              <w:pStyle w:val="IsiTabel"/>
              <w:keepNext/>
              <w:suppressAutoHyphens/>
              <w:jc w:val="right"/>
            </w:pPr>
            <w:r>
              <w:t xml:space="preserve">–</w:t>
            </w:r>
          </w:p>
        </w:tc>
        <w:tc>
          <w:tcPr>
            <w:tcW w:w="1134" w:type="dxa"/>
          </w:tcPr>
          <w:p>
            <w:pPr>
              <w:pStyle w:val="IsiTabel"/>
              <w:keepNext/>
              <w:suppressAutoHyphens/>
              <w:jc w:val="right"/>
            </w:pPr>
            <w:r>
              <w:t xml:space="preserve">482.762</w:t>
            </w:r>
          </w:p>
        </w:tc>
        <w:tc>
          <w:tcPr>
            <w:tcW w:w="1134" w:type="dxa"/>
          </w:tcPr>
          <w:p>
            <w:pPr>
              <w:pStyle w:val="IsiTabel"/>
              <w:keepNext/>
              <w:suppressAutoHyphens/>
              <w:jc w:val="right"/>
            </w:pPr>
            <w:r>
              <w:t xml:space="preserve">–</w:t>
            </w:r>
          </w:p>
        </w:tc>
        <w:tc>
          <w:tcPr>
            <w:tcW w:w="955" w:type="dxa"/>
          </w:tcPr>
          <w:p>
            <w:pPr>
              <w:pStyle w:val="IsiTabel"/>
              <w:keepNext/>
              <w:suppressAutoHyphens/>
              <w:jc w:val="left"/>
            </w:pPr>
            <w:r>
              <w:t xml:space="preserve">jiwa</w:t>
            </w:r>
          </w:p>
        </w:tc>
        <w:tc>
          <w:tcPr>
            <w:tcW w:w="1693"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306" w:type="dxa"/>
          </w:tcPr>
          <w:p>
            <w:pPr>
              <w:pStyle w:val="IsiTabel"/>
              <w:keepNext/>
              <w:suppressAutoHyphens/>
              <w:jc w:val="left"/>
            </w:pPr>
            <w:r>
              <w:t xml:space="preserve">korban jiwa erupsi besar pola historis</w:t>
            </w:r>
          </w:p>
        </w:tc>
        <w:tc>
          <w:tcPr>
            <w:tcW w:w="1132" w:type="dxa"/>
          </w:tcPr>
          <w:p>
            <w:pPr>
              <w:pStyle w:val="IsiTabel"/>
              <w:keepNext/>
              <w:suppressAutoHyphens/>
              <w:jc w:val="right"/>
            </w:pPr>
            <w:r>
              <w:t xml:space="preserve">596</w:t>
            </w:r>
          </w:p>
        </w:tc>
        <w:tc>
          <w:tcPr>
            <w:tcW w:w="1134" w:type="dxa"/>
          </w:tcPr>
          <w:p>
            <w:pPr>
              <w:pStyle w:val="IsiTabel"/>
              <w:keepNext/>
              <w:suppressAutoHyphens/>
              <w:jc w:val="right"/>
            </w:pPr>
            <w:r>
              <w:t xml:space="preserve">–</w:t>
            </w:r>
          </w:p>
        </w:tc>
        <w:tc>
          <w:tcPr>
            <w:tcW w:w="1134" w:type="dxa"/>
          </w:tcPr>
          <w:p>
            <w:pPr>
              <w:pStyle w:val="IsiTabel"/>
              <w:keepNext/>
              <w:suppressAutoHyphens/>
              <w:jc w:val="right"/>
            </w:pPr>
            <w:r>
              <w:t xml:space="preserve">967</w:t>
            </w:r>
          </w:p>
        </w:tc>
        <w:tc>
          <w:tcPr>
            <w:tcW w:w="955" w:type="dxa"/>
          </w:tcPr>
          <w:p>
            <w:pPr>
              <w:pStyle w:val="IsiTabel"/>
              <w:keepNext/>
              <w:suppressAutoHyphens/>
              <w:jc w:val="left"/>
            </w:pPr>
            <w:r>
              <w:t xml:space="preserve">jiwa</w:t>
            </w:r>
          </w:p>
        </w:tc>
        <w:tc>
          <w:tcPr>
            <w:tcW w:w="1693"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keepNext/>
              <w:suppressAutoHyphens/>
              <w:jc w:val="left"/>
            </w:pPr>
            <w:r>
              <w:t xml:space="preserve">rumah rusak berat pola historis</w:t>
            </w:r>
          </w:p>
        </w:tc>
        <w:tc>
          <w:tcPr>
            <w:tcW w:w="1132" w:type="dxa"/>
          </w:tcPr>
          <w:p>
            <w:pPr>
              <w:pStyle w:val="IsiTabel"/>
              <w:keepNext/>
              <w:suppressAutoHyphens/>
              <w:jc w:val="right"/>
            </w:pPr>
            <w:r>
              <w:t xml:space="preserve">6.174</w:t>
            </w:r>
          </w:p>
        </w:tc>
        <w:tc>
          <w:tcPr>
            <w:tcW w:w="1134" w:type="dxa"/>
          </w:tcPr>
          <w:p>
            <w:pPr>
              <w:pStyle w:val="IsiTabel"/>
              <w:keepNext/>
              <w:suppressAutoHyphens/>
              <w:jc w:val="right"/>
            </w:pPr>
            <w:r>
              <w:t xml:space="preserve">–</w:t>
            </w:r>
          </w:p>
        </w:tc>
        <w:tc>
          <w:tcPr>
            <w:tcW w:w="1134" w:type="dxa"/>
          </w:tcPr>
          <w:p>
            <w:pPr>
              <w:pStyle w:val="IsiTabel"/>
              <w:keepNext/>
              <w:suppressAutoHyphens/>
              <w:jc w:val="right"/>
            </w:pPr>
            <w:r>
              <w:t xml:space="preserve">8.769</w:t>
            </w:r>
          </w:p>
        </w:tc>
        <w:tc>
          <w:tcPr>
            <w:tcW w:w="955" w:type="dxa"/>
          </w:tcPr>
          <w:p>
            <w:pPr>
              <w:pStyle w:val="IsiTabel"/>
              <w:keepNext/>
              <w:suppressAutoHyphens/>
              <w:jc w:val="left"/>
            </w:pPr>
            <w:r>
              <w:t xml:space="preserve">unit</w:t>
            </w:r>
          </w:p>
        </w:tc>
        <w:tc>
          <w:tcPr>
            <w:tcW w:w="1693"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306" w:type="dxa"/>
          </w:tcPr>
          <w:p>
            <w:pPr>
              <w:pStyle w:val="IsiTabel"/>
              <w:keepNext/>
              <w:suppressAutoHyphens/>
              <w:jc w:val="left"/>
            </w:pPr>
            <w:bookmarkStart w:id="878" w:name="_Ekor099z"/>
            <w:bookmarkEnd w:id="878"/>
            <w:r>
              <w:t xml:space="preserve">pengungsi pola historis (batas atas)</w:t>
            </w:r>
          </w:p>
        </w:tc>
        <w:tc>
          <w:tcPr>
            <w:tcW w:w="1132" w:type="dxa"/>
          </w:tcPr>
          <w:p>
            <w:pPr>
              <w:pStyle w:val="IsiTabel"/>
              <w:keepNext/>
              <w:suppressAutoHyphens/>
              <w:jc w:val="right"/>
            </w:pPr>
            <w:r>
              <w:t xml:space="preserve">98.353</w:t>
            </w:r>
          </w:p>
        </w:tc>
        <w:tc>
          <w:tcPr>
            <w:tcW w:w="1134" w:type="dxa"/>
          </w:tcPr>
          <w:p>
            <w:pPr>
              <w:pStyle w:val="IsiTabel"/>
              <w:keepNext/>
              <w:suppressAutoHyphens/>
              <w:jc w:val="right"/>
            </w:pPr>
            <w:r>
              <w:t xml:space="preserve">–</w:t>
            </w:r>
          </w:p>
        </w:tc>
        <w:tc>
          <w:tcPr>
            <w:tcW w:w="1134" w:type="dxa"/>
          </w:tcPr>
          <w:p>
            <w:pPr>
              <w:pStyle w:val="IsiTabel"/>
              <w:keepNext/>
              <w:suppressAutoHyphens/>
              <w:jc w:val="right"/>
            </w:pPr>
            <w:r>
              <w:t xml:space="preserve">1,1 juta</w:t>
            </w:r>
          </w:p>
        </w:tc>
        <w:tc>
          <w:tcPr>
            <w:tcW w:w="955" w:type="dxa"/>
          </w:tcPr>
          <w:p>
            <w:pPr>
              <w:pStyle w:val="IsiTabel"/>
              <w:keepNext/>
              <w:suppressAutoHyphens/>
              <w:jc w:val="left"/>
            </w:pPr>
            <w:r>
              <w:t xml:space="preserve">jiwa</w:t>
            </w:r>
          </w:p>
        </w:tc>
        <w:tc>
          <w:tcPr>
            <w:tcW w:w="1693"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Platform Pantau Bencana, mesin guncangan, kerusakan, dan sapuan erupsi; WorldPop 2026; KRB PVMBG; DIBI BNPB</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Rendah, tengah, dan tinggi adalah pita model; sel "–" tidak dihitung. Kerugian materiil batas bawah memakai stimulan rumah dan berlabel asumsi kebijakan. Korban tsunami model tidak dimuat.</w:t>
      </w:r>
    </w:p>
    <w:p>
      <w:pPr>
        <w:pStyle w:val="Heading2"/>
      </w:pPr>
      <w:bookmarkStart w:id="880" w:name="_Toc00277"/>
      <w:bookmarkStart w:id="879" w:name="_Ref0113"/>
      <w:r>
        <w:t xml:space="preserve">C.2</w:t>
      </w:r>
      <w:bookmarkEnd w:id="879"/>
      <w:r>
        <w:tab/>
      </w:r>
      <w:r>
        <w:t xml:space="preserve">Keluaran Mesin Hidrometeorologi</w:t>
      </w:r>
      <w:bookmarkEnd w:id="880"/>
    </w:p>
    <w:p>
      <w:pPr>
        <w:pStyle w:val="IsiTemuan"/>
      </w:pPr>
      <w:r>
        <w:rPr>
          <w:b/>
          <w:bCs/>
          <w:color w:val="051C2C"/>
        </w:rPr>
        <w:t xml:space="preserve">Pita model musim La Niña berbatas tinggi lebih dari dua kali korban tercatat musim analognya, sedangkan pita musim terberat berada di bawah lantai tercatat, sehingga kedua pita hanya pembanding musim berat tipikal</w:t>
      </w:r>
      <w:r>
        <w:t xml:space="preserve"> (</w:t>
      </w:r>
      <w:r>
        <w:t xml:space="preserve">Subbab </w:t>
      </w:r>
      <w:r>
        <w:fldChar w:fldCharType="begin"/>
      </w:r>
      <w:r>
        <w:instrText xml:space="preserve"> REF _Ref0212 \h \* CHARFORMAT </w:instrText>
      </w:r>
      <w:r>
        <w:fldChar w:fldCharType="separate"/>
      </w:r>
      <w:r>
        <w:t xml:space="preserve">3.4</w:t>
      </w:r>
      <w:r>
        <w:fldChar w:fldCharType="end"/>
      </w:r>
      <w:r>
        <w:t xml:space="preserve">). Nama metrik ditulis sesuai paket data agar dapat dilacak, dan baris tahun analog dimuat di judul tabel; baris resmi adalah angka DIBI musim analog, dan baris estimasi model adalah keluaran rasio korban yang belum diuji balik </w:t>
      </w:r>
      <w:r>
        <w:t xml:space="preserve">(BNPB, t.t.-a)</w:t>
      </w:r>
      <w:r>
        <w:t xml:space="preserve">.</w:t>
      </w:r>
    </w:p>
    <w:p>
      <w:pPr>
        <w:pStyle w:val="Caption"/>
      </w:pPr>
      <w:bookmarkStart w:id="882" w:name="_Toc00278"/>
      <w:bookmarkStart w:id="881" w:name="_Ref0235"/>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881"/>
      <w:r>
        <w:rPr>
          <w:b/>
          <w:bCs/>
          <w:color w:val="051C2C"/>
        </w:rPr>
        <w:t xml:space="preserve"> </w:t>
      </w:r>
      <w:r>
        <w:t xml:space="preserve">Catatan DIBI dan keluaran mesin untuk musim hujan La Niña 2020/2021 tingkat nasional</w:t>
      </w:r>
      <w:bookmarkEnd w:id="8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852"/>
        <w:gridCol w:w="1282"/>
        <w:gridCol w:w="965"/>
        <w:gridCol w:w="1132"/>
        <w:gridCol w:w="1428"/>
        <w:gridCol w:w="1695"/>
      </w:tblGrid>
      <w:tr>
        <w:trPr>
          <w:cantSplit/>
          <w:tblHeader/>
        </w:trPr>
        <w:tc>
          <w:tcPr>
            <w:tcW w:w="2852"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282" w:type="dxa"/>
            <w:tcBorders>
              <w:bottom w:val="single" w:sz="8" w:space="0" w:color="6B7280"/>
            </w:tcBorders>
            <w:vAlign w:val="bottom"/>
          </w:tcPr>
          <w:p>
            <w:pPr>
              <w:pStyle w:val="KepalaTabel"/>
              <w:suppressAutoHyphens/>
            </w:pPr>
            <w:r>
              <w:rPr>
                <w:b/>
                <w:bCs/>
                <w:color w:val="6B7280"/>
                <w:sz w:val="17"/>
                <w:szCs w:val="17"/>
              </w:rPr>
              <w:t xml:space="preserve">NILAI</w:t>
            </w:r>
          </w:p>
        </w:tc>
        <w:tc>
          <w:tcPr>
            <w:tcW w:w="965" w:type="dxa"/>
            <w:tcBorders>
              <w:bottom w:val="single" w:sz="8" w:space="0" w:color="6B7280"/>
            </w:tcBorders>
            <w:vAlign w:val="bottom"/>
          </w:tcPr>
          <w:p>
            <w:pPr>
              <w:pStyle w:val="KepalaTabel"/>
              <w:suppressAutoHyphens/>
            </w:pPr>
            <w:r>
              <w:rPr>
                <w:b/>
                <w:bCs/>
                <w:color w:val="6B7280"/>
                <w:sz w:val="17"/>
                <w:szCs w:val="17"/>
              </w:rPr>
              <w:t xml:space="preserve">RENDAH</w:t>
            </w:r>
          </w:p>
        </w:tc>
        <w:tc>
          <w:tcPr>
            <w:tcW w:w="1132" w:type="dxa"/>
            <w:tcBorders>
              <w:bottom w:val="single" w:sz="8" w:space="0" w:color="6B7280"/>
            </w:tcBorders>
            <w:vAlign w:val="bottom"/>
          </w:tcPr>
          <w:p>
            <w:pPr>
              <w:pStyle w:val="KepalaTabel"/>
              <w:suppressAutoHyphens/>
            </w:pPr>
            <w:r>
              <w:rPr>
                <w:b/>
                <w:bCs/>
                <w:color w:val="6B7280"/>
                <w:sz w:val="17"/>
                <w:szCs w:val="17"/>
              </w:rPr>
              <w:t xml:space="preserve">TINGGI</w:t>
            </w:r>
          </w:p>
        </w:tc>
        <w:tc>
          <w:tcPr>
            <w:tcW w:w="1428"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2852" w:type="dxa"/>
          </w:tcPr>
          <w:p>
            <w:pPr>
              <w:pStyle w:val="IsiTabel"/>
              <w:suppressAutoHyphens/>
              <w:jc w:val="left"/>
            </w:pPr>
            <w:r>
              <w:t xml:space="preserve">kejadian_banjir</w:t>
            </w:r>
          </w:p>
        </w:tc>
        <w:tc>
          <w:tcPr>
            <w:tcW w:w="1282" w:type="dxa"/>
          </w:tcPr>
          <w:p>
            <w:pPr>
              <w:pStyle w:val="IsiTabel"/>
              <w:suppressAutoHyphens/>
              <w:jc w:val="right"/>
            </w:pPr>
            <w:r>
              <w:t xml:space="preserve">954,3</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meninggal_hilang_tercatat_banjir</w:t>
            </w:r>
          </w:p>
        </w:tc>
        <w:tc>
          <w:tcPr>
            <w:tcW w:w="1282" w:type="dxa"/>
          </w:tcPr>
          <w:p>
            <w:pPr>
              <w:pStyle w:val="IsiTabel"/>
              <w:suppressAutoHyphens/>
              <w:jc w:val="right"/>
            </w:pPr>
            <w:r>
              <w:t xml:space="preserve">255</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korban_jiwa_banjir</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201,3</w:t>
            </w:r>
          </w:p>
        </w:tc>
        <w:tc>
          <w:tcPr>
            <w:tcW w:w="1132" w:type="dxa"/>
          </w:tcPr>
          <w:p>
            <w:pPr>
              <w:pStyle w:val="IsiTabel"/>
              <w:suppressAutoHyphens/>
              <w:jc w:val="right"/>
            </w:pPr>
            <w:r>
              <w:t xml:space="preserve">509,3</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kejadian_banjir_bandang</w:t>
            </w:r>
          </w:p>
        </w:tc>
        <w:tc>
          <w:tcPr>
            <w:tcW w:w="1282" w:type="dxa"/>
          </w:tcPr>
          <w:p>
            <w:pPr>
              <w:pStyle w:val="IsiTabel"/>
              <w:suppressAutoHyphens/>
              <w:jc w:val="right"/>
            </w:pPr>
            <w:r>
              <w:t xml:space="preserve">40,5</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meninggal_hilang_tercatat_banjir_bandang</w:t>
            </w:r>
          </w:p>
        </w:tc>
        <w:tc>
          <w:tcPr>
            <w:tcW w:w="1282" w:type="dxa"/>
          </w:tcPr>
          <w:p>
            <w:pPr>
              <w:pStyle w:val="IsiTabel"/>
              <w:suppressAutoHyphens/>
              <w:jc w:val="right"/>
            </w:pPr>
            <w:r>
              <w:t xml:space="preserve">72</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korban_jiwa_banjir_bandang</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12,6</w:t>
            </w:r>
          </w:p>
        </w:tc>
        <w:tc>
          <w:tcPr>
            <w:tcW w:w="1132" w:type="dxa"/>
          </w:tcPr>
          <w:p>
            <w:pPr>
              <w:pStyle w:val="IsiTabel"/>
              <w:suppressAutoHyphens/>
              <w:jc w:val="right"/>
            </w:pPr>
            <w:r>
              <w:t xml:space="preserve">14,9</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kejadian_longsor</w:t>
            </w:r>
          </w:p>
        </w:tc>
        <w:tc>
          <w:tcPr>
            <w:tcW w:w="1282" w:type="dxa"/>
          </w:tcPr>
          <w:p>
            <w:pPr>
              <w:pStyle w:val="IsiTabel"/>
              <w:suppressAutoHyphens/>
              <w:jc w:val="right"/>
            </w:pPr>
            <w:r>
              <w:t xml:space="preserve">859</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meninggal_hilang_tercatat_longsor</w:t>
            </w:r>
          </w:p>
        </w:tc>
        <w:tc>
          <w:tcPr>
            <w:tcW w:w="1282" w:type="dxa"/>
          </w:tcPr>
          <w:p>
            <w:pPr>
              <w:pStyle w:val="IsiTabel"/>
              <w:suppressAutoHyphens/>
              <w:jc w:val="right"/>
            </w:pPr>
            <w:r>
              <w:t xml:space="preserve">153</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korban_jiwa_longsor</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250,0</w:t>
            </w:r>
          </w:p>
        </w:tc>
        <w:tc>
          <w:tcPr>
            <w:tcW w:w="1132" w:type="dxa"/>
          </w:tcPr>
          <w:p>
            <w:pPr>
              <w:pStyle w:val="IsiTabel"/>
              <w:suppressAutoHyphens/>
              <w:jc w:val="right"/>
            </w:pPr>
            <w:r>
              <w:t xml:space="preserve">545,9</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kejadian_banjir_longsor</w:t>
            </w:r>
          </w:p>
        </w:tc>
        <w:tc>
          <w:tcPr>
            <w:tcW w:w="1282" w:type="dxa"/>
          </w:tcPr>
          <w:p>
            <w:pPr>
              <w:pStyle w:val="IsiTabel"/>
              <w:suppressAutoHyphens/>
              <w:jc w:val="right"/>
            </w:pPr>
            <w:r>
              <w:t xml:space="preserve">74,7</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meninggal_hilang_tercatat_banjir_longsor</w:t>
            </w:r>
          </w:p>
        </w:tc>
        <w:tc>
          <w:tcPr>
            <w:tcW w:w="1282" w:type="dxa"/>
          </w:tcPr>
          <w:p>
            <w:pPr>
              <w:pStyle w:val="IsiTabel"/>
              <w:suppressAutoHyphens/>
              <w:jc w:val="right"/>
            </w:pPr>
            <w:r>
              <w:t xml:space="preserve">39</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korban_jiwa_banjir_longsor</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22,2</w:t>
            </w:r>
          </w:p>
        </w:tc>
        <w:tc>
          <w:tcPr>
            <w:tcW w:w="1132" w:type="dxa"/>
          </w:tcPr>
          <w:p>
            <w:pPr>
              <w:pStyle w:val="IsiTabel"/>
              <w:suppressAutoHyphens/>
              <w:jc w:val="right"/>
            </w:pPr>
            <w:r>
              <w:t xml:space="preserve">22,8</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kejadian_cuaca_ekstrem</w:t>
            </w:r>
          </w:p>
        </w:tc>
        <w:tc>
          <w:tcPr>
            <w:tcW w:w="1282" w:type="dxa"/>
          </w:tcPr>
          <w:p>
            <w:pPr>
              <w:pStyle w:val="IsiTabel"/>
              <w:suppressAutoHyphens/>
              <w:jc w:val="right"/>
            </w:pPr>
            <w:r>
              <w:t xml:space="preserve">1.149</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meninggal_hilang_tercatat_cuaca_ekstrem</w:t>
            </w:r>
          </w:p>
        </w:tc>
        <w:tc>
          <w:tcPr>
            <w:tcW w:w="1282" w:type="dxa"/>
          </w:tcPr>
          <w:p>
            <w:pPr>
              <w:pStyle w:val="IsiTabel"/>
              <w:suppressAutoHyphens/>
              <w:jc w:val="right"/>
            </w:pPr>
            <w:r>
              <w:t xml:space="preserve">18</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korban_jiwa_cuaca_ekstrem</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38,7</w:t>
            </w:r>
          </w:p>
        </w:tc>
        <w:tc>
          <w:tcPr>
            <w:tcW w:w="1132" w:type="dxa"/>
          </w:tcPr>
          <w:p>
            <w:pPr>
              <w:pStyle w:val="IsiTabel"/>
              <w:suppressAutoHyphens/>
              <w:jc w:val="right"/>
            </w:pPr>
            <w:r>
              <w:t xml:space="preserve">110,9</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kejadian</w:t>
            </w:r>
          </w:p>
        </w:tc>
        <w:tc>
          <w:tcPr>
            <w:tcW w:w="1282" w:type="dxa"/>
          </w:tcPr>
          <w:p>
            <w:pPr>
              <w:pStyle w:val="IsiTabel"/>
              <w:suppressAutoHyphens/>
              <w:jc w:val="right"/>
            </w:pPr>
            <w:r>
              <w:t xml:space="preserve">3.077,5</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meninggal_tercatat</w:t>
            </w:r>
          </w:p>
        </w:tc>
        <w:tc>
          <w:tcPr>
            <w:tcW w:w="1282" w:type="dxa"/>
          </w:tcPr>
          <w:p>
            <w:pPr>
              <w:pStyle w:val="IsiTabel"/>
              <w:suppressAutoHyphens/>
              <w:jc w:val="right"/>
            </w:pPr>
            <w:r>
              <w:t xml:space="preserve">465</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hilang_tercatat</w:t>
            </w:r>
          </w:p>
        </w:tc>
        <w:tc>
          <w:tcPr>
            <w:tcW w:w="1282" w:type="dxa"/>
          </w:tcPr>
          <w:p>
            <w:pPr>
              <w:pStyle w:val="IsiTabel"/>
              <w:suppressAutoHyphens/>
              <w:jc w:val="right"/>
            </w:pPr>
            <w:r>
              <w:t xml:space="preserve">72</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korban_jiwa</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524,8</w:t>
            </w:r>
          </w:p>
        </w:tc>
        <w:tc>
          <w:tcPr>
            <w:tcW w:w="1132" w:type="dxa"/>
          </w:tcPr>
          <w:p>
            <w:pPr>
              <w:pStyle w:val="IsiTabel"/>
              <w:suppressAutoHyphens/>
              <w:jc w:val="right"/>
            </w:pPr>
            <w:r>
              <w:t xml:space="preserve">1.203,8</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terdampak_menderita</w:t>
            </w:r>
          </w:p>
        </w:tc>
        <w:tc>
          <w:tcPr>
            <w:tcW w:w="1282" w:type="dxa"/>
          </w:tcPr>
          <w:p>
            <w:pPr>
              <w:pStyle w:val="IsiTabel"/>
              <w:suppressAutoHyphens/>
              <w:jc w:val="right"/>
            </w:pPr>
            <w:r>
              <w:t xml:space="preserve">5,2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mengungsi</w:t>
            </w:r>
          </w:p>
        </w:tc>
        <w:tc>
          <w:tcPr>
            <w:tcW w:w="1282" w:type="dxa"/>
          </w:tcPr>
          <w:p>
            <w:pPr>
              <w:pStyle w:val="IsiTabel"/>
              <w:suppressAutoHyphens/>
              <w:jc w:val="right"/>
            </w:pPr>
            <w:r>
              <w:t xml:space="preserve">508.914</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hari_mengungsi</w:t>
            </w:r>
          </w:p>
        </w:tc>
        <w:tc>
          <w:tcPr>
            <w:tcW w:w="1282" w:type="dxa"/>
          </w:tcPr>
          <w:p>
            <w:pPr>
              <w:pStyle w:val="IsiTabel"/>
              <w:suppressAutoHyphens/>
              <w:jc w:val="right"/>
            </w:pPr>
            <w:r>
              <w:t xml:space="preserve">3,6 juta</w:t>
            </w:r>
          </w:p>
        </w:tc>
        <w:tc>
          <w:tcPr>
            <w:tcW w:w="965" w:type="dxa"/>
          </w:tcPr>
          <w:p>
            <w:pPr>
              <w:pStyle w:val="IsiTabel"/>
              <w:suppressAutoHyphens/>
              <w:jc w:val="right"/>
            </w:pPr>
            <w:r>
              <w:t xml:space="preserve">1,5 juta</w:t>
            </w:r>
          </w:p>
        </w:tc>
        <w:tc>
          <w:tcPr>
            <w:tcW w:w="1132" w:type="dxa"/>
          </w:tcPr>
          <w:p>
            <w:pPr>
              <w:pStyle w:val="IsiTabel"/>
              <w:suppressAutoHyphens/>
              <w:jc w:val="right"/>
            </w:pPr>
            <w:r>
              <w:t xml:space="preserve">15,3 juta</w:t>
            </w:r>
          </w:p>
        </w:tc>
        <w:tc>
          <w:tcPr>
            <w:tcW w:w="1428" w:type="dxa"/>
          </w:tcPr>
          <w:p>
            <w:pPr>
              <w:pStyle w:val="IsiTabel"/>
              <w:suppressAutoHyphens/>
              <w:jc w:val="left"/>
            </w:pPr>
            <w:r>
              <w:t xml:space="preserve">jiwa-hari</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852" w:type="dxa"/>
          </w:tcPr>
          <w:p>
            <w:pPr>
              <w:pStyle w:val="IsiTabel"/>
              <w:suppressAutoHyphens/>
              <w:jc w:val="left"/>
            </w:pPr>
            <w:r>
              <w:t xml:space="preserve">rumah_rusak_berat</w:t>
            </w:r>
          </w:p>
        </w:tc>
        <w:tc>
          <w:tcPr>
            <w:tcW w:w="1282" w:type="dxa"/>
          </w:tcPr>
          <w:p>
            <w:pPr>
              <w:pStyle w:val="IsiTabel"/>
              <w:suppressAutoHyphens/>
              <w:jc w:val="right"/>
            </w:pPr>
            <w:r>
              <w:t xml:space="preserve">13.675</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rumah_rusak_sedang</w:t>
            </w:r>
          </w:p>
        </w:tc>
        <w:tc>
          <w:tcPr>
            <w:tcW w:w="1282" w:type="dxa"/>
          </w:tcPr>
          <w:p>
            <w:pPr>
              <w:pStyle w:val="IsiTabel"/>
              <w:suppressAutoHyphens/>
              <w:jc w:val="right"/>
            </w:pPr>
            <w:r>
              <w:t xml:space="preserve">13.459</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rumah_rusak_ringan</w:t>
            </w:r>
          </w:p>
        </w:tc>
        <w:tc>
          <w:tcPr>
            <w:tcW w:w="1282" w:type="dxa"/>
          </w:tcPr>
          <w:p>
            <w:pPr>
              <w:pStyle w:val="IsiTabel"/>
              <w:suppressAutoHyphens/>
              <w:jc w:val="right"/>
            </w:pPr>
            <w:r>
              <w:t xml:space="preserve">82.855</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materiil_batas_bawah</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1,8 triliun</w:t>
            </w:r>
          </w:p>
        </w:tc>
        <w:tc>
          <w:tcPr>
            <w:tcW w:w="1132" w:type="dxa"/>
          </w:tcPr>
          <w:p>
            <w:pPr>
              <w:pStyle w:val="IsiTabel"/>
              <w:suppressAutoHyphens/>
              <w:jc w:val="right"/>
            </w:pPr>
            <w:r>
              <w:t xml:space="preserve">2,5 triliun</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852" w:type="dxa"/>
          </w:tcPr>
          <w:p>
            <w:pPr>
              <w:pStyle w:val="IsiTabel"/>
              <w:suppressAutoHyphens/>
              <w:jc w:val="left"/>
            </w:pPr>
            <w:r>
              <w:t xml:space="preserve">luas_bahaya_tinggi_banjir</w:t>
            </w:r>
          </w:p>
        </w:tc>
        <w:tc>
          <w:tcPr>
            <w:tcW w:w="1282" w:type="dxa"/>
          </w:tcPr>
          <w:p>
            <w:pPr>
              <w:pStyle w:val="IsiTabel"/>
              <w:suppressAutoHyphens/>
              <w:jc w:val="right"/>
            </w:pPr>
            <w:r>
              <w:t xml:space="preserve">25,7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luas_bahaya_sedang_banjir</w:t>
            </w:r>
          </w:p>
        </w:tc>
        <w:tc>
          <w:tcPr>
            <w:tcW w:w="1282" w:type="dxa"/>
          </w:tcPr>
          <w:p>
            <w:pPr>
              <w:pStyle w:val="IsiTabel"/>
              <w:suppressAutoHyphens/>
              <w:jc w:val="right"/>
            </w:pPr>
            <w:r>
              <w:t xml:space="preserve">23,8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terpapar_krb_banjir</w:t>
            </w:r>
          </w:p>
        </w:tc>
        <w:tc>
          <w:tcPr>
            <w:tcW w:w="1282" w:type="dxa"/>
          </w:tcPr>
          <w:p>
            <w:pPr>
              <w:pStyle w:val="IsiTabel"/>
              <w:suppressAutoHyphens/>
              <w:jc w:val="right"/>
            </w:pPr>
            <w:r>
              <w:t xml:space="preserve">113,8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kerugian_potensi_krb_banjir</w:t>
            </w:r>
          </w:p>
        </w:tc>
        <w:tc>
          <w:tcPr>
            <w:tcW w:w="1282" w:type="dxa"/>
          </w:tcPr>
          <w:p>
            <w:pPr>
              <w:pStyle w:val="IsiTabel"/>
              <w:suppressAutoHyphens/>
              <w:jc w:val="right"/>
            </w:pPr>
            <w:r>
              <w:t xml:space="preserve">1.006,6 triliun</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jiwa_kec_bahaya_tinggi_banjir</w:t>
            </w:r>
          </w:p>
        </w:tc>
        <w:tc>
          <w:tcPr>
            <w:tcW w:w="1282" w:type="dxa"/>
          </w:tcPr>
          <w:p>
            <w:pPr>
              <w:pStyle w:val="IsiTabel"/>
              <w:suppressAutoHyphens/>
              <w:jc w:val="right"/>
            </w:pPr>
            <w:r>
              <w:t xml:space="preserve">142,3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luas_bahaya_tinggi_banjir_bandang</w:t>
            </w:r>
          </w:p>
        </w:tc>
        <w:tc>
          <w:tcPr>
            <w:tcW w:w="1282" w:type="dxa"/>
          </w:tcPr>
          <w:p>
            <w:pPr>
              <w:pStyle w:val="IsiTabel"/>
              <w:suppressAutoHyphens/>
              <w:jc w:val="right"/>
            </w:pPr>
            <w:r>
              <w:t xml:space="preserve">2,9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luas_bahaya_sedang_banjir_bandang</w:t>
            </w:r>
          </w:p>
        </w:tc>
        <w:tc>
          <w:tcPr>
            <w:tcW w:w="1282" w:type="dxa"/>
          </w:tcPr>
          <w:p>
            <w:pPr>
              <w:pStyle w:val="IsiTabel"/>
              <w:suppressAutoHyphens/>
              <w:jc w:val="right"/>
            </w:pPr>
            <w:r>
              <w:t xml:space="preserve">1,3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terpapar_krb_banjir_bandang</w:t>
            </w:r>
          </w:p>
        </w:tc>
        <w:tc>
          <w:tcPr>
            <w:tcW w:w="1282" w:type="dxa"/>
          </w:tcPr>
          <w:p>
            <w:pPr>
              <w:pStyle w:val="IsiTabel"/>
              <w:suppressAutoHyphens/>
              <w:jc w:val="right"/>
            </w:pPr>
            <w:r>
              <w:t xml:space="preserve">15,4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kerugian_potensi_krb_banjir_bandang</w:t>
            </w:r>
          </w:p>
        </w:tc>
        <w:tc>
          <w:tcPr>
            <w:tcW w:w="1282" w:type="dxa"/>
          </w:tcPr>
          <w:p>
            <w:pPr>
              <w:pStyle w:val="IsiTabel"/>
              <w:suppressAutoHyphens/>
              <w:jc w:val="right"/>
            </w:pPr>
            <w:r>
              <w:t xml:space="preserve">147,6 triliun</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jiwa_kec_bahaya_tinggi_banjir_bandang</w:t>
            </w:r>
          </w:p>
        </w:tc>
        <w:tc>
          <w:tcPr>
            <w:tcW w:w="1282" w:type="dxa"/>
          </w:tcPr>
          <w:p>
            <w:pPr>
              <w:pStyle w:val="IsiTabel"/>
              <w:suppressAutoHyphens/>
              <w:jc w:val="right"/>
            </w:pPr>
            <w:r>
              <w:t xml:space="preserve">31,6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luas_bahaya_tinggi_longsor</w:t>
            </w:r>
          </w:p>
        </w:tc>
        <w:tc>
          <w:tcPr>
            <w:tcW w:w="1282" w:type="dxa"/>
          </w:tcPr>
          <w:p>
            <w:pPr>
              <w:pStyle w:val="IsiTabel"/>
              <w:suppressAutoHyphens/>
              <w:jc w:val="right"/>
            </w:pPr>
            <w:r>
              <w:t xml:space="preserve">50,9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luas_bahaya_sedang_longsor</w:t>
            </w:r>
          </w:p>
        </w:tc>
        <w:tc>
          <w:tcPr>
            <w:tcW w:w="1282" w:type="dxa"/>
          </w:tcPr>
          <w:p>
            <w:pPr>
              <w:pStyle w:val="IsiTabel"/>
              <w:suppressAutoHyphens/>
              <w:jc w:val="right"/>
            </w:pPr>
            <w:r>
              <w:t xml:space="preserve">28,1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terpapar_krb_longsor</w:t>
            </w:r>
          </w:p>
        </w:tc>
        <w:tc>
          <w:tcPr>
            <w:tcW w:w="1282" w:type="dxa"/>
          </w:tcPr>
          <w:p>
            <w:pPr>
              <w:pStyle w:val="IsiTabel"/>
              <w:suppressAutoHyphens/>
              <w:jc w:val="right"/>
            </w:pPr>
            <w:r>
              <w:t xml:space="preserve">25,2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kerugian_potensi_krb_longsor</w:t>
            </w:r>
          </w:p>
        </w:tc>
        <w:tc>
          <w:tcPr>
            <w:tcW w:w="1282" w:type="dxa"/>
          </w:tcPr>
          <w:p>
            <w:pPr>
              <w:pStyle w:val="IsiTabel"/>
              <w:suppressAutoHyphens/>
              <w:jc w:val="right"/>
            </w:pPr>
            <w:r>
              <w:t xml:space="preserve">695,2 triliun</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jiwa_kec_bahaya_tinggi_longsor</w:t>
            </w:r>
          </w:p>
        </w:tc>
        <w:tc>
          <w:tcPr>
            <w:tcW w:w="1282" w:type="dxa"/>
          </w:tcPr>
          <w:p>
            <w:pPr>
              <w:pStyle w:val="IsiTabel"/>
              <w:suppressAutoHyphens/>
              <w:jc w:val="right"/>
            </w:pPr>
            <w:r>
              <w:t xml:space="preserve">92,2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2852" w:type="dxa"/>
          </w:tcPr>
          <w:p>
            <w:pPr>
              <w:pStyle w:val="IsiTabel"/>
              <w:suppressAutoHyphens/>
              <w:jc w:val="left"/>
            </w:pPr>
            <w:r>
              <w:t xml:space="preserve">luas_bahaya_tinggi_cuaca_ekstrem</w:t>
            </w:r>
          </w:p>
        </w:tc>
        <w:tc>
          <w:tcPr>
            <w:tcW w:w="1282" w:type="dxa"/>
          </w:tcPr>
          <w:p>
            <w:pPr>
              <w:pStyle w:val="IsiTabel"/>
              <w:suppressAutoHyphens/>
              <w:jc w:val="right"/>
            </w:pPr>
            <w:r>
              <w:t xml:space="preserve">32,4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luas_bahaya_sedang_cuaca_ekstrem</w:t>
            </w:r>
          </w:p>
        </w:tc>
        <w:tc>
          <w:tcPr>
            <w:tcW w:w="1282" w:type="dxa"/>
          </w:tcPr>
          <w:p>
            <w:pPr>
              <w:pStyle w:val="IsiTabel"/>
              <w:suppressAutoHyphens/>
              <w:jc w:val="right"/>
            </w:pPr>
            <w:r>
              <w:t xml:space="preserve">36,1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suppressAutoHyphens/>
              <w:jc w:val="left"/>
            </w:pPr>
            <w:r>
              <w:t xml:space="preserve">terpapar_krb_cuaca_ekstrem</w:t>
            </w:r>
          </w:p>
        </w:tc>
        <w:tc>
          <w:tcPr>
            <w:tcW w:w="1282" w:type="dxa"/>
          </w:tcPr>
          <w:p>
            <w:pPr>
              <w:pStyle w:val="IsiTabel"/>
              <w:suppressAutoHyphens/>
              <w:jc w:val="right"/>
            </w:pPr>
            <w:r>
              <w:t xml:space="preserve">255,3 juta</w:t>
            </w:r>
          </w:p>
        </w:tc>
        <w:tc>
          <w:tcPr>
            <w:tcW w:w="965" w:type="dxa"/>
          </w:tcPr>
          <w:p>
            <w:pPr>
              <w:pStyle w:val="IsiTabel"/>
              <w:suppressAutoHyphens/>
              <w:jc w:val="right"/>
            </w:pPr>
            <w:r>
              <w:t xml:space="preserve">–</w:t>
            </w:r>
          </w:p>
        </w:tc>
        <w:tc>
          <w:tcPr>
            <w:tcW w:w="113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852" w:type="dxa"/>
          </w:tcPr>
          <w:p>
            <w:pPr>
              <w:pStyle w:val="IsiTabel"/>
              <w:keepNext/>
              <w:suppressAutoHyphens/>
              <w:jc w:val="left"/>
            </w:pPr>
            <w:bookmarkStart w:id="883" w:name="_Ekor100a"/>
            <w:bookmarkEnd w:id="883"/>
            <w:r>
              <w:t xml:space="preserve">kerugian_potensi_krb_cuaca_ekstrem</w:t>
            </w:r>
          </w:p>
        </w:tc>
        <w:tc>
          <w:tcPr>
            <w:tcW w:w="1282" w:type="dxa"/>
          </w:tcPr>
          <w:p>
            <w:pPr>
              <w:pStyle w:val="IsiTabel"/>
              <w:keepNext/>
              <w:suppressAutoHyphens/>
              <w:jc w:val="right"/>
            </w:pPr>
            <w:r>
              <w:t xml:space="preserve">2.743,8 triliun</w:t>
            </w:r>
          </w:p>
        </w:tc>
        <w:tc>
          <w:tcPr>
            <w:tcW w:w="965" w:type="dxa"/>
          </w:tcPr>
          <w:p>
            <w:pPr>
              <w:pStyle w:val="IsiTabel"/>
              <w:keepNext/>
              <w:suppressAutoHyphens/>
              <w:jc w:val="right"/>
            </w:pPr>
            <w:r>
              <w:t xml:space="preserve">–</w:t>
            </w:r>
          </w:p>
        </w:tc>
        <w:tc>
          <w:tcPr>
            <w:tcW w:w="1132" w:type="dxa"/>
          </w:tcPr>
          <w:p>
            <w:pPr>
              <w:pStyle w:val="IsiTabel"/>
              <w:keepNext/>
              <w:suppressAutoHyphens/>
              <w:jc w:val="right"/>
            </w:pPr>
            <w:r>
              <w:t xml:space="preserve">–</w:t>
            </w:r>
          </w:p>
        </w:tc>
        <w:tc>
          <w:tcPr>
            <w:tcW w:w="1428" w:type="dxa"/>
          </w:tcPr>
          <w:p>
            <w:pPr>
              <w:pStyle w:val="IsiTabel"/>
              <w:keepNext/>
              <w:suppressAutoHyphens/>
              <w:jc w:val="left"/>
            </w:pPr>
            <w:r>
              <w:t xml:space="preserve">Rp</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52" w:type="dxa"/>
          </w:tcPr>
          <w:p>
            <w:pPr>
              <w:pStyle w:val="IsiTabel"/>
              <w:keepNext/>
              <w:suppressAutoHyphens/>
              <w:jc w:val="left"/>
            </w:pPr>
            <w:r>
              <w:t xml:space="preserve">pembanding_rugi_banjir_jabodetabek_2007</w:t>
            </w:r>
          </w:p>
        </w:tc>
        <w:tc>
          <w:tcPr>
            <w:tcW w:w="1282" w:type="dxa"/>
          </w:tcPr>
          <w:p>
            <w:pPr>
              <w:pStyle w:val="IsiTabel"/>
              <w:keepNext/>
              <w:suppressAutoHyphens/>
              <w:jc w:val="right"/>
            </w:pPr>
            <w:r>
              <w:t xml:space="preserve">5,2 triliun</w:t>
            </w:r>
          </w:p>
        </w:tc>
        <w:tc>
          <w:tcPr>
            <w:tcW w:w="965" w:type="dxa"/>
          </w:tcPr>
          <w:p>
            <w:pPr>
              <w:pStyle w:val="IsiTabel"/>
              <w:keepNext/>
              <w:suppressAutoHyphens/>
              <w:jc w:val="right"/>
            </w:pPr>
            <w:r>
              <w:t xml:space="preserve">–</w:t>
            </w:r>
          </w:p>
        </w:tc>
        <w:tc>
          <w:tcPr>
            <w:tcW w:w="1132" w:type="dxa"/>
          </w:tcPr>
          <w:p>
            <w:pPr>
              <w:pStyle w:val="IsiTabel"/>
              <w:keepNext/>
              <w:suppressAutoHyphens/>
              <w:jc w:val="right"/>
            </w:pPr>
            <w:r>
              <w:t xml:space="preserve">–</w:t>
            </w:r>
          </w:p>
        </w:tc>
        <w:tc>
          <w:tcPr>
            <w:tcW w:w="1428" w:type="dxa"/>
          </w:tcPr>
          <w:p>
            <w:pPr>
              <w:pStyle w:val="IsiTabel"/>
              <w:keepNext/>
              <w:suppressAutoHyphens/>
              <w:jc w:val="left"/>
            </w:pPr>
            <w:r>
              <w:t xml:space="preserve">Rp per kejadian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52" w:type="dxa"/>
          </w:tcPr>
          <w:p>
            <w:pPr>
              <w:pStyle w:val="IsiTabel"/>
              <w:keepNext/>
              <w:suppressAutoHyphens/>
              <w:jc w:val="left"/>
            </w:pPr>
            <w:r>
              <w:t xml:space="preserve">pembanding_rugi_ekonomi_apindo_aaui_jabodetabek_2007</w:t>
            </w:r>
          </w:p>
        </w:tc>
        <w:tc>
          <w:tcPr>
            <w:tcW w:w="1282" w:type="dxa"/>
          </w:tcPr>
          <w:p>
            <w:pPr>
              <w:pStyle w:val="IsiTabel"/>
              <w:keepNext/>
              <w:suppressAutoHyphens/>
              <w:jc w:val="right"/>
            </w:pPr>
            <w:r>
              <w:t xml:space="preserve">3,6 triliun</w:t>
            </w:r>
          </w:p>
        </w:tc>
        <w:tc>
          <w:tcPr>
            <w:tcW w:w="965" w:type="dxa"/>
          </w:tcPr>
          <w:p>
            <w:pPr>
              <w:pStyle w:val="IsiTabel"/>
              <w:keepNext/>
              <w:suppressAutoHyphens/>
              <w:jc w:val="right"/>
            </w:pPr>
            <w:r>
              <w:t xml:space="preserve">–</w:t>
            </w:r>
          </w:p>
        </w:tc>
        <w:tc>
          <w:tcPr>
            <w:tcW w:w="1132" w:type="dxa"/>
          </w:tcPr>
          <w:p>
            <w:pPr>
              <w:pStyle w:val="IsiTabel"/>
              <w:keepNext/>
              <w:suppressAutoHyphens/>
              <w:jc w:val="right"/>
            </w:pPr>
            <w:r>
              <w:t xml:space="preserve">–</w:t>
            </w:r>
          </w:p>
        </w:tc>
        <w:tc>
          <w:tcPr>
            <w:tcW w:w="1428" w:type="dxa"/>
          </w:tcPr>
          <w:p>
            <w:pPr>
              <w:pStyle w:val="IsiTabel"/>
              <w:keepNext/>
              <w:suppressAutoHyphens/>
              <w:jc w:val="left"/>
            </w:pPr>
            <w:r>
              <w:t xml:space="preserve">Rp per kejadian</w:t>
            </w:r>
          </w:p>
        </w:tc>
        <w:tc>
          <w:tcPr>
            <w:tcW w:w="1695"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2852" w:type="dxa"/>
          </w:tcPr>
          <w:p>
            <w:pPr>
              <w:pStyle w:val="IsiTabel"/>
              <w:keepNext/>
              <w:suppressAutoHyphens/>
              <w:jc w:val="left"/>
            </w:pPr>
            <w:bookmarkStart w:id="884" w:name="_Ekor100z"/>
            <w:bookmarkEnd w:id="884"/>
            <w:r>
              <w:t xml:space="preserve">pembanding_rugi_banjir_bandang_garut_2016</w:t>
            </w:r>
          </w:p>
        </w:tc>
        <w:tc>
          <w:tcPr>
            <w:tcW w:w="1282" w:type="dxa"/>
          </w:tcPr>
          <w:p>
            <w:pPr>
              <w:pStyle w:val="IsiTabel"/>
              <w:keepNext/>
              <w:suppressAutoHyphens/>
              <w:jc w:val="right"/>
            </w:pPr>
            <w:r>
              <w:t xml:space="preserve">396,5 miliar</w:t>
            </w:r>
          </w:p>
        </w:tc>
        <w:tc>
          <w:tcPr>
            <w:tcW w:w="965" w:type="dxa"/>
          </w:tcPr>
          <w:p>
            <w:pPr>
              <w:pStyle w:val="IsiTabel"/>
              <w:keepNext/>
              <w:suppressAutoHyphens/>
              <w:jc w:val="right"/>
            </w:pPr>
            <w:r>
              <w:t xml:space="preserve">44 miliar</w:t>
            </w:r>
          </w:p>
        </w:tc>
        <w:tc>
          <w:tcPr>
            <w:tcW w:w="1132" w:type="dxa"/>
          </w:tcPr>
          <w:p>
            <w:pPr>
              <w:pStyle w:val="IsiTabel"/>
              <w:keepNext/>
              <w:suppressAutoHyphens/>
              <w:jc w:val="right"/>
            </w:pPr>
            <w:r>
              <w:t xml:space="preserve">396,5 miliar</w:t>
            </w:r>
          </w:p>
        </w:tc>
        <w:tc>
          <w:tcPr>
            <w:tcW w:w="1428" w:type="dxa"/>
          </w:tcPr>
          <w:p>
            <w:pPr>
              <w:pStyle w:val="IsiTabel"/>
              <w:keepNext/>
              <w:suppressAutoHyphens/>
              <w:jc w:val="left"/>
            </w:pPr>
            <w:r>
              <w:t xml:space="preserve">Rp per kejadian</w:t>
            </w:r>
          </w:p>
        </w:tc>
        <w:tc>
          <w:tcPr>
            <w:tcW w:w="1695"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ONI NOAA CPC; InaRISK BNPB, KRB 2022–2026; platform Pantau Bencana, rasio korban</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Kejadian lintas kab/kota dibagi rata; korban model berupa pita belum diuji balik.</w:t>
      </w:r>
    </w:p>
    <w:p>
      <w:pPr>
        <w:pStyle w:val="Caption"/>
      </w:pPr>
      <w:bookmarkStart w:id="886" w:name="_Toc00279"/>
      <w:bookmarkStart w:id="885" w:name="_Ref0238"/>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885"/>
      <w:r>
        <w:rPr>
          <w:b/>
          <w:bCs/>
          <w:color w:val="051C2C"/>
        </w:rPr>
        <w:t xml:space="preserve"> </w:t>
      </w:r>
      <w:r>
        <w:t xml:space="preserve">Catatan DIBI dan keluaran mesin untuk musim hujan tercatat terberat tingkat nasional, 2025/2026</w:t>
      </w:r>
      <w:bookmarkEnd w:id="88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26"/>
        <w:gridCol w:w="1282"/>
        <w:gridCol w:w="965"/>
        <w:gridCol w:w="931"/>
        <w:gridCol w:w="955"/>
        <w:gridCol w:w="1695"/>
      </w:tblGrid>
      <w:tr>
        <w:trPr>
          <w:cantSplit/>
          <w:tblHeader/>
        </w:trPr>
        <w:tc>
          <w:tcPr>
            <w:tcW w:w="3526"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282" w:type="dxa"/>
            <w:tcBorders>
              <w:bottom w:val="single" w:sz="8" w:space="0" w:color="6B7280"/>
            </w:tcBorders>
            <w:vAlign w:val="bottom"/>
          </w:tcPr>
          <w:p>
            <w:pPr>
              <w:pStyle w:val="KepalaTabel"/>
              <w:suppressAutoHyphens/>
            </w:pPr>
            <w:r>
              <w:rPr>
                <w:b/>
                <w:bCs/>
                <w:color w:val="6B7280"/>
                <w:sz w:val="17"/>
                <w:szCs w:val="17"/>
              </w:rPr>
              <w:t xml:space="preserve">NILAI</w:t>
            </w:r>
          </w:p>
        </w:tc>
        <w:tc>
          <w:tcPr>
            <w:tcW w:w="965" w:type="dxa"/>
            <w:tcBorders>
              <w:bottom w:val="single" w:sz="8" w:space="0" w:color="6B7280"/>
            </w:tcBorders>
            <w:vAlign w:val="bottom"/>
          </w:tcPr>
          <w:p>
            <w:pPr>
              <w:pStyle w:val="KepalaTabel"/>
              <w:suppressAutoHyphens/>
            </w:pPr>
            <w:r>
              <w:rPr>
                <w:b/>
                <w:bCs/>
                <w:color w:val="6B7280"/>
                <w:sz w:val="17"/>
                <w:szCs w:val="17"/>
              </w:rPr>
              <w:t xml:space="preserve">RENDAH</w:t>
            </w:r>
          </w:p>
        </w:tc>
        <w:tc>
          <w:tcPr>
            <w:tcW w:w="931" w:type="dxa"/>
            <w:tcBorders>
              <w:bottom w:val="single" w:sz="8" w:space="0" w:color="6B7280"/>
            </w:tcBorders>
            <w:vAlign w:val="bottom"/>
          </w:tcPr>
          <w:p>
            <w:pPr>
              <w:pStyle w:val="KepalaTabel"/>
              <w:suppressAutoHyphens/>
            </w:pPr>
            <w:r>
              <w:rPr>
                <w:b/>
                <w:bCs/>
                <w:color w:val="6B7280"/>
                <w:sz w:val="17"/>
                <w:szCs w:val="17"/>
              </w:rPr>
              <w:t xml:space="preserve">TINGGI</w:t>
            </w:r>
          </w:p>
        </w:tc>
        <w:tc>
          <w:tcPr>
            <w:tcW w:w="955"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526" w:type="dxa"/>
          </w:tcPr>
          <w:p>
            <w:pPr>
              <w:pStyle w:val="IsiTabel"/>
              <w:suppressAutoHyphens/>
              <w:jc w:val="left"/>
            </w:pPr>
            <w:r>
              <w:t xml:space="preserve">kejadian_banjir</w:t>
            </w:r>
          </w:p>
        </w:tc>
        <w:tc>
          <w:tcPr>
            <w:tcW w:w="1282" w:type="dxa"/>
          </w:tcPr>
          <w:p>
            <w:pPr>
              <w:pStyle w:val="IsiTabel"/>
              <w:suppressAutoHyphens/>
              <w:jc w:val="right"/>
            </w:pPr>
            <w:r>
              <w:t xml:space="preserve">1.087</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meninggal_hilang_tercatat_banjir</w:t>
            </w:r>
          </w:p>
        </w:tc>
        <w:tc>
          <w:tcPr>
            <w:tcW w:w="1282" w:type="dxa"/>
          </w:tcPr>
          <w:p>
            <w:pPr>
              <w:pStyle w:val="IsiTabel"/>
              <w:suppressAutoHyphens/>
              <w:jc w:val="right"/>
            </w:pPr>
            <w:r>
              <w:t xml:space="preserve">1.421</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korban_jiwa_banjir</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229,3</w:t>
            </w:r>
          </w:p>
        </w:tc>
        <w:tc>
          <w:tcPr>
            <w:tcW w:w="931" w:type="dxa"/>
          </w:tcPr>
          <w:p>
            <w:pPr>
              <w:pStyle w:val="IsiTabel"/>
              <w:suppressAutoHyphens/>
              <w:jc w:val="right"/>
            </w:pPr>
            <w:r>
              <w:t xml:space="preserve">580,1</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kejadian_banjir_bandang</w:t>
            </w:r>
          </w:p>
        </w:tc>
        <w:tc>
          <w:tcPr>
            <w:tcW w:w="1282" w:type="dxa"/>
          </w:tcPr>
          <w:p>
            <w:pPr>
              <w:pStyle w:val="IsiTabel"/>
              <w:suppressAutoHyphens/>
              <w:jc w:val="right"/>
            </w:pPr>
            <w:r>
              <w:t xml:space="preserve">19</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meninggal_hilang_tercatat_banjir_bandang</w:t>
            </w:r>
          </w:p>
        </w:tc>
        <w:tc>
          <w:tcPr>
            <w:tcW w:w="1282" w:type="dxa"/>
          </w:tcPr>
          <w:p>
            <w:pPr>
              <w:pStyle w:val="IsiTabel"/>
              <w:suppressAutoHyphens/>
              <w:jc w:val="right"/>
            </w:pPr>
            <w:r>
              <w:t xml:space="preserve">26</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korban_jiwa_banjir_bandang</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5,9</w:t>
            </w:r>
          </w:p>
        </w:tc>
        <w:tc>
          <w:tcPr>
            <w:tcW w:w="931" w:type="dxa"/>
          </w:tcPr>
          <w:p>
            <w:pPr>
              <w:pStyle w:val="IsiTabel"/>
              <w:suppressAutoHyphens/>
              <w:jc w:val="right"/>
            </w:pPr>
            <w:r>
              <w:t xml:space="preserve">7,0</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kejadian_longsor</w:t>
            </w:r>
          </w:p>
        </w:tc>
        <w:tc>
          <w:tcPr>
            <w:tcW w:w="1282" w:type="dxa"/>
          </w:tcPr>
          <w:p>
            <w:pPr>
              <w:pStyle w:val="IsiTabel"/>
              <w:suppressAutoHyphens/>
              <w:jc w:val="right"/>
            </w:pPr>
            <w:r>
              <w:t xml:space="preserve">405</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meninggal_hilang_tercatat_longsor</w:t>
            </w:r>
          </w:p>
        </w:tc>
        <w:tc>
          <w:tcPr>
            <w:tcW w:w="1282" w:type="dxa"/>
          </w:tcPr>
          <w:p>
            <w:pPr>
              <w:pStyle w:val="IsiTabel"/>
              <w:suppressAutoHyphens/>
              <w:jc w:val="right"/>
            </w:pPr>
            <w:r>
              <w:t xml:space="preserve">202</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korban_jiwa_longsor</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117,9</w:t>
            </w:r>
          </w:p>
        </w:tc>
        <w:tc>
          <w:tcPr>
            <w:tcW w:w="931" w:type="dxa"/>
          </w:tcPr>
          <w:p>
            <w:pPr>
              <w:pStyle w:val="IsiTabel"/>
              <w:suppressAutoHyphens/>
              <w:jc w:val="right"/>
            </w:pPr>
            <w:r>
              <w:t xml:space="preserve">257,4</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kejadian_banjir_longsor</w:t>
            </w:r>
          </w:p>
        </w:tc>
        <w:tc>
          <w:tcPr>
            <w:tcW w:w="1282" w:type="dxa"/>
          </w:tcPr>
          <w:p>
            <w:pPr>
              <w:pStyle w:val="IsiTabel"/>
              <w:suppressAutoHyphens/>
              <w:jc w:val="right"/>
            </w:pPr>
            <w:r>
              <w:t xml:space="preserve">23</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meninggal_hilang_tercatat_banjir_longsor</w:t>
            </w:r>
          </w:p>
        </w:tc>
        <w:tc>
          <w:tcPr>
            <w:tcW w:w="1282" w:type="dxa"/>
          </w:tcPr>
          <w:p>
            <w:pPr>
              <w:pStyle w:val="IsiTabel"/>
              <w:suppressAutoHyphens/>
              <w:jc w:val="right"/>
            </w:pPr>
            <w:r>
              <w:t xml:space="preserve">3</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korban_jiwa_banjir_longsor</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6,8</w:t>
            </w:r>
          </w:p>
        </w:tc>
        <w:tc>
          <w:tcPr>
            <w:tcW w:w="931" w:type="dxa"/>
          </w:tcPr>
          <w:p>
            <w:pPr>
              <w:pStyle w:val="IsiTabel"/>
              <w:suppressAutoHyphens/>
              <w:jc w:val="right"/>
            </w:pPr>
            <w:r>
              <w:t xml:space="preserve">7,0</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kejadian_cuaca_ekstrem</w:t>
            </w:r>
          </w:p>
        </w:tc>
        <w:tc>
          <w:tcPr>
            <w:tcW w:w="1282" w:type="dxa"/>
          </w:tcPr>
          <w:p>
            <w:pPr>
              <w:pStyle w:val="IsiTabel"/>
              <w:suppressAutoHyphens/>
              <w:jc w:val="right"/>
            </w:pPr>
            <w:r>
              <w:t xml:space="preserve">1.064,5</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meninggal_hilang_tercatat_cuaca_ekstrem</w:t>
            </w:r>
          </w:p>
        </w:tc>
        <w:tc>
          <w:tcPr>
            <w:tcW w:w="1282" w:type="dxa"/>
          </w:tcPr>
          <w:p>
            <w:pPr>
              <w:pStyle w:val="IsiTabel"/>
              <w:suppressAutoHyphens/>
              <w:jc w:val="right"/>
            </w:pPr>
            <w:r>
              <w:t xml:space="preserve">40</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korban_jiwa_cuaca_ekstrem</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35,9</w:t>
            </w:r>
          </w:p>
        </w:tc>
        <w:tc>
          <w:tcPr>
            <w:tcW w:w="931" w:type="dxa"/>
          </w:tcPr>
          <w:p>
            <w:pPr>
              <w:pStyle w:val="IsiTabel"/>
              <w:suppressAutoHyphens/>
              <w:jc w:val="right"/>
            </w:pPr>
            <w:r>
              <w:t xml:space="preserve">102,8</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kejadian</w:t>
            </w:r>
          </w:p>
        </w:tc>
        <w:tc>
          <w:tcPr>
            <w:tcW w:w="1282" w:type="dxa"/>
          </w:tcPr>
          <w:p>
            <w:pPr>
              <w:pStyle w:val="IsiTabel"/>
              <w:suppressAutoHyphens/>
              <w:jc w:val="right"/>
            </w:pPr>
            <w:r>
              <w:t xml:space="preserve">2.598,5</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meninggal_tercatat</w:t>
            </w:r>
          </w:p>
        </w:tc>
        <w:tc>
          <w:tcPr>
            <w:tcW w:w="1282" w:type="dxa"/>
          </w:tcPr>
          <w:p>
            <w:pPr>
              <w:pStyle w:val="IsiTabel"/>
              <w:suppressAutoHyphens/>
              <w:jc w:val="right"/>
            </w:pPr>
            <w:r>
              <w:t xml:space="preserve">1.506</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hilang_tercatat</w:t>
            </w:r>
          </w:p>
        </w:tc>
        <w:tc>
          <w:tcPr>
            <w:tcW w:w="1282" w:type="dxa"/>
          </w:tcPr>
          <w:p>
            <w:pPr>
              <w:pStyle w:val="IsiTabel"/>
              <w:suppressAutoHyphens/>
              <w:jc w:val="right"/>
            </w:pPr>
            <w:r>
              <w:t xml:space="preserve">186</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korban_jiwa</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395,8</w:t>
            </w:r>
          </w:p>
        </w:tc>
        <w:tc>
          <w:tcPr>
            <w:tcW w:w="931" w:type="dxa"/>
          </w:tcPr>
          <w:p>
            <w:pPr>
              <w:pStyle w:val="IsiTabel"/>
              <w:suppressAutoHyphens/>
              <w:jc w:val="right"/>
            </w:pPr>
            <w:r>
              <w:t xml:space="preserve">954,3</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terdampak_menderita</w:t>
            </w:r>
          </w:p>
        </w:tc>
        <w:tc>
          <w:tcPr>
            <w:tcW w:w="1282" w:type="dxa"/>
          </w:tcPr>
          <w:p>
            <w:pPr>
              <w:pStyle w:val="IsiTabel"/>
              <w:suppressAutoHyphens/>
              <w:jc w:val="right"/>
            </w:pPr>
            <w:r>
              <w:t xml:space="preserve">8,2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mengungsi</w:t>
            </w:r>
          </w:p>
        </w:tc>
        <w:tc>
          <w:tcPr>
            <w:tcW w:w="1282" w:type="dxa"/>
          </w:tcPr>
          <w:p>
            <w:pPr>
              <w:pStyle w:val="IsiTabel"/>
              <w:suppressAutoHyphens/>
              <w:jc w:val="right"/>
            </w:pPr>
            <w:r>
              <w:t xml:space="preserve">1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hari_mengungsi</w:t>
            </w:r>
          </w:p>
        </w:tc>
        <w:tc>
          <w:tcPr>
            <w:tcW w:w="1282" w:type="dxa"/>
          </w:tcPr>
          <w:p>
            <w:pPr>
              <w:pStyle w:val="IsiTabel"/>
              <w:suppressAutoHyphens/>
              <w:jc w:val="right"/>
            </w:pPr>
            <w:r>
              <w:t xml:space="preserve">7,3 juta</w:t>
            </w:r>
          </w:p>
        </w:tc>
        <w:tc>
          <w:tcPr>
            <w:tcW w:w="965" w:type="dxa"/>
          </w:tcPr>
          <w:p>
            <w:pPr>
              <w:pStyle w:val="IsiTabel"/>
              <w:suppressAutoHyphens/>
              <w:jc w:val="right"/>
            </w:pPr>
            <w:r>
              <w:t xml:space="preserve">3,1 juta</w:t>
            </w:r>
          </w:p>
        </w:tc>
        <w:tc>
          <w:tcPr>
            <w:tcW w:w="931" w:type="dxa"/>
          </w:tcPr>
          <w:p>
            <w:pPr>
              <w:pStyle w:val="IsiTabel"/>
              <w:suppressAutoHyphens/>
              <w:jc w:val="right"/>
            </w:pPr>
            <w:r>
              <w:t xml:space="preserve">31,3 juta</w:t>
            </w:r>
          </w:p>
        </w:tc>
        <w:tc>
          <w:tcPr>
            <w:tcW w:w="955" w:type="dxa"/>
          </w:tcPr>
          <w:p>
            <w:pPr>
              <w:pStyle w:val="IsiTabel"/>
              <w:suppressAutoHyphens/>
              <w:jc w:val="left"/>
            </w:pPr>
            <w:r>
              <w:t xml:space="preserve">jiwa-hari</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526" w:type="dxa"/>
          </w:tcPr>
          <w:p>
            <w:pPr>
              <w:pStyle w:val="IsiTabel"/>
              <w:suppressAutoHyphens/>
              <w:jc w:val="left"/>
            </w:pPr>
            <w:r>
              <w:t xml:space="preserve">rumah_rusak_berat</w:t>
            </w:r>
          </w:p>
        </w:tc>
        <w:tc>
          <w:tcPr>
            <w:tcW w:w="1282" w:type="dxa"/>
          </w:tcPr>
          <w:p>
            <w:pPr>
              <w:pStyle w:val="IsiTabel"/>
              <w:suppressAutoHyphens/>
              <w:jc w:val="right"/>
            </w:pPr>
            <w:r>
              <w:t xml:space="preserve">65.929</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rumah_rusak_sedang</w:t>
            </w:r>
          </w:p>
        </w:tc>
        <w:tc>
          <w:tcPr>
            <w:tcW w:w="1282" w:type="dxa"/>
          </w:tcPr>
          <w:p>
            <w:pPr>
              <w:pStyle w:val="IsiTabel"/>
              <w:suppressAutoHyphens/>
              <w:jc w:val="right"/>
            </w:pPr>
            <w:r>
              <w:t xml:space="preserve">57.141</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rumah_rusak_ringan</w:t>
            </w:r>
          </w:p>
        </w:tc>
        <w:tc>
          <w:tcPr>
            <w:tcW w:w="1282" w:type="dxa"/>
          </w:tcPr>
          <w:p>
            <w:pPr>
              <w:pStyle w:val="IsiTabel"/>
              <w:suppressAutoHyphens/>
              <w:jc w:val="right"/>
            </w:pPr>
            <w:r>
              <w:t xml:space="preserve">131.235</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materiil_batas_bawah</w:t>
            </w:r>
          </w:p>
        </w:tc>
        <w:tc>
          <w:tcPr>
            <w:tcW w:w="1282" w:type="dxa"/>
          </w:tcPr>
          <w:p>
            <w:pPr>
              <w:pStyle w:val="IsiTabel"/>
              <w:suppressAutoHyphens/>
              <w:jc w:val="right"/>
            </w:pPr>
            <w:r>
              <w:t xml:space="preserve">–</w:t>
            </w:r>
          </w:p>
        </w:tc>
        <w:tc>
          <w:tcPr>
            <w:tcW w:w="965" w:type="dxa"/>
          </w:tcPr>
          <w:p>
            <w:pPr>
              <w:pStyle w:val="IsiTabel"/>
              <w:suppressAutoHyphens/>
              <w:jc w:val="right"/>
            </w:pPr>
            <w:r>
              <w:t xml:space="preserve">6 triliun</w:t>
            </w:r>
          </w:p>
        </w:tc>
        <w:tc>
          <w:tcPr>
            <w:tcW w:w="931" w:type="dxa"/>
          </w:tcPr>
          <w:p>
            <w:pPr>
              <w:pStyle w:val="IsiTabel"/>
              <w:suppressAutoHyphens/>
              <w:jc w:val="right"/>
            </w:pPr>
            <w:r>
              <w:t xml:space="preserve">7,6 triliun</w:t>
            </w:r>
          </w:p>
        </w:tc>
        <w:tc>
          <w:tcPr>
            <w:tcW w:w="955" w:type="dxa"/>
          </w:tcPr>
          <w:p>
            <w:pPr>
              <w:pStyle w:val="IsiTabel"/>
              <w:suppressAutoHyphens/>
              <w:jc w:val="left"/>
            </w:pPr>
            <w:r>
              <w:t xml:space="preserve">Rp</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526" w:type="dxa"/>
          </w:tcPr>
          <w:p>
            <w:pPr>
              <w:pStyle w:val="IsiTabel"/>
              <w:suppressAutoHyphens/>
              <w:jc w:val="left"/>
            </w:pPr>
            <w:r>
              <w:t xml:space="preserve">luas_bahaya_tinggi_banjir</w:t>
            </w:r>
          </w:p>
        </w:tc>
        <w:tc>
          <w:tcPr>
            <w:tcW w:w="1282" w:type="dxa"/>
          </w:tcPr>
          <w:p>
            <w:pPr>
              <w:pStyle w:val="IsiTabel"/>
              <w:suppressAutoHyphens/>
              <w:jc w:val="right"/>
            </w:pPr>
            <w:r>
              <w:t xml:space="preserve">25,7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luas_bahaya_sedang_banjir</w:t>
            </w:r>
          </w:p>
        </w:tc>
        <w:tc>
          <w:tcPr>
            <w:tcW w:w="1282" w:type="dxa"/>
          </w:tcPr>
          <w:p>
            <w:pPr>
              <w:pStyle w:val="IsiTabel"/>
              <w:suppressAutoHyphens/>
              <w:jc w:val="right"/>
            </w:pPr>
            <w:r>
              <w:t xml:space="preserve">23,8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terpapar_krb_banjir</w:t>
            </w:r>
          </w:p>
        </w:tc>
        <w:tc>
          <w:tcPr>
            <w:tcW w:w="1282" w:type="dxa"/>
          </w:tcPr>
          <w:p>
            <w:pPr>
              <w:pStyle w:val="IsiTabel"/>
              <w:suppressAutoHyphens/>
              <w:jc w:val="right"/>
            </w:pPr>
            <w:r>
              <w:t xml:space="preserve">113,8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kerugian_potensi_krb_banjir</w:t>
            </w:r>
          </w:p>
        </w:tc>
        <w:tc>
          <w:tcPr>
            <w:tcW w:w="1282" w:type="dxa"/>
          </w:tcPr>
          <w:p>
            <w:pPr>
              <w:pStyle w:val="IsiTabel"/>
              <w:suppressAutoHyphens/>
              <w:jc w:val="right"/>
            </w:pPr>
            <w:r>
              <w:t xml:space="preserve">1.006,6 triliun</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jiwa_kec_bahaya_tinggi_banjir</w:t>
            </w:r>
          </w:p>
        </w:tc>
        <w:tc>
          <w:tcPr>
            <w:tcW w:w="1282" w:type="dxa"/>
          </w:tcPr>
          <w:p>
            <w:pPr>
              <w:pStyle w:val="IsiTabel"/>
              <w:suppressAutoHyphens/>
              <w:jc w:val="right"/>
            </w:pPr>
            <w:r>
              <w:t xml:space="preserve">142,3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luas_bahaya_tinggi_banjir_bandang</w:t>
            </w:r>
          </w:p>
        </w:tc>
        <w:tc>
          <w:tcPr>
            <w:tcW w:w="1282" w:type="dxa"/>
          </w:tcPr>
          <w:p>
            <w:pPr>
              <w:pStyle w:val="IsiTabel"/>
              <w:suppressAutoHyphens/>
              <w:jc w:val="right"/>
            </w:pPr>
            <w:r>
              <w:t xml:space="preserve">2,9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luas_bahaya_sedang_banjir_bandang</w:t>
            </w:r>
          </w:p>
        </w:tc>
        <w:tc>
          <w:tcPr>
            <w:tcW w:w="1282" w:type="dxa"/>
          </w:tcPr>
          <w:p>
            <w:pPr>
              <w:pStyle w:val="IsiTabel"/>
              <w:suppressAutoHyphens/>
              <w:jc w:val="right"/>
            </w:pPr>
            <w:r>
              <w:t xml:space="preserve">1,3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terpapar_krb_banjir_bandang</w:t>
            </w:r>
          </w:p>
        </w:tc>
        <w:tc>
          <w:tcPr>
            <w:tcW w:w="1282" w:type="dxa"/>
          </w:tcPr>
          <w:p>
            <w:pPr>
              <w:pStyle w:val="IsiTabel"/>
              <w:suppressAutoHyphens/>
              <w:jc w:val="right"/>
            </w:pPr>
            <w:r>
              <w:t xml:space="preserve">15,4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kerugian_potensi_krb_banjir_bandang</w:t>
            </w:r>
          </w:p>
        </w:tc>
        <w:tc>
          <w:tcPr>
            <w:tcW w:w="1282" w:type="dxa"/>
          </w:tcPr>
          <w:p>
            <w:pPr>
              <w:pStyle w:val="IsiTabel"/>
              <w:suppressAutoHyphens/>
              <w:jc w:val="right"/>
            </w:pPr>
            <w:r>
              <w:t xml:space="preserve">147,6 triliun</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jiwa_kec_bahaya_tinggi_banjir_bandang</w:t>
            </w:r>
          </w:p>
        </w:tc>
        <w:tc>
          <w:tcPr>
            <w:tcW w:w="1282" w:type="dxa"/>
          </w:tcPr>
          <w:p>
            <w:pPr>
              <w:pStyle w:val="IsiTabel"/>
              <w:suppressAutoHyphens/>
              <w:jc w:val="right"/>
            </w:pPr>
            <w:r>
              <w:t xml:space="preserve">31,6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suppressAutoHyphens/>
              <w:jc w:val="left"/>
            </w:pPr>
            <w:r>
              <w:t xml:space="preserve">luas_bahaya_tinggi_longsor</w:t>
            </w:r>
          </w:p>
        </w:tc>
        <w:tc>
          <w:tcPr>
            <w:tcW w:w="1282" w:type="dxa"/>
          </w:tcPr>
          <w:p>
            <w:pPr>
              <w:pStyle w:val="IsiTabel"/>
              <w:suppressAutoHyphens/>
              <w:jc w:val="right"/>
            </w:pPr>
            <w:r>
              <w:t xml:space="preserve">50,9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luas_bahaya_sedang_longsor</w:t>
            </w:r>
          </w:p>
        </w:tc>
        <w:tc>
          <w:tcPr>
            <w:tcW w:w="1282" w:type="dxa"/>
          </w:tcPr>
          <w:p>
            <w:pPr>
              <w:pStyle w:val="IsiTabel"/>
              <w:suppressAutoHyphens/>
              <w:jc w:val="right"/>
            </w:pPr>
            <w:r>
              <w:t xml:space="preserve">28,1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terpapar_krb_longsor</w:t>
            </w:r>
          </w:p>
        </w:tc>
        <w:tc>
          <w:tcPr>
            <w:tcW w:w="1282" w:type="dxa"/>
          </w:tcPr>
          <w:p>
            <w:pPr>
              <w:pStyle w:val="IsiTabel"/>
              <w:suppressAutoHyphens/>
              <w:jc w:val="right"/>
            </w:pPr>
            <w:r>
              <w:t xml:space="preserve">25,2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kerugian_potensi_krb_longsor</w:t>
            </w:r>
          </w:p>
        </w:tc>
        <w:tc>
          <w:tcPr>
            <w:tcW w:w="1282" w:type="dxa"/>
          </w:tcPr>
          <w:p>
            <w:pPr>
              <w:pStyle w:val="IsiTabel"/>
              <w:suppressAutoHyphens/>
              <w:jc w:val="right"/>
            </w:pPr>
            <w:r>
              <w:t xml:space="preserve">695,2 triliun</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26" w:type="dxa"/>
          </w:tcPr>
          <w:p>
            <w:pPr>
              <w:pStyle w:val="IsiTabel"/>
              <w:suppressAutoHyphens/>
              <w:jc w:val="left"/>
            </w:pPr>
            <w:r>
              <w:t xml:space="preserve">jiwa_kec_bahaya_tinggi_longsor</w:t>
            </w:r>
          </w:p>
        </w:tc>
        <w:tc>
          <w:tcPr>
            <w:tcW w:w="1282" w:type="dxa"/>
          </w:tcPr>
          <w:p>
            <w:pPr>
              <w:pStyle w:val="IsiTabel"/>
              <w:suppressAutoHyphens/>
              <w:jc w:val="right"/>
            </w:pPr>
            <w:r>
              <w:t xml:space="preserve">92,2 juta</w:t>
            </w:r>
          </w:p>
        </w:tc>
        <w:tc>
          <w:tcPr>
            <w:tcW w:w="965" w:type="dxa"/>
          </w:tcPr>
          <w:p>
            <w:pPr>
              <w:pStyle w:val="IsiTabel"/>
              <w:suppressAutoHyphens/>
              <w:jc w:val="right"/>
            </w:pPr>
            <w:r>
              <w:t xml:space="preserve">–</w:t>
            </w:r>
          </w:p>
        </w:tc>
        <w:tc>
          <w:tcPr>
            <w:tcW w:w="9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26" w:type="dxa"/>
          </w:tcPr>
          <w:p>
            <w:pPr>
              <w:pStyle w:val="IsiTabel"/>
              <w:keepNext/>
              <w:suppressAutoHyphens/>
              <w:jc w:val="left"/>
            </w:pPr>
            <w:bookmarkStart w:id="887" w:name="_Ekor101a"/>
            <w:bookmarkEnd w:id="887"/>
            <w:r>
              <w:t xml:space="preserve">luas_bahaya_tinggi_cuaca_ekstrem</w:t>
            </w:r>
          </w:p>
        </w:tc>
        <w:tc>
          <w:tcPr>
            <w:tcW w:w="1282" w:type="dxa"/>
          </w:tcPr>
          <w:p>
            <w:pPr>
              <w:pStyle w:val="IsiTabel"/>
              <w:keepNext/>
              <w:suppressAutoHyphens/>
              <w:jc w:val="right"/>
            </w:pPr>
            <w:r>
              <w:t xml:space="preserve">32,4 juta</w:t>
            </w:r>
          </w:p>
        </w:tc>
        <w:tc>
          <w:tcPr>
            <w:tcW w:w="965" w:type="dxa"/>
          </w:tcPr>
          <w:p>
            <w:pPr>
              <w:pStyle w:val="IsiTabel"/>
              <w:keepNext/>
              <w:suppressAutoHyphens/>
              <w:jc w:val="right"/>
            </w:pPr>
            <w:r>
              <w:t xml:space="preserve">–</w:t>
            </w:r>
          </w:p>
        </w:tc>
        <w:tc>
          <w:tcPr>
            <w:tcW w:w="931" w:type="dxa"/>
          </w:tcPr>
          <w:p>
            <w:pPr>
              <w:pStyle w:val="IsiTabel"/>
              <w:keepNext/>
              <w:suppressAutoHyphens/>
              <w:jc w:val="right"/>
            </w:pPr>
            <w:r>
              <w:t xml:space="preserve">–</w:t>
            </w:r>
          </w:p>
        </w:tc>
        <w:tc>
          <w:tcPr>
            <w:tcW w:w="955" w:type="dxa"/>
          </w:tcPr>
          <w:p>
            <w:pPr>
              <w:pStyle w:val="IsiTabel"/>
              <w:keepNext/>
              <w:suppressAutoHyphens/>
              <w:jc w:val="left"/>
            </w:pPr>
            <w:r>
              <w:t xml:space="preserve">ha</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26" w:type="dxa"/>
          </w:tcPr>
          <w:p>
            <w:pPr>
              <w:pStyle w:val="IsiTabel"/>
              <w:keepNext/>
              <w:suppressAutoHyphens/>
              <w:jc w:val="left"/>
            </w:pPr>
            <w:r>
              <w:t xml:space="preserve">luas_bahaya_sedang_cuaca_ekstrem</w:t>
            </w:r>
          </w:p>
        </w:tc>
        <w:tc>
          <w:tcPr>
            <w:tcW w:w="1282" w:type="dxa"/>
          </w:tcPr>
          <w:p>
            <w:pPr>
              <w:pStyle w:val="IsiTabel"/>
              <w:keepNext/>
              <w:suppressAutoHyphens/>
              <w:jc w:val="right"/>
            </w:pPr>
            <w:r>
              <w:t xml:space="preserve">36,1 juta</w:t>
            </w:r>
          </w:p>
        </w:tc>
        <w:tc>
          <w:tcPr>
            <w:tcW w:w="965" w:type="dxa"/>
          </w:tcPr>
          <w:p>
            <w:pPr>
              <w:pStyle w:val="IsiTabel"/>
              <w:keepNext/>
              <w:suppressAutoHyphens/>
              <w:jc w:val="right"/>
            </w:pPr>
            <w:r>
              <w:t xml:space="preserve">–</w:t>
            </w:r>
          </w:p>
        </w:tc>
        <w:tc>
          <w:tcPr>
            <w:tcW w:w="931" w:type="dxa"/>
          </w:tcPr>
          <w:p>
            <w:pPr>
              <w:pStyle w:val="IsiTabel"/>
              <w:keepNext/>
              <w:suppressAutoHyphens/>
              <w:jc w:val="right"/>
            </w:pPr>
            <w:r>
              <w:t xml:space="preserve">–</w:t>
            </w:r>
          </w:p>
        </w:tc>
        <w:tc>
          <w:tcPr>
            <w:tcW w:w="955" w:type="dxa"/>
          </w:tcPr>
          <w:p>
            <w:pPr>
              <w:pStyle w:val="IsiTabel"/>
              <w:keepNext/>
              <w:suppressAutoHyphens/>
              <w:jc w:val="left"/>
            </w:pPr>
            <w:r>
              <w:t xml:space="preserve">ha</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26" w:type="dxa"/>
          </w:tcPr>
          <w:p>
            <w:pPr>
              <w:pStyle w:val="IsiTabel"/>
              <w:keepNext/>
              <w:suppressAutoHyphens/>
              <w:jc w:val="left"/>
            </w:pPr>
            <w:r>
              <w:t xml:space="preserve">terpapar_krb_cuaca_ekstrem</w:t>
            </w:r>
          </w:p>
        </w:tc>
        <w:tc>
          <w:tcPr>
            <w:tcW w:w="1282" w:type="dxa"/>
          </w:tcPr>
          <w:p>
            <w:pPr>
              <w:pStyle w:val="IsiTabel"/>
              <w:keepNext/>
              <w:suppressAutoHyphens/>
              <w:jc w:val="right"/>
            </w:pPr>
            <w:r>
              <w:t xml:space="preserve">255,3 juta</w:t>
            </w:r>
          </w:p>
        </w:tc>
        <w:tc>
          <w:tcPr>
            <w:tcW w:w="965" w:type="dxa"/>
          </w:tcPr>
          <w:p>
            <w:pPr>
              <w:pStyle w:val="IsiTabel"/>
              <w:keepNext/>
              <w:suppressAutoHyphens/>
              <w:jc w:val="right"/>
            </w:pPr>
            <w:r>
              <w:t xml:space="preserve">–</w:t>
            </w:r>
          </w:p>
        </w:tc>
        <w:tc>
          <w:tcPr>
            <w:tcW w:w="931" w:type="dxa"/>
          </w:tcPr>
          <w:p>
            <w:pPr>
              <w:pStyle w:val="IsiTabel"/>
              <w:keepNext/>
              <w:suppressAutoHyphens/>
              <w:jc w:val="right"/>
            </w:pPr>
            <w:r>
              <w:t xml:space="preserve">–</w:t>
            </w:r>
          </w:p>
        </w:tc>
        <w:tc>
          <w:tcPr>
            <w:tcW w:w="955" w:type="dxa"/>
          </w:tcPr>
          <w:p>
            <w:pPr>
              <w:pStyle w:val="IsiTabel"/>
              <w:keepNext/>
              <w:suppressAutoHyphens/>
              <w:jc w:val="left"/>
            </w:pPr>
            <w:r>
              <w:t xml:space="preserve">jiwa</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26" w:type="dxa"/>
          </w:tcPr>
          <w:p>
            <w:pPr>
              <w:pStyle w:val="IsiTabel"/>
              <w:keepNext/>
              <w:suppressAutoHyphens/>
              <w:jc w:val="left"/>
            </w:pPr>
            <w:bookmarkStart w:id="888" w:name="_Ekor101z"/>
            <w:bookmarkEnd w:id="888"/>
            <w:r>
              <w:t xml:space="preserve">kerugian_potensi_krb_cuaca_ekstrem</w:t>
            </w:r>
          </w:p>
        </w:tc>
        <w:tc>
          <w:tcPr>
            <w:tcW w:w="1282" w:type="dxa"/>
          </w:tcPr>
          <w:p>
            <w:pPr>
              <w:pStyle w:val="IsiTabel"/>
              <w:keepNext/>
              <w:suppressAutoHyphens/>
              <w:jc w:val="right"/>
            </w:pPr>
            <w:r>
              <w:t xml:space="preserve">2.743,8 triliun</w:t>
            </w:r>
          </w:p>
        </w:tc>
        <w:tc>
          <w:tcPr>
            <w:tcW w:w="965" w:type="dxa"/>
          </w:tcPr>
          <w:p>
            <w:pPr>
              <w:pStyle w:val="IsiTabel"/>
              <w:keepNext/>
              <w:suppressAutoHyphens/>
              <w:jc w:val="right"/>
            </w:pPr>
            <w:r>
              <w:t xml:space="preserve">–</w:t>
            </w:r>
          </w:p>
        </w:tc>
        <w:tc>
          <w:tcPr>
            <w:tcW w:w="931" w:type="dxa"/>
          </w:tcPr>
          <w:p>
            <w:pPr>
              <w:pStyle w:val="IsiTabel"/>
              <w:keepNext/>
              <w:suppressAutoHyphens/>
              <w:jc w:val="right"/>
            </w:pPr>
            <w:r>
              <w:t xml:space="preserve">–</w:t>
            </w:r>
          </w:p>
        </w:tc>
        <w:tc>
          <w:tcPr>
            <w:tcW w:w="955" w:type="dxa"/>
          </w:tcPr>
          <w:p>
            <w:pPr>
              <w:pStyle w:val="IsiTabel"/>
              <w:keepNext/>
              <w:suppressAutoHyphens/>
              <w:jc w:val="left"/>
            </w:pPr>
            <w:r>
              <w:t xml:space="preserve">Rp</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InaRISK BNPB, KRB 2022–2026; platform Pantau Bencana, rasio korban</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Model paket menyisihkan tahun terburuk tercatat, sehingga pita berada di bawah lantai.</w:t>
      </w:r>
    </w:p>
    <w:p>
      <w:pPr>
        <w:pStyle w:val="Caption"/>
      </w:pPr>
      <w:bookmarkStart w:id="890" w:name="_Toc00280"/>
      <w:bookmarkStart w:id="889" w:name="_Ref0236"/>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889"/>
      <w:r>
        <w:rPr>
          <w:b/>
          <w:bCs/>
          <w:color w:val="051C2C"/>
        </w:rPr>
        <w:t xml:space="preserve"> </w:t>
      </w:r>
      <w:r>
        <w:t xml:space="preserve">Catatan DIBI musim hujan lantai nasional 2025/2026</w:t>
      </w:r>
      <w:bookmarkEnd w:id="89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55"/>
        <w:gridCol w:w="849"/>
        <w:gridCol w:w="1159"/>
        <w:gridCol w:w="1023"/>
        <w:gridCol w:w="1146"/>
        <w:gridCol w:w="1522"/>
      </w:tblGrid>
      <w:tr>
        <w:trPr>
          <w:cantSplit/>
          <w:tblHeader/>
        </w:trPr>
        <w:tc>
          <w:tcPr>
            <w:tcW w:w="3655" w:type="dxa"/>
            <w:tcBorders>
              <w:bottom w:val="single" w:sz="8" w:space="0" w:color="6B7280"/>
            </w:tcBorders>
            <w:vAlign w:val="bottom"/>
          </w:tcPr>
          <w:p>
            <w:pPr>
              <w:pStyle w:val="KepalaTabel"/>
              <w:keepNext/>
              <w:suppressAutoHyphens/>
            </w:pPr>
            <w:r>
              <w:rPr>
                <w:b/>
                <w:bCs/>
                <w:color w:val="6B7280"/>
                <w:sz w:val="17"/>
                <w:szCs w:val="17"/>
              </w:rPr>
              <w:t xml:space="preserve">METRIK (NAMA DI PAKET DATA)</w:t>
            </w:r>
          </w:p>
        </w:tc>
        <w:tc>
          <w:tcPr>
            <w:tcW w:w="849" w:type="dxa"/>
            <w:tcBorders>
              <w:bottom w:val="single" w:sz="8" w:space="0" w:color="6B7280"/>
            </w:tcBorders>
            <w:vAlign w:val="bottom"/>
          </w:tcPr>
          <w:p>
            <w:pPr>
              <w:pStyle w:val="KepalaTabel"/>
              <w:keepNext/>
              <w:suppressAutoHyphens/>
            </w:pPr>
            <w:r>
              <w:rPr>
                <w:b/>
                <w:bCs/>
                <w:color w:val="6B7280"/>
                <w:sz w:val="17"/>
                <w:szCs w:val="17"/>
              </w:rPr>
              <w:t xml:space="preserve">NILAI</w:t>
            </w:r>
          </w:p>
        </w:tc>
        <w:tc>
          <w:tcPr>
            <w:tcW w:w="1159" w:type="dxa"/>
            <w:tcBorders>
              <w:bottom w:val="single" w:sz="8" w:space="0" w:color="6B7280"/>
            </w:tcBorders>
            <w:vAlign w:val="bottom"/>
          </w:tcPr>
          <w:p>
            <w:pPr>
              <w:pStyle w:val="KepalaTabel"/>
              <w:keepNext/>
              <w:suppressAutoHyphens/>
            </w:pPr>
            <w:r>
              <w:rPr>
                <w:b/>
                <w:bCs/>
                <w:color w:val="6B7280"/>
                <w:sz w:val="17"/>
                <w:szCs w:val="17"/>
              </w:rPr>
              <w:t xml:space="preserve">RENDAH</w:t>
            </w:r>
          </w:p>
        </w:tc>
        <w:tc>
          <w:tcPr>
            <w:tcW w:w="1023" w:type="dxa"/>
            <w:tcBorders>
              <w:bottom w:val="single" w:sz="8" w:space="0" w:color="6B7280"/>
            </w:tcBorders>
            <w:vAlign w:val="bottom"/>
          </w:tcPr>
          <w:p>
            <w:pPr>
              <w:pStyle w:val="KepalaTabel"/>
              <w:keepNext/>
              <w:suppressAutoHyphens/>
            </w:pPr>
            <w:r>
              <w:rPr>
                <w:b/>
                <w:bCs/>
                <w:color w:val="6B7280"/>
                <w:sz w:val="17"/>
                <w:szCs w:val="17"/>
              </w:rPr>
              <w:t xml:space="preserve">TINGGI</w:t>
            </w:r>
          </w:p>
        </w:tc>
        <w:tc>
          <w:tcPr>
            <w:tcW w:w="1146" w:type="dxa"/>
            <w:tcBorders>
              <w:bottom w:val="single" w:sz="8" w:space="0" w:color="6B7280"/>
            </w:tcBorders>
            <w:vAlign w:val="bottom"/>
          </w:tcPr>
          <w:p>
            <w:pPr>
              <w:pStyle w:val="KepalaTabel"/>
              <w:keepNext/>
              <w:suppressAutoHyphens/>
            </w:pPr>
            <w:r>
              <w:rPr>
                <w:b/>
                <w:bCs/>
                <w:color w:val="6B7280"/>
                <w:sz w:val="17"/>
                <w:szCs w:val="17"/>
              </w:rPr>
              <w:t xml:space="preserve">SATUAN</w:t>
            </w:r>
          </w:p>
        </w:tc>
        <w:tc>
          <w:tcPr>
            <w:tcW w:w="1522" w:type="dxa"/>
            <w:tcBorders>
              <w:bottom w:val="single" w:sz="8" w:space="0" w:color="6B7280"/>
            </w:tcBorders>
            <w:vAlign w:val="bottom"/>
          </w:tcPr>
          <w:p>
            <w:pPr>
              <w:pStyle w:val="KepalaTabel"/>
              <w:keepNext/>
              <w:suppressAutoHyphens/>
            </w:pPr>
            <w:r>
              <w:rPr>
                <w:b/>
                <w:bCs/>
                <w:color w:val="6B7280"/>
                <w:sz w:val="17"/>
                <w:szCs w:val="17"/>
              </w:rPr>
              <w:t xml:space="preserve">KEYAKINAN</w:t>
            </w:r>
          </w:p>
        </w:tc>
      </w:tr>
      <w:tr>
        <w:trPr>
          <w:cantSplit/>
        </w:trPr>
        <w:tc>
          <w:tcPr>
            <w:tcW w:w="3655" w:type="dxa"/>
          </w:tcPr>
          <w:p>
            <w:pPr>
              <w:pStyle w:val="IsiTabel"/>
              <w:keepNext/>
              <w:suppressAutoHyphens/>
              <w:jc w:val="left"/>
            </w:pPr>
            <w:bookmarkStart w:id="891" w:name="_Ekor102a"/>
            <w:bookmarkEnd w:id="891"/>
            <w:r>
              <w:t xml:space="preserve">lantai_meninggal_hilang</w:t>
            </w:r>
          </w:p>
        </w:tc>
        <w:tc>
          <w:tcPr>
            <w:tcW w:w="849" w:type="dxa"/>
          </w:tcPr>
          <w:p>
            <w:pPr>
              <w:pStyle w:val="IsiTabel"/>
              <w:keepNext/>
              <w:suppressAutoHyphens/>
              <w:jc w:val="right"/>
            </w:pPr>
            <w:r>
              <w:t xml:space="preserve">1.692</w:t>
            </w:r>
          </w:p>
        </w:tc>
        <w:tc>
          <w:tcPr>
            <w:tcW w:w="1159" w:type="dxa"/>
          </w:tcPr>
          <w:p>
            <w:pPr>
              <w:pStyle w:val="IsiTabel"/>
              <w:keepNext/>
              <w:suppressAutoHyphens/>
              <w:jc w:val="right"/>
            </w:pPr>
            <w:r>
              <w:t xml:space="preserve">–</w:t>
            </w:r>
          </w:p>
        </w:tc>
        <w:tc>
          <w:tcPr>
            <w:tcW w:w="1023" w:type="dxa"/>
          </w:tcPr>
          <w:p>
            <w:pPr>
              <w:pStyle w:val="IsiTabel"/>
              <w:keepNext/>
              <w:suppressAutoHyphens/>
              <w:jc w:val="right"/>
            </w:pPr>
            <w:r>
              <w:t xml:space="preserve">–</w:t>
            </w:r>
          </w:p>
        </w:tc>
        <w:tc>
          <w:tcPr>
            <w:tcW w:w="1146" w:type="dxa"/>
          </w:tcPr>
          <w:p>
            <w:pPr>
              <w:pStyle w:val="IsiTabel"/>
              <w:keepNext/>
              <w:suppressAutoHyphens/>
              <w:jc w:val="left"/>
            </w:pPr>
            <w:r>
              <w:t xml:space="preserve">jiwa</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55" w:type="dxa"/>
          </w:tcPr>
          <w:p>
            <w:pPr>
              <w:pStyle w:val="IsiTabel"/>
              <w:keepNext/>
              <w:suppressAutoHyphens/>
              <w:jc w:val="left"/>
            </w:pPr>
            <w:r>
              <w:t xml:space="preserve">korban_jiwa</w:t>
            </w:r>
          </w:p>
        </w:tc>
        <w:tc>
          <w:tcPr>
            <w:tcW w:w="849" w:type="dxa"/>
          </w:tcPr>
          <w:p>
            <w:pPr>
              <w:pStyle w:val="IsiTabel"/>
              <w:keepNext/>
              <w:suppressAutoHyphens/>
              <w:jc w:val="right"/>
            </w:pPr>
            <w:r>
              <w:t xml:space="preserve">–</w:t>
            </w:r>
          </w:p>
        </w:tc>
        <w:tc>
          <w:tcPr>
            <w:tcW w:w="1159" w:type="dxa"/>
          </w:tcPr>
          <w:p>
            <w:pPr>
              <w:pStyle w:val="IsiTabel"/>
              <w:keepNext/>
              <w:suppressAutoHyphens/>
              <w:jc w:val="right"/>
            </w:pPr>
            <w:r>
              <w:t xml:space="preserve">1.692</w:t>
            </w:r>
          </w:p>
        </w:tc>
        <w:tc>
          <w:tcPr>
            <w:tcW w:w="1023" w:type="dxa"/>
          </w:tcPr>
          <w:p>
            <w:pPr>
              <w:pStyle w:val="IsiTabel"/>
              <w:keepNext/>
              <w:suppressAutoHyphens/>
              <w:jc w:val="right"/>
            </w:pPr>
            <w:r>
              <w:t xml:space="preserve">1.692</w:t>
            </w:r>
          </w:p>
        </w:tc>
        <w:tc>
          <w:tcPr>
            <w:tcW w:w="1146" w:type="dxa"/>
          </w:tcPr>
          <w:p>
            <w:pPr>
              <w:pStyle w:val="IsiTabel"/>
              <w:keepNext/>
              <w:suppressAutoHyphens/>
              <w:jc w:val="left"/>
            </w:pPr>
            <w:r>
              <w:t xml:space="preserve">jiwa</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55" w:type="dxa"/>
          </w:tcPr>
          <w:p>
            <w:pPr>
              <w:pStyle w:val="IsiTabel"/>
              <w:keepNext/>
              <w:suppressAutoHyphens/>
              <w:jc w:val="left"/>
            </w:pPr>
            <w:r>
              <w:t xml:space="preserve">lantai_10_musim_meninggal_hilang</w:t>
            </w:r>
          </w:p>
        </w:tc>
        <w:tc>
          <w:tcPr>
            <w:tcW w:w="849" w:type="dxa"/>
          </w:tcPr>
          <w:p>
            <w:pPr>
              <w:pStyle w:val="IsiTabel"/>
              <w:keepNext/>
              <w:suppressAutoHyphens/>
              <w:jc w:val="right"/>
            </w:pPr>
            <w:r>
              <w:t xml:space="preserve">1.692</w:t>
            </w:r>
          </w:p>
        </w:tc>
        <w:tc>
          <w:tcPr>
            <w:tcW w:w="1159" w:type="dxa"/>
          </w:tcPr>
          <w:p>
            <w:pPr>
              <w:pStyle w:val="IsiTabel"/>
              <w:keepNext/>
              <w:suppressAutoHyphens/>
              <w:jc w:val="right"/>
            </w:pPr>
            <w:r>
              <w:t xml:space="preserve">–</w:t>
            </w:r>
          </w:p>
        </w:tc>
        <w:tc>
          <w:tcPr>
            <w:tcW w:w="1023" w:type="dxa"/>
          </w:tcPr>
          <w:p>
            <w:pPr>
              <w:pStyle w:val="IsiTabel"/>
              <w:keepNext/>
              <w:suppressAutoHyphens/>
              <w:jc w:val="right"/>
            </w:pPr>
            <w:r>
              <w:t xml:space="preserve">–</w:t>
            </w:r>
          </w:p>
        </w:tc>
        <w:tc>
          <w:tcPr>
            <w:tcW w:w="1146" w:type="dxa"/>
          </w:tcPr>
          <w:p>
            <w:pPr>
              <w:pStyle w:val="IsiTabel"/>
              <w:keepNext/>
              <w:suppressAutoHyphens/>
              <w:jc w:val="left"/>
            </w:pPr>
            <w:r>
              <w:t xml:space="preserve">jiwa</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55" w:type="dxa"/>
          </w:tcPr>
          <w:p>
            <w:pPr>
              <w:pStyle w:val="IsiTabel"/>
              <w:keepNext/>
              <w:suppressAutoHyphens/>
              <w:jc w:val="left"/>
            </w:pPr>
            <w:bookmarkStart w:id="892" w:name="_Ekor102z"/>
            <w:bookmarkEnd w:id="892"/>
            <w:r>
              <w:t xml:space="preserve">musim_lanina_n</w:t>
            </w:r>
          </w:p>
        </w:tc>
        <w:tc>
          <w:tcPr>
            <w:tcW w:w="849" w:type="dxa"/>
          </w:tcPr>
          <w:p>
            <w:pPr>
              <w:pStyle w:val="IsiTabel"/>
              <w:keepNext/>
              <w:suppressAutoHyphens/>
              <w:jc w:val="right"/>
            </w:pPr>
            <w:r>
              <w:t xml:space="preserve">7</w:t>
            </w:r>
          </w:p>
        </w:tc>
        <w:tc>
          <w:tcPr>
            <w:tcW w:w="1159" w:type="dxa"/>
          </w:tcPr>
          <w:p>
            <w:pPr>
              <w:pStyle w:val="IsiTabel"/>
              <w:keepNext/>
              <w:suppressAutoHyphens/>
              <w:jc w:val="right"/>
            </w:pPr>
            <w:r>
              <w:t xml:space="preserve">–</w:t>
            </w:r>
          </w:p>
        </w:tc>
        <w:tc>
          <w:tcPr>
            <w:tcW w:w="1023" w:type="dxa"/>
          </w:tcPr>
          <w:p>
            <w:pPr>
              <w:pStyle w:val="IsiTabel"/>
              <w:keepNext/>
              <w:suppressAutoHyphens/>
              <w:jc w:val="right"/>
            </w:pPr>
            <w:r>
              <w:t xml:space="preserve">–</w:t>
            </w:r>
          </w:p>
        </w:tc>
        <w:tc>
          <w:tcPr>
            <w:tcW w:w="1146" w:type="dxa"/>
          </w:tcPr>
          <w:p>
            <w:pPr>
              <w:pStyle w:val="IsiTabel"/>
              <w:keepNext/>
              <w:suppressAutoHyphens/>
              <w:jc w:val="left"/>
            </w:pPr>
            <w:r>
              <w:t xml:space="preserve">musim</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Musim hujan 1 Oktober sampai 30 April; angka 2026 sementara.</w:t>
      </w:r>
    </w:p>
    <w:p>
      <w:pPr>
        <w:pStyle w:val="Caption"/>
      </w:pPr>
      <w:bookmarkStart w:id="894" w:name="_Toc00281"/>
      <w:bookmarkStart w:id="893" w:name="_Ref0237"/>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893"/>
      <w:r>
        <w:rPr>
          <w:b/>
          <w:bCs/>
          <w:color w:val="051C2C"/>
        </w:rPr>
        <w:t xml:space="preserve"> </w:t>
      </w:r>
      <w:r>
        <w:t xml:space="preserve">Catatan DIBI tiga musim hujan sesudah El Niño kuat tingkat nasional, 2009/2010, 2015/2016, dan 2023/2024</w:t>
      </w:r>
      <w:bookmarkEnd w:id="89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800"/>
        <w:gridCol w:w="1144"/>
        <w:gridCol w:w="1293"/>
        <w:gridCol w:w="1141"/>
        <w:gridCol w:w="1279"/>
        <w:gridCol w:w="1697"/>
      </w:tblGrid>
      <w:tr>
        <w:trPr>
          <w:cantSplit/>
          <w:tblHeader/>
        </w:trPr>
        <w:tc>
          <w:tcPr>
            <w:tcW w:w="2800"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144" w:type="dxa"/>
            <w:tcBorders>
              <w:bottom w:val="single" w:sz="8" w:space="0" w:color="6B7280"/>
            </w:tcBorders>
            <w:vAlign w:val="bottom"/>
          </w:tcPr>
          <w:p>
            <w:pPr>
              <w:pStyle w:val="KepalaTabel"/>
              <w:suppressAutoHyphens/>
            </w:pPr>
            <w:r>
              <w:rPr>
                <w:b/>
                <w:bCs/>
                <w:color w:val="6B7280"/>
                <w:sz w:val="17"/>
                <w:szCs w:val="17"/>
              </w:rPr>
              <w:t xml:space="preserve">NILAI</w:t>
            </w:r>
          </w:p>
        </w:tc>
        <w:tc>
          <w:tcPr>
            <w:tcW w:w="1293" w:type="dxa"/>
            <w:tcBorders>
              <w:bottom w:val="single" w:sz="8" w:space="0" w:color="6B7280"/>
            </w:tcBorders>
            <w:vAlign w:val="bottom"/>
          </w:tcPr>
          <w:p>
            <w:pPr>
              <w:pStyle w:val="KepalaTabel"/>
              <w:suppressAutoHyphens/>
            </w:pPr>
            <w:r>
              <w:rPr>
                <w:b/>
                <w:bCs/>
                <w:color w:val="6B7280"/>
                <w:sz w:val="17"/>
                <w:szCs w:val="17"/>
              </w:rPr>
              <w:t xml:space="preserve">RENDAH</w:t>
            </w:r>
          </w:p>
        </w:tc>
        <w:tc>
          <w:tcPr>
            <w:tcW w:w="1141" w:type="dxa"/>
            <w:tcBorders>
              <w:bottom w:val="single" w:sz="8" w:space="0" w:color="6B7280"/>
            </w:tcBorders>
            <w:vAlign w:val="bottom"/>
          </w:tcPr>
          <w:p>
            <w:pPr>
              <w:pStyle w:val="KepalaTabel"/>
              <w:suppressAutoHyphens/>
            </w:pPr>
            <w:r>
              <w:rPr>
                <w:b/>
                <w:bCs/>
                <w:color w:val="6B7280"/>
                <w:sz w:val="17"/>
                <w:szCs w:val="17"/>
              </w:rPr>
              <w:t xml:space="preserve">TINGGI</w:t>
            </w:r>
          </w:p>
        </w:tc>
        <w:tc>
          <w:tcPr>
            <w:tcW w:w="1279"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7"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2800" w:type="dxa"/>
          </w:tcPr>
          <w:p>
            <w:pPr>
              <w:pStyle w:val="IsiTabel"/>
              <w:suppressAutoHyphens/>
              <w:jc w:val="left"/>
            </w:pPr>
            <w:r>
              <w:t xml:space="preserve">musim_analog_n</w:t>
            </w:r>
          </w:p>
        </w:tc>
        <w:tc>
          <w:tcPr>
            <w:tcW w:w="1144"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musim</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meninggal_hilang_2009</w:t>
            </w:r>
          </w:p>
        </w:tc>
        <w:tc>
          <w:tcPr>
            <w:tcW w:w="1144" w:type="dxa"/>
          </w:tcPr>
          <w:p>
            <w:pPr>
              <w:pStyle w:val="IsiTabel"/>
              <w:suppressAutoHyphens/>
              <w:jc w:val="right"/>
            </w:pPr>
            <w:r>
              <w:t xml:space="preserve">373</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mengungsi_2009</w:t>
            </w:r>
          </w:p>
        </w:tc>
        <w:tc>
          <w:tcPr>
            <w:tcW w:w="1144" w:type="dxa"/>
          </w:tcPr>
          <w:p>
            <w:pPr>
              <w:pStyle w:val="IsiTabel"/>
              <w:suppressAutoHyphens/>
              <w:jc w:val="right"/>
            </w:pPr>
            <w:r>
              <w:t xml:space="preserve">266.551</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kejadian_2009</w:t>
            </w:r>
          </w:p>
        </w:tc>
        <w:tc>
          <w:tcPr>
            <w:tcW w:w="1144" w:type="dxa"/>
          </w:tcPr>
          <w:p>
            <w:pPr>
              <w:pStyle w:val="IsiTabel"/>
              <w:suppressAutoHyphens/>
              <w:jc w:val="right"/>
            </w:pPr>
            <w:r>
              <w:t xml:space="preserve">1.148</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kejadian</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oni_ndj_2009</w:t>
            </w:r>
          </w:p>
        </w:tc>
        <w:tc>
          <w:tcPr>
            <w:tcW w:w="1144"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ONI</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meninggal_hilang_2015</w:t>
            </w:r>
          </w:p>
        </w:tc>
        <w:tc>
          <w:tcPr>
            <w:tcW w:w="1144" w:type="dxa"/>
          </w:tcPr>
          <w:p>
            <w:pPr>
              <w:pStyle w:val="IsiTabel"/>
              <w:suppressAutoHyphens/>
              <w:jc w:val="right"/>
            </w:pPr>
            <w:r>
              <w:t xml:space="preserve">199</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mengungsi_2015</w:t>
            </w:r>
          </w:p>
        </w:tc>
        <w:tc>
          <w:tcPr>
            <w:tcW w:w="1144" w:type="dxa"/>
          </w:tcPr>
          <w:p>
            <w:pPr>
              <w:pStyle w:val="IsiTabel"/>
              <w:suppressAutoHyphens/>
              <w:jc w:val="right"/>
            </w:pPr>
            <w:r>
              <w:t xml:space="preserve">247.675</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kejadian_2015</w:t>
            </w:r>
          </w:p>
        </w:tc>
        <w:tc>
          <w:tcPr>
            <w:tcW w:w="1144" w:type="dxa"/>
          </w:tcPr>
          <w:p>
            <w:pPr>
              <w:pStyle w:val="IsiTabel"/>
              <w:suppressAutoHyphens/>
              <w:jc w:val="right"/>
            </w:pPr>
            <w:r>
              <w:t xml:space="preserve">1.310</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kejadian</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oni_ndj_2015</w:t>
            </w:r>
          </w:p>
        </w:tc>
        <w:tc>
          <w:tcPr>
            <w:tcW w:w="1144"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ONI</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bookmarkStart w:id="895" w:name="_Ekor103a"/>
            <w:bookmarkEnd w:id="895"/>
            <w:r>
              <w:t xml:space="preserve">meninggal_hilang_2023</w:t>
            </w:r>
          </w:p>
        </w:tc>
        <w:tc>
          <w:tcPr>
            <w:tcW w:w="1144" w:type="dxa"/>
          </w:tcPr>
          <w:p>
            <w:pPr>
              <w:pStyle w:val="IsiTabel"/>
              <w:keepNext/>
              <w:suppressAutoHyphens/>
              <w:jc w:val="right"/>
            </w:pPr>
            <w:r>
              <w:t xml:space="preserve">246</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jiwa</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r>
              <w:t xml:space="preserve">mengungsi_2023</w:t>
            </w:r>
          </w:p>
        </w:tc>
        <w:tc>
          <w:tcPr>
            <w:tcW w:w="1144" w:type="dxa"/>
          </w:tcPr>
          <w:p>
            <w:pPr>
              <w:pStyle w:val="IsiTabel"/>
              <w:keepNext/>
              <w:suppressAutoHyphens/>
              <w:jc w:val="right"/>
            </w:pPr>
            <w:r>
              <w:t xml:space="preserve">359.202</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jiwa</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r>
              <w:t xml:space="preserve">kejadian_2023</w:t>
            </w:r>
          </w:p>
        </w:tc>
        <w:tc>
          <w:tcPr>
            <w:tcW w:w="1144" w:type="dxa"/>
          </w:tcPr>
          <w:p>
            <w:pPr>
              <w:pStyle w:val="IsiTabel"/>
              <w:keepNext/>
              <w:suppressAutoHyphens/>
              <w:jc w:val="right"/>
            </w:pPr>
            <w:r>
              <w:t xml:space="preserve">1.630,5</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kejadian</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bookmarkStart w:id="896" w:name="_Ekor103z"/>
            <w:bookmarkEnd w:id="896"/>
            <w:r>
              <w:t xml:space="preserve">oni_ndj_2023</w:t>
            </w:r>
          </w:p>
        </w:tc>
        <w:tc>
          <w:tcPr>
            <w:tcW w:w="1144" w:type="dxa"/>
          </w:tcPr>
          <w:p>
            <w:pPr>
              <w:pStyle w:val="IsiTabel"/>
              <w:keepNext/>
              <w:suppressAutoHyphens/>
              <w:jc w:val="right"/>
            </w:pPr>
            <w:r>
              <w:t xml:space="preserve">2,0</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ONI</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ONI NOAA CPC</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Ketiga musim adalah ekspektasi operasional, bukan skenario terburuk.</w:t>
      </w:r>
    </w:p>
    <w:p>
      <w:pPr>
        <w:pStyle w:val="Caption"/>
      </w:pPr>
      <w:bookmarkStart w:id="898" w:name="_Toc00282"/>
      <w:bookmarkStart w:id="897" w:name="_Ref0230"/>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897"/>
      <w:r>
        <w:rPr>
          <w:b/>
          <w:bCs/>
          <w:color w:val="051C2C"/>
        </w:rPr>
        <w:t xml:space="preserve"> </w:t>
      </w:r>
      <w:r>
        <w:t xml:space="preserve">Catatan DIBI dan keluaran mesin untuk gelombang ekstrem, abrasi, dan rob tingkat nasional, tahun analog 2021</w:t>
      </w:r>
      <w:bookmarkEnd w:id="89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11"/>
        <w:gridCol w:w="1032"/>
        <w:gridCol w:w="1031"/>
        <w:gridCol w:w="1031"/>
        <w:gridCol w:w="955"/>
        <w:gridCol w:w="1694"/>
      </w:tblGrid>
      <w:tr>
        <w:trPr>
          <w:cantSplit/>
          <w:tblHeader/>
        </w:trPr>
        <w:tc>
          <w:tcPr>
            <w:tcW w:w="3611"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032" w:type="dxa"/>
            <w:tcBorders>
              <w:bottom w:val="single" w:sz="8" w:space="0" w:color="6B7280"/>
            </w:tcBorders>
            <w:vAlign w:val="bottom"/>
          </w:tcPr>
          <w:p>
            <w:pPr>
              <w:pStyle w:val="KepalaTabel"/>
              <w:suppressAutoHyphens/>
            </w:pPr>
            <w:r>
              <w:rPr>
                <w:b/>
                <w:bCs/>
                <w:color w:val="6B7280"/>
                <w:sz w:val="17"/>
                <w:szCs w:val="17"/>
              </w:rPr>
              <w:t xml:space="preserve">NILAI</w:t>
            </w:r>
          </w:p>
        </w:tc>
        <w:tc>
          <w:tcPr>
            <w:tcW w:w="1031" w:type="dxa"/>
            <w:tcBorders>
              <w:bottom w:val="single" w:sz="8" w:space="0" w:color="6B7280"/>
            </w:tcBorders>
            <w:vAlign w:val="bottom"/>
          </w:tcPr>
          <w:p>
            <w:pPr>
              <w:pStyle w:val="KepalaTabel"/>
              <w:suppressAutoHyphens/>
            </w:pPr>
            <w:r>
              <w:rPr>
                <w:b/>
                <w:bCs/>
                <w:color w:val="6B7280"/>
                <w:sz w:val="17"/>
                <w:szCs w:val="17"/>
              </w:rPr>
              <w:t xml:space="preserve">RENDAH</w:t>
            </w:r>
          </w:p>
        </w:tc>
        <w:tc>
          <w:tcPr>
            <w:tcW w:w="1031" w:type="dxa"/>
            <w:tcBorders>
              <w:bottom w:val="single" w:sz="8" w:space="0" w:color="6B7280"/>
            </w:tcBorders>
            <w:vAlign w:val="bottom"/>
          </w:tcPr>
          <w:p>
            <w:pPr>
              <w:pStyle w:val="KepalaTabel"/>
              <w:suppressAutoHyphens/>
            </w:pPr>
            <w:r>
              <w:rPr>
                <w:b/>
                <w:bCs/>
                <w:color w:val="6B7280"/>
                <w:sz w:val="17"/>
                <w:szCs w:val="17"/>
              </w:rPr>
              <w:t xml:space="preserve">TINGGI</w:t>
            </w:r>
          </w:p>
        </w:tc>
        <w:tc>
          <w:tcPr>
            <w:tcW w:w="955"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4"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611" w:type="dxa"/>
          </w:tcPr>
          <w:p>
            <w:pPr>
              <w:pStyle w:val="IsiTabel"/>
              <w:suppressAutoHyphens/>
              <w:jc w:val="left"/>
            </w:pPr>
            <w:r>
              <w:t xml:space="preserve">kejadian_gelombang_abrasi</w:t>
            </w:r>
          </w:p>
        </w:tc>
        <w:tc>
          <w:tcPr>
            <w:tcW w:w="1032" w:type="dxa"/>
          </w:tcPr>
          <w:p>
            <w:pPr>
              <w:pStyle w:val="IsiTabel"/>
              <w:suppressAutoHyphens/>
              <w:jc w:val="right"/>
            </w:pPr>
            <w:r>
              <w:t xml:space="preserve">90</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meninggal_hilang_tercatat_gelombang_abrasi</w:t>
            </w:r>
          </w:p>
        </w:tc>
        <w:tc>
          <w:tcPr>
            <w:tcW w:w="1032" w:type="dxa"/>
          </w:tcPr>
          <w:p>
            <w:pPr>
              <w:pStyle w:val="IsiTabel"/>
              <w:suppressAutoHyphens/>
              <w:jc w:val="right"/>
            </w:pPr>
            <w:r>
              <w:t xml:space="preserve">4</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korban_jiwa_gelombang_abrasi</w:t>
            </w:r>
          </w:p>
        </w:tc>
        <w:tc>
          <w:tcPr>
            <w:tcW w:w="1032" w:type="dxa"/>
          </w:tcPr>
          <w:p>
            <w:pPr>
              <w:pStyle w:val="IsiTabel"/>
              <w:suppressAutoHyphens/>
              <w:jc w:val="right"/>
            </w:pPr>
            <w:r>
              <w:t xml:space="preserve">–</w:t>
            </w:r>
          </w:p>
        </w:tc>
        <w:tc>
          <w:tcPr>
            <w:tcW w:w="1031" w:type="dxa"/>
          </w:tcPr>
          <w:p>
            <w:pPr>
              <w:pStyle w:val="IsiTabel"/>
              <w:suppressAutoHyphens/>
              <w:jc w:val="right"/>
            </w:pPr>
            <w:r>
              <w:t xml:space="preserve">5,1</w:t>
            </w:r>
          </w:p>
        </w:tc>
        <w:tc>
          <w:tcPr>
            <w:tcW w:w="1031" w:type="dxa"/>
          </w:tcPr>
          <w:p>
            <w:pPr>
              <w:pStyle w:val="IsiTabel"/>
              <w:suppressAutoHyphens/>
              <w:jc w:val="right"/>
            </w:pPr>
            <w:r>
              <w:t xml:space="preserve">90</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11" w:type="dxa"/>
          </w:tcPr>
          <w:p>
            <w:pPr>
              <w:pStyle w:val="IsiTabel"/>
              <w:suppressAutoHyphens/>
              <w:jc w:val="left"/>
            </w:pPr>
            <w:r>
              <w:t xml:space="preserve">kejadian_rob</w:t>
            </w:r>
          </w:p>
        </w:tc>
        <w:tc>
          <w:tcPr>
            <w:tcW w:w="1032" w:type="dxa"/>
          </w:tcPr>
          <w:p>
            <w:pPr>
              <w:pStyle w:val="IsiTabel"/>
              <w:suppressAutoHyphens/>
              <w:jc w:val="right"/>
            </w:pPr>
            <w:r>
              <w:t xml:space="preserve">76</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meninggal_hilang_tercatat_rob</w:t>
            </w:r>
          </w:p>
        </w:tc>
        <w:tc>
          <w:tcPr>
            <w:tcW w:w="1032" w:type="dxa"/>
          </w:tcPr>
          <w:p>
            <w:pPr>
              <w:pStyle w:val="IsiTabel"/>
              <w:suppressAutoHyphens/>
              <w:jc w:val="right"/>
            </w:pPr>
            <w:r>
              <w:t xml:space="preserve">0</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korban_jiwa_rob</w:t>
            </w:r>
          </w:p>
        </w:tc>
        <w:tc>
          <w:tcPr>
            <w:tcW w:w="1032" w:type="dxa"/>
          </w:tcPr>
          <w:p>
            <w:pPr>
              <w:pStyle w:val="IsiTabel"/>
              <w:suppressAutoHyphens/>
              <w:jc w:val="right"/>
            </w:pPr>
            <w:r>
              <w:t xml:space="preserve">–</w:t>
            </w:r>
          </w:p>
        </w:tc>
        <w:tc>
          <w:tcPr>
            <w:tcW w:w="1031" w:type="dxa"/>
          </w:tcPr>
          <w:p>
            <w:pPr>
              <w:pStyle w:val="IsiTabel"/>
              <w:suppressAutoHyphens/>
              <w:jc w:val="right"/>
            </w:pPr>
            <w:r>
              <w:t xml:space="preserve">0</w:t>
            </w:r>
          </w:p>
        </w:tc>
        <w:tc>
          <w:tcPr>
            <w:tcW w:w="1031" w:type="dxa"/>
          </w:tcPr>
          <w:p>
            <w:pPr>
              <w:pStyle w:val="IsiTabel"/>
              <w:suppressAutoHyphens/>
              <w:jc w:val="right"/>
            </w:pPr>
            <w:r>
              <w:t xml:space="preserve">0</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11" w:type="dxa"/>
          </w:tcPr>
          <w:p>
            <w:pPr>
              <w:pStyle w:val="IsiTabel"/>
              <w:suppressAutoHyphens/>
              <w:jc w:val="left"/>
            </w:pPr>
            <w:r>
              <w:t xml:space="preserve">kejadian</w:t>
            </w:r>
          </w:p>
        </w:tc>
        <w:tc>
          <w:tcPr>
            <w:tcW w:w="1032" w:type="dxa"/>
          </w:tcPr>
          <w:p>
            <w:pPr>
              <w:pStyle w:val="IsiTabel"/>
              <w:suppressAutoHyphens/>
              <w:jc w:val="right"/>
            </w:pPr>
            <w:r>
              <w:t xml:space="preserve">166</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kejadian</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meninggal_tercatat</w:t>
            </w:r>
          </w:p>
        </w:tc>
        <w:tc>
          <w:tcPr>
            <w:tcW w:w="1032" w:type="dxa"/>
          </w:tcPr>
          <w:p>
            <w:pPr>
              <w:pStyle w:val="IsiTabel"/>
              <w:suppressAutoHyphens/>
              <w:jc w:val="right"/>
            </w:pPr>
            <w:r>
              <w:t xml:space="preserve">4</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hilang_tercatat</w:t>
            </w:r>
          </w:p>
        </w:tc>
        <w:tc>
          <w:tcPr>
            <w:tcW w:w="1032" w:type="dxa"/>
          </w:tcPr>
          <w:p>
            <w:pPr>
              <w:pStyle w:val="IsiTabel"/>
              <w:suppressAutoHyphens/>
              <w:jc w:val="right"/>
            </w:pPr>
            <w:r>
              <w:t xml:space="preserve">0</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korban_jiwa</w:t>
            </w:r>
          </w:p>
        </w:tc>
        <w:tc>
          <w:tcPr>
            <w:tcW w:w="1032" w:type="dxa"/>
          </w:tcPr>
          <w:p>
            <w:pPr>
              <w:pStyle w:val="IsiTabel"/>
              <w:suppressAutoHyphens/>
              <w:jc w:val="right"/>
            </w:pPr>
            <w:r>
              <w:t xml:space="preserve">–</w:t>
            </w:r>
          </w:p>
        </w:tc>
        <w:tc>
          <w:tcPr>
            <w:tcW w:w="1031" w:type="dxa"/>
          </w:tcPr>
          <w:p>
            <w:pPr>
              <w:pStyle w:val="IsiTabel"/>
              <w:suppressAutoHyphens/>
              <w:jc w:val="right"/>
            </w:pPr>
            <w:r>
              <w:t xml:space="preserve">5,1</w:t>
            </w:r>
          </w:p>
        </w:tc>
        <w:tc>
          <w:tcPr>
            <w:tcW w:w="1031" w:type="dxa"/>
          </w:tcPr>
          <w:p>
            <w:pPr>
              <w:pStyle w:val="IsiTabel"/>
              <w:suppressAutoHyphens/>
              <w:jc w:val="right"/>
            </w:pPr>
            <w:r>
              <w:t xml:space="preserve">90</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11" w:type="dxa"/>
          </w:tcPr>
          <w:p>
            <w:pPr>
              <w:pStyle w:val="IsiTabel"/>
              <w:suppressAutoHyphens/>
              <w:jc w:val="left"/>
            </w:pPr>
            <w:r>
              <w:t xml:space="preserve">terdampak_menderita</w:t>
            </w:r>
          </w:p>
        </w:tc>
        <w:tc>
          <w:tcPr>
            <w:tcW w:w="1032" w:type="dxa"/>
          </w:tcPr>
          <w:p>
            <w:pPr>
              <w:pStyle w:val="IsiTabel"/>
              <w:suppressAutoHyphens/>
              <w:jc w:val="right"/>
            </w:pPr>
            <w:r>
              <w:t xml:space="preserve">370.165</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mengungsi</w:t>
            </w:r>
          </w:p>
        </w:tc>
        <w:tc>
          <w:tcPr>
            <w:tcW w:w="1032" w:type="dxa"/>
          </w:tcPr>
          <w:p>
            <w:pPr>
              <w:pStyle w:val="IsiTabel"/>
              <w:suppressAutoHyphens/>
              <w:jc w:val="right"/>
            </w:pPr>
            <w:r>
              <w:t xml:space="preserve">7.225</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hari_mengungsi</w:t>
            </w:r>
          </w:p>
        </w:tc>
        <w:tc>
          <w:tcPr>
            <w:tcW w:w="1032" w:type="dxa"/>
          </w:tcPr>
          <w:p>
            <w:pPr>
              <w:pStyle w:val="IsiTabel"/>
              <w:suppressAutoHyphens/>
              <w:jc w:val="right"/>
            </w:pPr>
            <w:r>
              <w:t xml:space="preserve">50.575</w:t>
            </w:r>
          </w:p>
        </w:tc>
        <w:tc>
          <w:tcPr>
            <w:tcW w:w="1031" w:type="dxa"/>
          </w:tcPr>
          <w:p>
            <w:pPr>
              <w:pStyle w:val="IsiTabel"/>
              <w:suppressAutoHyphens/>
              <w:jc w:val="right"/>
            </w:pPr>
            <w:r>
              <w:t xml:space="preserve">21.675</w:t>
            </w:r>
          </w:p>
        </w:tc>
        <w:tc>
          <w:tcPr>
            <w:tcW w:w="1031" w:type="dxa"/>
          </w:tcPr>
          <w:p>
            <w:pPr>
              <w:pStyle w:val="IsiTabel"/>
              <w:suppressAutoHyphens/>
              <w:jc w:val="right"/>
            </w:pPr>
            <w:r>
              <w:t xml:space="preserve">216.750</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611" w:type="dxa"/>
          </w:tcPr>
          <w:p>
            <w:pPr>
              <w:pStyle w:val="IsiTabel"/>
              <w:suppressAutoHyphens/>
              <w:jc w:val="left"/>
            </w:pPr>
            <w:r>
              <w:t xml:space="preserve">rumah_rusak_berat</w:t>
            </w:r>
          </w:p>
        </w:tc>
        <w:tc>
          <w:tcPr>
            <w:tcW w:w="1032" w:type="dxa"/>
          </w:tcPr>
          <w:p>
            <w:pPr>
              <w:pStyle w:val="IsiTabel"/>
              <w:suppressAutoHyphens/>
              <w:jc w:val="right"/>
            </w:pPr>
            <w:r>
              <w:t xml:space="preserve">387</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rumah_rusak_sedang</w:t>
            </w:r>
          </w:p>
        </w:tc>
        <w:tc>
          <w:tcPr>
            <w:tcW w:w="1032" w:type="dxa"/>
          </w:tcPr>
          <w:p>
            <w:pPr>
              <w:pStyle w:val="IsiTabel"/>
              <w:suppressAutoHyphens/>
              <w:jc w:val="right"/>
            </w:pPr>
            <w:r>
              <w:t xml:space="preserve">222</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rumah_rusak_ringan</w:t>
            </w:r>
          </w:p>
        </w:tc>
        <w:tc>
          <w:tcPr>
            <w:tcW w:w="1032" w:type="dxa"/>
          </w:tcPr>
          <w:p>
            <w:pPr>
              <w:pStyle w:val="IsiTabel"/>
              <w:suppressAutoHyphens/>
              <w:jc w:val="right"/>
            </w:pPr>
            <w:r>
              <w:t xml:space="preserve">1.016</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suppressAutoHyphens/>
              <w:jc w:val="left"/>
            </w:pPr>
            <w:r>
              <w:t xml:space="preserve">materiil_batas_bawah</w:t>
            </w:r>
          </w:p>
        </w:tc>
        <w:tc>
          <w:tcPr>
            <w:tcW w:w="1032" w:type="dxa"/>
          </w:tcPr>
          <w:p>
            <w:pPr>
              <w:pStyle w:val="IsiTabel"/>
              <w:suppressAutoHyphens/>
              <w:jc w:val="right"/>
            </w:pPr>
            <w:r>
              <w:t xml:space="preserve">–</w:t>
            </w:r>
          </w:p>
        </w:tc>
        <w:tc>
          <w:tcPr>
            <w:tcW w:w="1031" w:type="dxa"/>
          </w:tcPr>
          <w:p>
            <w:pPr>
              <w:pStyle w:val="IsiTabel"/>
              <w:suppressAutoHyphens/>
              <w:jc w:val="right"/>
            </w:pPr>
            <w:r>
              <w:t xml:space="preserve">35,1 miliar</w:t>
            </w:r>
          </w:p>
        </w:tc>
        <w:tc>
          <w:tcPr>
            <w:tcW w:w="1031" w:type="dxa"/>
          </w:tcPr>
          <w:p>
            <w:pPr>
              <w:pStyle w:val="IsiTabel"/>
              <w:suppressAutoHyphens/>
              <w:jc w:val="right"/>
            </w:pPr>
            <w:r>
              <w:t xml:space="preserve">45,1 miliar</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611" w:type="dxa"/>
          </w:tcPr>
          <w:p>
            <w:pPr>
              <w:pStyle w:val="IsiTabel"/>
              <w:suppressAutoHyphens/>
              <w:jc w:val="left"/>
            </w:pPr>
            <w:r>
              <w:t xml:space="preserve">luas_bahaya_tinggi_gelombang_abrasi</w:t>
            </w:r>
          </w:p>
        </w:tc>
        <w:tc>
          <w:tcPr>
            <w:tcW w:w="1032" w:type="dxa"/>
          </w:tcPr>
          <w:p>
            <w:pPr>
              <w:pStyle w:val="IsiTabel"/>
              <w:suppressAutoHyphens/>
              <w:jc w:val="right"/>
            </w:pPr>
            <w:r>
              <w:t xml:space="preserve">301.655</w:t>
            </w:r>
          </w:p>
        </w:tc>
        <w:tc>
          <w:tcPr>
            <w:tcW w:w="1031" w:type="dxa"/>
          </w:tcPr>
          <w:p>
            <w:pPr>
              <w:pStyle w:val="IsiTabel"/>
              <w:suppressAutoHyphens/>
              <w:jc w:val="right"/>
            </w:pPr>
            <w:r>
              <w:t xml:space="preserve">–</w:t>
            </w:r>
          </w:p>
        </w:tc>
        <w:tc>
          <w:tcPr>
            <w:tcW w:w="1031"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611" w:type="dxa"/>
          </w:tcPr>
          <w:p>
            <w:pPr>
              <w:pStyle w:val="IsiTabel"/>
              <w:keepNext/>
              <w:suppressAutoHyphens/>
              <w:jc w:val="left"/>
            </w:pPr>
            <w:bookmarkStart w:id="899" w:name="_Ekor104a"/>
            <w:bookmarkEnd w:id="899"/>
            <w:r>
              <w:t xml:space="preserve">luas_bahaya_sedang_gelombang_abrasi</w:t>
            </w:r>
          </w:p>
        </w:tc>
        <w:tc>
          <w:tcPr>
            <w:tcW w:w="1032" w:type="dxa"/>
          </w:tcPr>
          <w:p>
            <w:pPr>
              <w:pStyle w:val="IsiTabel"/>
              <w:keepNext/>
              <w:suppressAutoHyphens/>
              <w:jc w:val="right"/>
            </w:pPr>
            <w:r>
              <w:t xml:space="preserve">163.883</w:t>
            </w:r>
          </w:p>
        </w:tc>
        <w:tc>
          <w:tcPr>
            <w:tcW w:w="1031" w:type="dxa"/>
          </w:tcPr>
          <w:p>
            <w:pPr>
              <w:pStyle w:val="IsiTabel"/>
              <w:keepNext/>
              <w:suppressAutoHyphens/>
              <w:jc w:val="right"/>
            </w:pPr>
            <w:r>
              <w:t xml:space="preserve">–</w:t>
            </w:r>
          </w:p>
        </w:tc>
        <w:tc>
          <w:tcPr>
            <w:tcW w:w="1031" w:type="dxa"/>
          </w:tcPr>
          <w:p>
            <w:pPr>
              <w:pStyle w:val="IsiTabel"/>
              <w:keepNext/>
              <w:suppressAutoHyphens/>
              <w:jc w:val="right"/>
            </w:pPr>
            <w:r>
              <w:t xml:space="preserve">–</w:t>
            </w:r>
          </w:p>
        </w:tc>
        <w:tc>
          <w:tcPr>
            <w:tcW w:w="955" w:type="dxa"/>
          </w:tcPr>
          <w:p>
            <w:pPr>
              <w:pStyle w:val="IsiTabel"/>
              <w:keepNext/>
              <w:suppressAutoHyphens/>
              <w:jc w:val="left"/>
            </w:pPr>
            <w:r>
              <w:t xml:space="preserve">ha</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11" w:type="dxa"/>
          </w:tcPr>
          <w:p>
            <w:pPr>
              <w:pStyle w:val="IsiTabel"/>
              <w:keepNext/>
              <w:suppressAutoHyphens/>
              <w:jc w:val="left"/>
            </w:pPr>
            <w:r>
              <w:t xml:space="preserve">terpapar_krb_gelombang_abrasi</w:t>
            </w:r>
          </w:p>
        </w:tc>
        <w:tc>
          <w:tcPr>
            <w:tcW w:w="1032" w:type="dxa"/>
          </w:tcPr>
          <w:p>
            <w:pPr>
              <w:pStyle w:val="IsiTabel"/>
              <w:keepNext/>
              <w:suppressAutoHyphens/>
              <w:jc w:val="right"/>
            </w:pPr>
            <w:r>
              <w:t xml:space="preserve">4,1 juta</w:t>
            </w:r>
          </w:p>
        </w:tc>
        <w:tc>
          <w:tcPr>
            <w:tcW w:w="1031" w:type="dxa"/>
          </w:tcPr>
          <w:p>
            <w:pPr>
              <w:pStyle w:val="IsiTabel"/>
              <w:keepNext/>
              <w:suppressAutoHyphens/>
              <w:jc w:val="right"/>
            </w:pPr>
            <w:r>
              <w:t xml:space="preserve">–</w:t>
            </w:r>
          </w:p>
        </w:tc>
        <w:tc>
          <w:tcPr>
            <w:tcW w:w="1031" w:type="dxa"/>
          </w:tcPr>
          <w:p>
            <w:pPr>
              <w:pStyle w:val="IsiTabel"/>
              <w:keepNext/>
              <w:suppressAutoHyphens/>
              <w:jc w:val="right"/>
            </w:pPr>
            <w:r>
              <w:t xml:space="preserve">–</w:t>
            </w:r>
          </w:p>
        </w:tc>
        <w:tc>
          <w:tcPr>
            <w:tcW w:w="955" w:type="dxa"/>
          </w:tcPr>
          <w:p>
            <w:pPr>
              <w:pStyle w:val="IsiTabel"/>
              <w:keepNext/>
              <w:suppressAutoHyphens/>
              <w:jc w:val="left"/>
            </w:pPr>
            <w:r>
              <w:t xml:space="preserve">jiwa</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11" w:type="dxa"/>
          </w:tcPr>
          <w:p>
            <w:pPr>
              <w:pStyle w:val="IsiTabel"/>
              <w:keepNext/>
              <w:suppressAutoHyphens/>
              <w:jc w:val="left"/>
            </w:pPr>
            <w:r>
              <w:t xml:space="preserve">kerugian_potensi_krb_gelombang_abrasi</w:t>
            </w:r>
          </w:p>
        </w:tc>
        <w:tc>
          <w:tcPr>
            <w:tcW w:w="1032" w:type="dxa"/>
          </w:tcPr>
          <w:p>
            <w:pPr>
              <w:pStyle w:val="IsiTabel"/>
              <w:keepNext/>
              <w:suppressAutoHyphens/>
              <w:jc w:val="right"/>
            </w:pPr>
            <w:r>
              <w:t xml:space="preserve">24,4 triliun</w:t>
            </w:r>
          </w:p>
        </w:tc>
        <w:tc>
          <w:tcPr>
            <w:tcW w:w="1031" w:type="dxa"/>
          </w:tcPr>
          <w:p>
            <w:pPr>
              <w:pStyle w:val="IsiTabel"/>
              <w:keepNext/>
              <w:suppressAutoHyphens/>
              <w:jc w:val="right"/>
            </w:pPr>
            <w:r>
              <w:t xml:space="preserve">–</w:t>
            </w:r>
          </w:p>
        </w:tc>
        <w:tc>
          <w:tcPr>
            <w:tcW w:w="1031" w:type="dxa"/>
          </w:tcPr>
          <w:p>
            <w:pPr>
              <w:pStyle w:val="IsiTabel"/>
              <w:keepNext/>
              <w:suppressAutoHyphens/>
              <w:jc w:val="right"/>
            </w:pPr>
            <w:r>
              <w:t xml:space="preserve">–</w:t>
            </w:r>
          </w:p>
        </w:tc>
        <w:tc>
          <w:tcPr>
            <w:tcW w:w="955" w:type="dxa"/>
          </w:tcPr>
          <w:p>
            <w:pPr>
              <w:pStyle w:val="IsiTabel"/>
              <w:keepNext/>
              <w:suppressAutoHyphens/>
              <w:jc w:val="left"/>
            </w:pPr>
            <w:r>
              <w:t xml:space="preserve">Rp</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11" w:type="dxa"/>
          </w:tcPr>
          <w:p>
            <w:pPr>
              <w:pStyle w:val="IsiTabel"/>
              <w:keepNext/>
              <w:suppressAutoHyphens/>
              <w:jc w:val="left"/>
            </w:pPr>
            <w:bookmarkStart w:id="900" w:name="_Ekor104z"/>
            <w:bookmarkEnd w:id="900"/>
            <w:r>
              <w:t xml:space="preserve">jiwa_kec_bahaya_tinggi_gelombang_abrasi</w:t>
            </w:r>
          </w:p>
        </w:tc>
        <w:tc>
          <w:tcPr>
            <w:tcW w:w="1032" w:type="dxa"/>
          </w:tcPr>
          <w:p>
            <w:pPr>
              <w:pStyle w:val="IsiTabel"/>
              <w:keepNext/>
              <w:suppressAutoHyphens/>
              <w:jc w:val="right"/>
            </w:pPr>
            <w:r>
              <w:t xml:space="preserve">1,8 juta</w:t>
            </w:r>
          </w:p>
        </w:tc>
        <w:tc>
          <w:tcPr>
            <w:tcW w:w="1031" w:type="dxa"/>
          </w:tcPr>
          <w:p>
            <w:pPr>
              <w:pStyle w:val="IsiTabel"/>
              <w:keepNext/>
              <w:suppressAutoHyphens/>
              <w:jc w:val="right"/>
            </w:pPr>
            <w:r>
              <w:t xml:space="preserve">–</w:t>
            </w:r>
          </w:p>
        </w:tc>
        <w:tc>
          <w:tcPr>
            <w:tcW w:w="1031" w:type="dxa"/>
          </w:tcPr>
          <w:p>
            <w:pPr>
              <w:pStyle w:val="IsiTabel"/>
              <w:keepNext/>
              <w:suppressAutoHyphens/>
              <w:jc w:val="right"/>
            </w:pPr>
            <w:r>
              <w:t xml:space="preserve">–</w:t>
            </w:r>
          </w:p>
        </w:tc>
        <w:tc>
          <w:tcPr>
            <w:tcW w:w="955" w:type="dxa"/>
          </w:tcPr>
          <w:p>
            <w:pPr>
              <w:pStyle w:val="IsiTabel"/>
              <w:keepNext/>
              <w:suppressAutoHyphens/>
              <w:jc w:val="left"/>
            </w:pPr>
            <w:r>
              <w:t xml:space="preserve">jiwa</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InaRISK BNPB, KRB 2022–2026; platform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Pita gelombang ekstrem dan abrasi lebih lebar dari satu orde besaran dan tidak tampil di kartu.</w:t>
      </w:r>
    </w:p>
    <w:p>
      <w:pPr>
        <w:pStyle w:val="Caption"/>
      </w:pPr>
      <w:bookmarkStart w:id="902" w:name="_Toc00283"/>
      <w:bookmarkStart w:id="901" w:name="_Ref0234"/>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901"/>
      <w:r>
        <w:rPr>
          <w:b/>
          <w:bCs/>
          <w:color w:val="051C2C"/>
        </w:rPr>
        <w:t xml:space="preserve"> </w:t>
      </w:r>
      <w:r>
        <w:t xml:space="preserve">Catatan DIBI dan keluaran mesin untuk kekeringan tingkat nasional, 2015 dan 2018</w:t>
      </w:r>
      <w:bookmarkEnd w:id="90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348"/>
        <w:gridCol w:w="1254"/>
        <w:gridCol w:w="1067"/>
        <w:gridCol w:w="942"/>
        <w:gridCol w:w="1056"/>
        <w:gridCol w:w="1687"/>
      </w:tblGrid>
      <w:tr>
        <w:trPr>
          <w:cantSplit/>
          <w:tblHeader/>
        </w:trPr>
        <w:tc>
          <w:tcPr>
            <w:tcW w:w="3348"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254" w:type="dxa"/>
            <w:tcBorders>
              <w:bottom w:val="single" w:sz="8" w:space="0" w:color="6B7280"/>
            </w:tcBorders>
            <w:vAlign w:val="bottom"/>
          </w:tcPr>
          <w:p>
            <w:pPr>
              <w:pStyle w:val="KepalaTabel"/>
              <w:suppressAutoHyphens/>
            </w:pPr>
            <w:r>
              <w:rPr>
                <w:b/>
                <w:bCs/>
                <w:color w:val="6B7280"/>
                <w:sz w:val="17"/>
                <w:szCs w:val="17"/>
              </w:rPr>
              <w:t xml:space="preserve">NILAI</w:t>
            </w:r>
          </w:p>
        </w:tc>
        <w:tc>
          <w:tcPr>
            <w:tcW w:w="1067" w:type="dxa"/>
            <w:tcBorders>
              <w:bottom w:val="single" w:sz="8" w:space="0" w:color="6B7280"/>
            </w:tcBorders>
            <w:vAlign w:val="bottom"/>
          </w:tcPr>
          <w:p>
            <w:pPr>
              <w:pStyle w:val="KepalaTabel"/>
              <w:suppressAutoHyphens/>
            </w:pPr>
            <w:r>
              <w:rPr>
                <w:b/>
                <w:bCs/>
                <w:color w:val="6B7280"/>
                <w:sz w:val="17"/>
                <w:szCs w:val="17"/>
              </w:rPr>
              <w:t xml:space="preserve">RENDAH</w:t>
            </w:r>
          </w:p>
        </w:tc>
        <w:tc>
          <w:tcPr>
            <w:tcW w:w="942" w:type="dxa"/>
            <w:tcBorders>
              <w:bottom w:val="single" w:sz="8" w:space="0" w:color="6B7280"/>
            </w:tcBorders>
            <w:vAlign w:val="bottom"/>
          </w:tcPr>
          <w:p>
            <w:pPr>
              <w:pStyle w:val="KepalaTabel"/>
              <w:suppressAutoHyphens/>
            </w:pPr>
            <w:r>
              <w:rPr>
                <w:b/>
                <w:bCs/>
                <w:color w:val="6B7280"/>
                <w:sz w:val="17"/>
                <w:szCs w:val="17"/>
              </w:rPr>
              <w:t xml:space="preserve">TINGGI</w:t>
            </w:r>
          </w:p>
        </w:tc>
        <w:tc>
          <w:tcPr>
            <w:tcW w:w="1056"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87"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348" w:type="dxa"/>
          </w:tcPr>
          <w:p>
            <w:pPr>
              <w:pStyle w:val="IsiTabel"/>
              <w:suppressAutoHyphens/>
              <w:jc w:val="left"/>
            </w:pPr>
            <w:r>
              <w:t xml:space="preserve">dibi_kejadian_2015</w:t>
            </w:r>
          </w:p>
        </w:tc>
        <w:tc>
          <w:tcPr>
            <w:tcW w:w="1254" w:type="dxa"/>
          </w:tcPr>
          <w:p>
            <w:pPr>
              <w:pStyle w:val="IsiTabel"/>
              <w:suppressAutoHyphens/>
              <w:jc w:val="right"/>
            </w:pPr>
            <w:r>
              <w:t xml:space="preserve">7</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kejadian</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suppressAutoHyphens/>
              <w:jc w:val="left"/>
            </w:pPr>
            <w:r>
              <w:t xml:space="preserve">dibi_terdampak_2015</w:t>
            </w:r>
          </w:p>
        </w:tc>
        <w:tc>
          <w:tcPr>
            <w:tcW w:w="1254" w:type="dxa"/>
          </w:tcPr>
          <w:p>
            <w:pPr>
              <w:pStyle w:val="IsiTabel"/>
              <w:suppressAutoHyphens/>
              <w:jc w:val="right"/>
            </w:pPr>
            <w:r>
              <w:t xml:space="preserve">232.348</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jiwa</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suppressAutoHyphens/>
              <w:jc w:val="left"/>
            </w:pPr>
            <w:r>
              <w:t xml:space="preserve">korban_jiwa_2015</w:t>
            </w:r>
          </w:p>
        </w:tc>
        <w:tc>
          <w:tcPr>
            <w:tcW w:w="1254" w:type="dxa"/>
          </w:tcPr>
          <w:p>
            <w:pPr>
              <w:pStyle w:val="IsiTabel"/>
              <w:suppressAutoHyphens/>
              <w:jc w:val="right"/>
            </w:pPr>
            <w:r>
              <w:t xml:space="preserve">–</w:t>
            </w:r>
          </w:p>
        </w:tc>
        <w:tc>
          <w:tcPr>
            <w:tcW w:w="1067" w:type="dxa"/>
          </w:tcPr>
          <w:p>
            <w:pPr>
              <w:pStyle w:val="IsiTabel"/>
              <w:suppressAutoHyphens/>
              <w:jc w:val="right"/>
            </w:pPr>
            <w:r>
              <w:t xml:space="preserve">0</w:t>
            </w:r>
          </w:p>
        </w:tc>
        <w:tc>
          <w:tcPr>
            <w:tcW w:w="942" w:type="dxa"/>
          </w:tcPr>
          <w:p>
            <w:pPr>
              <w:pStyle w:val="IsiTabel"/>
              <w:suppressAutoHyphens/>
              <w:jc w:val="right"/>
            </w:pPr>
            <w:r>
              <w:t xml:space="preserve">0,2</w:t>
            </w:r>
          </w:p>
        </w:tc>
        <w:tc>
          <w:tcPr>
            <w:tcW w:w="1056" w:type="dxa"/>
          </w:tcPr>
          <w:p>
            <w:pPr>
              <w:pStyle w:val="IsiTabel"/>
              <w:suppressAutoHyphens/>
              <w:jc w:val="left"/>
            </w:pPr>
            <w:r>
              <w:t xml:space="preserve">jiwa</w:t>
            </w:r>
          </w:p>
        </w:tc>
        <w:tc>
          <w:tcPr>
            <w:tcW w:w="1687"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48" w:type="dxa"/>
          </w:tcPr>
          <w:p>
            <w:pPr>
              <w:pStyle w:val="IsiTabel"/>
              <w:suppressAutoHyphens/>
              <w:jc w:val="left"/>
            </w:pPr>
            <w:r>
              <w:t xml:space="preserve">dibi_kejadian_2018</w:t>
            </w:r>
          </w:p>
        </w:tc>
        <w:tc>
          <w:tcPr>
            <w:tcW w:w="1254" w:type="dxa"/>
          </w:tcPr>
          <w:p>
            <w:pPr>
              <w:pStyle w:val="IsiTabel"/>
              <w:suppressAutoHyphens/>
              <w:jc w:val="right"/>
            </w:pPr>
            <w:r>
              <w:t xml:space="preserve">130</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kejadian</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suppressAutoHyphens/>
              <w:jc w:val="left"/>
            </w:pPr>
            <w:r>
              <w:t xml:space="preserve">dibi_terdampak_2018</w:t>
            </w:r>
          </w:p>
        </w:tc>
        <w:tc>
          <w:tcPr>
            <w:tcW w:w="1254" w:type="dxa"/>
          </w:tcPr>
          <w:p>
            <w:pPr>
              <w:pStyle w:val="IsiTabel"/>
              <w:suppressAutoHyphens/>
              <w:jc w:val="right"/>
            </w:pPr>
            <w:r>
              <w:t xml:space="preserve">7,8 juta</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jiwa</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suppressAutoHyphens/>
              <w:jc w:val="left"/>
            </w:pPr>
            <w:r>
              <w:t xml:space="preserve">korban_jiwa_2018</w:t>
            </w:r>
          </w:p>
        </w:tc>
        <w:tc>
          <w:tcPr>
            <w:tcW w:w="1254" w:type="dxa"/>
          </w:tcPr>
          <w:p>
            <w:pPr>
              <w:pStyle w:val="IsiTabel"/>
              <w:suppressAutoHyphens/>
              <w:jc w:val="right"/>
            </w:pPr>
            <w:r>
              <w:t xml:space="preserve">–</w:t>
            </w:r>
          </w:p>
        </w:tc>
        <w:tc>
          <w:tcPr>
            <w:tcW w:w="1067" w:type="dxa"/>
          </w:tcPr>
          <w:p>
            <w:pPr>
              <w:pStyle w:val="IsiTabel"/>
              <w:suppressAutoHyphens/>
              <w:jc w:val="right"/>
            </w:pPr>
            <w:r>
              <w:t xml:space="preserve">0</w:t>
            </w:r>
          </w:p>
        </w:tc>
        <w:tc>
          <w:tcPr>
            <w:tcW w:w="942" w:type="dxa"/>
          </w:tcPr>
          <w:p>
            <w:pPr>
              <w:pStyle w:val="IsiTabel"/>
              <w:suppressAutoHyphens/>
              <w:jc w:val="right"/>
            </w:pPr>
            <w:r>
              <w:t xml:space="preserve">4,5</w:t>
            </w:r>
          </w:p>
        </w:tc>
        <w:tc>
          <w:tcPr>
            <w:tcW w:w="1056" w:type="dxa"/>
          </w:tcPr>
          <w:p>
            <w:pPr>
              <w:pStyle w:val="IsiTabel"/>
              <w:suppressAutoHyphens/>
              <w:jc w:val="left"/>
            </w:pPr>
            <w:r>
              <w:t xml:space="preserve">jiwa</w:t>
            </w:r>
          </w:p>
        </w:tc>
        <w:tc>
          <w:tcPr>
            <w:tcW w:w="1687"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348" w:type="dxa"/>
          </w:tcPr>
          <w:p>
            <w:pPr>
              <w:pStyle w:val="IsiTabel"/>
              <w:suppressAutoHyphens/>
              <w:jc w:val="left"/>
            </w:pPr>
            <w:r>
              <w:t xml:space="preserve">luas_bahaya_tinggi_kekeringan</w:t>
            </w:r>
          </w:p>
        </w:tc>
        <w:tc>
          <w:tcPr>
            <w:tcW w:w="1254" w:type="dxa"/>
          </w:tcPr>
          <w:p>
            <w:pPr>
              <w:pStyle w:val="IsiTabel"/>
              <w:suppressAutoHyphens/>
              <w:jc w:val="right"/>
            </w:pPr>
            <w:r>
              <w:t xml:space="preserve">30 juta</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ha</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suppressAutoHyphens/>
              <w:jc w:val="left"/>
            </w:pPr>
            <w:r>
              <w:t xml:space="preserve">luas_bahaya_sedang_kekeringan</w:t>
            </w:r>
          </w:p>
        </w:tc>
        <w:tc>
          <w:tcPr>
            <w:tcW w:w="1254" w:type="dxa"/>
          </w:tcPr>
          <w:p>
            <w:pPr>
              <w:pStyle w:val="IsiTabel"/>
              <w:suppressAutoHyphens/>
              <w:jc w:val="right"/>
            </w:pPr>
            <w:r>
              <w:t xml:space="preserve">128,2 juta</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ha</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suppressAutoHyphens/>
              <w:jc w:val="left"/>
            </w:pPr>
            <w:r>
              <w:t xml:space="preserve">terpapar_krb_kekeringan</w:t>
            </w:r>
          </w:p>
        </w:tc>
        <w:tc>
          <w:tcPr>
            <w:tcW w:w="1254" w:type="dxa"/>
          </w:tcPr>
          <w:p>
            <w:pPr>
              <w:pStyle w:val="IsiTabel"/>
              <w:suppressAutoHyphens/>
              <w:jc w:val="right"/>
            </w:pPr>
            <w:r>
              <w:t xml:space="preserve">272,5 juta</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jiwa</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suppressAutoHyphens/>
              <w:jc w:val="left"/>
            </w:pPr>
            <w:r>
              <w:t xml:space="preserve">kerugian_potensi_krb_kekeringan</w:t>
            </w:r>
          </w:p>
        </w:tc>
        <w:tc>
          <w:tcPr>
            <w:tcW w:w="1254" w:type="dxa"/>
          </w:tcPr>
          <w:p>
            <w:pPr>
              <w:pStyle w:val="IsiTabel"/>
              <w:suppressAutoHyphens/>
              <w:jc w:val="right"/>
            </w:pPr>
            <w:r>
              <w:t xml:space="preserve">967,1 triliun</w:t>
            </w:r>
          </w:p>
        </w:tc>
        <w:tc>
          <w:tcPr>
            <w:tcW w:w="1067" w:type="dxa"/>
          </w:tcPr>
          <w:p>
            <w:pPr>
              <w:pStyle w:val="IsiTabel"/>
              <w:suppressAutoHyphens/>
              <w:jc w:val="right"/>
            </w:pPr>
            <w:r>
              <w:t xml:space="preserve">–</w:t>
            </w:r>
          </w:p>
        </w:tc>
        <w:tc>
          <w:tcPr>
            <w:tcW w:w="942" w:type="dxa"/>
          </w:tcPr>
          <w:p>
            <w:pPr>
              <w:pStyle w:val="IsiTabel"/>
              <w:suppressAutoHyphens/>
              <w:jc w:val="right"/>
            </w:pPr>
            <w:r>
              <w:t xml:space="preserve">–</w:t>
            </w:r>
          </w:p>
        </w:tc>
        <w:tc>
          <w:tcPr>
            <w:tcW w:w="1056" w:type="dxa"/>
          </w:tcPr>
          <w:p>
            <w:pPr>
              <w:pStyle w:val="IsiTabel"/>
              <w:suppressAutoHyphens/>
              <w:jc w:val="left"/>
            </w:pPr>
            <w:r>
              <w:t xml:space="preserve">Rp</w:t>
            </w:r>
          </w:p>
        </w:tc>
        <w:tc>
          <w:tcPr>
            <w:tcW w:w="1687" w:type="dxa"/>
          </w:tcPr>
          <w:p>
            <w:pPr>
              <w:pStyle w:val="IsiTabel"/>
              <w:suppressAutoHyphens/>
              <w:jc w:val="left"/>
            </w:pPr>
            <w:r>
              <w:rPr>
                <w:b/>
                <w:bCs/>
                <w:color w:val="FFFFFF"/>
                <w:sz w:val="16"/>
                <w:szCs w:val="16"/>
                <w:shd w:val="clear" w:color="auto" w:fill="051C2C"/>
              </w:rPr>
              <w:t xml:space="preserve">  Resmi  </w:t>
            </w:r>
          </w:p>
        </w:tc>
      </w:tr>
      <w:tr>
        <w:trPr>
          <w:cantSplit/>
        </w:trPr>
        <w:tc>
          <w:tcPr>
            <w:tcW w:w="3348" w:type="dxa"/>
          </w:tcPr>
          <w:p>
            <w:pPr>
              <w:pStyle w:val="IsiTabel"/>
              <w:keepNext/>
              <w:suppressAutoHyphens/>
              <w:jc w:val="left"/>
            </w:pPr>
            <w:bookmarkStart w:id="903" w:name="_Ekor105a"/>
            <w:bookmarkEnd w:id="903"/>
            <w:r>
              <w:t xml:space="preserve">jiwa_kec_bahaya_tinggi_kekeringan</w:t>
            </w:r>
          </w:p>
        </w:tc>
        <w:tc>
          <w:tcPr>
            <w:tcW w:w="1254" w:type="dxa"/>
          </w:tcPr>
          <w:p>
            <w:pPr>
              <w:pStyle w:val="IsiTabel"/>
              <w:keepNext/>
              <w:suppressAutoHyphens/>
              <w:jc w:val="right"/>
            </w:pPr>
            <w:r>
              <w:t xml:space="preserve">47 juta</w:t>
            </w:r>
          </w:p>
        </w:tc>
        <w:tc>
          <w:tcPr>
            <w:tcW w:w="1067" w:type="dxa"/>
          </w:tcPr>
          <w:p>
            <w:pPr>
              <w:pStyle w:val="IsiTabel"/>
              <w:keepNext/>
              <w:suppressAutoHyphens/>
              <w:jc w:val="right"/>
            </w:pPr>
            <w:r>
              <w:t xml:space="preserve">–</w:t>
            </w:r>
          </w:p>
        </w:tc>
        <w:tc>
          <w:tcPr>
            <w:tcW w:w="942" w:type="dxa"/>
          </w:tcPr>
          <w:p>
            <w:pPr>
              <w:pStyle w:val="IsiTabel"/>
              <w:keepNext/>
              <w:suppressAutoHyphens/>
              <w:jc w:val="right"/>
            </w:pPr>
            <w:r>
              <w:t xml:space="preserve">–</w:t>
            </w:r>
          </w:p>
        </w:tc>
        <w:tc>
          <w:tcPr>
            <w:tcW w:w="1056" w:type="dxa"/>
          </w:tcPr>
          <w:p>
            <w:pPr>
              <w:pStyle w:val="IsiTabel"/>
              <w:keepNext/>
              <w:suppressAutoHyphens/>
              <w:jc w:val="left"/>
            </w:pPr>
            <w:r>
              <w:t xml:space="preserve">jiwa</w:t>
            </w:r>
          </w:p>
        </w:tc>
        <w:tc>
          <w:tcPr>
            <w:tcW w:w="1687"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348" w:type="dxa"/>
          </w:tcPr>
          <w:p>
            <w:pPr>
              <w:pStyle w:val="IsiTabel"/>
              <w:keepNext/>
              <w:suppressAutoHyphens/>
              <w:jc w:val="left"/>
            </w:pPr>
            <w:r>
              <w:t xml:space="preserve">pct_kab_spi3_le-1_okt2015</w:t>
            </w:r>
          </w:p>
        </w:tc>
        <w:tc>
          <w:tcPr>
            <w:tcW w:w="1254" w:type="dxa"/>
          </w:tcPr>
          <w:p>
            <w:pPr>
              <w:pStyle w:val="IsiTabel"/>
              <w:keepNext/>
              <w:suppressAutoHyphens/>
              <w:jc w:val="right"/>
            </w:pPr>
            <w:r>
              <w:t xml:space="preserve">82</w:t>
            </w:r>
          </w:p>
        </w:tc>
        <w:tc>
          <w:tcPr>
            <w:tcW w:w="1067" w:type="dxa"/>
          </w:tcPr>
          <w:p>
            <w:pPr>
              <w:pStyle w:val="IsiTabel"/>
              <w:keepNext/>
              <w:suppressAutoHyphens/>
              <w:jc w:val="right"/>
            </w:pPr>
            <w:r>
              <w:t xml:space="preserve">–</w:t>
            </w:r>
          </w:p>
        </w:tc>
        <w:tc>
          <w:tcPr>
            <w:tcW w:w="942" w:type="dxa"/>
          </w:tcPr>
          <w:p>
            <w:pPr>
              <w:pStyle w:val="IsiTabel"/>
              <w:keepNext/>
              <w:suppressAutoHyphens/>
              <w:jc w:val="right"/>
            </w:pPr>
            <w:r>
              <w:t xml:space="preserve">–</w:t>
            </w:r>
          </w:p>
        </w:tc>
        <w:tc>
          <w:tcPr>
            <w:tcW w:w="1056" w:type="dxa"/>
          </w:tcPr>
          <w:p>
            <w:pPr>
              <w:pStyle w:val="IsiTabel"/>
              <w:keepNext/>
              <w:suppressAutoHyphens/>
              <w:jc w:val="left"/>
            </w:pPr>
            <w:r>
              <w:t xml:space="preserve">% kab</w:t>
            </w:r>
          </w:p>
        </w:tc>
        <w:tc>
          <w:tcPr>
            <w:tcW w:w="1687"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348" w:type="dxa"/>
          </w:tcPr>
          <w:p>
            <w:pPr>
              <w:pStyle w:val="IsiTabel"/>
              <w:keepNext/>
              <w:suppressAutoHyphens/>
              <w:jc w:val="left"/>
            </w:pPr>
            <w:r>
              <w:t xml:space="preserve">pct_kab_spi3_le-15_okt2015</w:t>
            </w:r>
          </w:p>
        </w:tc>
        <w:tc>
          <w:tcPr>
            <w:tcW w:w="1254" w:type="dxa"/>
          </w:tcPr>
          <w:p>
            <w:pPr>
              <w:pStyle w:val="IsiTabel"/>
              <w:keepNext/>
              <w:suppressAutoHyphens/>
              <w:jc w:val="right"/>
            </w:pPr>
            <w:r>
              <w:t xml:space="preserve">54</w:t>
            </w:r>
          </w:p>
        </w:tc>
        <w:tc>
          <w:tcPr>
            <w:tcW w:w="1067" w:type="dxa"/>
          </w:tcPr>
          <w:p>
            <w:pPr>
              <w:pStyle w:val="IsiTabel"/>
              <w:keepNext/>
              <w:suppressAutoHyphens/>
              <w:jc w:val="right"/>
            </w:pPr>
            <w:r>
              <w:t xml:space="preserve">–</w:t>
            </w:r>
          </w:p>
        </w:tc>
        <w:tc>
          <w:tcPr>
            <w:tcW w:w="942" w:type="dxa"/>
          </w:tcPr>
          <w:p>
            <w:pPr>
              <w:pStyle w:val="IsiTabel"/>
              <w:keepNext/>
              <w:suppressAutoHyphens/>
              <w:jc w:val="right"/>
            </w:pPr>
            <w:r>
              <w:t xml:space="preserve">–</w:t>
            </w:r>
          </w:p>
        </w:tc>
        <w:tc>
          <w:tcPr>
            <w:tcW w:w="1056" w:type="dxa"/>
          </w:tcPr>
          <w:p>
            <w:pPr>
              <w:pStyle w:val="IsiTabel"/>
              <w:keepNext/>
              <w:suppressAutoHyphens/>
              <w:jc w:val="left"/>
            </w:pPr>
            <w:r>
              <w:t xml:space="preserve">% kab</w:t>
            </w:r>
          </w:p>
        </w:tc>
        <w:tc>
          <w:tcPr>
            <w:tcW w:w="1687"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348" w:type="dxa"/>
          </w:tcPr>
          <w:p>
            <w:pPr>
              <w:pStyle w:val="IsiTabel"/>
              <w:keepNext/>
              <w:suppressAutoHyphens/>
              <w:jc w:val="left"/>
            </w:pPr>
            <w:bookmarkStart w:id="904" w:name="_Ekor105z"/>
            <w:bookmarkEnd w:id="904"/>
            <w:r>
              <w:t xml:space="preserve">pct_kab_spi3_le-2_okt2015</w:t>
            </w:r>
          </w:p>
        </w:tc>
        <w:tc>
          <w:tcPr>
            <w:tcW w:w="1254" w:type="dxa"/>
          </w:tcPr>
          <w:p>
            <w:pPr>
              <w:pStyle w:val="IsiTabel"/>
              <w:keepNext/>
              <w:suppressAutoHyphens/>
              <w:jc w:val="right"/>
            </w:pPr>
            <w:r>
              <w:t xml:space="preserve">18,6</w:t>
            </w:r>
          </w:p>
        </w:tc>
        <w:tc>
          <w:tcPr>
            <w:tcW w:w="1067" w:type="dxa"/>
          </w:tcPr>
          <w:p>
            <w:pPr>
              <w:pStyle w:val="IsiTabel"/>
              <w:keepNext/>
              <w:suppressAutoHyphens/>
              <w:jc w:val="right"/>
            </w:pPr>
            <w:r>
              <w:t xml:space="preserve">–</w:t>
            </w:r>
          </w:p>
        </w:tc>
        <w:tc>
          <w:tcPr>
            <w:tcW w:w="942" w:type="dxa"/>
          </w:tcPr>
          <w:p>
            <w:pPr>
              <w:pStyle w:val="IsiTabel"/>
              <w:keepNext/>
              <w:suppressAutoHyphens/>
              <w:jc w:val="right"/>
            </w:pPr>
            <w:r>
              <w:t xml:space="preserve">–</w:t>
            </w:r>
          </w:p>
        </w:tc>
        <w:tc>
          <w:tcPr>
            <w:tcW w:w="1056" w:type="dxa"/>
          </w:tcPr>
          <w:p>
            <w:pPr>
              <w:pStyle w:val="IsiTabel"/>
              <w:keepNext/>
              <w:suppressAutoHyphens/>
              <w:jc w:val="left"/>
            </w:pPr>
            <w:r>
              <w:t xml:space="preserve">% kab</w:t>
            </w:r>
          </w:p>
        </w:tc>
        <w:tc>
          <w:tcPr>
            <w:tcW w:w="1687"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InaRISK BNPB, KRB 2022–2026; platform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Mesin neraca air dan padi belum lolos uji balik terhadap kejadian kekeringan DIBI.</w:t>
      </w:r>
    </w:p>
    <w:p>
      <w:pPr>
        <w:pStyle w:val="Caption"/>
      </w:pPr>
      <w:bookmarkStart w:id="906" w:name="_Toc00284"/>
      <w:bookmarkStart w:id="905" w:name="_Ref0233"/>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905"/>
      <w:r>
        <w:rPr>
          <w:b/>
          <w:bCs/>
          <w:color w:val="051C2C"/>
        </w:rPr>
        <w:t xml:space="preserve"> </w:t>
      </w:r>
      <w:r>
        <w:t xml:space="preserve">Catatan resmi dan keluaran mesin untuk karhutla 2015 tingkat nasional</w:t>
      </w:r>
      <w:bookmarkEnd w:id="90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86"/>
        <w:gridCol w:w="1179"/>
        <w:gridCol w:w="1104"/>
        <w:gridCol w:w="975"/>
        <w:gridCol w:w="1092"/>
        <w:gridCol w:w="1518"/>
      </w:tblGrid>
      <w:tr>
        <w:trPr>
          <w:cantSplit/>
          <w:tblHeader/>
        </w:trPr>
        <w:tc>
          <w:tcPr>
            <w:tcW w:w="3486"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179" w:type="dxa"/>
            <w:tcBorders>
              <w:bottom w:val="single" w:sz="8" w:space="0" w:color="6B7280"/>
            </w:tcBorders>
            <w:vAlign w:val="bottom"/>
          </w:tcPr>
          <w:p>
            <w:pPr>
              <w:pStyle w:val="KepalaTabel"/>
              <w:suppressAutoHyphens/>
            </w:pPr>
            <w:r>
              <w:rPr>
                <w:b/>
                <w:bCs/>
                <w:color w:val="6B7280"/>
                <w:sz w:val="17"/>
                <w:szCs w:val="17"/>
              </w:rPr>
              <w:t xml:space="preserve">NILAI</w:t>
            </w:r>
          </w:p>
        </w:tc>
        <w:tc>
          <w:tcPr>
            <w:tcW w:w="1104" w:type="dxa"/>
            <w:tcBorders>
              <w:bottom w:val="single" w:sz="8" w:space="0" w:color="6B7280"/>
            </w:tcBorders>
            <w:vAlign w:val="bottom"/>
          </w:tcPr>
          <w:p>
            <w:pPr>
              <w:pStyle w:val="KepalaTabel"/>
              <w:suppressAutoHyphens/>
            </w:pPr>
            <w:r>
              <w:rPr>
                <w:b/>
                <w:bCs/>
                <w:color w:val="6B7280"/>
                <w:sz w:val="17"/>
                <w:szCs w:val="17"/>
              </w:rPr>
              <w:t xml:space="preserve">RENDAH</w:t>
            </w:r>
          </w:p>
        </w:tc>
        <w:tc>
          <w:tcPr>
            <w:tcW w:w="975" w:type="dxa"/>
            <w:tcBorders>
              <w:bottom w:val="single" w:sz="8" w:space="0" w:color="6B7280"/>
            </w:tcBorders>
            <w:vAlign w:val="bottom"/>
          </w:tcPr>
          <w:p>
            <w:pPr>
              <w:pStyle w:val="KepalaTabel"/>
              <w:suppressAutoHyphens/>
            </w:pPr>
            <w:r>
              <w:rPr>
                <w:b/>
                <w:bCs/>
                <w:color w:val="6B7280"/>
                <w:sz w:val="17"/>
                <w:szCs w:val="17"/>
              </w:rPr>
              <w:t xml:space="preserve">TINGGI</w:t>
            </w:r>
          </w:p>
        </w:tc>
        <w:tc>
          <w:tcPr>
            <w:tcW w:w="1092" w:type="dxa"/>
            <w:tcBorders>
              <w:bottom w:val="single" w:sz="8" w:space="0" w:color="6B7280"/>
            </w:tcBorders>
            <w:vAlign w:val="bottom"/>
          </w:tcPr>
          <w:p>
            <w:pPr>
              <w:pStyle w:val="KepalaTabel"/>
              <w:suppressAutoHyphens/>
            </w:pPr>
            <w:r>
              <w:rPr>
                <w:b/>
                <w:bCs/>
                <w:color w:val="6B7280"/>
                <w:sz w:val="17"/>
                <w:szCs w:val="17"/>
              </w:rPr>
              <w:t xml:space="preserve">SATUAN</w:t>
            </w:r>
          </w:p>
        </w:tc>
        <w:tc>
          <w:tcPr>
            <w:tcW w:w="1518"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486" w:type="dxa"/>
          </w:tcPr>
          <w:p>
            <w:pPr>
              <w:pStyle w:val="IsiTabel"/>
              <w:suppressAutoHyphens/>
              <w:jc w:val="left"/>
            </w:pPr>
            <w:r>
              <w:t xml:space="preserve">luas_terbakar_sipongi</w:t>
            </w:r>
          </w:p>
        </w:tc>
        <w:tc>
          <w:tcPr>
            <w:tcW w:w="1179" w:type="dxa"/>
          </w:tcPr>
          <w:p>
            <w:pPr>
              <w:pStyle w:val="IsiTabel"/>
              <w:suppressAutoHyphens/>
              <w:jc w:val="right"/>
            </w:pPr>
            <w:r>
              <w:t xml:space="preserve">2,6 juta</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ha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dibi_kejadian</w:t>
            </w:r>
          </w:p>
        </w:tc>
        <w:tc>
          <w:tcPr>
            <w:tcW w:w="1179" w:type="dxa"/>
          </w:tcPr>
          <w:p>
            <w:pPr>
              <w:pStyle w:val="IsiTabel"/>
              <w:suppressAutoHyphens/>
              <w:jc w:val="right"/>
            </w:pPr>
            <w:r>
              <w:t xml:space="preserve">46</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kejadian</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dibi_meninggal_hilang</w:t>
            </w:r>
          </w:p>
        </w:tc>
        <w:tc>
          <w:tcPr>
            <w:tcW w:w="1179" w:type="dxa"/>
          </w:tcPr>
          <w:p>
            <w:pPr>
              <w:pStyle w:val="IsiTabel"/>
              <w:suppressAutoHyphens/>
              <w:jc w:val="right"/>
            </w:pPr>
            <w:r>
              <w:t xml:space="preserve">24</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jiwa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dibi_meninggal_hilang_prov_asap</w:t>
            </w:r>
          </w:p>
        </w:tc>
        <w:tc>
          <w:tcPr>
            <w:tcW w:w="1179" w:type="dxa"/>
          </w:tcPr>
          <w:p>
            <w:pPr>
              <w:pStyle w:val="IsiTabel"/>
              <w:suppressAutoHyphens/>
              <w:jc w:val="right"/>
            </w:pPr>
            <w:r>
              <w:t xml:space="preserve">12</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jiwa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dibi_meninggal_hilang_prov_lain</w:t>
            </w:r>
          </w:p>
        </w:tc>
        <w:tc>
          <w:tcPr>
            <w:tcW w:w="1179" w:type="dxa"/>
          </w:tcPr>
          <w:p>
            <w:pPr>
              <w:pStyle w:val="IsiTabel"/>
              <w:suppressAutoHyphens/>
              <w:jc w:val="right"/>
            </w:pPr>
            <w:r>
              <w:t xml:space="preserve">12</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jiwa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dibi_mengungsi</w:t>
            </w:r>
          </w:p>
        </w:tc>
        <w:tc>
          <w:tcPr>
            <w:tcW w:w="1179" w:type="dxa"/>
          </w:tcPr>
          <w:p>
            <w:pPr>
              <w:pStyle w:val="IsiTabel"/>
              <w:suppressAutoHyphens/>
              <w:jc w:val="right"/>
            </w:pPr>
            <w:r>
              <w:t xml:space="preserve">0</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jiwa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luas_bahaya_total_krb_karhutla</w:t>
            </w:r>
          </w:p>
        </w:tc>
        <w:tc>
          <w:tcPr>
            <w:tcW w:w="1179" w:type="dxa"/>
          </w:tcPr>
          <w:p>
            <w:pPr>
              <w:pStyle w:val="IsiTabel"/>
              <w:suppressAutoHyphens/>
              <w:jc w:val="right"/>
            </w:pPr>
            <w:r>
              <w:t xml:space="preserve">128,3 juta</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ha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luas_bahaya_tinggi_krb_karhutla</w:t>
            </w:r>
          </w:p>
        </w:tc>
        <w:tc>
          <w:tcPr>
            <w:tcW w:w="1179" w:type="dxa"/>
          </w:tcPr>
          <w:p>
            <w:pPr>
              <w:pStyle w:val="IsiTabel"/>
              <w:suppressAutoHyphens/>
              <w:jc w:val="right"/>
            </w:pPr>
            <w:r>
              <w:t xml:space="preserve">25,5 juta</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ha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kerugian_potensi_krb_karhutla</w:t>
            </w:r>
          </w:p>
        </w:tc>
        <w:tc>
          <w:tcPr>
            <w:tcW w:w="1179" w:type="dxa"/>
          </w:tcPr>
          <w:p>
            <w:pPr>
              <w:pStyle w:val="IsiTabel"/>
              <w:suppressAutoHyphens/>
              <w:jc w:val="right"/>
            </w:pPr>
            <w:r>
              <w:t xml:space="preserve">709 triliun</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Rp</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kerusakan_lingkungan_krb_karhutla</w:t>
            </w:r>
          </w:p>
        </w:tc>
        <w:tc>
          <w:tcPr>
            <w:tcW w:w="1179" w:type="dxa"/>
          </w:tcPr>
          <w:p>
            <w:pPr>
              <w:pStyle w:val="IsiTabel"/>
              <w:suppressAutoHyphens/>
              <w:jc w:val="right"/>
            </w:pPr>
            <w:r>
              <w:t xml:space="preserve">6,3 juta</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ha</w:t>
            </w:r>
          </w:p>
        </w:tc>
        <w:tc>
          <w:tcPr>
            <w:tcW w:w="1518" w:type="dxa"/>
          </w:tcPr>
          <w:p>
            <w:pPr>
              <w:pStyle w:val="IsiTabel"/>
              <w:suppressAutoHyphens/>
              <w:jc w:val="left"/>
            </w:pPr>
            <w:r>
              <w:rPr>
                <w:b/>
                <w:bCs/>
                <w:color w:val="FFFFFF"/>
                <w:sz w:val="16"/>
                <w:szCs w:val="16"/>
                <w:shd w:val="clear" w:color="auto" w:fill="051C2C"/>
              </w:rPr>
              <w:t xml:space="preserve">  Resmi  </w:t>
            </w:r>
          </w:p>
        </w:tc>
      </w:tr>
      <w:tr>
        <w:trPr>
          <w:cantSplit/>
        </w:trPr>
        <w:tc>
          <w:tcPr>
            <w:tcW w:w="3486" w:type="dxa"/>
          </w:tcPr>
          <w:p>
            <w:pPr>
              <w:pStyle w:val="IsiTabel"/>
              <w:suppressAutoHyphens/>
              <w:jc w:val="left"/>
            </w:pPr>
            <w:r>
              <w:t xml:space="preserve">luas_terbakar_bank_dunia</w:t>
            </w:r>
          </w:p>
        </w:tc>
        <w:tc>
          <w:tcPr>
            <w:tcW w:w="1179" w:type="dxa"/>
          </w:tcPr>
          <w:p>
            <w:pPr>
              <w:pStyle w:val="IsiTabel"/>
              <w:suppressAutoHyphens/>
              <w:jc w:val="right"/>
            </w:pPr>
            <w:r>
              <w:t xml:space="preserve">2,6 juta</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ha</w:t>
            </w:r>
          </w:p>
        </w:tc>
        <w:tc>
          <w:tcPr>
            <w:tcW w:w="1518"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486" w:type="dxa"/>
          </w:tcPr>
          <w:p>
            <w:pPr>
              <w:pStyle w:val="IsiTabel"/>
              <w:suppressAutoHyphens/>
              <w:jc w:val="left"/>
            </w:pPr>
            <w:r>
              <w:t xml:space="preserve">kerugian_bank_dunia</w:t>
            </w:r>
          </w:p>
        </w:tc>
        <w:tc>
          <w:tcPr>
            <w:tcW w:w="1179" w:type="dxa"/>
          </w:tcPr>
          <w:p>
            <w:pPr>
              <w:pStyle w:val="IsiTabel"/>
              <w:suppressAutoHyphens/>
              <w:jc w:val="right"/>
            </w:pPr>
            <w:r>
              <w:t xml:space="preserve">16,1 miliar</w:t>
            </w:r>
          </w:p>
        </w:tc>
        <w:tc>
          <w:tcPr>
            <w:tcW w:w="1104" w:type="dxa"/>
          </w:tcPr>
          <w:p>
            <w:pPr>
              <w:pStyle w:val="IsiTabel"/>
              <w:suppressAutoHyphens/>
              <w:jc w:val="right"/>
            </w:pPr>
            <w:r>
              <w:t xml:space="preserve">–</w:t>
            </w:r>
          </w:p>
        </w:tc>
        <w:tc>
          <w:tcPr>
            <w:tcW w:w="975" w:type="dxa"/>
          </w:tcPr>
          <w:p>
            <w:pPr>
              <w:pStyle w:val="IsiTabel"/>
              <w:suppressAutoHyphens/>
              <w:jc w:val="right"/>
            </w:pPr>
            <w:r>
              <w:t xml:space="preserve">–</w:t>
            </w:r>
          </w:p>
        </w:tc>
        <w:tc>
          <w:tcPr>
            <w:tcW w:w="1092" w:type="dxa"/>
          </w:tcPr>
          <w:p>
            <w:pPr>
              <w:pStyle w:val="IsiTabel"/>
              <w:suppressAutoHyphens/>
              <w:jc w:val="left"/>
            </w:pPr>
            <w:r>
              <w:t xml:space="preserve">USD</w:t>
            </w:r>
          </w:p>
        </w:tc>
        <w:tc>
          <w:tcPr>
            <w:tcW w:w="1518"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486" w:type="dxa"/>
          </w:tcPr>
          <w:p>
            <w:pPr>
              <w:pStyle w:val="IsiTabel"/>
              <w:keepNext/>
              <w:suppressAutoHyphens/>
              <w:jc w:val="left"/>
            </w:pPr>
            <w:bookmarkStart w:id="907" w:name="_Ekor106a"/>
            <w:bookmarkEnd w:id="907"/>
            <w:r>
              <w:t xml:space="preserve">kerugian_bank_dunia_idr</w:t>
            </w:r>
          </w:p>
        </w:tc>
        <w:tc>
          <w:tcPr>
            <w:tcW w:w="1179" w:type="dxa"/>
          </w:tcPr>
          <w:p>
            <w:pPr>
              <w:pStyle w:val="IsiTabel"/>
              <w:keepNext/>
              <w:suppressAutoHyphens/>
              <w:jc w:val="right"/>
            </w:pPr>
            <w:r>
              <w:t xml:space="preserve">221 triliun</w:t>
            </w:r>
          </w:p>
        </w:tc>
        <w:tc>
          <w:tcPr>
            <w:tcW w:w="1104" w:type="dxa"/>
          </w:tcPr>
          <w:p>
            <w:pPr>
              <w:pStyle w:val="IsiTabel"/>
              <w:keepNext/>
              <w:suppressAutoHyphens/>
              <w:jc w:val="right"/>
            </w:pPr>
            <w:r>
              <w:t xml:space="preserve">–</w:t>
            </w:r>
          </w:p>
        </w:tc>
        <w:tc>
          <w:tcPr>
            <w:tcW w:w="975" w:type="dxa"/>
          </w:tcPr>
          <w:p>
            <w:pPr>
              <w:pStyle w:val="IsiTabel"/>
              <w:keepNext/>
              <w:suppressAutoHyphens/>
              <w:jc w:val="right"/>
            </w:pPr>
            <w:r>
              <w:t xml:space="preserve">–</w:t>
            </w:r>
          </w:p>
        </w:tc>
        <w:tc>
          <w:tcPr>
            <w:tcW w:w="1092" w:type="dxa"/>
          </w:tcPr>
          <w:p>
            <w:pPr>
              <w:pStyle w:val="IsiTabel"/>
              <w:keepNext/>
              <w:suppressAutoHyphens/>
              <w:jc w:val="left"/>
            </w:pPr>
            <w:r>
              <w:t xml:space="preserve">Rp</w:t>
            </w:r>
          </w:p>
        </w:tc>
        <w:tc>
          <w:tcPr>
            <w:tcW w:w="1518"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3486" w:type="dxa"/>
          </w:tcPr>
          <w:p>
            <w:pPr>
              <w:pStyle w:val="IsiTabel"/>
              <w:keepNext/>
              <w:suppressAutoHyphens/>
              <w:jc w:val="left"/>
            </w:pPr>
            <w:r>
              <w:t xml:space="preserve">kerugian_bank_dunia_pct_pdb</w:t>
            </w:r>
          </w:p>
        </w:tc>
        <w:tc>
          <w:tcPr>
            <w:tcW w:w="1179" w:type="dxa"/>
          </w:tcPr>
          <w:p>
            <w:pPr>
              <w:pStyle w:val="IsiTabel"/>
              <w:keepNext/>
              <w:suppressAutoHyphens/>
              <w:jc w:val="right"/>
            </w:pPr>
            <w:r>
              <w:t xml:space="preserve">1,9</w:t>
            </w:r>
          </w:p>
        </w:tc>
        <w:tc>
          <w:tcPr>
            <w:tcW w:w="1104" w:type="dxa"/>
          </w:tcPr>
          <w:p>
            <w:pPr>
              <w:pStyle w:val="IsiTabel"/>
              <w:keepNext/>
              <w:suppressAutoHyphens/>
              <w:jc w:val="right"/>
            </w:pPr>
            <w:r>
              <w:t xml:space="preserve">–</w:t>
            </w:r>
          </w:p>
        </w:tc>
        <w:tc>
          <w:tcPr>
            <w:tcW w:w="975" w:type="dxa"/>
          </w:tcPr>
          <w:p>
            <w:pPr>
              <w:pStyle w:val="IsiTabel"/>
              <w:keepNext/>
              <w:suppressAutoHyphens/>
              <w:jc w:val="right"/>
            </w:pPr>
            <w:r>
              <w:t xml:space="preserve">–</w:t>
            </w:r>
          </w:p>
        </w:tc>
        <w:tc>
          <w:tcPr>
            <w:tcW w:w="1092" w:type="dxa"/>
          </w:tcPr>
          <w:p>
            <w:pPr>
              <w:pStyle w:val="IsiTabel"/>
              <w:keepNext/>
              <w:suppressAutoHyphens/>
              <w:jc w:val="left"/>
            </w:pPr>
            <w:r>
              <w:t xml:space="preserve">% PDB</w:t>
            </w:r>
          </w:p>
        </w:tc>
        <w:tc>
          <w:tcPr>
            <w:tcW w:w="1518"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3486" w:type="dxa"/>
          </w:tcPr>
          <w:p>
            <w:pPr>
              <w:pStyle w:val="IsiTabel"/>
              <w:keepNext/>
              <w:suppressAutoHyphens/>
              <w:jc w:val="left"/>
            </w:pPr>
            <w:r>
              <w:t xml:space="preserve">meninggal_bank_dunia</w:t>
            </w:r>
          </w:p>
        </w:tc>
        <w:tc>
          <w:tcPr>
            <w:tcW w:w="1179" w:type="dxa"/>
          </w:tcPr>
          <w:p>
            <w:pPr>
              <w:pStyle w:val="IsiTabel"/>
              <w:keepNext/>
              <w:suppressAutoHyphens/>
              <w:jc w:val="right"/>
            </w:pPr>
            <w:r>
              <w:t xml:space="preserve">19</w:t>
            </w:r>
          </w:p>
        </w:tc>
        <w:tc>
          <w:tcPr>
            <w:tcW w:w="1104" w:type="dxa"/>
          </w:tcPr>
          <w:p>
            <w:pPr>
              <w:pStyle w:val="IsiTabel"/>
              <w:keepNext/>
              <w:suppressAutoHyphens/>
              <w:jc w:val="right"/>
            </w:pPr>
            <w:r>
              <w:t xml:space="preserve">–</w:t>
            </w:r>
          </w:p>
        </w:tc>
        <w:tc>
          <w:tcPr>
            <w:tcW w:w="975" w:type="dxa"/>
          </w:tcPr>
          <w:p>
            <w:pPr>
              <w:pStyle w:val="IsiTabel"/>
              <w:keepNext/>
              <w:suppressAutoHyphens/>
              <w:jc w:val="right"/>
            </w:pPr>
            <w:r>
              <w:t xml:space="preserve">–</w:t>
            </w:r>
          </w:p>
        </w:tc>
        <w:tc>
          <w:tcPr>
            <w:tcW w:w="1092" w:type="dxa"/>
          </w:tcPr>
          <w:p>
            <w:pPr>
              <w:pStyle w:val="IsiTabel"/>
              <w:keepNext/>
              <w:suppressAutoHyphens/>
              <w:jc w:val="left"/>
            </w:pPr>
            <w:r>
              <w:t xml:space="preserve">jiwa</w:t>
            </w:r>
          </w:p>
        </w:tc>
        <w:tc>
          <w:tcPr>
            <w:tcW w:w="1518"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3486" w:type="dxa"/>
          </w:tcPr>
          <w:p>
            <w:pPr>
              <w:pStyle w:val="IsiTabel"/>
              <w:keepNext/>
              <w:suppressAutoHyphens/>
              <w:jc w:val="left"/>
            </w:pPr>
            <w:bookmarkStart w:id="908" w:name="_Ekor106z"/>
            <w:bookmarkEnd w:id="908"/>
            <w:r>
              <w:t xml:space="preserve">ispa</w:t>
            </w:r>
          </w:p>
        </w:tc>
        <w:tc>
          <w:tcPr>
            <w:tcW w:w="1179" w:type="dxa"/>
          </w:tcPr>
          <w:p>
            <w:pPr>
              <w:pStyle w:val="IsiTabel"/>
              <w:keepNext/>
              <w:suppressAutoHyphens/>
              <w:jc w:val="right"/>
            </w:pPr>
            <w:r>
              <w:t xml:space="preserve">450.431</w:t>
            </w:r>
          </w:p>
        </w:tc>
        <w:tc>
          <w:tcPr>
            <w:tcW w:w="1104" w:type="dxa"/>
          </w:tcPr>
          <w:p>
            <w:pPr>
              <w:pStyle w:val="IsiTabel"/>
              <w:keepNext/>
              <w:suppressAutoHyphens/>
              <w:jc w:val="right"/>
            </w:pPr>
            <w:r>
              <w:t xml:space="preserve">–</w:t>
            </w:r>
          </w:p>
        </w:tc>
        <w:tc>
          <w:tcPr>
            <w:tcW w:w="975" w:type="dxa"/>
          </w:tcPr>
          <w:p>
            <w:pPr>
              <w:pStyle w:val="IsiTabel"/>
              <w:keepNext/>
              <w:suppressAutoHyphens/>
              <w:jc w:val="right"/>
            </w:pPr>
            <w:r>
              <w:t xml:space="preserve">–</w:t>
            </w:r>
          </w:p>
        </w:tc>
        <w:tc>
          <w:tcPr>
            <w:tcW w:w="1092" w:type="dxa"/>
          </w:tcPr>
          <w:p>
            <w:pPr>
              <w:pStyle w:val="IsiTabel"/>
              <w:keepNext/>
              <w:suppressAutoHyphens/>
              <w:jc w:val="left"/>
            </w:pPr>
            <w:r>
              <w:t xml:space="preserve">kasus</w:t>
            </w:r>
          </w:p>
        </w:tc>
        <w:tc>
          <w:tcPr>
            <w:tcW w:w="1518"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SiPongi Kementerian Kehutanan; DIBI BNPB; Renas PB 2025–2029 (KRB 2022–2026); Bank Dunia (2016)</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Angka Bank Dunia terverifikasi; kerugian dalam dolar Amerika Serikat dan rupiah adalah dua satuan satu angka dan tidak dijumlah.</w:t>
      </w:r>
    </w:p>
    <w:p>
      <w:pPr>
        <w:pStyle w:val="JudulLampiran"/>
      </w:pPr>
      <w:bookmarkStart w:id="910" w:name="_Toc00285"/>
      <w:bookmarkStart w:id="909" w:name="_Ref0062"/>
      <w:r>
        <w:t xml:space="preserve">Lampiran D</w:t>
      </w:r>
      <w:bookmarkEnd w:id="909"/>
      <w:r>
        <w:t xml:space="preserve">. Rekap DIBI dan Rekonsiliasi Kejadian</w:t>
      </w:r>
      <w:bookmarkEnd w:id="910"/>
    </w:p>
    <w:p>
      <w:pPr>
        <w:pStyle w:val="Isi"/>
      </w:pPr>
      <w:r>
        <w:t xml:space="preserve">Rekap ini memuat catatan DIBI tingkat nasional per tahun 2008–2026 dan per jenis bencana alam 2015–2025, ditarik dari dasbor publik Pusat Data, Informasi, dan Komunikasi Kebencanaan pada 23 Oktober 2026 </w:t>
      </w:r>
      <w:r>
        <w:t xml:space="preserve">(BNPB, t.t.-a)</w:t>
      </w:r>
      <w:r>
        <w:t xml:space="preserve">. Semua angka memakai cakupan kejadian bencana. Angka 2026 masih sementara, dan kejadian lintas kab/kota dibagi rata sehingga jumlah kejadian dapat berupa pecahan.</w:t>
      </w:r>
    </w:p>
    <w:p>
      <w:pPr>
        <w:pStyle w:val="IsiTemuan"/>
      </w:pPr>
      <w:r>
        <w:rPr>
          <w:b/>
          <w:bCs/>
          <w:color w:val="051C2C"/>
        </w:rPr>
        <w:t xml:space="preserve">Seri DIBI patah dua kali, sehingga kolom bencana alam menjadi dasar perbandingan lintas tahun dan kolom semua klasifikasi hanya menunjukkan komposisi.</w:t>
      </w:r>
      <w:r>
        <w:t xml:space="preserve"> Sejak data 2024, laporan ditandai kejadian bencana menurut ambang Juklak BNPB 7/2023, sehingga cakupan bencana dan semua laporan baru berbeda sejak tahun itu </w:t>
      </w:r>
      <w:r>
        <w:t xml:space="preserve">(BNPB, 2023j, hlm. 7)</w:t>
      </w:r>
      <w:r>
        <w:t xml:space="preserve">. Pada 2018 kategori Banjir Bandang, Banjir dan Tanah Longsor, Banjir Rob, serta Puting Beliung baru muncul, sedangkan kategori di luar bencana alam nol kejadian pada 2020–2023 tetapi </w:t>
      </w:r>
      <w:r>
        <w:t xml:space="preserve">363</w:t>
      </w:r>
      <w:r>
        <w:t xml:space="preserve"> kejadian pada 2025 (</w:t>
      </w:r>
      <w:r>
        <w:t xml:space="preserve">Subbab </w:t>
      </w:r>
      <w:r>
        <w:fldChar w:fldCharType="begin"/>
      </w:r>
      <w:r>
        <w:instrText xml:space="preserve"> REF _Ref0119 \h \* CHARFORMAT </w:instrText>
      </w:r>
      <w:r>
        <w:fldChar w:fldCharType="separate"/>
      </w:r>
      <w:r>
        <w:t xml:space="preserve">3.3</w:t>
      </w:r>
      <w:r>
        <w:fldChar w:fldCharType="end"/>
      </w:r>
      <w:r>
        <w:t xml:space="preserve">).</w:t>
      </w:r>
    </w:p>
    <w:p>
      <w:pPr>
        <w:pStyle w:val="Caption"/>
      </w:pPr>
      <w:bookmarkStart w:id="912" w:name="_Toc00286"/>
      <w:bookmarkStart w:id="911" w:name="_Ref0244"/>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11"/>
      <w:r>
        <w:rPr>
          <w:b/>
          <w:bCs/>
          <w:color w:val="051C2C"/>
        </w:rPr>
        <w:t xml:space="preserve"> </w:t>
      </w:r>
      <w:r>
        <w:t xml:space="preserve">Kejadian dan dampak bencana alam serta korban semua klasifikasi menurut DIBI per tahun, Indonesia, 2008–2026</w:t>
      </w:r>
      <w:bookmarkEnd w:id="91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61"/>
        <w:gridCol w:w="1162"/>
        <w:gridCol w:w="1347"/>
        <w:gridCol w:w="931"/>
        <w:gridCol w:w="1357"/>
        <w:gridCol w:w="904"/>
        <w:gridCol w:w="1397"/>
        <w:gridCol w:w="1395"/>
      </w:tblGrid>
      <w:tr>
        <w:trPr>
          <w:cantSplit/>
          <w:tblHeader/>
        </w:trPr>
        <w:tc>
          <w:tcPr>
            <w:tcW w:w="861" w:type="dxa"/>
            <w:tcBorders>
              <w:bottom w:val="single" w:sz="8" w:space="0" w:color="6B7280"/>
            </w:tcBorders>
            <w:vAlign w:val="bottom"/>
          </w:tcPr>
          <w:p>
            <w:pPr>
              <w:pStyle w:val="KepalaTabel"/>
              <w:suppressAutoHyphens/>
            </w:pPr>
            <w:r>
              <w:rPr>
                <w:b/>
                <w:bCs/>
                <w:color w:val="6B7280"/>
                <w:sz w:val="17"/>
                <w:szCs w:val="17"/>
              </w:rPr>
              <w:t xml:space="preserve">TAHUN</w:t>
            </w:r>
          </w:p>
        </w:tc>
        <w:tc>
          <w:tcPr>
            <w:tcW w:w="1162" w:type="dxa"/>
            <w:tcBorders>
              <w:bottom w:val="single" w:sz="8" w:space="0" w:color="6B7280"/>
            </w:tcBorders>
            <w:vAlign w:val="bottom"/>
          </w:tcPr>
          <w:p>
            <w:pPr>
              <w:pStyle w:val="KepalaTabel"/>
              <w:suppressAutoHyphens/>
            </w:pPr>
            <w:r>
              <w:rPr>
                <w:b/>
                <w:bCs/>
                <w:color w:val="6B7280"/>
                <w:sz w:val="17"/>
                <w:szCs w:val="17"/>
              </w:rPr>
              <w:t xml:space="preserve">KEJADIAN ALAM</w:t>
            </w:r>
          </w:p>
        </w:tc>
        <w:tc>
          <w:tcPr>
            <w:tcW w:w="1347" w:type="dxa"/>
            <w:tcBorders>
              <w:bottom w:val="single" w:sz="8" w:space="0" w:color="6B7280"/>
            </w:tcBorders>
            <w:vAlign w:val="bottom"/>
          </w:tcPr>
          <w:p>
            <w:pPr>
              <w:pStyle w:val="KepalaTabel"/>
              <w:suppressAutoHyphens/>
            </w:pPr>
            <w:r>
              <w:rPr>
                <w:b/>
                <w:bCs/>
                <w:color w:val="6B7280"/>
                <w:sz w:val="17"/>
                <w:szCs w:val="17"/>
              </w:rPr>
              <w:t xml:space="preserve">MENINGGAL ALAM (jiwa)</w:t>
            </w:r>
          </w:p>
        </w:tc>
        <w:tc>
          <w:tcPr>
            <w:tcW w:w="931" w:type="dxa"/>
            <w:tcBorders>
              <w:bottom w:val="single" w:sz="8" w:space="0" w:color="6B7280"/>
            </w:tcBorders>
            <w:vAlign w:val="bottom"/>
          </w:tcPr>
          <w:p>
            <w:pPr>
              <w:pStyle w:val="KepalaTabel"/>
              <w:suppressAutoHyphens/>
            </w:pPr>
            <w:r>
              <w:rPr>
                <w:b/>
                <w:bCs/>
                <w:color w:val="6B7280"/>
                <w:sz w:val="17"/>
                <w:szCs w:val="17"/>
              </w:rPr>
              <w:t xml:space="preserve">HILANG ALAM (jiwa)</w:t>
            </w:r>
          </w:p>
        </w:tc>
        <w:tc>
          <w:tcPr>
            <w:tcW w:w="1357" w:type="dxa"/>
            <w:tcBorders>
              <w:bottom w:val="single" w:sz="8" w:space="0" w:color="6B7280"/>
            </w:tcBorders>
            <w:vAlign w:val="bottom"/>
          </w:tcPr>
          <w:p>
            <w:pPr>
              <w:pStyle w:val="KepalaTabel"/>
              <w:suppressAutoHyphens/>
            </w:pPr>
            <w:r>
              <w:rPr>
                <w:b/>
                <w:bCs/>
                <w:color w:val="6B7280"/>
                <w:sz w:val="17"/>
                <w:szCs w:val="17"/>
              </w:rPr>
              <w:t xml:space="preserve">MENGUNGSI ALAM (jiwa)</w:t>
            </w:r>
          </w:p>
        </w:tc>
        <w:tc>
          <w:tcPr>
            <w:tcW w:w="904" w:type="dxa"/>
            <w:tcBorders>
              <w:bottom w:val="single" w:sz="8" w:space="0" w:color="6B7280"/>
            </w:tcBorders>
            <w:vAlign w:val="bottom"/>
          </w:tcPr>
          <w:p>
            <w:pPr>
              <w:pStyle w:val="KepalaTabel"/>
              <w:suppressAutoHyphens/>
            </w:pPr>
            <w:r>
              <w:rPr>
                <w:b/>
                <w:bCs/>
                <w:color w:val="6B7280"/>
                <w:sz w:val="17"/>
                <w:szCs w:val="17"/>
              </w:rPr>
              <w:t xml:space="preserve">RUMAH RUSAK BERAT ALAM (unit)</w:t>
            </w:r>
          </w:p>
        </w:tc>
        <w:tc>
          <w:tcPr>
            <w:tcW w:w="1397" w:type="dxa"/>
            <w:tcBorders>
              <w:bottom w:val="single" w:sz="8" w:space="0" w:color="6B7280"/>
            </w:tcBorders>
            <w:vAlign w:val="bottom"/>
          </w:tcPr>
          <w:p>
            <w:pPr>
              <w:pStyle w:val="KepalaTabel"/>
              <w:suppressAutoHyphens/>
            </w:pPr>
            <w:r>
              <w:rPr>
                <w:b/>
                <w:bCs/>
                <w:color w:val="6B7280"/>
                <w:sz w:val="17"/>
                <w:szCs w:val="17"/>
              </w:rPr>
              <w:t xml:space="preserve">MENINGGAL SEMUA KLASIFIKASI (jiwa)</w:t>
            </w:r>
          </w:p>
        </w:tc>
        <w:tc>
          <w:tcPr>
            <w:tcW w:w="1395" w:type="dxa"/>
            <w:tcBorders>
              <w:bottom w:val="single" w:sz="8" w:space="0" w:color="6B7280"/>
            </w:tcBorders>
            <w:vAlign w:val="bottom"/>
          </w:tcPr>
          <w:p>
            <w:pPr>
              <w:pStyle w:val="KepalaTabel"/>
              <w:suppressAutoHyphens/>
            </w:pPr>
            <w:r>
              <w:rPr>
                <w:b/>
                <w:bCs/>
                <w:color w:val="6B7280"/>
                <w:sz w:val="17"/>
                <w:szCs w:val="17"/>
              </w:rPr>
              <w:t xml:space="preserve">HILANG SEMUA KLASIFIKASI (jiwa)</w:t>
            </w:r>
          </w:p>
        </w:tc>
      </w:tr>
      <w:tr>
        <w:trPr>
          <w:cantSplit/>
        </w:trPr>
        <w:tc>
          <w:tcPr>
            <w:tcW w:w="9354" w:type="dxa"/>
            <w:gridSpan w:val="8"/>
            <w:shd w:val="clear" w:color="auto" w:fill="E6EAF0"/>
          </w:tcPr>
          <w:p>
            <w:pPr>
              <w:pStyle w:val="IsiTabel"/>
              <w:keepNext/>
              <w:suppressAutoHyphens/>
              <w:ind w:left="0"/>
            </w:pPr>
            <w:r>
              <w:rPr>
                <w:b/>
                <w:bCs/>
              </w:rPr>
              <w:t xml:space="preserve">sebelum 2024</w:t>
            </w:r>
          </w:p>
        </w:tc>
      </w:tr>
      <w:tr>
        <w:trPr>
          <w:cantSplit/>
        </w:trPr>
        <w:tc>
          <w:tcPr>
            <w:tcW w:w="861" w:type="dxa"/>
          </w:tcPr>
          <w:p>
            <w:pPr>
              <w:pStyle w:val="IsiTabel"/>
              <w:suppressAutoHyphens/>
              <w:jc w:val="left"/>
            </w:pPr>
            <w:r>
              <w:t xml:space="preserve">2008</w:t>
            </w:r>
          </w:p>
        </w:tc>
        <w:tc>
          <w:tcPr>
            <w:tcW w:w="1162" w:type="dxa"/>
          </w:tcPr>
          <w:p>
            <w:pPr>
              <w:pStyle w:val="IsiTabel"/>
              <w:suppressAutoHyphens/>
              <w:jc w:val="right"/>
            </w:pPr>
            <w:r>
              <w:t xml:space="preserve">928</w:t>
            </w:r>
          </w:p>
        </w:tc>
        <w:tc>
          <w:tcPr>
            <w:tcW w:w="1347" w:type="dxa"/>
          </w:tcPr>
          <w:p>
            <w:pPr>
              <w:pStyle w:val="IsiTabel"/>
              <w:suppressAutoHyphens/>
              <w:jc w:val="right"/>
            </w:pPr>
            <w:r>
              <w:t xml:space="preserve">264</w:t>
            </w:r>
          </w:p>
        </w:tc>
        <w:tc>
          <w:tcPr>
            <w:tcW w:w="931" w:type="dxa"/>
          </w:tcPr>
          <w:p>
            <w:pPr>
              <w:pStyle w:val="IsiTabel"/>
              <w:suppressAutoHyphens/>
              <w:jc w:val="right"/>
            </w:pPr>
            <w:r>
              <w:t xml:space="preserve">40</w:t>
            </w:r>
          </w:p>
        </w:tc>
        <w:tc>
          <w:tcPr>
            <w:tcW w:w="1357" w:type="dxa"/>
          </w:tcPr>
          <w:p>
            <w:pPr>
              <w:pStyle w:val="IsiTabel"/>
              <w:suppressAutoHyphens/>
              <w:jc w:val="right"/>
            </w:pPr>
            <w:r>
              <w:t xml:space="preserve">421.016</w:t>
            </w:r>
          </w:p>
        </w:tc>
        <w:tc>
          <w:tcPr>
            <w:tcW w:w="904" w:type="dxa"/>
          </w:tcPr>
          <w:p>
            <w:pPr>
              <w:pStyle w:val="IsiTabel"/>
              <w:suppressAutoHyphens/>
              <w:jc w:val="right"/>
            </w:pPr>
            <w:r>
              <w:t xml:space="preserve">12.084</w:t>
            </w:r>
          </w:p>
        </w:tc>
        <w:tc>
          <w:tcPr>
            <w:tcW w:w="1397" w:type="dxa"/>
          </w:tcPr>
          <w:p>
            <w:pPr>
              <w:pStyle w:val="IsiTabel"/>
              <w:suppressAutoHyphens/>
              <w:jc w:val="right"/>
            </w:pPr>
            <w:r>
              <w:t xml:space="preserve">264</w:t>
            </w:r>
          </w:p>
        </w:tc>
        <w:tc>
          <w:tcPr>
            <w:tcW w:w="1395" w:type="dxa"/>
          </w:tcPr>
          <w:p>
            <w:pPr>
              <w:pStyle w:val="IsiTabel"/>
              <w:suppressAutoHyphens/>
              <w:jc w:val="right"/>
            </w:pPr>
            <w:r>
              <w:t xml:space="preserve">40</w:t>
            </w:r>
          </w:p>
        </w:tc>
      </w:tr>
      <w:tr>
        <w:trPr>
          <w:cantSplit/>
        </w:trPr>
        <w:tc>
          <w:tcPr>
            <w:tcW w:w="861" w:type="dxa"/>
          </w:tcPr>
          <w:p>
            <w:pPr>
              <w:pStyle w:val="IsiTabel"/>
              <w:suppressAutoHyphens/>
              <w:jc w:val="left"/>
            </w:pPr>
            <w:r>
              <w:t xml:space="preserve">2009</w:t>
            </w:r>
          </w:p>
        </w:tc>
        <w:tc>
          <w:tcPr>
            <w:tcW w:w="1162" w:type="dxa"/>
          </w:tcPr>
          <w:p>
            <w:pPr>
              <w:pStyle w:val="IsiTabel"/>
              <w:suppressAutoHyphens/>
              <w:jc w:val="right"/>
            </w:pPr>
            <w:r>
              <w:t xml:space="preserve">1.245</w:t>
            </w:r>
          </w:p>
        </w:tc>
        <w:tc>
          <w:tcPr>
            <w:tcW w:w="1347" w:type="dxa"/>
          </w:tcPr>
          <w:p>
            <w:pPr>
              <w:pStyle w:val="IsiTabel"/>
              <w:suppressAutoHyphens/>
              <w:jc w:val="right"/>
            </w:pPr>
            <w:r>
              <w:t xml:space="preserve">1.614</w:t>
            </w:r>
          </w:p>
        </w:tc>
        <w:tc>
          <w:tcPr>
            <w:tcW w:w="931" w:type="dxa"/>
          </w:tcPr>
          <w:p>
            <w:pPr>
              <w:pStyle w:val="IsiTabel"/>
              <w:suppressAutoHyphens/>
              <w:jc w:val="right"/>
            </w:pPr>
            <w:r>
              <w:t xml:space="preserve">153</w:t>
            </w:r>
          </w:p>
        </w:tc>
        <w:tc>
          <w:tcPr>
            <w:tcW w:w="1357" w:type="dxa"/>
          </w:tcPr>
          <w:p>
            <w:pPr>
              <w:pStyle w:val="IsiTabel"/>
              <w:suppressAutoHyphens/>
              <w:jc w:val="right"/>
            </w:pPr>
            <w:r>
              <w:t xml:space="preserve">388.998</w:t>
            </w:r>
          </w:p>
        </w:tc>
        <w:tc>
          <w:tcPr>
            <w:tcW w:w="904" w:type="dxa"/>
          </w:tcPr>
          <w:p>
            <w:pPr>
              <w:pStyle w:val="IsiTabel"/>
              <w:suppressAutoHyphens/>
              <w:jc w:val="right"/>
            </w:pPr>
            <w:r>
              <w:t xml:space="preserve">204.268</w:t>
            </w:r>
          </w:p>
        </w:tc>
        <w:tc>
          <w:tcPr>
            <w:tcW w:w="1397" w:type="dxa"/>
          </w:tcPr>
          <w:p>
            <w:pPr>
              <w:pStyle w:val="IsiTabel"/>
              <w:suppressAutoHyphens/>
              <w:jc w:val="right"/>
            </w:pPr>
            <w:r>
              <w:t xml:space="preserve">1.614</w:t>
            </w:r>
          </w:p>
        </w:tc>
        <w:tc>
          <w:tcPr>
            <w:tcW w:w="1395" w:type="dxa"/>
          </w:tcPr>
          <w:p>
            <w:pPr>
              <w:pStyle w:val="IsiTabel"/>
              <w:suppressAutoHyphens/>
              <w:jc w:val="right"/>
            </w:pPr>
            <w:r>
              <w:t xml:space="preserve">153</w:t>
            </w:r>
          </w:p>
        </w:tc>
      </w:tr>
      <w:tr>
        <w:trPr>
          <w:cantSplit/>
        </w:trPr>
        <w:tc>
          <w:tcPr>
            <w:tcW w:w="861" w:type="dxa"/>
          </w:tcPr>
          <w:p>
            <w:pPr>
              <w:pStyle w:val="IsiTabel"/>
              <w:suppressAutoHyphens/>
              <w:jc w:val="left"/>
            </w:pPr>
            <w:r>
              <w:t xml:space="preserve">2010</w:t>
            </w:r>
          </w:p>
        </w:tc>
        <w:tc>
          <w:tcPr>
            <w:tcW w:w="1162" w:type="dxa"/>
          </w:tcPr>
          <w:p>
            <w:pPr>
              <w:pStyle w:val="IsiTabel"/>
              <w:suppressAutoHyphens/>
              <w:jc w:val="right"/>
            </w:pPr>
            <w:r>
              <w:t xml:space="preserve">1.945</w:t>
            </w:r>
          </w:p>
        </w:tc>
        <w:tc>
          <w:tcPr>
            <w:tcW w:w="1347" w:type="dxa"/>
          </w:tcPr>
          <w:p>
            <w:pPr>
              <w:pStyle w:val="IsiTabel"/>
              <w:suppressAutoHyphens/>
              <w:jc w:val="right"/>
            </w:pPr>
            <w:r>
              <w:t xml:space="preserve">1.630</w:t>
            </w:r>
          </w:p>
        </w:tc>
        <w:tc>
          <w:tcPr>
            <w:tcW w:w="931" w:type="dxa"/>
          </w:tcPr>
          <w:p>
            <w:pPr>
              <w:pStyle w:val="IsiTabel"/>
              <w:suppressAutoHyphens/>
              <w:jc w:val="right"/>
            </w:pPr>
            <w:r>
              <w:t xml:space="preserve">277</w:t>
            </w:r>
          </w:p>
        </w:tc>
        <w:tc>
          <w:tcPr>
            <w:tcW w:w="1357" w:type="dxa"/>
          </w:tcPr>
          <w:p>
            <w:pPr>
              <w:pStyle w:val="IsiTabel"/>
              <w:suppressAutoHyphens/>
              <w:jc w:val="right"/>
            </w:pPr>
            <w:r>
              <w:t xml:space="preserve">892.261</w:t>
            </w:r>
          </w:p>
        </w:tc>
        <w:tc>
          <w:tcPr>
            <w:tcW w:w="904" w:type="dxa"/>
          </w:tcPr>
          <w:p>
            <w:pPr>
              <w:pStyle w:val="IsiTabel"/>
              <w:suppressAutoHyphens/>
              <w:jc w:val="right"/>
            </w:pPr>
            <w:r>
              <w:t xml:space="preserve">20.084</w:t>
            </w:r>
          </w:p>
        </w:tc>
        <w:tc>
          <w:tcPr>
            <w:tcW w:w="1397" w:type="dxa"/>
          </w:tcPr>
          <w:p>
            <w:pPr>
              <w:pStyle w:val="IsiTabel"/>
              <w:suppressAutoHyphens/>
              <w:jc w:val="right"/>
            </w:pPr>
            <w:r>
              <w:t xml:space="preserve">1.630</w:t>
            </w:r>
          </w:p>
        </w:tc>
        <w:tc>
          <w:tcPr>
            <w:tcW w:w="1395" w:type="dxa"/>
          </w:tcPr>
          <w:p>
            <w:pPr>
              <w:pStyle w:val="IsiTabel"/>
              <w:suppressAutoHyphens/>
              <w:jc w:val="right"/>
            </w:pPr>
            <w:r>
              <w:t xml:space="preserve">277</w:t>
            </w:r>
          </w:p>
        </w:tc>
      </w:tr>
      <w:tr>
        <w:trPr>
          <w:cantSplit/>
        </w:trPr>
        <w:tc>
          <w:tcPr>
            <w:tcW w:w="861" w:type="dxa"/>
          </w:tcPr>
          <w:p>
            <w:pPr>
              <w:pStyle w:val="IsiTabel"/>
              <w:suppressAutoHyphens/>
              <w:jc w:val="left"/>
            </w:pPr>
            <w:r>
              <w:t xml:space="preserve">2011</w:t>
            </w:r>
          </w:p>
        </w:tc>
        <w:tc>
          <w:tcPr>
            <w:tcW w:w="1162" w:type="dxa"/>
          </w:tcPr>
          <w:p>
            <w:pPr>
              <w:pStyle w:val="IsiTabel"/>
              <w:suppressAutoHyphens/>
              <w:jc w:val="right"/>
            </w:pPr>
            <w:r>
              <w:t xml:space="preserve">1.619</w:t>
            </w:r>
          </w:p>
        </w:tc>
        <w:tc>
          <w:tcPr>
            <w:tcW w:w="1347" w:type="dxa"/>
          </w:tcPr>
          <w:p>
            <w:pPr>
              <w:pStyle w:val="IsiTabel"/>
              <w:suppressAutoHyphens/>
              <w:jc w:val="right"/>
            </w:pPr>
            <w:r>
              <w:t xml:space="preserve">359</w:t>
            </w:r>
          </w:p>
        </w:tc>
        <w:tc>
          <w:tcPr>
            <w:tcW w:w="931" w:type="dxa"/>
          </w:tcPr>
          <w:p>
            <w:pPr>
              <w:pStyle w:val="IsiTabel"/>
              <w:suppressAutoHyphens/>
              <w:jc w:val="right"/>
            </w:pPr>
            <w:r>
              <w:t xml:space="preserve">69</w:t>
            </w:r>
          </w:p>
        </w:tc>
        <w:tc>
          <w:tcPr>
            <w:tcW w:w="1357" w:type="dxa"/>
          </w:tcPr>
          <w:p>
            <w:pPr>
              <w:pStyle w:val="IsiTabel"/>
              <w:suppressAutoHyphens/>
              <w:jc w:val="right"/>
            </w:pPr>
            <w:r>
              <w:t xml:space="preserve">228.696</w:t>
            </w:r>
          </w:p>
        </w:tc>
        <w:tc>
          <w:tcPr>
            <w:tcW w:w="904" w:type="dxa"/>
          </w:tcPr>
          <w:p>
            <w:pPr>
              <w:pStyle w:val="IsiTabel"/>
              <w:suppressAutoHyphens/>
              <w:jc w:val="right"/>
            </w:pPr>
            <w:r>
              <w:t xml:space="preserve">13.549</w:t>
            </w:r>
          </w:p>
        </w:tc>
        <w:tc>
          <w:tcPr>
            <w:tcW w:w="1397" w:type="dxa"/>
          </w:tcPr>
          <w:p>
            <w:pPr>
              <w:pStyle w:val="IsiTabel"/>
              <w:suppressAutoHyphens/>
              <w:jc w:val="right"/>
            </w:pPr>
            <w:r>
              <w:t xml:space="preserve">359</w:t>
            </w:r>
          </w:p>
        </w:tc>
        <w:tc>
          <w:tcPr>
            <w:tcW w:w="1395" w:type="dxa"/>
          </w:tcPr>
          <w:p>
            <w:pPr>
              <w:pStyle w:val="IsiTabel"/>
              <w:suppressAutoHyphens/>
              <w:jc w:val="right"/>
            </w:pPr>
            <w:r>
              <w:t xml:space="preserve">69</w:t>
            </w:r>
          </w:p>
        </w:tc>
      </w:tr>
      <w:tr>
        <w:trPr>
          <w:cantSplit/>
        </w:trPr>
        <w:tc>
          <w:tcPr>
            <w:tcW w:w="861" w:type="dxa"/>
          </w:tcPr>
          <w:p>
            <w:pPr>
              <w:pStyle w:val="IsiTabel"/>
              <w:suppressAutoHyphens/>
              <w:jc w:val="left"/>
            </w:pPr>
            <w:r>
              <w:t xml:space="preserve">2012</w:t>
            </w:r>
          </w:p>
        </w:tc>
        <w:tc>
          <w:tcPr>
            <w:tcW w:w="1162" w:type="dxa"/>
          </w:tcPr>
          <w:p>
            <w:pPr>
              <w:pStyle w:val="IsiTabel"/>
              <w:suppressAutoHyphens/>
              <w:jc w:val="right"/>
            </w:pPr>
            <w:r>
              <w:t xml:space="preserve">1.780</w:t>
            </w:r>
          </w:p>
        </w:tc>
        <w:tc>
          <w:tcPr>
            <w:tcW w:w="1347" w:type="dxa"/>
          </w:tcPr>
          <w:p>
            <w:pPr>
              <w:pStyle w:val="IsiTabel"/>
              <w:suppressAutoHyphens/>
              <w:jc w:val="right"/>
            </w:pPr>
            <w:r>
              <w:t xml:space="preserve">282</w:t>
            </w:r>
          </w:p>
        </w:tc>
        <w:tc>
          <w:tcPr>
            <w:tcW w:w="931" w:type="dxa"/>
          </w:tcPr>
          <w:p>
            <w:pPr>
              <w:pStyle w:val="IsiTabel"/>
              <w:suppressAutoHyphens/>
              <w:jc w:val="right"/>
            </w:pPr>
            <w:r>
              <w:t xml:space="preserve">38</w:t>
            </w:r>
          </w:p>
        </w:tc>
        <w:tc>
          <w:tcPr>
            <w:tcW w:w="1357" w:type="dxa"/>
          </w:tcPr>
          <w:p>
            <w:pPr>
              <w:pStyle w:val="IsiTabel"/>
              <w:suppressAutoHyphens/>
              <w:jc w:val="right"/>
            </w:pPr>
            <w:r>
              <w:t xml:space="preserve">135.483</w:t>
            </w:r>
          </w:p>
        </w:tc>
        <w:tc>
          <w:tcPr>
            <w:tcW w:w="904" w:type="dxa"/>
          </w:tcPr>
          <w:p>
            <w:pPr>
              <w:pStyle w:val="IsiTabel"/>
              <w:suppressAutoHyphens/>
              <w:jc w:val="right"/>
            </w:pPr>
            <w:r>
              <w:t xml:space="preserve">10.686</w:t>
            </w:r>
          </w:p>
        </w:tc>
        <w:tc>
          <w:tcPr>
            <w:tcW w:w="1397" w:type="dxa"/>
          </w:tcPr>
          <w:p>
            <w:pPr>
              <w:pStyle w:val="IsiTabel"/>
              <w:suppressAutoHyphens/>
              <w:jc w:val="right"/>
            </w:pPr>
            <w:r>
              <w:t xml:space="preserve">282</w:t>
            </w:r>
          </w:p>
        </w:tc>
        <w:tc>
          <w:tcPr>
            <w:tcW w:w="1395" w:type="dxa"/>
          </w:tcPr>
          <w:p>
            <w:pPr>
              <w:pStyle w:val="IsiTabel"/>
              <w:suppressAutoHyphens/>
              <w:jc w:val="right"/>
            </w:pPr>
            <w:r>
              <w:t xml:space="preserve">38</w:t>
            </w:r>
          </w:p>
        </w:tc>
      </w:tr>
      <w:tr>
        <w:trPr>
          <w:cantSplit/>
        </w:trPr>
        <w:tc>
          <w:tcPr>
            <w:tcW w:w="861" w:type="dxa"/>
          </w:tcPr>
          <w:p>
            <w:pPr>
              <w:pStyle w:val="IsiTabel"/>
              <w:suppressAutoHyphens/>
              <w:jc w:val="left"/>
            </w:pPr>
            <w:r>
              <w:t xml:space="preserve">2013</w:t>
            </w:r>
          </w:p>
        </w:tc>
        <w:tc>
          <w:tcPr>
            <w:tcW w:w="1162" w:type="dxa"/>
          </w:tcPr>
          <w:p>
            <w:pPr>
              <w:pStyle w:val="IsiTabel"/>
              <w:suppressAutoHyphens/>
              <w:jc w:val="right"/>
            </w:pPr>
            <w:r>
              <w:t xml:space="preserve">1.681</w:t>
            </w:r>
          </w:p>
        </w:tc>
        <w:tc>
          <w:tcPr>
            <w:tcW w:w="1347" w:type="dxa"/>
          </w:tcPr>
          <w:p>
            <w:pPr>
              <w:pStyle w:val="IsiTabel"/>
              <w:suppressAutoHyphens/>
              <w:jc w:val="right"/>
            </w:pPr>
            <w:r>
              <w:t xml:space="preserve">468</w:t>
            </w:r>
          </w:p>
        </w:tc>
        <w:tc>
          <w:tcPr>
            <w:tcW w:w="931" w:type="dxa"/>
          </w:tcPr>
          <w:p>
            <w:pPr>
              <w:pStyle w:val="IsiTabel"/>
              <w:suppressAutoHyphens/>
              <w:jc w:val="right"/>
            </w:pPr>
            <w:r>
              <w:t xml:space="preserve">44</w:t>
            </w:r>
          </w:p>
        </w:tc>
        <w:tc>
          <w:tcPr>
            <w:tcW w:w="1357" w:type="dxa"/>
          </w:tcPr>
          <w:p>
            <w:pPr>
              <w:pStyle w:val="IsiTabel"/>
              <w:suppressAutoHyphens/>
              <w:jc w:val="right"/>
            </w:pPr>
            <w:r>
              <w:t xml:space="preserve">507.183</w:t>
            </w:r>
          </w:p>
        </w:tc>
        <w:tc>
          <w:tcPr>
            <w:tcW w:w="904" w:type="dxa"/>
          </w:tcPr>
          <w:p>
            <w:pPr>
              <w:pStyle w:val="IsiTabel"/>
              <w:suppressAutoHyphens/>
              <w:jc w:val="right"/>
            </w:pPr>
            <w:r>
              <w:t xml:space="preserve">17.767</w:t>
            </w:r>
          </w:p>
        </w:tc>
        <w:tc>
          <w:tcPr>
            <w:tcW w:w="1397" w:type="dxa"/>
          </w:tcPr>
          <w:p>
            <w:pPr>
              <w:pStyle w:val="IsiTabel"/>
              <w:suppressAutoHyphens/>
              <w:jc w:val="right"/>
            </w:pPr>
            <w:r>
              <w:t xml:space="preserve">468</w:t>
            </w:r>
          </w:p>
        </w:tc>
        <w:tc>
          <w:tcPr>
            <w:tcW w:w="1395" w:type="dxa"/>
          </w:tcPr>
          <w:p>
            <w:pPr>
              <w:pStyle w:val="IsiTabel"/>
              <w:suppressAutoHyphens/>
              <w:jc w:val="right"/>
            </w:pPr>
            <w:r>
              <w:t xml:space="preserve">44</w:t>
            </w:r>
          </w:p>
        </w:tc>
      </w:tr>
      <w:tr>
        <w:trPr>
          <w:cantSplit/>
        </w:trPr>
        <w:tc>
          <w:tcPr>
            <w:tcW w:w="861" w:type="dxa"/>
          </w:tcPr>
          <w:p>
            <w:pPr>
              <w:pStyle w:val="IsiTabel"/>
              <w:suppressAutoHyphens/>
              <w:jc w:val="left"/>
            </w:pPr>
            <w:r>
              <w:t xml:space="preserve">2014</w:t>
            </w:r>
          </w:p>
        </w:tc>
        <w:tc>
          <w:tcPr>
            <w:tcW w:w="1162" w:type="dxa"/>
          </w:tcPr>
          <w:p>
            <w:pPr>
              <w:pStyle w:val="IsiTabel"/>
              <w:suppressAutoHyphens/>
              <w:jc w:val="right"/>
            </w:pPr>
            <w:r>
              <w:t xml:space="preserve">1.961</w:t>
            </w:r>
          </w:p>
        </w:tc>
        <w:tc>
          <w:tcPr>
            <w:tcW w:w="1347" w:type="dxa"/>
          </w:tcPr>
          <w:p>
            <w:pPr>
              <w:pStyle w:val="IsiTabel"/>
              <w:suppressAutoHyphens/>
              <w:jc w:val="right"/>
            </w:pPr>
            <w:r>
              <w:t xml:space="preserve">532</w:t>
            </w:r>
          </w:p>
        </w:tc>
        <w:tc>
          <w:tcPr>
            <w:tcW w:w="931" w:type="dxa"/>
          </w:tcPr>
          <w:p>
            <w:pPr>
              <w:pStyle w:val="IsiTabel"/>
              <w:suppressAutoHyphens/>
              <w:jc w:val="right"/>
            </w:pPr>
            <w:r>
              <w:t xml:space="preserve">72</w:t>
            </w:r>
          </w:p>
        </w:tc>
        <w:tc>
          <w:tcPr>
            <w:tcW w:w="1357" w:type="dxa"/>
          </w:tcPr>
          <w:p>
            <w:pPr>
              <w:pStyle w:val="IsiTabel"/>
              <w:suppressAutoHyphens/>
              <w:jc w:val="right"/>
            </w:pPr>
            <w:r>
              <w:t xml:space="preserve">860.615</w:t>
            </w:r>
          </w:p>
        </w:tc>
        <w:tc>
          <w:tcPr>
            <w:tcW w:w="904" w:type="dxa"/>
          </w:tcPr>
          <w:p>
            <w:pPr>
              <w:pStyle w:val="IsiTabel"/>
              <w:suppressAutoHyphens/>
              <w:jc w:val="right"/>
            </w:pPr>
            <w:r>
              <w:t xml:space="preserve">20.079</w:t>
            </w:r>
          </w:p>
        </w:tc>
        <w:tc>
          <w:tcPr>
            <w:tcW w:w="1397" w:type="dxa"/>
          </w:tcPr>
          <w:p>
            <w:pPr>
              <w:pStyle w:val="IsiTabel"/>
              <w:suppressAutoHyphens/>
              <w:jc w:val="right"/>
            </w:pPr>
            <w:r>
              <w:t xml:space="preserve">532</w:t>
            </w:r>
          </w:p>
        </w:tc>
        <w:tc>
          <w:tcPr>
            <w:tcW w:w="1395" w:type="dxa"/>
          </w:tcPr>
          <w:p>
            <w:pPr>
              <w:pStyle w:val="IsiTabel"/>
              <w:suppressAutoHyphens/>
              <w:jc w:val="right"/>
            </w:pPr>
            <w:r>
              <w:t xml:space="preserve">72</w:t>
            </w:r>
          </w:p>
        </w:tc>
      </w:tr>
      <w:tr>
        <w:trPr>
          <w:cantSplit/>
        </w:trPr>
        <w:tc>
          <w:tcPr>
            <w:tcW w:w="861" w:type="dxa"/>
          </w:tcPr>
          <w:p>
            <w:pPr>
              <w:pStyle w:val="IsiTabel"/>
              <w:suppressAutoHyphens/>
              <w:jc w:val="left"/>
            </w:pPr>
            <w:r>
              <w:t xml:space="preserve">2015</w:t>
            </w:r>
          </w:p>
        </w:tc>
        <w:tc>
          <w:tcPr>
            <w:tcW w:w="1162" w:type="dxa"/>
          </w:tcPr>
          <w:p>
            <w:pPr>
              <w:pStyle w:val="IsiTabel"/>
              <w:suppressAutoHyphens/>
              <w:jc w:val="right"/>
            </w:pPr>
            <w:r>
              <w:t xml:space="preserve">1.694</w:t>
            </w:r>
          </w:p>
        </w:tc>
        <w:tc>
          <w:tcPr>
            <w:tcW w:w="1347" w:type="dxa"/>
          </w:tcPr>
          <w:p>
            <w:pPr>
              <w:pStyle w:val="IsiTabel"/>
              <w:suppressAutoHyphens/>
              <w:jc w:val="right"/>
            </w:pPr>
            <w:r>
              <w:t xml:space="preserve">219</w:t>
            </w:r>
          </w:p>
        </w:tc>
        <w:tc>
          <w:tcPr>
            <w:tcW w:w="931" w:type="dxa"/>
          </w:tcPr>
          <w:p>
            <w:pPr>
              <w:pStyle w:val="IsiTabel"/>
              <w:suppressAutoHyphens/>
              <w:jc w:val="right"/>
            </w:pPr>
            <w:r>
              <w:t xml:space="preserve">57</w:t>
            </w:r>
          </w:p>
        </w:tc>
        <w:tc>
          <w:tcPr>
            <w:tcW w:w="1357" w:type="dxa"/>
          </w:tcPr>
          <w:p>
            <w:pPr>
              <w:pStyle w:val="IsiTabel"/>
              <w:suppressAutoHyphens/>
              <w:jc w:val="right"/>
            </w:pPr>
            <w:r>
              <w:t xml:space="preserve">184.254</w:t>
            </w:r>
          </w:p>
        </w:tc>
        <w:tc>
          <w:tcPr>
            <w:tcW w:w="904" w:type="dxa"/>
          </w:tcPr>
          <w:p>
            <w:pPr>
              <w:pStyle w:val="IsiTabel"/>
              <w:suppressAutoHyphens/>
              <w:jc w:val="right"/>
            </w:pPr>
            <w:r>
              <w:t xml:space="preserve">5.217</w:t>
            </w:r>
          </w:p>
        </w:tc>
        <w:tc>
          <w:tcPr>
            <w:tcW w:w="1397" w:type="dxa"/>
          </w:tcPr>
          <w:p>
            <w:pPr>
              <w:pStyle w:val="IsiTabel"/>
              <w:suppressAutoHyphens/>
              <w:jc w:val="right"/>
            </w:pPr>
            <w:r>
              <w:t xml:space="preserve">219</w:t>
            </w:r>
          </w:p>
        </w:tc>
        <w:tc>
          <w:tcPr>
            <w:tcW w:w="1395" w:type="dxa"/>
          </w:tcPr>
          <w:p>
            <w:pPr>
              <w:pStyle w:val="IsiTabel"/>
              <w:suppressAutoHyphens/>
              <w:jc w:val="right"/>
            </w:pPr>
            <w:r>
              <w:t xml:space="preserve">57</w:t>
            </w:r>
          </w:p>
        </w:tc>
      </w:tr>
      <w:tr>
        <w:trPr>
          <w:cantSplit/>
        </w:trPr>
        <w:tc>
          <w:tcPr>
            <w:tcW w:w="861" w:type="dxa"/>
          </w:tcPr>
          <w:p>
            <w:pPr>
              <w:pStyle w:val="IsiTabel"/>
              <w:suppressAutoHyphens/>
              <w:jc w:val="left"/>
            </w:pPr>
            <w:r>
              <w:t xml:space="preserve">2016</w:t>
            </w:r>
          </w:p>
        </w:tc>
        <w:tc>
          <w:tcPr>
            <w:tcW w:w="1162" w:type="dxa"/>
          </w:tcPr>
          <w:p>
            <w:pPr>
              <w:pStyle w:val="IsiTabel"/>
              <w:suppressAutoHyphens/>
              <w:jc w:val="right"/>
            </w:pPr>
            <w:r>
              <w:t xml:space="preserve">2.306</w:t>
            </w:r>
          </w:p>
        </w:tc>
        <w:tc>
          <w:tcPr>
            <w:tcW w:w="1347" w:type="dxa"/>
          </w:tcPr>
          <w:p>
            <w:pPr>
              <w:pStyle w:val="IsiTabel"/>
              <w:suppressAutoHyphens/>
              <w:jc w:val="right"/>
            </w:pPr>
            <w:r>
              <w:t xml:space="preserve">482</w:t>
            </w:r>
          </w:p>
        </w:tc>
        <w:tc>
          <w:tcPr>
            <w:tcW w:w="931" w:type="dxa"/>
          </w:tcPr>
          <w:p>
            <w:pPr>
              <w:pStyle w:val="IsiTabel"/>
              <w:suppressAutoHyphens/>
              <w:jc w:val="right"/>
            </w:pPr>
            <w:r>
              <w:t xml:space="preserve">96</w:t>
            </w:r>
          </w:p>
        </w:tc>
        <w:tc>
          <w:tcPr>
            <w:tcW w:w="1357" w:type="dxa"/>
          </w:tcPr>
          <w:p>
            <w:pPr>
              <w:pStyle w:val="IsiTabel"/>
              <w:suppressAutoHyphens/>
              <w:jc w:val="right"/>
            </w:pPr>
            <w:r>
              <w:t xml:space="preserve">438.925</w:t>
            </w:r>
          </w:p>
        </w:tc>
        <w:tc>
          <w:tcPr>
            <w:tcW w:w="904" w:type="dxa"/>
          </w:tcPr>
          <w:p>
            <w:pPr>
              <w:pStyle w:val="IsiTabel"/>
              <w:suppressAutoHyphens/>
              <w:jc w:val="right"/>
            </w:pPr>
            <w:r>
              <w:t xml:space="preserve">9.029</w:t>
            </w:r>
          </w:p>
        </w:tc>
        <w:tc>
          <w:tcPr>
            <w:tcW w:w="1397" w:type="dxa"/>
          </w:tcPr>
          <w:p>
            <w:pPr>
              <w:pStyle w:val="IsiTabel"/>
              <w:suppressAutoHyphens/>
              <w:jc w:val="right"/>
            </w:pPr>
            <w:r>
              <w:t xml:space="preserve">482</w:t>
            </w:r>
          </w:p>
        </w:tc>
        <w:tc>
          <w:tcPr>
            <w:tcW w:w="1395" w:type="dxa"/>
          </w:tcPr>
          <w:p>
            <w:pPr>
              <w:pStyle w:val="IsiTabel"/>
              <w:suppressAutoHyphens/>
              <w:jc w:val="right"/>
            </w:pPr>
            <w:r>
              <w:t xml:space="preserve">96</w:t>
            </w:r>
          </w:p>
        </w:tc>
      </w:tr>
      <w:tr>
        <w:trPr>
          <w:cantSplit/>
        </w:trPr>
        <w:tc>
          <w:tcPr>
            <w:tcW w:w="861" w:type="dxa"/>
          </w:tcPr>
          <w:p>
            <w:pPr>
              <w:pStyle w:val="IsiTabel"/>
              <w:suppressAutoHyphens/>
              <w:jc w:val="left"/>
            </w:pPr>
            <w:r>
              <w:t xml:space="preserve">2017</w:t>
            </w:r>
          </w:p>
        </w:tc>
        <w:tc>
          <w:tcPr>
            <w:tcW w:w="1162" w:type="dxa"/>
          </w:tcPr>
          <w:p>
            <w:pPr>
              <w:pStyle w:val="IsiTabel"/>
              <w:suppressAutoHyphens/>
              <w:jc w:val="right"/>
            </w:pPr>
            <w:r>
              <w:t xml:space="preserve">2.866</w:t>
            </w:r>
          </w:p>
        </w:tc>
        <w:tc>
          <w:tcPr>
            <w:tcW w:w="1347" w:type="dxa"/>
          </w:tcPr>
          <w:p>
            <w:pPr>
              <w:pStyle w:val="IsiTabel"/>
              <w:suppressAutoHyphens/>
              <w:jc w:val="right"/>
            </w:pPr>
            <w:r>
              <w:t xml:space="preserve">309</w:t>
            </w:r>
          </w:p>
        </w:tc>
        <w:tc>
          <w:tcPr>
            <w:tcW w:w="931" w:type="dxa"/>
          </w:tcPr>
          <w:p>
            <w:pPr>
              <w:pStyle w:val="IsiTabel"/>
              <w:suppressAutoHyphens/>
              <w:jc w:val="right"/>
            </w:pPr>
            <w:r>
              <w:t xml:space="preserve">69</w:t>
            </w:r>
          </w:p>
        </w:tc>
        <w:tc>
          <w:tcPr>
            <w:tcW w:w="1357" w:type="dxa"/>
          </w:tcPr>
          <w:p>
            <w:pPr>
              <w:pStyle w:val="IsiTabel"/>
              <w:suppressAutoHyphens/>
              <w:jc w:val="right"/>
            </w:pPr>
            <w:r>
              <w:t xml:space="preserve">324.996</w:t>
            </w:r>
          </w:p>
        </w:tc>
        <w:tc>
          <w:tcPr>
            <w:tcW w:w="904" w:type="dxa"/>
          </w:tcPr>
          <w:p>
            <w:pPr>
              <w:pStyle w:val="IsiTabel"/>
              <w:suppressAutoHyphens/>
              <w:jc w:val="right"/>
            </w:pPr>
            <w:r>
              <w:t xml:space="preserve">10.452</w:t>
            </w:r>
          </w:p>
        </w:tc>
        <w:tc>
          <w:tcPr>
            <w:tcW w:w="1397" w:type="dxa"/>
          </w:tcPr>
          <w:p>
            <w:pPr>
              <w:pStyle w:val="IsiTabel"/>
              <w:suppressAutoHyphens/>
              <w:jc w:val="right"/>
            </w:pPr>
            <w:r>
              <w:t xml:space="preserve">309</w:t>
            </w:r>
          </w:p>
        </w:tc>
        <w:tc>
          <w:tcPr>
            <w:tcW w:w="1395" w:type="dxa"/>
          </w:tcPr>
          <w:p>
            <w:pPr>
              <w:pStyle w:val="IsiTabel"/>
              <w:suppressAutoHyphens/>
              <w:jc w:val="right"/>
            </w:pPr>
            <w:r>
              <w:t xml:space="preserve">69</w:t>
            </w:r>
          </w:p>
        </w:tc>
      </w:tr>
      <w:tr>
        <w:trPr>
          <w:cantSplit/>
        </w:trPr>
        <w:tc>
          <w:tcPr>
            <w:tcW w:w="861" w:type="dxa"/>
          </w:tcPr>
          <w:p>
            <w:pPr>
              <w:pStyle w:val="IsiTabel"/>
              <w:suppressAutoHyphens/>
              <w:jc w:val="left"/>
            </w:pPr>
            <w:r>
              <w:t xml:space="preserve">2018</w:t>
            </w:r>
          </w:p>
        </w:tc>
        <w:tc>
          <w:tcPr>
            <w:tcW w:w="1162" w:type="dxa"/>
          </w:tcPr>
          <w:p>
            <w:pPr>
              <w:pStyle w:val="IsiTabel"/>
              <w:suppressAutoHyphens/>
              <w:jc w:val="right"/>
            </w:pPr>
            <w:r>
              <w:t xml:space="preserve">3.398</w:t>
            </w:r>
          </w:p>
        </w:tc>
        <w:tc>
          <w:tcPr>
            <w:tcW w:w="1347" w:type="dxa"/>
          </w:tcPr>
          <w:p>
            <w:pPr>
              <w:pStyle w:val="IsiTabel"/>
              <w:suppressAutoHyphens/>
              <w:jc w:val="right"/>
            </w:pPr>
            <w:r>
              <w:t xml:space="preserve">5.477</w:t>
            </w:r>
          </w:p>
        </w:tc>
        <w:tc>
          <w:tcPr>
            <w:tcW w:w="931" w:type="dxa"/>
          </w:tcPr>
          <w:p>
            <w:pPr>
              <w:pStyle w:val="IsiTabel"/>
              <w:suppressAutoHyphens/>
              <w:jc w:val="right"/>
            </w:pPr>
            <w:r>
              <w:t xml:space="preserve">763</w:t>
            </w:r>
          </w:p>
        </w:tc>
        <w:tc>
          <w:tcPr>
            <w:tcW w:w="1357" w:type="dxa"/>
          </w:tcPr>
          <w:p>
            <w:pPr>
              <w:pStyle w:val="IsiTabel"/>
              <w:suppressAutoHyphens/>
              <w:jc w:val="right"/>
            </w:pPr>
            <w:r>
              <w:t xml:space="preserve">892.453</w:t>
            </w:r>
          </w:p>
        </w:tc>
        <w:tc>
          <w:tcPr>
            <w:tcW w:w="904" w:type="dxa"/>
          </w:tcPr>
          <w:p>
            <w:pPr>
              <w:pStyle w:val="IsiTabel"/>
              <w:suppressAutoHyphens/>
              <w:jc w:val="right"/>
            </w:pPr>
            <w:r>
              <w:t xml:space="preserve">117.655</w:t>
            </w:r>
          </w:p>
        </w:tc>
        <w:tc>
          <w:tcPr>
            <w:tcW w:w="1397" w:type="dxa"/>
          </w:tcPr>
          <w:p>
            <w:pPr>
              <w:pStyle w:val="IsiTabel"/>
              <w:suppressAutoHyphens/>
              <w:jc w:val="right"/>
            </w:pPr>
            <w:r>
              <w:t xml:space="preserve">5.500</w:t>
            </w:r>
          </w:p>
        </w:tc>
        <w:tc>
          <w:tcPr>
            <w:tcW w:w="1395" w:type="dxa"/>
          </w:tcPr>
          <w:p>
            <w:pPr>
              <w:pStyle w:val="IsiTabel"/>
              <w:suppressAutoHyphens/>
              <w:jc w:val="right"/>
            </w:pPr>
            <w:r>
              <w:t xml:space="preserve">764</w:t>
            </w:r>
          </w:p>
        </w:tc>
      </w:tr>
      <w:tr>
        <w:trPr>
          <w:cantSplit/>
        </w:trPr>
        <w:tc>
          <w:tcPr>
            <w:tcW w:w="861" w:type="dxa"/>
          </w:tcPr>
          <w:p>
            <w:pPr>
              <w:pStyle w:val="IsiTabel"/>
              <w:suppressAutoHyphens/>
              <w:jc w:val="left"/>
            </w:pPr>
            <w:r>
              <w:t xml:space="preserve">2019</w:t>
            </w:r>
          </w:p>
        </w:tc>
        <w:tc>
          <w:tcPr>
            <w:tcW w:w="1162" w:type="dxa"/>
          </w:tcPr>
          <w:p>
            <w:pPr>
              <w:pStyle w:val="IsiTabel"/>
              <w:suppressAutoHyphens/>
              <w:jc w:val="right"/>
            </w:pPr>
            <w:r>
              <w:t xml:space="preserve">3.814</w:t>
            </w:r>
          </w:p>
        </w:tc>
        <w:tc>
          <w:tcPr>
            <w:tcW w:w="1347" w:type="dxa"/>
          </w:tcPr>
          <w:p>
            <w:pPr>
              <w:pStyle w:val="IsiTabel"/>
              <w:suppressAutoHyphens/>
              <w:jc w:val="right"/>
            </w:pPr>
            <w:r>
              <w:t xml:space="preserve">478</w:t>
            </w:r>
          </w:p>
        </w:tc>
        <w:tc>
          <w:tcPr>
            <w:tcW w:w="931" w:type="dxa"/>
          </w:tcPr>
          <w:p>
            <w:pPr>
              <w:pStyle w:val="IsiTabel"/>
              <w:suppressAutoHyphens/>
              <w:jc w:val="right"/>
            </w:pPr>
            <w:r>
              <w:t xml:space="preserve">111</w:t>
            </w:r>
          </w:p>
        </w:tc>
        <w:tc>
          <w:tcPr>
            <w:tcW w:w="1357" w:type="dxa"/>
          </w:tcPr>
          <w:p>
            <w:pPr>
              <w:pStyle w:val="IsiTabel"/>
              <w:suppressAutoHyphens/>
              <w:jc w:val="right"/>
            </w:pPr>
            <w:r>
              <w:t xml:space="preserve">436.234</w:t>
            </w:r>
          </w:p>
        </w:tc>
        <w:tc>
          <w:tcPr>
            <w:tcW w:w="904" w:type="dxa"/>
          </w:tcPr>
          <w:p>
            <w:pPr>
              <w:pStyle w:val="IsiTabel"/>
              <w:suppressAutoHyphens/>
              <w:jc w:val="right"/>
            </w:pPr>
            <w:r>
              <w:t xml:space="preserve">15.813</w:t>
            </w:r>
          </w:p>
        </w:tc>
        <w:tc>
          <w:tcPr>
            <w:tcW w:w="1397" w:type="dxa"/>
          </w:tcPr>
          <w:p>
            <w:pPr>
              <w:pStyle w:val="IsiTabel"/>
              <w:suppressAutoHyphens/>
              <w:jc w:val="right"/>
            </w:pPr>
            <w:r>
              <w:t xml:space="preserve">517</w:t>
            </w:r>
          </w:p>
        </w:tc>
        <w:tc>
          <w:tcPr>
            <w:tcW w:w="1395" w:type="dxa"/>
          </w:tcPr>
          <w:p>
            <w:pPr>
              <w:pStyle w:val="IsiTabel"/>
              <w:suppressAutoHyphens/>
              <w:jc w:val="right"/>
            </w:pPr>
            <w:r>
              <w:t xml:space="preserve">112</w:t>
            </w:r>
          </w:p>
        </w:tc>
      </w:tr>
      <w:tr>
        <w:trPr>
          <w:cantSplit/>
        </w:trPr>
        <w:tc>
          <w:tcPr>
            <w:tcW w:w="861" w:type="dxa"/>
          </w:tcPr>
          <w:p>
            <w:pPr>
              <w:pStyle w:val="IsiTabel"/>
              <w:suppressAutoHyphens/>
              <w:jc w:val="left"/>
            </w:pPr>
            <w:r>
              <w:t xml:space="preserve">2020</w:t>
            </w:r>
          </w:p>
        </w:tc>
        <w:tc>
          <w:tcPr>
            <w:tcW w:w="1162" w:type="dxa"/>
          </w:tcPr>
          <w:p>
            <w:pPr>
              <w:pStyle w:val="IsiTabel"/>
              <w:suppressAutoHyphens/>
              <w:jc w:val="right"/>
            </w:pPr>
            <w:r>
              <w:t xml:space="preserve">4.649</w:t>
            </w:r>
          </w:p>
        </w:tc>
        <w:tc>
          <w:tcPr>
            <w:tcW w:w="1347" w:type="dxa"/>
          </w:tcPr>
          <w:p>
            <w:pPr>
              <w:pStyle w:val="IsiTabel"/>
              <w:suppressAutoHyphens/>
              <w:jc w:val="right"/>
            </w:pPr>
            <w:r>
              <w:t xml:space="preserve">376</w:t>
            </w:r>
          </w:p>
        </w:tc>
        <w:tc>
          <w:tcPr>
            <w:tcW w:w="931" w:type="dxa"/>
          </w:tcPr>
          <w:p>
            <w:pPr>
              <w:pStyle w:val="IsiTabel"/>
              <w:suppressAutoHyphens/>
              <w:jc w:val="right"/>
            </w:pPr>
            <w:r>
              <w:t xml:space="preserve">42</w:t>
            </w:r>
          </w:p>
        </w:tc>
        <w:tc>
          <w:tcPr>
            <w:tcW w:w="1357" w:type="dxa"/>
          </w:tcPr>
          <w:p>
            <w:pPr>
              <w:pStyle w:val="IsiTabel"/>
              <w:suppressAutoHyphens/>
              <w:jc w:val="right"/>
            </w:pPr>
            <w:r>
              <w:t xml:space="preserve">922.367</w:t>
            </w:r>
          </w:p>
        </w:tc>
        <w:tc>
          <w:tcPr>
            <w:tcW w:w="904" w:type="dxa"/>
          </w:tcPr>
          <w:p>
            <w:pPr>
              <w:pStyle w:val="IsiTabel"/>
              <w:suppressAutoHyphens/>
              <w:jc w:val="right"/>
            </w:pPr>
            <w:r>
              <w:t xml:space="preserve">13.240</w:t>
            </w:r>
          </w:p>
        </w:tc>
        <w:tc>
          <w:tcPr>
            <w:tcW w:w="1397" w:type="dxa"/>
          </w:tcPr>
          <w:p>
            <w:pPr>
              <w:pStyle w:val="IsiTabel"/>
              <w:suppressAutoHyphens/>
              <w:jc w:val="right"/>
            </w:pPr>
            <w:r>
              <w:t xml:space="preserve">376</w:t>
            </w:r>
          </w:p>
        </w:tc>
        <w:tc>
          <w:tcPr>
            <w:tcW w:w="1395" w:type="dxa"/>
          </w:tcPr>
          <w:p>
            <w:pPr>
              <w:pStyle w:val="IsiTabel"/>
              <w:suppressAutoHyphens/>
              <w:jc w:val="right"/>
            </w:pPr>
            <w:r>
              <w:t xml:space="preserve">42</w:t>
            </w:r>
          </w:p>
        </w:tc>
      </w:tr>
      <w:tr>
        <w:trPr>
          <w:cantSplit/>
        </w:trPr>
        <w:tc>
          <w:tcPr>
            <w:tcW w:w="861" w:type="dxa"/>
          </w:tcPr>
          <w:p>
            <w:pPr>
              <w:pStyle w:val="IsiTabel"/>
              <w:suppressAutoHyphens/>
              <w:jc w:val="left"/>
            </w:pPr>
            <w:r>
              <w:t xml:space="preserve">2021</w:t>
            </w:r>
          </w:p>
        </w:tc>
        <w:tc>
          <w:tcPr>
            <w:tcW w:w="1162" w:type="dxa"/>
          </w:tcPr>
          <w:p>
            <w:pPr>
              <w:pStyle w:val="IsiTabel"/>
              <w:suppressAutoHyphens/>
              <w:jc w:val="right"/>
            </w:pPr>
            <w:r>
              <w:t xml:space="preserve">5.402</w:t>
            </w:r>
          </w:p>
        </w:tc>
        <w:tc>
          <w:tcPr>
            <w:tcW w:w="1347" w:type="dxa"/>
          </w:tcPr>
          <w:p>
            <w:pPr>
              <w:pStyle w:val="IsiTabel"/>
              <w:suppressAutoHyphens/>
              <w:jc w:val="right"/>
            </w:pPr>
            <w:r>
              <w:t xml:space="preserve">728</w:t>
            </w:r>
          </w:p>
        </w:tc>
        <w:tc>
          <w:tcPr>
            <w:tcW w:w="931" w:type="dxa"/>
          </w:tcPr>
          <w:p>
            <w:pPr>
              <w:pStyle w:val="IsiTabel"/>
              <w:suppressAutoHyphens/>
              <w:jc w:val="right"/>
            </w:pPr>
            <w:r>
              <w:t xml:space="preserve">87</w:t>
            </w:r>
          </w:p>
        </w:tc>
        <w:tc>
          <w:tcPr>
            <w:tcW w:w="1357" w:type="dxa"/>
          </w:tcPr>
          <w:p>
            <w:pPr>
              <w:pStyle w:val="IsiTabel"/>
              <w:suppressAutoHyphens/>
              <w:jc w:val="right"/>
            </w:pPr>
            <w:r>
              <w:t xml:space="preserve">684.160</w:t>
            </w:r>
          </w:p>
        </w:tc>
        <w:tc>
          <w:tcPr>
            <w:tcW w:w="904" w:type="dxa"/>
          </w:tcPr>
          <w:p>
            <w:pPr>
              <w:pStyle w:val="IsiTabel"/>
              <w:suppressAutoHyphens/>
              <w:jc w:val="right"/>
            </w:pPr>
            <w:r>
              <w:t xml:space="preserve">21.335</w:t>
            </w:r>
          </w:p>
        </w:tc>
        <w:tc>
          <w:tcPr>
            <w:tcW w:w="1397" w:type="dxa"/>
          </w:tcPr>
          <w:p>
            <w:pPr>
              <w:pStyle w:val="IsiTabel"/>
              <w:suppressAutoHyphens/>
              <w:jc w:val="right"/>
            </w:pPr>
            <w:r>
              <w:t xml:space="preserve">728</w:t>
            </w:r>
          </w:p>
        </w:tc>
        <w:tc>
          <w:tcPr>
            <w:tcW w:w="1395" w:type="dxa"/>
          </w:tcPr>
          <w:p>
            <w:pPr>
              <w:pStyle w:val="IsiTabel"/>
              <w:suppressAutoHyphens/>
              <w:jc w:val="right"/>
            </w:pPr>
            <w:r>
              <w:t xml:space="preserve">87</w:t>
            </w:r>
          </w:p>
        </w:tc>
      </w:tr>
      <w:tr>
        <w:trPr>
          <w:cantSplit/>
        </w:trPr>
        <w:tc>
          <w:tcPr>
            <w:tcW w:w="861" w:type="dxa"/>
          </w:tcPr>
          <w:p>
            <w:pPr>
              <w:pStyle w:val="IsiTabel"/>
              <w:suppressAutoHyphens/>
              <w:jc w:val="left"/>
            </w:pPr>
            <w:r>
              <w:t xml:space="preserve">2022</w:t>
            </w:r>
          </w:p>
        </w:tc>
        <w:tc>
          <w:tcPr>
            <w:tcW w:w="1162" w:type="dxa"/>
          </w:tcPr>
          <w:p>
            <w:pPr>
              <w:pStyle w:val="IsiTabel"/>
              <w:suppressAutoHyphens/>
              <w:jc w:val="right"/>
            </w:pPr>
            <w:r>
              <w:t xml:space="preserve">3.544</w:t>
            </w:r>
          </w:p>
        </w:tc>
        <w:tc>
          <w:tcPr>
            <w:tcW w:w="1347" w:type="dxa"/>
          </w:tcPr>
          <w:p>
            <w:pPr>
              <w:pStyle w:val="IsiTabel"/>
              <w:suppressAutoHyphens/>
              <w:jc w:val="right"/>
            </w:pPr>
            <w:r>
              <w:t xml:space="preserve">858</w:t>
            </w:r>
          </w:p>
        </w:tc>
        <w:tc>
          <w:tcPr>
            <w:tcW w:w="931" w:type="dxa"/>
          </w:tcPr>
          <w:p>
            <w:pPr>
              <w:pStyle w:val="IsiTabel"/>
              <w:suppressAutoHyphens/>
              <w:jc w:val="right"/>
            </w:pPr>
            <w:r>
              <w:t xml:space="preserve">37</w:t>
            </w:r>
          </w:p>
        </w:tc>
        <w:tc>
          <w:tcPr>
            <w:tcW w:w="1357" w:type="dxa"/>
          </w:tcPr>
          <w:p>
            <w:pPr>
              <w:pStyle w:val="IsiTabel"/>
              <w:suppressAutoHyphens/>
              <w:jc w:val="right"/>
            </w:pPr>
            <w:r>
              <w:t xml:space="preserve">595.422</w:t>
            </w:r>
          </w:p>
        </w:tc>
        <w:tc>
          <w:tcPr>
            <w:tcW w:w="904" w:type="dxa"/>
          </w:tcPr>
          <w:p>
            <w:pPr>
              <w:pStyle w:val="IsiTabel"/>
              <w:suppressAutoHyphens/>
              <w:jc w:val="right"/>
            </w:pPr>
            <w:r>
              <w:t xml:space="preserve">20.205</w:t>
            </w:r>
          </w:p>
        </w:tc>
        <w:tc>
          <w:tcPr>
            <w:tcW w:w="1397" w:type="dxa"/>
          </w:tcPr>
          <w:p>
            <w:pPr>
              <w:pStyle w:val="IsiTabel"/>
              <w:suppressAutoHyphens/>
              <w:jc w:val="right"/>
            </w:pPr>
            <w:r>
              <w:t xml:space="preserve">858</w:t>
            </w:r>
          </w:p>
        </w:tc>
        <w:tc>
          <w:tcPr>
            <w:tcW w:w="1395" w:type="dxa"/>
          </w:tcPr>
          <w:p>
            <w:pPr>
              <w:pStyle w:val="IsiTabel"/>
              <w:suppressAutoHyphens/>
              <w:jc w:val="right"/>
            </w:pPr>
            <w:r>
              <w:t xml:space="preserve">37</w:t>
            </w:r>
          </w:p>
        </w:tc>
      </w:tr>
      <w:tr>
        <w:trPr>
          <w:cantSplit/>
        </w:trPr>
        <w:tc>
          <w:tcPr>
            <w:tcW w:w="861" w:type="dxa"/>
          </w:tcPr>
          <w:p>
            <w:pPr>
              <w:pStyle w:val="IsiTabel"/>
              <w:suppressAutoHyphens/>
              <w:jc w:val="left"/>
            </w:pPr>
            <w:r>
              <w:t xml:space="preserve">2023</w:t>
            </w:r>
          </w:p>
        </w:tc>
        <w:tc>
          <w:tcPr>
            <w:tcW w:w="1162" w:type="dxa"/>
          </w:tcPr>
          <w:p>
            <w:pPr>
              <w:pStyle w:val="IsiTabel"/>
              <w:suppressAutoHyphens/>
              <w:jc w:val="right"/>
            </w:pPr>
            <w:r>
              <w:t xml:space="preserve">5.400</w:t>
            </w:r>
          </w:p>
        </w:tc>
        <w:tc>
          <w:tcPr>
            <w:tcW w:w="1347" w:type="dxa"/>
          </w:tcPr>
          <w:p>
            <w:pPr>
              <w:pStyle w:val="IsiTabel"/>
              <w:suppressAutoHyphens/>
              <w:jc w:val="right"/>
            </w:pPr>
            <w:r>
              <w:t xml:space="preserve">275</w:t>
            </w:r>
          </w:p>
        </w:tc>
        <w:tc>
          <w:tcPr>
            <w:tcW w:w="931" w:type="dxa"/>
          </w:tcPr>
          <w:p>
            <w:pPr>
              <w:pStyle w:val="IsiTabel"/>
              <w:suppressAutoHyphens/>
              <w:jc w:val="right"/>
            </w:pPr>
            <w:r>
              <w:t xml:space="preserve">33</w:t>
            </w:r>
          </w:p>
        </w:tc>
        <w:tc>
          <w:tcPr>
            <w:tcW w:w="1357" w:type="dxa"/>
          </w:tcPr>
          <w:p>
            <w:pPr>
              <w:pStyle w:val="IsiTabel"/>
              <w:suppressAutoHyphens/>
              <w:jc w:val="right"/>
            </w:pPr>
            <w:r>
              <w:t xml:space="preserve">150.469</w:t>
            </w:r>
          </w:p>
        </w:tc>
        <w:tc>
          <w:tcPr>
            <w:tcW w:w="904" w:type="dxa"/>
          </w:tcPr>
          <w:p>
            <w:pPr>
              <w:pStyle w:val="IsiTabel"/>
              <w:suppressAutoHyphens/>
              <w:jc w:val="right"/>
            </w:pPr>
            <w:r>
              <w:t xml:space="preserve">4.870</w:t>
            </w:r>
          </w:p>
        </w:tc>
        <w:tc>
          <w:tcPr>
            <w:tcW w:w="1397" w:type="dxa"/>
          </w:tcPr>
          <w:p>
            <w:pPr>
              <w:pStyle w:val="IsiTabel"/>
              <w:suppressAutoHyphens/>
              <w:jc w:val="right"/>
            </w:pPr>
            <w:r>
              <w:t xml:space="preserve">275</w:t>
            </w:r>
          </w:p>
        </w:tc>
        <w:tc>
          <w:tcPr>
            <w:tcW w:w="1395" w:type="dxa"/>
          </w:tcPr>
          <w:p>
            <w:pPr>
              <w:pStyle w:val="IsiTabel"/>
              <w:suppressAutoHyphens/>
              <w:jc w:val="right"/>
            </w:pPr>
            <w:r>
              <w:t xml:space="preserve">33</w:t>
            </w:r>
          </w:p>
        </w:tc>
      </w:tr>
      <w:tr>
        <w:trPr>
          <w:cantSplit/>
        </w:trPr>
        <w:tc>
          <w:tcPr>
            <w:tcW w:w="9354" w:type="dxa"/>
            <w:gridSpan w:val="8"/>
            <w:shd w:val="clear" w:color="auto" w:fill="E6EAF0"/>
          </w:tcPr>
          <w:p>
            <w:pPr>
              <w:pStyle w:val="IsiTabel"/>
              <w:keepNext/>
              <w:suppressAutoHyphens/>
              <w:ind w:left="0"/>
            </w:pPr>
            <w:bookmarkStart w:id="913" w:name="_Ekor107a"/>
            <w:bookmarkEnd w:id="913"/>
            <w:r>
              <w:rPr>
                <w:b/>
                <w:bCs/>
              </w:rPr>
              <w:t xml:space="preserve">sejak 2024 (Juklak BNPB 7/2023)</w:t>
            </w:r>
          </w:p>
        </w:tc>
      </w:tr>
      <w:tr>
        <w:trPr>
          <w:cantSplit/>
        </w:trPr>
        <w:tc>
          <w:tcPr>
            <w:tcW w:w="861" w:type="dxa"/>
          </w:tcPr>
          <w:p>
            <w:pPr>
              <w:pStyle w:val="IsiTabel"/>
              <w:keepNext/>
              <w:suppressAutoHyphens/>
              <w:jc w:val="left"/>
            </w:pPr>
            <w:r>
              <w:t xml:space="preserve">2024</w:t>
            </w:r>
          </w:p>
        </w:tc>
        <w:tc>
          <w:tcPr>
            <w:tcW w:w="1162" w:type="dxa"/>
          </w:tcPr>
          <w:p>
            <w:pPr>
              <w:pStyle w:val="IsiTabel"/>
              <w:keepNext/>
              <w:suppressAutoHyphens/>
              <w:jc w:val="right"/>
            </w:pPr>
            <w:r>
              <w:t xml:space="preserve">3.472</w:t>
            </w:r>
          </w:p>
        </w:tc>
        <w:tc>
          <w:tcPr>
            <w:tcW w:w="1347" w:type="dxa"/>
          </w:tcPr>
          <w:p>
            <w:pPr>
              <w:pStyle w:val="IsiTabel"/>
              <w:keepNext/>
              <w:suppressAutoHyphens/>
              <w:jc w:val="right"/>
            </w:pPr>
            <w:r>
              <w:t xml:space="preserve">540</w:t>
            </w:r>
          </w:p>
        </w:tc>
        <w:tc>
          <w:tcPr>
            <w:tcW w:w="931" w:type="dxa"/>
          </w:tcPr>
          <w:p>
            <w:pPr>
              <w:pStyle w:val="IsiTabel"/>
              <w:keepNext/>
              <w:suppressAutoHyphens/>
              <w:jc w:val="right"/>
            </w:pPr>
            <w:r>
              <w:t xml:space="preserve">63</w:t>
            </w:r>
          </w:p>
        </w:tc>
        <w:tc>
          <w:tcPr>
            <w:tcW w:w="1357" w:type="dxa"/>
          </w:tcPr>
          <w:p>
            <w:pPr>
              <w:pStyle w:val="IsiTabel"/>
              <w:keepNext/>
              <w:suppressAutoHyphens/>
              <w:jc w:val="right"/>
            </w:pPr>
            <w:r>
              <w:t xml:space="preserve">528.513</w:t>
            </w:r>
          </w:p>
        </w:tc>
        <w:tc>
          <w:tcPr>
            <w:tcW w:w="904" w:type="dxa"/>
          </w:tcPr>
          <w:p>
            <w:pPr>
              <w:pStyle w:val="IsiTabel"/>
              <w:keepNext/>
              <w:suppressAutoHyphens/>
              <w:jc w:val="right"/>
            </w:pPr>
            <w:r>
              <w:t xml:space="preserve">13.104</w:t>
            </w:r>
          </w:p>
        </w:tc>
        <w:tc>
          <w:tcPr>
            <w:tcW w:w="1397" w:type="dxa"/>
          </w:tcPr>
          <w:p>
            <w:pPr>
              <w:pStyle w:val="IsiTabel"/>
              <w:keepNext/>
              <w:suppressAutoHyphens/>
              <w:jc w:val="right"/>
            </w:pPr>
            <w:r>
              <w:t xml:space="preserve">579</w:t>
            </w:r>
          </w:p>
        </w:tc>
        <w:tc>
          <w:tcPr>
            <w:tcW w:w="1395" w:type="dxa"/>
          </w:tcPr>
          <w:p>
            <w:pPr>
              <w:pStyle w:val="IsiTabel"/>
              <w:keepNext/>
              <w:suppressAutoHyphens/>
              <w:jc w:val="right"/>
            </w:pPr>
            <w:r>
              <w:t xml:space="preserve">63</w:t>
            </w:r>
          </w:p>
        </w:tc>
      </w:tr>
      <w:tr>
        <w:trPr>
          <w:cantSplit/>
        </w:trPr>
        <w:tc>
          <w:tcPr>
            <w:tcW w:w="861" w:type="dxa"/>
          </w:tcPr>
          <w:p>
            <w:pPr>
              <w:pStyle w:val="IsiTabel"/>
              <w:keepNext/>
              <w:suppressAutoHyphens/>
              <w:jc w:val="left"/>
            </w:pPr>
            <w:r>
              <w:t xml:space="preserve">2025</w:t>
            </w:r>
          </w:p>
        </w:tc>
        <w:tc>
          <w:tcPr>
            <w:tcW w:w="1162" w:type="dxa"/>
          </w:tcPr>
          <w:p>
            <w:pPr>
              <w:pStyle w:val="IsiTabel"/>
              <w:keepNext/>
              <w:suppressAutoHyphens/>
              <w:jc w:val="right"/>
            </w:pPr>
            <w:r>
              <w:t xml:space="preserve">5.077</w:t>
            </w:r>
          </w:p>
        </w:tc>
        <w:tc>
          <w:tcPr>
            <w:tcW w:w="1347" w:type="dxa"/>
          </w:tcPr>
          <w:p>
            <w:pPr>
              <w:pStyle w:val="IsiTabel"/>
              <w:keepNext/>
              <w:suppressAutoHyphens/>
              <w:jc w:val="right"/>
            </w:pPr>
            <w:r>
              <w:t xml:space="preserve">1.735</w:t>
            </w:r>
          </w:p>
        </w:tc>
        <w:tc>
          <w:tcPr>
            <w:tcW w:w="931" w:type="dxa"/>
          </w:tcPr>
          <w:p>
            <w:pPr>
              <w:pStyle w:val="IsiTabel"/>
              <w:keepNext/>
              <w:suppressAutoHyphens/>
              <w:jc w:val="right"/>
            </w:pPr>
            <w:r>
              <w:t xml:space="preserve">221</w:t>
            </w:r>
          </w:p>
        </w:tc>
        <w:tc>
          <w:tcPr>
            <w:tcW w:w="1357" w:type="dxa"/>
          </w:tcPr>
          <w:p>
            <w:pPr>
              <w:pStyle w:val="IsiTabel"/>
              <w:keepNext/>
              <w:suppressAutoHyphens/>
              <w:jc w:val="right"/>
            </w:pPr>
            <w:r>
              <w:t xml:space="preserve">1.163.435</w:t>
            </w:r>
          </w:p>
        </w:tc>
        <w:tc>
          <w:tcPr>
            <w:tcW w:w="904" w:type="dxa"/>
          </w:tcPr>
          <w:p>
            <w:pPr>
              <w:pStyle w:val="IsiTabel"/>
              <w:keepNext/>
              <w:suppressAutoHyphens/>
              <w:jc w:val="right"/>
            </w:pPr>
            <w:r>
              <w:t xml:space="preserve">70.391</w:t>
            </w:r>
          </w:p>
        </w:tc>
        <w:tc>
          <w:tcPr>
            <w:tcW w:w="1397" w:type="dxa"/>
          </w:tcPr>
          <w:p>
            <w:pPr>
              <w:pStyle w:val="IsiTabel"/>
              <w:keepNext/>
              <w:suppressAutoHyphens/>
              <w:jc w:val="right"/>
            </w:pPr>
            <w:r>
              <w:t xml:space="preserve">2.030</w:t>
            </w:r>
          </w:p>
        </w:tc>
        <w:tc>
          <w:tcPr>
            <w:tcW w:w="1395" w:type="dxa"/>
          </w:tcPr>
          <w:p>
            <w:pPr>
              <w:pStyle w:val="IsiTabel"/>
              <w:keepNext/>
              <w:suppressAutoHyphens/>
              <w:jc w:val="right"/>
            </w:pPr>
            <w:r>
              <w:t xml:space="preserve">246</w:t>
            </w:r>
          </w:p>
        </w:tc>
      </w:tr>
      <w:tr>
        <w:trPr>
          <w:cantSplit/>
        </w:trPr>
        <w:tc>
          <w:tcPr>
            <w:tcW w:w="861" w:type="dxa"/>
          </w:tcPr>
          <w:p>
            <w:pPr>
              <w:pStyle w:val="IsiTabel"/>
              <w:suppressAutoHyphens/>
              <w:jc w:val="left"/>
            </w:pPr>
            <w:bookmarkStart w:id="914" w:name="_Ekor107z"/>
            <w:bookmarkEnd w:id="914"/>
            <w:r>
              <w:t xml:space="preserve">2026</w:t>
            </w:r>
          </w:p>
        </w:tc>
        <w:tc>
          <w:tcPr>
            <w:tcW w:w="1162" w:type="dxa"/>
          </w:tcPr>
          <w:p>
            <w:pPr>
              <w:pStyle w:val="IsiTabel"/>
              <w:suppressAutoHyphens/>
              <w:jc w:val="right"/>
            </w:pPr>
            <w:r>
              <w:t xml:space="preserve">2.204</w:t>
            </w:r>
          </w:p>
        </w:tc>
        <w:tc>
          <w:tcPr>
            <w:tcW w:w="1347" w:type="dxa"/>
          </w:tcPr>
          <w:p>
            <w:pPr>
              <w:pStyle w:val="IsiTabel"/>
              <w:suppressAutoHyphens/>
              <w:jc w:val="right"/>
            </w:pPr>
            <w:r>
              <w:t xml:space="preserve">427</w:t>
            </w:r>
          </w:p>
        </w:tc>
        <w:tc>
          <w:tcPr>
            <w:tcW w:w="931" w:type="dxa"/>
          </w:tcPr>
          <w:p>
            <w:pPr>
              <w:pStyle w:val="IsiTabel"/>
              <w:suppressAutoHyphens/>
              <w:jc w:val="right"/>
            </w:pPr>
            <w:r>
              <w:t xml:space="preserve">21</w:t>
            </w:r>
          </w:p>
        </w:tc>
        <w:tc>
          <w:tcPr>
            <w:tcW w:w="1357" w:type="dxa"/>
          </w:tcPr>
          <w:p>
            <w:pPr>
              <w:pStyle w:val="IsiTabel"/>
              <w:suppressAutoHyphens/>
              <w:jc w:val="right"/>
            </w:pPr>
            <w:r>
              <w:t xml:space="preserve">246.461</w:t>
            </w:r>
          </w:p>
        </w:tc>
        <w:tc>
          <w:tcPr>
            <w:tcW w:w="904" w:type="dxa"/>
          </w:tcPr>
          <w:p>
            <w:pPr>
              <w:pStyle w:val="IsiTabel"/>
              <w:suppressAutoHyphens/>
              <w:jc w:val="right"/>
            </w:pPr>
            <w:r>
              <w:t xml:space="preserve">32.231</w:t>
            </w:r>
          </w:p>
        </w:tc>
        <w:tc>
          <w:tcPr>
            <w:tcW w:w="1397" w:type="dxa"/>
          </w:tcPr>
          <w:p>
            <w:pPr>
              <w:pStyle w:val="IsiTabel"/>
              <w:suppressAutoHyphens/>
              <w:jc w:val="right"/>
            </w:pPr>
            <w:r>
              <w:t xml:space="preserve">548</w:t>
            </w:r>
          </w:p>
        </w:tc>
        <w:tc>
          <w:tcPr>
            <w:tcW w:w="1395" w:type="dxa"/>
          </w:tcPr>
          <w:p>
            <w:pPr>
              <w:pStyle w:val="IsiTabel"/>
              <w:suppressAutoHyphens/>
              <w:jc w:val="right"/>
            </w:pPr>
            <w:r>
              <w:t xml:space="preserve">21</w:t>
            </w:r>
          </w:p>
        </w:tc>
      </w:tr>
    </w:tbl>
    <w:p>
      <w:pPr>
        <w:pStyle w:val="Sumber"/>
        <w:spacing w:after="40"/>
      </w:pPr>
      <w:r>
        <w:rPr>
          <w:b/>
          <w:bCs/>
          <w:color w:val="6B7280"/>
          <w:sz w:val="17"/>
          <w:szCs w:val="17"/>
        </w:rPr>
        <w:t xml:space="preserve">Sumber: </w:t>
      </w:r>
      <w:r>
        <w:rPr>
          <w:color w:val="6B7280"/>
          <w:sz w:val="17"/>
          <w:szCs w:val="17"/>
        </w:rPr>
        <w:t xml:space="preserve">DIBI BNPB, dasbor publik, ditarik 23 Oktober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Bencana alam = kode jenis 101–109; semua klasifikasi memuat nonalam, sosial, dan lainnya. Mengungsi dicatat sebagai nominal terbesar selama tanggap darurat, bukan pengungsi serentak.</w:t>
      </w:r>
    </w:p>
    <w:p>
      <w:pPr>
        <w:pStyle w:val="IsiTemuan"/>
      </w:pPr>
      <w:r>
        <w:rPr>
          <w:b/>
          <w:bCs/>
          <w:color w:val="051C2C"/>
        </w:rPr>
        <w:t xml:space="preserve">Gempa bumi menyumbang korban meninggal dan hilang terbanyak di antara jenis bencana alam 2015–2025, sedangkan banjir dan cuaca ekstrem mencatat kejadian terbanyak</w:t>
      </w:r>
      <w:r>
        <w:t xml:space="preserve"> (</w:t>
      </w:r>
      <w:r>
        <w:fldChar w:fldCharType="begin"/>
      </w:r>
      <w:r>
        <w:instrText xml:space="preserve"> REF _Ref0242 \h \* CHARFORMAT </w:instrText>
      </w:r>
      <w:r>
        <w:fldChar w:fldCharType="separate"/>
      </w:r>
      <w:r>
        <w:t xml:space="preserve">Tabel D.2</w:t>
      </w:r>
      <w:r>
        <w:fldChar w:fldCharType="end"/>
      </w:r>
      <w:r>
        <w:t xml:space="preserve">). Pola ini sejalan dengan temuan Bab 4 bahwa bencana geologi menyumbang </w:t>
      </w:r>
      <w:r>
        <w:t xml:space="preserve">0,91%</w:t>
      </w:r>
      <w:r>
        <w:t xml:space="preserve"> kejadian tetapi </w:t>
      </w:r>
      <w:r>
        <w:t xml:space="preserve">54,3%</w:t>
      </w:r>
      <w:r>
        <w:t xml:space="preserve"> korban meninggal </w:t>
      </w:r>
      <w:r>
        <w:t xml:space="preserve">(BNPB, t.t.-a)</w:t>
      </w:r>
      <w:r>
        <w:t xml:space="preserve">.</w:t>
      </w:r>
    </w:p>
    <w:p>
      <w:pPr>
        <w:pStyle w:val="Caption"/>
      </w:pPr>
      <w:bookmarkStart w:id="916" w:name="_Toc00287"/>
      <w:bookmarkStart w:id="915" w:name="_Ref0242"/>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15"/>
      <w:r>
        <w:rPr>
          <w:b/>
          <w:bCs/>
          <w:color w:val="051C2C"/>
        </w:rPr>
        <w:t xml:space="preserve"> </w:t>
      </w:r>
      <w:r>
        <w:t xml:space="preserve">Kejadian dan dampak bencana alam menurut jenis DIBI, Indonesia, 2015–2025</w:t>
      </w:r>
      <w:bookmarkEnd w:id="91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05"/>
        <w:gridCol w:w="1498"/>
        <w:gridCol w:w="1736"/>
        <w:gridCol w:w="1749"/>
        <w:gridCol w:w="1166"/>
      </w:tblGrid>
      <w:tr>
        <w:trPr>
          <w:cantSplit/>
          <w:tblHeader/>
        </w:trPr>
        <w:tc>
          <w:tcPr>
            <w:tcW w:w="3205" w:type="dxa"/>
            <w:tcBorders>
              <w:bottom w:val="single" w:sz="8" w:space="0" w:color="6B7280"/>
            </w:tcBorders>
            <w:vAlign w:val="bottom"/>
          </w:tcPr>
          <w:p>
            <w:pPr>
              <w:pStyle w:val="KepalaTabel"/>
              <w:suppressAutoHyphens/>
            </w:pPr>
            <w:r>
              <w:rPr>
                <w:b/>
                <w:bCs/>
                <w:color w:val="6B7280"/>
                <w:sz w:val="17"/>
                <w:szCs w:val="17"/>
              </w:rPr>
              <w:t xml:space="preserve">JENIS DIBI</w:t>
            </w:r>
          </w:p>
        </w:tc>
        <w:tc>
          <w:tcPr>
            <w:tcW w:w="1498" w:type="dxa"/>
            <w:tcBorders>
              <w:bottom w:val="single" w:sz="8" w:space="0" w:color="6B7280"/>
            </w:tcBorders>
            <w:vAlign w:val="bottom"/>
          </w:tcPr>
          <w:p>
            <w:pPr>
              <w:pStyle w:val="KepalaTabel"/>
              <w:suppressAutoHyphens/>
            </w:pPr>
            <w:r>
              <w:rPr>
                <w:b/>
                <w:bCs/>
                <w:color w:val="6B7280"/>
                <w:sz w:val="17"/>
                <w:szCs w:val="17"/>
              </w:rPr>
              <w:t xml:space="preserve">KEJADIAN</w:t>
            </w:r>
          </w:p>
        </w:tc>
        <w:tc>
          <w:tcPr>
            <w:tcW w:w="1736"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c>
          <w:tcPr>
            <w:tcW w:w="1749" w:type="dxa"/>
            <w:tcBorders>
              <w:bottom w:val="single" w:sz="8" w:space="0" w:color="6B7280"/>
            </w:tcBorders>
            <w:vAlign w:val="bottom"/>
          </w:tcPr>
          <w:p>
            <w:pPr>
              <w:pStyle w:val="KepalaTabel"/>
              <w:suppressAutoHyphens/>
            </w:pPr>
            <w:r>
              <w:rPr>
                <w:b/>
                <w:bCs/>
                <w:color w:val="6B7280"/>
                <w:sz w:val="17"/>
                <w:szCs w:val="17"/>
              </w:rPr>
              <w:t xml:space="preserve">MENGUNGSI (jiwa)</w:t>
            </w:r>
          </w:p>
        </w:tc>
        <w:tc>
          <w:tcPr>
            <w:tcW w:w="1166" w:type="dxa"/>
            <w:tcBorders>
              <w:bottom w:val="single" w:sz="8" w:space="0" w:color="6B7280"/>
            </w:tcBorders>
            <w:vAlign w:val="bottom"/>
          </w:tcPr>
          <w:p>
            <w:pPr>
              <w:pStyle w:val="KepalaTabel"/>
              <w:suppressAutoHyphens/>
            </w:pPr>
            <w:r>
              <w:rPr>
                <w:b/>
                <w:bCs/>
                <w:color w:val="6B7280"/>
                <w:sz w:val="17"/>
                <w:szCs w:val="17"/>
              </w:rPr>
              <w:t xml:space="preserve">RUMAH RUSAK BERAT (unit)</w:t>
            </w:r>
          </w:p>
        </w:tc>
      </w:tr>
      <w:tr>
        <w:trPr>
          <w:cantSplit/>
        </w:trPr>
        <w:tc>
          <w:tcPr>
            <w:tcW w:w="3205" w:type="dxa"/>
          </w:tcPr>
          <w:p>
            <w:pPr>
              <w:pStyle w:val="IsiTabel"/>
              <w:suppressAutoHyphens/>
              <w:jc w:val="left"/>
            </w:pPr>
            <w:r>
              <w:t xml:space="preserve">Gempabumi</w:t>
            </w:r>
          </w:p>
        </w:tc>
        <w:tc>
          <w:tcPr>
            <w:tcW w:w="1498" w:type="dxa"/>
          </w:tcPr>
          <w:p>
            <w:pPr>
              <w:pStyle w:val="IsiTabel"/>
              <w:suppressAutoHyphens/>
              <w:jc w:val="right"/>
            </w:pPr>
            <w:r>
              <w:t xml:space="preserve">258</w:t>
            </w:r>
          </w:p>
        </w:tc>
        <w:tc>
          <w:tcPr>
            <w:tcW w:w="1736" w:type="dxa"/>
          </w:tcPr>
          <w:p>
            <w:pPr>
              <w:pStyle w:val="IsiTabel"/>
              <w:suppressAutoHyphens/>
              <w:jc w:val="right"/>
            </w:pPr>
            <w:r>
              <w:t xml:space="preserve">6.372</w:t>
            </w:r>
          </w:p>
        </w:tc>
        <w:tc>
          <w:tcPr>
            <w:tcW w:w="1749" w:type="dxa"/>
          </w:tcPr>
          <w:p>
            <w:pPr>
              <w:pStyle w:val="IsiTabel"/>
              <w:suppressAutoHyphens/>
              <w:jc w:val="right"/>
            </w:pPr>
            <w:r>
              <w:t xml:space="preserve">1.447.448</w:t>
            </w:r>
          </w:p>
        </w:tc>
        <w:tc>
          <w:tcPr>
            <w:tcW w:w="1166" w:type="dxa"/>
          </w:tcPr>
          <w:p>
            <w:pPr>
              <w:pStyle w:val="IsiTabel"/>
              <w:suppressAutoHyphens/>
              <w:jc w:val="right"/>
            </w:pPr>
            <w:r>
              <w:t xml:space="preserve">152.659</w:t>
            </w:r>
          </w:p>
        </w:tc>
      </w:tr>
      <w:tr>
        <w:trPr>
          <w:cantSplit/>
        </w:trPr>
        <w:tc>
          <w:tcPr>
            <w:tcW w:w="3205" w:type="dxa"/>
          </w:tcPr>
          <w:p>
            <w:pPr>
              <w:pStyle w:val="IsiTabel"/>
              <w:suppressAutoHyphens/>
              <w:jc w:val="left"/>
            </w:pPr>
            <w:r>
              <w:t xml:space="preserve">Banjir</w:t>
            </w:r>
          </w:p>
        </w:tc>
        <w:tc>
          <w:tcPr>
            <w:tcW w:w="1498" w:type="dxa"/>
          </w:tcPr>
          <w:p>
            <w:pPr>
              <w:pStyle w:val="IsiTabel"/>
              <w:suppressAutoHyphens/>
              <w:jc w:val="right"/>
            </w:pPr>
            <w:r>
              <w:t xml:space="preserve">13.820</w:t>
            </w:r>
          </w:p>
        </w:tc>
        <w:tc>
          <w:tcPr>
            <w:tcW w:w="1736" w:type="dxa"/>
          </w:tcPr>
          <w:p>
            <w:pPr>
              <w:pStyle w:val="IsiTabel"/>
              <w:suppressAutoHyphens/>
              <w:jc w:val="right"/>
            </w:pPr>
            <w:r>
              <w:t xml:space="preserve">3.717</w:t>
            </w:r>
          </w:p>
        </w:tc>
        <w:tc>
          <w:tcPr>
            <w:tcW w:w="1749" w:type="dxa"/>
          </w:tcPr>
          <w:p>
            <w:pPr>
              <w:pStyle w:val="IsiTabel"/>
              <w:suppressAutoHyphens/>
              <w:jc w:val="right"/>
            </w:pPr>
            <w:r>
              <w:t xml:space="preserve">4.446.548</w:t>
            </w:r>
          </w:p>
        </w:tc>
        <w:tc>
          <w:tcPr>
            <w:tcW w:w="1166" w:type="dxa"/>
          </w:tcPr>
          <w:p>
            <w:pPr>
              <w:pStyle w:val="IsiTabel"/>
              <w:suppressAutoHyphens/>
              <w:jc w:val="right"/>
            </w:pPr>
            <w:r>
              <w:t xml:space="preserve">104.296</w:t>
            </w:r>
          </w:p>
        </w:tc>
      </w:tr>
      <w:tr>
        <w:trPr>
          <w:cantSplit/>
        </w:trPr>
        <w:tc>
          <w:tcPr>
            <w:tcW w:w="3205" w:type="dxa"/>
          </w:tcPr>
          <w:p>
            <w:pPr>
              <w:pStyle w:val="IsiTabel"/>
              <w:suppressAutoHyphens/>
              <w:jc w:val="left"/>
            </w:pPr>
            <w:r>
              <w:t xml:space="preserve">Longsor</w:t>
            </w:r>
          </w:p>
        </w:tc>
        <w:tc>
          <w:tcPr>
            <w:tcW w:w="1498" w:type="dxa"/>
          </w:tcPr>
          <w:p>
            <w:pPr>
              <w:pStyle w:val="IsiTabel"/>
              <w:suppressAutoHyphens/>
              <w:jc w:val="right"/>
            </w:pPr>
            <w:r>
              <w:t xml:space="preserve">7.417</w:t>
            </w:r>
          </w:p>
        </w:tc>
        <w:tc>
          <w:tcPr>
            <w:tcW w:w="1736" w:type="dxa"/>
          </w:tcPr>
          <w:p>
            <w:pPr>
              <w:pStyle w:val="IsiTabel"/>
              <w:suppressAutoHyphens/>
              <w:jc w:val="right"/>
            </w:pPr>
            <w:r>
              <w:t xml:space="preserve">1.871</w:t>
            </w:r>
          </w:p>
        </w:tc>
        <w:tc>
          <w:tcPr>
            <w:tcW w:w="1749" w:type="dxa"/>
          </w:tcPr>
          <w:p>
            <w:pPr>
              <w:pStyle w:val="IsiTabel"/>
              <w:suppressAutoHyphens/>
              <w:jc w:val="right"/>
            </w:pPr>
            <w:r>
              <w:t xml:space="preserve">101.886</w:t>
            </w:r>
          </w:p>
        </w:tc>
        <w:tc>
          <w:tcPr>
            <w:tcW w:w="1166" w:type="dxa"/>
          </w:tcPr>
          <w:p>
            <w:pPr>
              <w:pStyle w:val="IsiTabel"/>
              <w:suppressAutoHyphens/>
              <w:jc w:val="right"/>
            </w:pPr>
            <w:r>
              <w:t xml:space="preserve">12.865</w:t>
            </w:r>
          </w:p>
        </w:tc>
      </w:tr>
      <w:tr>
        <w:trPr>
          <w:cantSplit/>
        </w:trPr>
        <w:tc>
          <w:tcPr>
            <w:tcW w:w="3205" w:type="dxa"/>
          </w:tcPr>
          <w:p>
            <w:pPr>
              <w:pStyle w:val="IsiTabel"/>
              <w:suppressAutoHyphens/>
              <w:jc w:val="left"/>
            </w:pPr>
            <w:r>
              <w:t xml:space="preserve">Tsunami</w:t>
            </w:r>
          </w:p>
        </w:tc>
        <w:tc>
          <w:tcPr>
            <w:tcW w:w="1498" w:type="dxa"/>
          </w:tcPr>
          <w:p>
            <w:pPr>
              <w:pStyle w:val="IsiTabel"/>
              <w:suppressAutoHyphens/>
              <w:jc w:val="right"/>
            </w:pPr>
            <w:r>
              <w:t xml:space="preserve">2</w:t>
            </w:r>
          </w:p>
        </w:tc>
        <w:tc>
          <w:tcPr>
            <w:tcW w:w="1736" w:type="dxa"/>
          </w:tcPr>
          <w:p>
            <w:pPr>
              <w:pStyle w:val="IsiTabel"/>
              <w:suppressAutoHyphens/>
              <w:jc w:val="right"/>
            </w:pPr>
            <w:r>
              <w:t xml:space="preserve">453</w:t>
            </w:r>
          </w:p>
        </w:tc>
        <w:tc>
          <w:tcPr>
            <w:tcW w:w="1749" w:type="dxa"/>
          </w:tcPr>
          <w:p>
            <w:pPr>
              <w:pStyle w:val="IsiTabel"/>
              <w:suppressAutoHyphens/>
              <w:jc w:val="right"/>
            </w:pPr>
            <w:r>
              <w:t xml:space="preserve">43.235</w:t>
            </w:r>
          </w:p>
        </w:tc>
        <w:tc>
          <w:tcPr>
            <w:tcW w:w="1166" w:type="dxa"/>
          </w:tcPr>
          <w:p>
            <w:pPr>
              <w:pStyle w:val="IsiTabel"/>
              <w:suppressAutoHyphens/>
              <w:jc w:val="right"/>
            </w:pPr>
            <w:r>
              <w:t xml:space="preserve">1.583</w:t>
            </w:r>
          </w:p>
        </w:tc>
      </w:tr>
      <w:tr>
        <w:trPr>
          <w:cantSplit/>
        </w:trPr>
        <w:tc>
          <w:tcPr>
            <w:tcW w:w="3205" w:type="dxa"/>
          </w:tcPr>
          <w:p>
            <w:pPr>
              <w:pStyle w:val="IsiTabel"/>
              <w:suppressAutoHyphens/>
              <w:jc w:val="left"/>
            </w:pPr>
            <w:r>
              <w:t xml:space="preserve">Cuaca ekstrem</w:t>
            </w:r>
          </w:p>
        </w:tc>
        <w:tc>
          <w:tcPr>
            <w:tcW w:w="1498" w:type="dxa"/>
          </w:tcPr>
          <w:p>
            <w:pPr>
              <w:pStyle w:val="IsiTabel"/>
              <w:suppressAutoHyphens/>
              <w:jc w:val="right"/>
            </w:pPr>
            <w:r>
              <w:t xml:space="preserve">11.673</w:t>
            </w:r>
          </w:p>
        </w:tc>
        <w:tc>
          <w:tcPr>
            <w:tcW w:w="1736" w:type="dxa"/>
          </w:tcPr>
          <w:p>
            <w:pPr>
              <w:pStyle w:val="IsiTabel"/>
              <w:suppressAutoHyphens/>
              <w:jc w:val="right"/>
            </w:pPr>
            <w:r>
              <w:t xml:space="preserve">398</w:t>
            </w:r>
          </w:p>
        </w:tc>
        <w:tc>
          <w:tcPr>
            <w:tcW w:w="1749" w:type="dxa"/>
          </w:tcPr>
          <w:p>
            <w:pPr>
              <w:pStyle w:val="IsiTabel"/>
              <w:suppressAutoHyphens/>
              <w:jc w:val="right"/>
            </w:pPr>
            <w:r>
              <w:t xml:space="preserve">29.944</w:t>
            </w:r>
          </w:p>
        </w:tc>
        <w:tc>
          <w:tcPr>
            <w:tcW w:w="1166" w:type="dxa"/>
          </w:tcPr>
          <w:p>
            <w:pPr>
              <w:pStyle w:val="IsiTabel"/>
              <w:suppressAutoHyphens/>
              <w:jc w:val="right"/>
            </w:pPr>
            <w:r>
              <w:t xml:space="preserve">24.876</w:t>
            </w:r>
          </w:p>
        </w:tc>
      </w:tr>
      <w:tr>
        <w:trPr>
          <w:cantSplit/>
        </w:trPr>
        <w:tc>
          <w:tcPr>
            <w:tcW w:w="3205" w:type="dxa"/>
          </w:tcPr>
          <w:p>
            <w:pPr>
              <w:pStyle w:val="IsiTabel"/>
              <w:suppressAutoHyphens/>
              <w:jc w:val="left"/>
            </w:pPr>
            <w:r>
              <w:t xml:space="preserve">Erupsi gunung api</w:t>
            </w:r>
          </w:p>
        </w:tc>
        <w:tc>
          <w:tcPr>
            <w:tcW w:w="1498" w:type="dxa"/>
          </w:tcPr>
          <w:p>
            <w:pPr>
              <w:pStyle w:val="IsiTabel"/>
              <w:suppressAutoHyphens/>
              <w:jc w:val="right"/>
            </w:pPr>
            <w:r>
              <w:t xml:space="preserve">117</w:t>
            </w:r>
          </w:p>
        </w:tc>
        <w:tc>
          <w:tcPr>
            <w:tcW w:w="1736" w:type="dxa"/>
          </w:tcPr>
          <w:p>
            <w:pPr>
              <w:pStyle w:val="IsiTabel"/>
              <w:suppressAutoHyphens/>
              <w:jc w:val="right"/>
            </w:pPr>
            <w:r>
              <w:t xml:space="preserve">163</w:t>
            </w:r>
          </w:p>
        </w:tc>
        <w:tc>
          <w:tcPr>
            <w:tcW w:w="1749" w:type="dxa"/>
          </w:tcPr>
          <w:p>
            <w:pPr>
              <w:pStyle w:val="IsiTabel"/>
              <w:suppressAutoHyphens/>
              <w:jc w:val="right"/>
            </w:pPr>
            <w:r>
              <w:t xml:space="preserve">245.692</w:t>
            </w:r>
          </w:p>
        </w:tc>
        <w:tc>
          <w:tcPr>
            <w:tcW w:w="1166" w:type="dxa"/>
          </w:tcPr>
          <w:p>
            <w:pPr>
              <w:pStyle w:val="IsiTabel"/>
              <w:suppressAutoHyphens/>
              <w:jc w:val="right"/>
            </w:pPr>
            <w:r>
              <w:t xml:space="preserve">3.648</w:t>
            </w:r>
          </w:p>
        </w:tc>
      </w:tr>
      <w:tr>
        <w:trPr>
          <w:cantSplit/>
        </w:trPr>
        <w:tc>
          <w:tcPr>
            <w:tcW w:w="3205" w:type="dxa"/>
          </w:tcPr>
          <w:p>
            <w:pPr>
              <w:pStyle w:val="IsiTabel"/>
              <w:keepNext/>
              <w:suppressAutoHyphens/>
              <w:jc w:val="left"/>
            </w:pPr>
            <w:bookmarkStart w:id="917" w:name="_Ekor108a"/>
            <w:bookmarkEnd w:id="917"/>
            <w:r>
              <w:t xml:space="preserve">Kebakaran hutan dan lahan</w:t>
            </w:r>
          </w:p>
        </w:tc>
        <w:tc>
          <w:tcPr>
            <w:tcW w:w="1498" w:type="dxa"/>
          </w:tcPr>
          <w:p>
            <w:pPr>
              <w:pStyle w:val="IsiTabel"/>
              <w:keepNext/>
              <w:suppressAutoHyphens/>
              <w:jc w:val="right"/>
            </w:pPr>
            <w:r>
              <w:t xml:space="preserve">7.346</w:t>
            </w:r>
          </w:p>
        </w:tc>
        <w:tc>
          <w:tcPr>
            <w:tcW w:w="1736" w:type="dxa"/>
          </w:tcPr>
          <w:p>
            <w:pPr>
              <w:pStyle w:val="IsiTabel"/>
              <w:keepNext/>
              <w:suppressAutoHyphens/>
              <w:jc w:val="right"/>
            </w:pPr>
            <w:r>
              <w:t xml:space="preserve">51</w:t>
            </w:r>
          </w:p>
        </w:tc>
        <w:tc>
          <w:tcPr>
            <w:tcW w:w="1749" w:type="dxa"/>
          </w:tcPr>
          <w:p>
            <w:pPr>
              <w:pStyle w:val="IsiTabel"/>
              <w:keepNext/>
              <w:suppressAutoHyphens/>
              <w:jc w:val="right"/>
            </w:pPr>
            <w:r>
              <w:t xml:space="preserve">482</w:t>
            </w:r>
          </w:p>
        </w:tc>
        <w:tc>
          <w:tcPr>
            <w:tcW w:w="1166" w:type="dxa"/>
          </w:tcPr>
          <w:p>
            <w:pPr>
              <w:pStyle w:val="IsiTabel"/>
              <w:keepNext/>
              <w:suppressAutoHyphens/>
              <w:jc w:val="right"/>
            </w:pPr>
            <w:r>
              <w:t xml:space="preserve">29</w:t>
            </w:r>
          </w:p>
        </w:tc>
      </w:tr>
      <w:tr>
        <w:trPr>
          <w:cantSplit/>
        </w:trPr>
        <w:tc>
          <w:tcPr>
            <w:tcW w:w="3205" w:type="dxa"/>
          </w:tcPr>
          <w:p>
            <w:pPr>
              <w:pStyle w:val="IsiTabel"/>
              <w:keepNext/>
              <w:suppressAutoHyphens/>
              <w:jc w:val="left"/>
            </w:pPr>
            <w:r>
              <w:t xml:space="preserve">Gelombang pasang / Abrasi</w:t>
            </w:r>
          </w:p>
        </w:tc>
        <w:tc>
          <w:tcPr>
            <w:tcW w:w="1498" w:type="dxa"/>
          </w:tcPr>
          <w:p>
            <w:pPr>
              <w:pStyle w:val="IsiTabel"/>
              <w:keepNext/>
              <w:suppressAutoHyphens/>
              <w:jc w:val="right"/>
            </w:pPr>
            <w:r>
              <w:t xml:space="preserve">361</w:t>
            </w:r>
          </w:p>
        </w:tc>
        <w:tc>
          <w:tcPr>
            <w:tcW w:w="1736" w:type="dxa"/>
          </w:tcPr>
          <w:p>
            <w:pPr>
              <w:pStyle w:val="IsiTabel"/>
              <w:keepNext/>
              <w:suppressAutoHyphens/>
              <w:jc w:val="right"/>
            </w:pPr>
            <w:r>
              <w:t xml:space="preserve">25</w:t>
            </w:r>
          </w:p>
        </w:tc>
        <w:tc>
          <w:tcPr>
            <w:tcW w:w="1749" w:type="dxa"/>
          </w:tcPr>
          <w:p>
            <w:pPr>
              <w:pStyle w:val="IsiTabel"/>
              <w:keepNext/>
              <w:suppressAutoHyphens/>
              <w:jc w:val="right"/>
            </w:pPr>
            <w:r>
              <w:t xml:space="preserve">5.986</w:t>
            </w:r>
          </w:p>
        </w:tc>
        <w:tc>
          <w:tcPr>
            <w:tcW w:w="1166" w:type="dxa"/>
          </w:tcPr>
          <w:p>
            <w:pPr>
              <w:pStyle w:val="IsiTabel"/>
              <w:keepNext/>
              <w:suppressAutoHyphens/>
              <w:jc w:val="right"/>
            </w:pPr>
            <w:r>
              <w:t xml:space="preserve">1.355</w:t>
            </w:r>
          </w:p>
        </w:tc>
      </w:tr>
      <w:tr>
        <w:trPr>
          <w:cantSplit/>
        </w:trPr>
        <w:tc>
          <w:tcPr>
            <w:tcW w:w="3205" w:type="dxa"/>
          </w:tcPr>
          <w:p>
            <w:pPr>
              <w:pStyle w:val="IsiTabel"/>
              <w:keepNext/>
              <w:suppressAutoHyphens/>
              <w:jc w:val="left"/>
            </w:pPr>
            <w:r>
              <w:t xml:space="preserve">Kekeringan</w:t>
            </w:r>
          </w:p>
        </w:tc>
        <w:tc>
          <w:tcPr>
            <w:tcW w:w="1498" w:type="dxa"/>
          </w:tcPr>
          <w:p>
            <w:pPr>
              <w:pStyle w:val="IsiTabel"/>
              <w:keepNext/>
              <w:suppressAutoHyphens/>
              <w:jc w:val="right"/>
            </w:pPr>
            <w:r>
              <w:t xml:space="preserve">628</w:t>
            </w:r>
          </w:p>
        </w:tc>
        <w:tc>
          <w:tcPr>
            <w:tcW w:w="1736" w:type="dxa"/>
          </w:tcPr>
          <w:p>
            <w:pPr>
              <w:pStyle w:val="IsiTabel"/>
              <w:keepNext/>
              <w:suppressAutoHyphens/>
              <w:jc w:val="right"/>
            </w:pPr>
            <w:r>
              <w:t xml:space="preserve">6</w:t>
            </w:r>
          </w:p>
        </w:tc>
        <w:tc>
          <w:tcPr>
            <w:tcW w:w="1749" w:type="dxa"/>
          </w:tcPr>
          <w:p>
            <w:pPr>
              <w:pStyle w:val="IsiTabel"/>
              <w:keepNext/>
              <w:suppressAutoHyphens/>
              <w:jc w:val="right"/>
            </w:pPr>
            <w:r>
              <w:t xml:space="preserve">7</w:t>
            </w:r>
          </w:p>
        </w:tc>
        <w:tc>
          <w:tcPr>
            <w:tcW w:w="1166" w:type="dxa"/>
          </w:tcPr>
          <w:p>
            <w:pPr>
              <w:pStyle w:val="IsiTabel"/>
              <w:keepNext/>
              <w:suppressAutoHyphens/>
              <w:jc w:val="right"/>
            </w:pPr>
            <w:r>
              <w:t xml:space="preserve">0</w:t>
            </w:r>
          </w:p>
        </w:tc>
      </w:tr>
      <w:tr>
        <w:trPr>
          <w:cantSplit/>
        </w:trPr>
        <w:tc>
          <w:tcPr>
            <w:tcW w:w="3205" w:type="dxa"/>
            <w:shd w:val="clear" w:color="auto" w:fill="051C2C"/>
          </w:tcPr>
          <w:p>
            <w:pPr>
              <w:pStyle w:val="IsiTabel"/>
              <w:suppressAutoHyphens/>
            </w:pPr>
            <w:bookmarkStart w:id="918" w:name="_Ekor108z"/>
            <w:bookmarkEnd w:id="918"/>
            <w:r>
              <w:rPr>
                <w:b/>
                <w:bCs/>
                <w:color w:val="FFFFFF"/>
              </w:rPr>
              <w:t xml:space="preserve">Jumlah</w:t>
            </w:r>
          </w:p>
        </w:tc>
        <w:tc>
          <w:tcPr>
            <w:tcW w:w="1498" w:type="dxa"/>
            <w:shd w:val="clear" w:color="auto" w:fill="051C2C"/>
          </w:tcPr>
          <w:p>
            <w:pPr>
              <w:pStyle w:val="IsiTabel"/>
              <w:suppressAutoHyphens/>
              <w:jc w:val="right"/>
            </w:pPr>
            <w:r>
              <w:rPr>
                <w:b/>
                <w:bCs/>
                <w:color w:val="FFFFFF"/>
              </w:rPr>
              <w:t xml:space="preserve">41.622,0</w:t>
            </w:r>
          </w:p>
        </w:tc>
        <w:tc>
          <w:tcPr>
            <w:tcW w:w="1736" w:type="dxa"/>
            <w:shd w:val="clear" w:color="auto" w:fill="051C2C"/>
          </w:tcPr>
          <w:p>
            <w:pPr>
              <w:pStyle w:val="IsiTabel"/>
              <w:suppressAutoHyphens/>
              <w:jc w:val="right"/>
            </w:pPr>
            <w:r>
              <w:rPr>
                <w:b/>
                <w:bCs/>
                <w:color w:val="FFFFFF"/>
              </w:rPr>
              <w:t xml:space="preserve">13.056</w:t>
            </w:r>
          </w:p>
        </w:tc>
        <w:tc>
          <w:tcPr>
            <w:tcW w:w="1749" w:type="dxa"/>
            <w:shd w:val="clear" w:color="auto" w:fill="051C2C"/>
          </w:tcPr>
          <w:p>
            <w:pPr>
              <w:pStyle w:val="IsiTabel"/>
              <w:suppressAutoHyphens/>
              <w:jc w:val="right"/>
            </w:pPr>
            <w:r>
              <w:rPr>
                <w:b/>
                <w:bCs/>
                <w:color w:val="FFFFFF"/>
              </w:rPr>
              <w:t xml:space="preserve">6.321.228</w:t>
            </w:r>
          </w:p>
        </w:tc>
        <w:tc>
          <w:tcPr>
            <w:tcW w:w="1166" w:type="dxa"/>
            <w:shd w:val="clear" w:color="auto" w:fill="051C2C"/>
          </w:tcPr>
          <w:p>
            <w:pPr>
              <w:pStyle w:val="IsiTabel"/>
              <w:suppressAutoHyphens/>
              <w:jc w:val="right"/>
            </w:pPr>
            <w:r>
              <w:rPr>
                <w:b/>
                <w:bCs/>
                <w:color w:val="FFFFFF"/>
              </w:rPr>
              <w:t xml:space="preserve">301.311</w:t>
            </w:r>
          </w:p>
        </w:tc>
      </w:tr>
    </w:tbl>
    <w:p>
      <w:pPr>
        <w:pStyle w:val="Sumber"/>
        <w:spacing w:after="40"/>
      </w:pPr>
      <w:r>
        <w:rPr>
          <w:b/>
          <w:bCs/>
          <w:color w:val="6B7280"/>
          <w:sz w:val="17"/>
          <w:szCs w:val="17"/>
        </w:rPr>
        <w:t xml:space="preserve">Sumber: </w:t>
      </w:r>
      <w:r>
        <w:rPr>
          <w:color w:val="6B7280"/>
          <w:sz w:val="17"/>
          <w:szCs w:val="17"/>
        </w:rPr>
        <w:t xml:space="preserve">DIBI BNPB, dasbor publik, ditarik 23 Oktober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Urutan menurut meninggal dan hilang. Nama jenis mengikuti kategori DIBI; kejadian lintas kab/kota dibagi rata lalu dibulatkan.</w:t>
      </w:r>
    </w:p>
    <w:p>
      <w:pPr>
        <w:pStyle w:val="IsiTemuan"/>
      </w:pPr>
      <w:r>
        <w:rPr>
          <w:b/>
          <w:bCs/>
          <w:color w:val="051C2C"/>
        </w:rPr>
        <w:t xml:space="preserve">Jumlah kejadian 2024 dan 2025 bergantung pada cakupan yang dipilih: kejadian bencana nasional 2025 berjumlah </w:t>
      </w:r>
      <w:r>
        <w:rPr>
          <w:b/>
          <w:bCs/>
          <w:color w:val="051C2C"/>
        </w:rPr>
        <w:t xml:space="preserve">5.440</w:t>
      </w:r>
      <w:r>
        <w:rPr>
          <w:b/>
          <w:bCs/>
          <w:color w:val="051C2C"/>
        </w:rPr>
        <w:t xml:space="preserve">, sedangkan semua laporan </w:t>
      </w:r>
      <w:r>
        <w:rPr>
          <w:b/>
          <w:bCs/>
          <w:color w:val="051C2C"/>
        </w:rPr>
        <w:t xml:space="preserve">9.305</w:t>
      </w:r>
      <w:r>
        <w:t xml:space="preserve"> (</w:t>
      </w:r>
      <w:r>
        <w:fldChar w:fldCharType="begin"/>
      </w:r>
      <w:r>
        <w:instrText xml:space="preserve"> REF _Ref0243 \h \* CHARFORMAT </w:instrText>
      </w:r>
      <w:r>
        <w:fldChar w:fldCharType="separate"/>
      </w:r>
      <w:r>
        <w:t xml:space="preserve">Tabel D.3</w:t>
      </w:r>
      <w:r>
        <w:fldChar w:fldCharType="end"/>
      </w:r>
      <w:r>
        <w:t xml:space="preserve">). Untuk korban jiwa, selisih kedua cakupan kecil. Laporan Kinerja BNPB 2025 memuat angka korban 2025 dari data terverifikasi yang berbeda dari DIBI per 23 Oktober 2026; selisih itu menjadi permintaan data (</w:t>
      </w:r>
      <w:r>
        <w:fldChar w:fldCharType="begin"/>
      </w:r>
      <w:r>
        <w:instrText xml:space="preserve"> REF _Ref0093 \h \* CHARFORMAT </w:instrText>
      </w:r>
      <w:r>
        <w:fldChar w:fldCharType="separate"/>
      </w:r>
      <w:r>
        <w:t xml:space="preserve">20</w:t>
      </w:r>
      <w:r>
        <w:fldChar w:fldCharType="end"/>
      </w:r>
      <w:r>
        <w:t xml:space="preserve">).</w:t>
      </w:r>
    </w:p>
    <w:p>
      <w:pPr>
        <w:pStyle w:val="Caption"/>
      </w:pPr>
      <w:bookmarkStart w:id="920" w:name="_Toc00288"/>
      <w:bookmarkStart w:id="919" w:name="_Ref0243"/>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919"/>
      <w:r>
        <w:rPr>
          <w:b/>
          <w:bCs/>
          <w:color w:val="051C2C"/>
        </w:rPr>
        <w:t xml:space="preserve"> </w:t>
      </w:r>
      <w:r>
        <w:t xml:space="preserve">Versi jumlah kejadian dan korban meninggal nasional menurut cakupan dan penerbit, Indonesia, 2024–2025</w:t>
      </w:r>
      <w:bookmarkEnd w:id="92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18"/>
        <w:gridCol w:w="4453"/>
        <w:gridCol w:w="691"/>
        <w:gridCol w:w="692"/>
      </w:tblGrid>
      <w:tr>
        <w:trPr>
          <w:cantSplit/>
          <w:tblHeader/>
        </w:trPr>
        <w:tc>
          <w:tcPr>
            <w:tcW w:w="3518" w:type="dxa"/>
            <w:tcBorders>
              <w:bottom w:val="single" w:sz="8" w:space="0" w:color="6B7280"/>
            </w:tcBorders>
            <w:vAlign w:val="bottom"/>
          </w:tcPr>
          <w:p>
            <w:pPr>
              <w:pStyle w:val="KepalaTabel"/>
              <w:suppressAutoHyphens/>
            </w:pPr>
            <w:r>
              <w:rPr>
                <w:b/>
                <w:bCs/>
                <w:color w:val="6B7280"/>
                <w:sz w:val="17"/>
                <w:szCs w:val="17"/>
              </w:rPr>
              <w:t xml:space="preserve">VERSI</w:t>
            </w:r>
          </w:p>
        </w:tc>
        <w:tc>
          <w:tcPr>
            <w:tcW w:w="4453" w:type="dxa"/>
            <w:tcBorders>
              <w:bottom w:val="single" w:sz="8" w:space="0" w:color="6B7280"/>
            </w:tcBorders>
            <w:vAlign w:val="bottom"/>
          </w:tcPr>
          <w:p>
            <w:pPr>
              <w:pStyle w:val="KepalaTabel"/>
              <w:suppressAutoHyphens/>
            </w:pPr>
            <w:r>
              <w:rPr>
                <w:b/>
                <w:bCs/>
                <w:color w:val="6B7280"/>
                <w:sz w:val="17"/>
                <w:szCs w:val="17"/>
              </w:rPr>
              <w:t xml:space="preserve">CAKUPAN</w:t>
            </w:r>
          </w:p>
        </w:tc>
        <w:tc>
          <w:tcPr>
            <w:tcW w:w="691" w:type="dxa"/>
            <w:tcBorders>
              <w:bottom w:val="single" w:sz="8" w:space="0" w:color="6B7280"/>
            </w:tcBorders>
            <w:vAlign w:val="bottom"/>
          </w:tcPr>
          <w:p>
            <w:pPr>
              <w:pStyle w:val="KepalaTabel"/>
              <w:suppressAutoHyphens/>
            </w:pPr>
            <w:r>
              <w:rPr>
                <w:b/>
                <w:bCs/>
                <w:color w:val="6B7280"/>
                <w:sz w:val="17"/>
                <w:szCs w:val="17"/>
              </w:rPr>
              <w:t xml:space="preserve">2024</w:t>
            </w:r>
          </w:p>
        </w:tc>
        <w:tc>
          <w:tcPr>
            <w:tcW w:w="692" w:type="dxa"/>
            <w:tcBorders>
              <w:bottom w:val="single" w:sz="8" w:space="0" w:color="6B7280"/>
            </w:tcBorders>
            <w:vAlign w:val="bottom"/>
          </w:tcPr>
          <w:p>
            <w:pPr>
              <w:pStyle w:val="KepalaTabel"/>
              <w:suppressAutoHyphens/>
            </w:pPr>
            <w:r>
              <w:rPr>
                <w:b/>
                <w:bCs/>
                <w:color w:val="6B7280"/>
                <w:sz w:val="17"/>
                <w:szCs w:val="17"/>
              </w:rPr>
              <w:t xml:space="preserve">2025</w:t>
            </w:r>
          </w:p>
        </w:tc>
      </w:tr>
      <w:tr>
        <w:trPr>
          <w:cantSplit/>
        </w:trPr>
        <w:tc>
          <w:tcPr>
            <w:tcW w:w="3518" w:type="dxa"/>
          </w:tcPr>
          <w:p>
            <w:pPr>
              <w:pStyle w:val="IsiTabel"/>
              <w:suppressAutoHyphens/>
              <w:jc w:val="left"/>
            </w:pPr>
            <w:r>
              <w:t xml:space="preserve">Kejadian, semua laporan</w:t>
            </w:r>
          </w:p>
        </w:tc>
        <w:tc>
          <w:tcPr>
            <w:tcW w:w="4453" w:type="dxa"/>
          </w:tcPr>
          <w:p>
            <w:pPr>
              <w:pStyle w:val="IsiTabel"/>
              <w:suppressAutoHyphens/>
              <w:jc w:val="right"/>
            </w:pPr>
            <w:r>
              <w:t xml:space="preserve">semua klasifikasi, tanpa saring ambang</w:t>
            </w:r>
          </w:p>
        </w:tc>
        <w:tc>
          <w:tcPr>
            <w:tcW w:w="691" w:type="dxa"/>
          </w:tcPr>
          <w:p>
            <w:pPr>
              <w:pStyle w:val="IsiTabel"/>
              <w:suppressAutoHyphens/>
              <w:jc w:val="right"/>
            </w:pPr>
            <w:r>
              <w:t xml:space="preserve">3.636</w:t>
            </w:r>
          </w:p>
        </w:tc>
        <w:tc>
          <w:tcPr>
            <w:tcW w:w="692" w:type="dxa"/>
          </w:tcPr>
          <w:p>
            <w:pPr>
              <w:pStyle w:val="IsiTabel"/>
              <w:suppressAutoHyphens/>
              <w:jc w:val="right"/>
            </w:pPr>
            <w:r>
              <w:t xml:space="preserve">9.305</w:t>
            </w:r>
          </w:p>
        </w:tc>
      </w:tr>
      <w:tr>
        <w:trPr>
          <w:cantSplit/>
        </w:trPr>
        <w:tc>
          <w:tcPr>
            <w:tcW w:w="3518" w:type="dxa"/>
          </w:tcPr>
          <w:p>
            <w:pPr>
              <w:pStyle w:val="IsiTabel"/>
              <w:suppressAutoHyphens/>
              <w:jc w:val="left"/>
            </w:pPr>
            <w:r>
              <w:t xml:space="preserve">Kejadian bencana</w:t>
            </w:r>
          </w:p>
        </w:tc>
        <w:tc>
          <w:tcPr>
            <w:tcW w:w="4453" w:type="dxa"/>
          </w:tcPr>
          <w:p>
            <w:pPr>
              <w:pStyle w:val="IsiTabel"/>
              <w:suppressAutoHyphens/>
              <w:jc w:val="right"/>
            </w:pPr>
            <w:r>
              <w:t xml:space="preserve">semua klasifikasi, ambang Juklak BNPB 7/2023</w:t>
            </w:r>
          </w:p>
        </w:tc>
        <w:tc>
          <w:tcPr>
            <w:tcW w:w="691" w:type="dxa"/>
          </w:tcPr>
          <w:p>
            <w:pPr>
              <w:pStyle w:val="IsiTabel"/>
              <w:suppressAutoHyphens/>
              <w:jc w:val="right"/>
            </w:pPr>
            <w:r>
              <w:t xml:space="preserve">3.548</w:t>
            </w:r>
          </w:p>
        </w:tc>
        <w:tc>
          <w:tcPr>
            <w:tcW w:w="692" w:type="dxa"/>
          </w:tcPr>
          <w:p>
            <w:pPr>
              <w:pStyle w:val="IsiTabel"/>
              <w:suppressAutoHyphens/>
              <w:jc w:val="right"/>
            </w:pPr>
            <w:r>
              <w:t xml:space="preserve">5.440</w:t>
            </w:r>
          </w:p>
        </w:tc>
      </w:tr>
      <w:tr>
        <w:trPr>
          <w:cantSplit/>
        </w:trPr>
        <w:tc>
          <w:tcPr>
            <w:tcW w:w="3518" w:type="dxa"/>
          </w:tcPr>
          <w:p>
            <w:pPr>
              <w:pStyle w:val="IsiTabel"/>
              <w:suppressAutoHyphens/>
              <w:jc w:val="left"/>
            </w:pPr>
            <w:r>
              <w:t xml:space="preserve">Kejadian bencana alam, semua laporan</w:t>
            </w:r>
          </w:p>
        </w:tc>
        <w:tc>
          <w:tcPr>
            <w:tcW w:w="4453" w:type="dxa"/>
          </w:tcPr>
          <w:p>
            <w:pPr>
              <w:pStyle w:val="IsiTabel"/>
              <w:suppressAutoHyphens/>
              <w:jc w:val="right"/>
            </w:pPr>
            <w:r>
              <w:t xml:space="preserve">kode jenis 101–109</w:t>
            </w:r>
          </w:p>
        </w:tc>
        <w:tc>
          <w:tcPr>
            <w:tcW w:w="691" w:type="dxa"/>
          </w:tcPr>
          <w:p>
            <w:pPr>
              <w:pStyle w:val="IsiTabel"/>
              <w:suppressAutoHyphens/>
              <w:jc w:val="right"/>
            </w:pPr>
            <w:r>
              <w:t xml:space="preserve">3.551</w:t>
            </w:r>
          </w:p>
        </w:tc>
        <w:tc>
          <w:tcPr>
            <w:tcW w:w="692" w:type="dxa"/>
          </w:tcPr>
          <w:p>
            <w:pPr>
              <w:pStyle w:val="IsiTabel"/>
              <w:suppressAutoHyphens/>
              <w:jc w:val="right"/>
            </w:pPr>
            <w:r>
              <w:t xml:space="preserve">8.359</w:t>
            </w:r>
          </w:p>
        </w:tc>
      </w:tr>
      <w:tr>
        <w:trPr>
          <w:cantSplit/>
        </w:trPr>
        <w:tc>
          <w:tcPr>
            <w:tcW w:w="3518" w:type="dxa"/>
          </w:tcPr>
          <w:p>
            <w:pPr>
              <w:pStyle w:val="IsiTabel"/>
              <w:suppressAutoHyphens/>
              <w:jc w:val="left"/>
            </w:pPr>
            <w:r>
              <w:t xml:space="preserve">Kejadian bencana alam</w:t>
            </w:r>
          </w:p>
        </w:tc>
        <w:tc>
          <w:tcPr>
            <w:tcW w:w="4453" w:type="dxa"/>
          </w:tcPr>
          <w:p>
            <w:pPr>
              <w:pStyle w:val="IsiTabel"/>
              <w:suppressAutoHyphens/>
              <w:jc w:val="right"/>
            </w:pPr>
            <w:r>
              <w:t xml:space="preserve">kode jenis 101–109, ambang Juklak BNPB 7/2023</w:t>
            </w:r>
          </w:p>
        </w:tc>
        <w:tc>
          <w:tcPr>
            <w:tcW w:w="691" w:type="dxa"/>
          </w:tcPr>
          <w:p>
            <w:pPr>
              <w:pStyle w:val="IsiTabel"/>
              <w:suppressAutoHyphens/>
              <w:jc w:val="right"/>
            </w:pPr>
            <w:r>
              <w:t xml:space="preserve">3.472</w:t>
            </w:r>
          </w:p>
        </w:tc>
        <w:tc>
          <w:tcPr>
            <w:tcW w:w="692" w:type="dxa"/>
          </w:tcPr>
          <w:p>
            <w:pPr>
              <w:pStyle w:val="IsiTabel"/>
              <w:suppressAutoHyphens/>
              <w:jc w:val="right"/>
            </w:pPr>
            <w:r>
              <w:t xml:space="preserve">5.077</w:t>
            </w:r>
          </w:p>
        </w:tc>
      </w:tr>
      <w:tr>
        <w:trPr>
          <w:cantSplit/>
        </w:trPr>
        <w:tc>
          <w:tcPr>
            <w:tcW w:w="3518" w:type="dxa"/>
          </w:tcPr>
          <w:p>
            <w:pPr>
              <w:pStyle w:val="IsiTabel"/>
              <w:suppressAutoHyphens/>
              <w:jc w:val="left"/>
            </w:pPr>
            <w:r>
              <w:t xml:space="preserve">Kejadian, portal data terbuka</w:t>
            </w:r>
          </w:p>
        </w:tc>
        <w:tc>
          <w:tcPr>
            <w:tcW w:w="4453" w:type="dxa"/>
          </w:tcPr>
          <w:p>
            <w:pPr>
              <w:pStyle w:val="IsiTabel"/>
              <w:suppressAutoHyphens/>
              <w:jc w:val="right"/>
            </w:pPr>
            <w:r>
              <w:t xml:space="preserve">rekap 2010–2024</w:t>
            </w:r>
          </w:p>
        </w:tc>
        <w:tc>
          <w:tcPr>
            <w:tcW w:w="691" w:type="dxa"/>
          </w:tcPr>
          <w:p>
            <w:pPr>
              <w:pStyle w:val="IsiTabel"/>
              <w:suppressAutoHyphens/>
              <w:jc w:val="right"/>
            </w:pPr>
            <w:r>
              <w:t xml:space="preserve">3.472</w:t>
            </w:r>
          </w:p>
        </w:tc>
        <w:tc>
          <w:tcPr>
            <w:tcW w:w="692" w:type="dxa"/>
          </w:tcPr>
          <w:p>
            <w:pPr>
              <w:pStyle w:val="IsiTabel"/>
              <w:suppressAutoHyphens/>
              <w:jc w:val="right"/>
            </w:pPr>
            <w:r>
              <w:t xml:space="preserve">–</w:t>
            </w:r>
          </w:p>
        </w:tc>
      </w:tr>
      <w:tr>
        <w:trPr>
          <w:cantSplit/>
        </w:trPr>
        <w:tc>
          <w:tcPr>
            <w:tcW w:w="3518" w:type="dxa"/>
          </w:tcPr>
          <w:p>
            <w:pPr>
              <w:pStyle w:val="IsiTabel"/>
              <w:keepNext/>
              <w:suppressAutoHyphens/>
              <w:jc w:val="left"/>
            </w:pPr>
            <w:bookmarkStart w:id="921" w:name="_Ekor109a"/>
            <w:bookmarkEnd w:id="921"/>
            <w:r>
              <w:t xml:space="preserve">Meninggal, semua klasifikasi</w:t>
            </w:r>
          </w:p>
        </w:tc>
        <w:tc>
          <w:tcPr>
            <w:tcW w:w="4453" w:type="dxa"/>
          </w:tcPr>
          <w:p>
            <w:pPr>
              <w:pStyle w:val="IsiTabel"/>
              <w:keepNext/>
              <w:suppressAutoHyphens/>
              <w:jc w:val="right"/>
            </w:pPr>
            <w:r>
              <w:t xml:space="preserve">kejadian bencana</w:t>
            </w:r>
          </w:p>
        </w:tc>
        <w:tc>
          <w:tcPr>
            <w:tcW w:w="691" w:type="dxa"/>
          </w:tcPr>
          <w:p>
            <w:pPr>
              <w:pStyle w:val="IsiTabel"/>
              <w:keepNext/>
              <w:suppressAutoHyphens/>
              <w:jc w:val="right"/>
            </w:pPr>
            <w:r>
              <w:t xml:space="preserve">–</w:t>
            </w:r>
          </w:p>
        </w:tc>
        <w:tc>
          <w:tcPr>
            <w:tcW w:w="692" w:type="dxa"/>
          </w:tcPr>
          <w:p>
            <w:pPr>
              <w:pStyle w:val="IsiTabel"/>
              <w:keepNext/>
              <w:suppressAutoHyphens/>
              <w:jc w:val="right"/>
            </w:pPr>
            <w:r>
              <w:t xml:space="preserve">2.030</w:t>
            </w:r>
          </w:p>
        </w:tc>
      </w:tr>
      <w:tr>
        <w:trPr>
          <w:cantSplit/>
        </w:trPr>
        <w:tc>
          <w:tcPr>
            <w:tcW w:w="3518" w:type="dxa"/>
          </w:tcPr>
          <w:p>
            <w:pPr>
              <w:pStyle w:val="IsiTabel"/>
              <w:keepNext/>
              <w:suppressAutoHyphens/>
              <w:jc w:val="left"/>
            </w:pPr>
            <w:r>
              <w:t xml:space="preserve">Meninggal, semua laporan</w:t>
            </w:r>
          </w:p>
        </w:tc>
        <w:tc>
          <w:tcPr>
            <w:tcW w:w="4453" w:type="dxa"/>
          </w:tcPr>
          <w:p>
            <w:pPr>
              <w:pStyle w:val="IsiTabel"/>
              <w:keepNext/>
              <w:suppressAutoHyphens/>
              <w:jc w:val="right"/>
            </w:pPr>
            <w:r>
              <w:t xml:space="preserve">tanpa saring ambang</w:t>
            </w:r>
          </w:p>
        </w:tc>
        <w:tc>
          <w:tcPr>
            <w:tcW w:w="691" w:type="dxa"/>
          </w:tcPr>
          <w:p>
            <w:pPr>
              <w:pStyle w:val="IsiTabel"/>
              <w:keepNext/>
              <w:suppressAutoHyphens/>
              <w:jc w:val="right"/>
            </w:pPr>
            <w:r>
              <w:t xml:space="preserve">–</w:t>
            </w:r>
          </w:p>
        </w:tc>
        <w:tc>
          <w:tcPr>
            <w:tcW w:w="692" w:type="dxa"/>
          </w:tcPr>
          <w:p>
            <w:pPr>
              <w:pStyle w:val="IsiTabel"/>
              <w:keepNext/>
              <w:suppressAutoHyphens/>
              <w:jc w:val="right"/>
            </w:pPr>
            <w:r>
              <w:t xml:space="preserve">2.037</w:t>
            </w:r>
          </w:p>
        </w:tc>
      </w:tr>
      <w:tr>
        <w:trPr>
          <w:cantSplit/>
        </w:trPr>
        <w:tc>
          <w:tcPr>
            <w:tcW w:w="3518" w:type="dxa"/>
          </w:tcPr>
          <w:p>
            <w:pPr>
              <w:pStyle w:val="IsiTabel"/>
              <w:keepNext/>
              <w:suppressAutoHyphens/>
              <w:jc w:val="left"/>
            </w:pPr>
            <w:r>
              <w:t xml:space="preserve">Meninggal, bencana alam</w:t>
            </w:r>
          </w:p>
        </w:tc>
        <w:tc>
          <w:tcPr>
            <w:tcW w:w="4453" w:type="dxa"/>
          </w:tcPr>
          <w:p>
            <w:pPr>
              <w:pStyle w:val="IsiTabel"/>
              <w:keepNext/>
              <w:suppressAutoHyphens/>
              <w:jc w:val="right"/>
            </w:pPr>
            <w:r>
              <w:t xml:space="preserve">kode jenis 101–109</w:t>
            </w:r>
          </w:p>
        </w:tc>
        <w:tc>
          <w:tcPr>
            <w:tcW w:w="691" w:type="dxa"/>
          </w:tcPr>
          <w:p>
            <w:pPr>
              <w:pStyle w:val="IsiTabel"/>
              <w:keepNext/>
              <w:suppressAutoHyphens/>
              <w:jc w:val="right"/>
            </w:pPr>
            <w:r>
              <w:t xml:space="preserve">–</w:t>
            </w:r>
          </w:p>
        </w:tc>
        <w:tc>
          <w:tcPr>
            <w:tcW w:w="692" w:type="dxa"/>
          </w:tcPr>
          <w:p>
            <w:pPr>
              <w:pStyle w:val="IsiTabel"/>
              <w:keepNext/>
              <w:suppressAutoHyphens/>
              <w:jc w:val="right"/>
            </w:pPr>
            <w:r>
              <w:t xml:space="preserve">1.735</w:t>
            </w:r>
          </w:p>
        </w:tc>
      </w:tr>
      <w:tr>
        <w:trPr>
          <w:cantSplit/>
        </w:trPr>
        <w:tc>
          <w:tcPr>
            <w:tcW w:w="3518" w:type="dxa"/>
          </w:tcPr>
          <w:p>
            <w:pPr>
              <w:pStyle w:val="IsiTabel"/>
              <w:suppressAutoHyphens/>
              <w:jc w:val="left"/>
            </w:pPr>
            <w:bookmarkStart w:id="922" w:name="_Ekor109z"/>
            <w:bookmarkEnd w:id="922"/>
            <w:r>
              <w:t xml:space="preserve">Meninggal, LKIP BNPB 2025</w:t>
            </w:r>
          </w:p>
        </w:tc>
        <w:tc>
          <w:tcPr>
            <w:tcW w:w="4453" w:type="dxa"/>
          </w:tcPr>
          <w:p>
            <w:pPr>
              <w:pStyle w:val="IsiTabel"/>
              <w:suppressAutoHyphens/>
              <w:jc w:val="right"/>
            </w:pPr>
            <w:r>
              <w:t xml:space="preserve">data terverifikasi, terbit Februari 2026</w:t>
            </w:r>
          </w:p>
        </w:tc>
        <w:tc>
          <w:tcPr>
            <w:tcW w:w="691" w:type="dxa"/>
          </w:tcPr>
          <w:p>
            <w:pPr>
              <w:pStyle w:val="IsiTabel"/>
              <w:suppressAutoHyphens/>
              <w:jc w:val="right"/>
            </w:pPr>
            <w:r>
              <w:t xml:space="preserve">–</w:t>
            </w:r>
          </w:p>
        </w:tc>
        <w:tc>
          <w:tcPr>
            <w:tcW w:w="692" w:type="dxa"/>
          </w:tcPr>
          <w:p>
            <w:pPr>
              <w:pStyle w:val="IsiTabel"/>
              <w:suppressAutoHyphens/>
              <w:jc w:val="right"/>
            </w:pPr>
            <w:r>
              <w:t xml:space="preserve">1.666</w:t>
            </w:r>
          </w:p>
        </w:tc>
      </w:tr>
    </w:tbl>
    <w:p>
      <w:pPr>
        <w:pStyle w:val="Sumber"/>
        <w:spacing w:after="40"/>
      </w:pPr>
      <w:r>
        <w:rPr>
          <w:b/>
          <w:bCs/>
          <w:color w:val="6B7280"/>
          <w:sz w:val="17"/>
          <w:szCs w:val="17"/>
        </w:rPr>
        <w:t xml:space="preserve">Sumber: </w:t>
      </w:r>
      <w:r>
        <w:rPr>
          <w:color w:val="6B7280"/>
          <w:sz w:val="17"/>
          <w:szCs w:val="17"/>
        </w:rPr>
        <w:t xml:space="preserve">DIBI BNPB, dasbor publik, ditarik 23 Oktober 2026; portal data terbuka BNPB; LKIP BNPB 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Versi yang berbeda karena definisi diberi nama besarannya dan tidak dirata-rata; "–" berarti versi itu tidak tersedia untuk tahun tersebut.</w:t>
      </w:r>
    </w:p>
    <w:p>
      <w:pPr>
        <w:pStyle w:val="JudulLampiran"/>
      </w:pPr>
      <w:bookmarkStart w:id="924" w:name="_Toc00289"/>
      <w:bookmarkStart w:id="923" w:name="_Ref0070"/>
      <w:r>
        <w:t xml:space="preserve">Lampiran E</w:t>
      </w:r>
      <w:bookmarkEnd w:id="923"/>
      <w:r>
        <w:t xml:space="preserve">. Matriks Regulasi dan Mandat Lembaga</w:t>
      </w:r>
      <w:bookmarkEnd w:id="924"/>
    </w:p>
    <w:p>
      <w:pPr>
        <w:pStyle w:val="Isi"/>
      </w:pPr>
      <w:r>
        <w:t xml:space="preserve">Lampiran ini melengkapi kronologi regulasi di </w:t>
      </w:r>
      <w:r>
        <w:fldChar w:fldCharType="begin"/>
      </w:r>
      <w:r>
        <w:instrText xml:space="preserve"> REF _Ref0320 \h \* CHARFORMAT </w:instrText>
      </w:r>
      <w:r>
        <w:fldChar w:fldCharType="separate"/>
      </w:r>
      <w:r>
        <w:t xml:space="preserve">Tabel 2.3</w:t>
      </w:r>
      <w:r>
        <w:fldChar w:fldCharType="end"/>
      </w:r>
      <w:r>
        <w:t xml:space="preserve"> dan matriks mandat ringkas di </w:t>
      </w:r>
      <w:r>
        <w:fldChar w:fldCharType="begin"/>
      </w:r>
      <w:r>
        <w:instrText xml:space="preserve"> REF _Ref0308 \h \* CHARFORMAT </w:instrText>
      </w:r>
      <w:r>
        <w:fldChar w:fldCharType="separate"/>
      </w:r>
      <w:r>
        <w:t xml:space="preserve">Tabel 12.1</w:t>
      </w:r>
      <w:r>
        <w:fldChar w:fldCharType="end"/>
      </w:r>
      <w:r>
        <w:t xml:space="preserve">. </w:t>
      </w:r>
      <w:r>
        <w:fldChar w:fldCharType="begin"/>
      </w:r>
      <w:r>
        <w:instrText xml:space="preserve"> REF _Ref0247 \h \* CHARFORMAT </w:instrText>
      </w:r>
      <w:r>
        <w:fldChar w:fldCharType="separate"/>
      </w:r>
      <w:r>
        <w:t xml:space="preserve">Tabel E.1</w:t>
      </w:r>
      <w:r>
        <w:fldChar w:fldCharType="end"/>
      </w:r>
      <w:r>
        <w:t xml:space="preserve"> memetakan regulasi yang dirujuk kajian per jenis bencana dan tahap, </w:t>
      </w:r>
      <w:r>
        <w:fldChar w:fldCharType="begin"/>
      </w:r>
      <w:r>
        <w:instrText xml:space="preserve"> REF _Ref0248 \h \* CHARFORMAT </w:instrText>
      </w:r>
      <w:r>
        <w:fldChar w:fldCharType="separate"/>
      </w:r>
      <w:r>
        <w:t xml:space="preserve">Tabel E.2</w:t>
      </w:r>
      <w:r>
        <w:fldChar w:fldCharType="end"/>
      </w:r>
      <w:r>
        <w:t xml:space="preserve"> memuat pasal rezim nonalam dan sosial, dan </w:t>
      </w:r>
      <w:r>
        <w:fldChar w:fldCharType="begin"/>
      </w:r>
      <w:r>
        <w:instrText xml:space="preserve"> REF _Ref0249 \h \* CHARFORMAT </w:instrText>
      </w:r>
      <w:r>
        <w:fldChar w:fldCharType="separate"/>
      </w:r>
      <w:r>
        <w:t xml:space="preserve">Tabel E.3</w:t>
      </w:r>
      <w:r>
        <w:fldChar w:fldCharType="end"/>
      </w:r>
      <w:r>
        <w:t xml:space="preserve"> memuat seluruh </w:t>
      </w:r>
      <w:r>
        <w:t xml:space="preserve">129</w:t>
      </w:r>
      <w:r>
        <w:t xml:space="preserve"> baris peran lembaga dalam paket lembaga </w:t>
      </w:r>
      <w:r>
        <w:t xml:space="preserve">(Pantau Bencana, 2026b)</w:t>
      </w:r>
      <w:r>
        <w:t xml:space="preserve">. Status peraturan dicek di basis data peraturan Badan Pemeriksa Keuangan per 24 Oktober 2026 </w:t>
      </w:r>
      <w:r>
        <w:t xml:space="preserve">(Republik Indonesia, 2007, 2008a, 2008b)</w:t>
      </w:r>
      <w:r>
        <w:t xml:space="preserve">.</w:t>
      </w:r>
    </w:p>
    <w:p>
      <w:pPr>
        <w:pStyle w:val="IsiTemuan"/>
      </w:pPr>
      <w:r>
        <w:rPr>
          <w:b/>
          <w:bCs/>
          <w:color w:val="051C2C"/>
        </w:rPr>
        <w:t xml:space="preserve">Kerangka umum penanggulangan bencana berlaku untuk semua jenis di ketiga tahap, sedangkan rezim per jenis untuk empat jenis nonalam dan sosial berjalan di luar UU 24/2007</w:t>
      </w:r>
      <w:r>
        <w:t xml:space="preserve"> (</w:t>
      </w:r>
      <w:r>
        <w:t xml:space="preserve">Subbab </w:t>
      </w:r>
      <w:r>
        <w:fldChar w:fldCharType="begin"/>
      </w:r>
      <w:r>
        <w:instrText xml:space="preserve"> REF _Ref0202 \h \* CHARFORMAT </w:instrText>
      </w:r>
      <w:r>
        <w:fldChar w:fldCharType="separate"/>
      </w:r>
      <w:r>
        <w:t xml:space="preserve">2.3</w:t>
      </w:r>
      <w:r>
        <w:fldChar w:fldCharType="end"/>
      </w:r>
      <w:r>
        <w:t xml:space="preserve">). Peraturan presiden tentang status dan tingkatan bencana yang diamanatkan UU 24/2007 Pasal 7 ayat (3) belum terbit, sehingga sel komando nasional pada semua jenis bergantung pada instrumen yang belum ada (</w:t>
      </w:r>
      <w:r>
        <w:fldChar w:fldCharType="begin"/>
      </w:r>
      <w:r>
        <w:instrText xml:space="preserve"> REF _Ref0091 \h \* CHARFORMAT </w:instrText>
      </w:r>
      <w:r>
        <w:fldChar w:fldCharType="separate"/>
      </w:r>
      <w:r>
        <w:t xml:space="preserve">19</w:t>
      </w:r>
      <w:r>
        <w:fldChar w:fldCharType="end"/>
      </w:r>
      <w:r>
        <w:t xml:space="preserve">).</w:t>
      </w:r>
    </w:p>
    <w:p>
      <w:pPr>
        <w:pStyle w:val="Caption"/>
      </w:pPr>
      <w:bookmarkStart w:id="926" w:name="_Toc00290"/>
      <w:bookmarkStart w:id="925" w:name="_Ref0247"/>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25"/>
      <w:r>
        <w:rPr>
          <w:b/>
          <w:bCs/>
          <w:color w:val="051C2C"/>
        </w:rPr>
        <w:t xml:space="preserve"> </w:t>
      </w:r>
      <w:r>
        <w:t xml:space="preserve">Regulasi yang dirujuk kajian menurut jenis bencana dan tahap penanggulangan, status Oktober 2026</w:t>
      </w:r>
      <w:bookmarkEnd w:id="92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92"/>
        <w:gridCol w:w="2145"/>
        <w:gridCol w:w="1573"/>
        <w:gridCol w:w="1944"/>
      </w:tblGrid>
      <w:tr>
        <w:trPr>
          <w:cantSplit/>
          <w:tblHeader/>
        </w:trPr>
        <w:tc>
          <w:tcPr>
            <w:tcW w:w="3692" w:type="dxa"/>
            <w:tcBorders>
              <w:bottom w:val="single" w:sz="8" w:space="0" w:color="6B7280"/>
            </w:tcBorders>
            <w:vAlign w:val="bottom"/>
          </w:tcPr>
          <w:p>
            <w:pPr>
              <w:pStyle w:val="KepalaTabel"/>
              <w:suppressAutoHyphens/>
            </w:pPr>
            <w:r>
              <w:rPr>
                <w:b/>
                <w:bCs/>
                <w:color w:val="6B7280"/>
                <w:sz w:val="17"/>
                <w:szCs w:val="17"/>
              </w:rPr>
              <w:t xml:space="preserve">JENIS</w:t>
            </w:r>
          </w:p>
        </w:tc>
        <w:tc>
          <w:tcPr>
            <w:tcW w:w="2145" w:type="dxa"/>
            <w:tcBorders>
              <w:bottom w:val="single" w:sz="8" w:space="0" w:color="6B7280"/>
            </w:tcBorders>
            <w:vAlign w:val="bottom"/>
          </w:tcPr>
          <w:p>
            <w:pPr>
              <w:pStyle w:val="KepalaTabel"/>
              <w:suppressAutoHyphens/>
            </w:pPr>
            <w:r>
              <w:rPr>
                <w:b/>
                <w:bCs/>
                <w:color w:val="6B7280"/>
                <w:sz w:val="17"/>
                <w:szCs w:val="17"/>
              </w:rPr>
              <w:t xml:space="preserve">PRABENCANA</w:t>
            </w:r>
          </w:p>
        </w:tc>
        <w:tc>
          <w:tcPr>
            <w:tcW w:w="1573" w:type="dxa"/>
            <w:tcBorders>
              <w:bottom w:val="single" w:sz="8" w:space="0" w:color="6B7280"/>
            </w:tcBorders>
            <w:vAlign w:val="bottom"/>
          </w:tcPr>
          <w:p>
            <w:pPr>
              <w:pStyle w:val="KepalaTabel"/>
              <w:suppressAutoHyphens/>
            </w:pPr>
            <w:r>
              <w:rPr>
                <w:b/>
                <w:bCs/>
                <w:color w:val="6B7280"/>
                <w:sz w:val="17"/>
                <w:szCs w:val="17"/>
              </w:rPr>
              <w:t xml:space="preserve">TANGGAP DARURAT</w:t>
            </w:r>
          </w:p>
        </w:tc>
        <w:tc>
          <w:tcPr>
            <w:tcW w:w="1944" w:type="dxa"/>
            <w:tcBorders>
              <w:bottom w:val="single" w:sz="8" w:space="0" w:color="6B7280"/>
            </w:tcBorders>
            <w:vAlign w:val="bottom"/>
          </w:tcPr>
          <w:p>
            <w:pPr>
              <w:pStyle w:val="KepalaTabel"/>
              <w:suppressAutoHyphens/>
            </w:pPr>
            <w:r>
              <w:rPr>
                <w:b/>
                <w:bCs/>
                <w:color w:val="6B7280"/>
                <w:sz w:val="17"/>
                <w:szCs w:val="17"/>
              </w:rPr>
              <w:t xml:space="preserve">PASCABENCANA</w:t>
            </w:r>
          </w:p>
        </w:tc>
      </w:tr>
      <w:tr>
        <w:trPr>
          <w:cantSplit/>
        </w:trPr>
        <w:tc>
          <w:tcPr>
            <w:tcW w:w="3692" w:type="dxa"/>
          </w:tcPr>
          <w:p>
            <w:pPr>
              <w:pStyle w:val="IsiTabel"/>
              <w:suppressAutoHyphens/>
              <w:jc w:val="left"/>
            </w:pPr>
            <w:r>
              <w:t xml:space="preserve">Semua jenis</w:t>
            </w:r>
          </w:p>
        </w:tc>
        <w:tc>
          <w:tcPr>
            <w:tcW w:w="2145" w:type="dxa"/>
          </w:tcPr>
          <w:p>
            <w:pPr>
              <w:pStyle w:val="IsiTabel"/>
              <w:suppressAutoHyphens/>
              <w:jc w:val="left"/>
            </w:pPr>
            <w:r>
              <w:t xml:space="preserve">PP 21/2008; Perban BNPB 1/2023, 2/2023, dan 2/2024; PP 2/2018 dan Permendagri 101/2018; Perban BNPB 7/2025, 9/2025, dan 3/2026</w:t>
            </w:r>
          </w:p>
        </w:tc>
        <w:tc>
          <w:tcPr>
            <w:tcW w:w="1573" w:type="dxa"/>
          </w:tcPr>
          <w:p>
            <w:pPr>
              <w:pStyle w:val="IsiTabel"/>
              <w:suppressAutoHyphens/>
              <w:jc w:val="left"/>
            </w:pPr>
            <w:r>
              <w:t xml:space="preserve">Perka BNPB 3/2016; PP 22/2008; Perban BNPB 4/2020; Perpres 17/2018 jo. Perpres 46/2026</w:t>
            </w:r>
          </w:p>
        </w:tc>
        <w:tc>
          <w:tcPr>
            <w:tcW w:w="1944" w:type="dxa"/>
          </w:tcPr>
          <w:p>
            <w:pPr>
              <w:pStyle w:val="IsiTabel"/>
              <w:suppressAutoHyphens/>
              <w:jc w:val="left"/>
            </w:pPr>
            <w:r>
              <w:t xml:space="preserve">Perka BNPB 15/2011; Perban BNPB 5/2017 dan 6/2017; Perpres 75/2021; Perban BNPB 1/2026</w:t>
            </w:r>
          </w:p>
        </w:tc>
      </w:tr>
      <w:tr>
        <w:trPr>
          <w:cantSplit/>
        </w:trPr>
        <w:tc>
          <w:tcPr>
            <w:tcW w:w="3692" w:type="dxa"/>
          </w:tcPr>
          <w:p>
            <w:pPr>
              <w:pStyle w:val="IsiTabel"/>
              <w:suppressAutoHyphens/>
              <w:jc w:val="left"/>
            </w:pPr>
            <w:r>
              <w:t xml:space="preserve">Gempa bumi dan tsunami</w:t>
            </w:r>
          </w:p>
        </w:tc>
        <w:tc>
          <w:tcPr>
            <w:tcW w:w="2145" w:type="dxa"/>
          </w:tcPr>
          <w:p>
            <w:pPr>
              <w:pStyle w:val="IsiTabel"/>
              <w:suppressAutoHyphens/>
              <w:jc w:val="left"/>
            </w:pPr>
            <w:r>
              <w:t xml:space="preserve">UU 31/2009 Pasal 32–33, informasi dan peringatan dini BMKG</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Gunung api dan gerakan tanah</w:t>
            </w:r>
          </w:p>
        </w:tc>
        <w:tc>
          <w:tcPr>
            <w:tcW w:w="2145" w:type="dxa"/>
          </w:tcPr>
          <w:p>
            <w:pPr>
              <w:pStyle w:val="IsiTabel"/>
              <w:suppressAutoHyphens/>
              <w:jc w:val="left"/>
            </w:pPr>
            <w:r>
              <w:t xml:space="preserve">UU 23/2014 Lampiran CC, kawasan rawan bencana geologi</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Banjir</w:t>
            </w:r>
          </w:p>
        </w:tc>
        <w:tc>
          <w:tcPr>
            <w:tcW w:w="2145" w:type="dxa"/>
          </w:tcPr>
          <w:p>
            <w:pPr>
              <w:pStyle w:val="IsiTabel"/>
              <w:suppressAutoHyphens/>
              <w:jc w:val="left"/>
            </w:pPr>
            <w:r>
              <w:t xml:space="preserve">PP 30/2024 Pasal 96–97, daya rusak air</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Cuaca ekstrem dan gelombang ekstrem</w:t>
            </w:r>
          </w:p>
        </w:tc>
        <w:tc>
          <w:tcPr>
            <w:tcW w:w="2145" w:type="dxa"/>
          </w:tcPr>
          <w:p>
            <w:pPr>
              <w:pStyle w:val="IsiTabel"/>
              <w:suppressAutoHyphens/>
              <w:jc w:val="left"/>
            </w:pPr>
            <w:r>
              <w:t xml:space="preserve">UU 31/2009, informasi cuaca dan iklim BMKG</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Karhutla</w:t>
            </w:r>
          </w:p>
        </w:tc>
        <w:tc>
          <w:tcPr>
            <w:tcW w:w="2145" w:type="dxa"/>
          </w:tcPr>
          <w:p>
            <w:pPr>
              <w:pStyle w:val="IsiTabel"/>
              <w:suppressAutoHyphens/>
              <w:jc w:val="left"/>
            </w:pPr>
            <w:r>
              <w:t xml:space="preserve">Inpres 3/2020</w:t>
            </w:r>
          </w:p>
        </w:tc>
        <w:tc>
          <w:tcPr>
            <w:tcW w:w="1573" w:type="dxa"/>
          </w:tcPr>
          <w:p>
            <w:pPr>
              <w:pStyle w:val="IsiTabel"/>
              <w:suppressAutoHyphens/>
              <w:jc w:val="left"/>
            </w:pPr>
            <w:r>
              <w:t xml:space="preserve">Inpres 3/2020</w:t>
            </w:r>
          </w:p>
        </w:tc>
        <w:tc>
          <w:tcPr>
            <w:tcW w:w="1944" w:type="dxa"/>
          </w:tcPr>
          <w:p>
            <w:pPr>
              <w:pStyle w:val="IsiTabel"/>
              <w:suppressAutoHyphens/>
              <w:jc w:val="left"/>
            </w:pPr>
            <w:r>
              <w:t xml:space="preserve">–</w:t>
            </w:r>
          </w:p>
        </w:tc>
      </w:tr>
      <w:tr>
        <w:trPr>
          <w:cantSplit/>
        </w:trPr>
        <w:tc>
          <w:tcPr>
            <w:tcW w:w="3692" w:type="dxa"/>
          </w:tcPr>
          <w:p>
            <w:pPr>
              <w:pStyle w:val="IsiTabel"/>
              <w:keepNext/>
              <w:suppressAutoHyphens/>
              <w:jc w:val="left"/>
            </w:pPr>
            <w:bookmarkStart w:id="927" w:name="_Ekor110a"/>
            <w:bookmarkEnd w:id="927"/>
            <w:r>
              <w:t xml:space="preserve">Epidemi dan pandemi</w:t>
            </w:r>
          </w:p>
        </w:tc>
        <w:tc>
          <w:tcPr>
            <w:tcW w:w="2145" w:type="dxa"/>
          </w:tcPr>
          <w:p>
            <w:pPr>
              <w:pStyle w:val="IsiTabel"/>
              <w:keepNext/>
              <w:suppressAutoHyphens/>
              <w:jc w:val="left"/>
            </w:pPr>
            <w:r>
              <w:t xml:space="preserve">UU 17/2023, status "kejadian luar biasa"</w:t>
            </w:r>
          </w:p>
        </w:tc>
        <w:tc>
          <w:tcPr>
            <w:tcW w:w="1573" w:type="dxa"/>
          </w:tcPr>
          <w:p>
            <w:pPr>
              <w:pStyle w:val="IsiTabel"/>
              <w:keepNext/>
              <w:suppressAutoHyphens/>
              <w:jc w:val="left"/>
            </w:pPr>
            <w:r>
              <w:t xml:space="preserve">UU 17/2023 Pasal 368–370, daerah terjangkit wabah dan pengait nasional dengan status bencana</w:t>
            </w:r>
          </w:p>
        </w:tc>
        <w:tc>
          <w:tcPr>
            <w:tcW w:w="1944" w:type="dxa"/>
          </w:tcPr>
          <w:p>
            <w:pPr>
              <w:pStyle w:val="IsiTabel"/>
              <w:keepNext/>
              <w:suppressAutoHyphens/>
              <w:jc w:val="left"/>
            </w:pPr>
            <w:r>
              <w:t xml:space="preserve">–</w:t>
            </w:r>
          </w:p>
        </w:tc>
      </w:tr>
      <w:tr>
        <w:trPr>
          <w:cantSplit/>
        </w:trPr>
        <w:tc>
          <w:tcPr>
            <w:tcW w:w="3692" w:type="dxa"/>
          </w:tcPr>
          <w:p>
            <w:pPr>
              <w:pStyle w:val="IsiTabel"/>
              <w:keepNext/>
              <w:suppressAutoHyphens/>
              <w:jc w:val="left"/>
            </w:pPr>
            <w:r>
              <w:t xml:space="preserve">Kebakaran industri dan kegagalan teknologi</w:t>
            </w:r>
          </w:p>
        </w:tc>
        <w:tc>
          <w:tcPr>
            <w:tcW w:w="2145" w:type="dxa"/>
          </w:tcPr>
          <w:p>
            <w:pPr>
              <w:pStyle w:val="IsiTabel"/>
              <w:keepNext/>
              <w:suppressAutoHyphens/>
              <w:jc w:val="left"/>
            </w:pPr>
            <w:r>
              <w:t xml:space="preserve">UU 1/1970; UU 3/2014; PP 11/1979; Permen ESDM 32/2021</w:t>
            </w:r>
          </w:p>
        </w:tc>
        <w:tc>
          <w:tcPr>
            <w:tcW w:w="1573" w:type="dxa"/>
          </w:tcPr>
          <w:p>
            <w:pPr>
              <w:pStyle w:val="IsiTabel"/>
              <w:keepNext/>
              <w:suppressAutoHyphens/>
              <w:jc w:val="left"/>
            </w:pPr>
            <w:r>
              <w:t xml:space="preserve">–</w:t>
            </w:r>
          </w:p>
        </w:tc>
        <w:tc>
          <w:tcPr>
            <w:tcW w:w="1944" w:type="dxa"/>
          </w:tcPr>
          <w:p>
            <w:pPr>
              <w:pStyle w:val="IsiTabel"/>
              <w:keepNext/>
              <w:suppressAutoHyphens/>
              <w:jc w:val="left"/>
            </w:pPr>
            <w:r>
              <w:t xml:space="preserve">–</w:t>
            </w:r>
          </w:p>
        </w:tc>
      </w:tr>
      <w:tr>
        <w:trPr>
          <w:cantSplit/>
        </w:trPr>
        <w:tc>
          <w:tcPr>
            <w:tcW w:w="3692" w:type="dxa"/>
          </w:tcPr>
          <w:p>
            <w:pPr>
              <w:pStyle w:val="IsiTabel"/>
              <w:keepNext/>
              <w:suppressAutoHyphens/>
              <w:jc w:val="left"/>
            </w:pPr>
            <w:r>
              <w:t xml:space="preserve">Kebakaran TPA</w:t>
            </w:r>
          </w:p>
        </w:tc>
        <w:tc>
          <w:tcPr>
            <w:tcW w:w="2145" w:type="dxa"/>
          </w:tcPr>
          <w:p>
            <w:pPr>
              <w:pStyle w:val="IsiTabel"/>
              <w:keepNext/>
              <w:suppressAutoHyphens/>
              <w:jc w:val="left"/>
            </w:pPr>
            <w:r>
              <w:t xml:space="preserve">UU 18/2008 Pasal 9</w:t>
            </w:r>
          </w:p>
        </w:tc>
        <w:tc>
          <w:tcPr>
            <w:tcW w:w="1573" w:type="dxa"/>
          </w:tcPr>
          <w:p>
            <w:pPr>
              <w:pStyle w:val="IsiTabel"/>
              <w:keepNext/>
              <w:suppressAutoHyphens/>
              <w:jc w:val="left"/>
            </w:pPr>
            <w:r>
              <w:t xml:space="preserve">–</w:t>
            </w:r>
          </w:p>
        </w:tc>
        <w:tc>
          <w:tcPr>
            <w:tcW w:w="1944" w:type="dxa"/>
          </w:tcPr>
          <w:p>
            <w:pPr>
              <w:pStyle w:val="IsiTabel"/>
              <w:keepNext/>
              <w:suppressAutoHyphens/>
              <w:jc w:val="left"/>
            </w:pPr>
            <w:r>
              <w:t xml:space="preserve">–</w:t>
            </w:r>
          </w:p>
        </w:tc>
      </w:tr>
      <w:tr>
        <w:trPr>
          <w:cantSplit/>
        </w:trPr>
        <w:tc>
          <w:tcPr>
            <w:tcW w:w="3692" w:type="dxa"/>
          </w:tcPr>
          <w:p>
            <w:pPr>
              <w:pStyle w:val="IsiTabel"/>
              <w:suppressAutoHyphens/>
              <w:jc w:val="left"/>
            </w:pPr>
            <w:bookmarkStart w:id="928" w:name="_Ekor110z"/>
            <w:bookmarkEnd w:id="928"/>
            <w:r>
              <w:t xml:space="preserve">Konflik sosial</w:t>
            </w:r>
          </w:p>
        </w:tc>
        <w:tc>
          <w:tcPr>
            <w:tcW w:w="2145" w:type="dxa"/>
          </w:tcPr>
          <w:p>
            <w:pPr>
              <w:pStyle w:val="IsiTabel"/>
              <w:suppressAutoHyphens/>
              <w:jc w:val="left"/>
            </w:pPr>
            <w:r>
              <w:t xml:space="preserve">UU 7/2012</w:t>
            </w:r>
          </w:p>
        </w:tc>
        <w:tc>
          <w:tcPr>
            <w:tcW w:w="1573" w:type="dxa"/>
          </w:tcPr>
          <w:p>
            <w:pPr>
              <w:pStyle w:val="IsiTabel"/>
              <w:suppressAutoHyphens/>
              <w:jc w:val="left"/>
            </w:pPr>
            <w:r>
              <w:t xml:space="preserve">UU 7/2012 Pasal 12–20; PP 2/2015</w:t>
            </w:r>
          </w:p>
        </w:tc>
        <w:tc>
          <w:tcPr>
            <w:tcW w:w="1944" w:type="dxa"/>
          </w:tcPr>
          <w:p>
            <w:pPr>
              <w:pStyle w:val="IsiTabel"/>
              <w:suppressAutoHyphens/>
              <w:jc w:val="left"/>
            </w:pPr>
            <w:r>
              <w:t xml:space="preserve">UU 7/2012 Pasal 36–39; Perpres 46/2026</w:t>
            </w:r>
          </w:p>
        </w:tc>
      </w:tr>
    </w:tbl>
    <w:p>
      <w:pPr>
        <w:pStyle w:val="Sumber"/>
        <w:spacing w:after="40"/>
      </w:pPr>
      <w:r>
        <w:rPr>
          <w:b/>
          <w:bCs/>
          <w:color w:val="6B7280"/>
          <w:sz w:val="17"/>
          <w:szCs w:val="17"/>
        </w:rPr>
        <w:t xml:space="preserve">Sumber: </w:t>
      </w:r>
      <w:r>
        <w:rPr>
          <w:color w:val="6B7280"/>
          <w:sz w:val="17"/>
          <w:szCs w:val="17"/>
        </w:rPr>
        <w:t xml:space="preserve">Teks peraturan dan metadata status JDIH BPK, dicek 24 Okt 2026; indeks JDIH BNPB; analisis kajian ini (Bab 2, Bab 8, Bab 9, dan Bab 12)</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Baris semua jenis berlaku juga untuk tiap baris jenis; sel baris jenis hanya memuat norma khusus. "–" berarti tidak ada norma khusus jenis di peraturan yang dibaca. Penggolongan kebakaran TPA ke UU 18/2008 adalah tafsiran penyusun.</w:t>
      </w:r>
    </w:p>
    <w:p>
      <w:pPr>
        <w:pStyle w:val="Caption"/>
      </w:pPr>
      <w:bookmarkStart w:id="930" w:name="_Toc00291"/>
      <w:bookmarkStart w:id="929" w:name="_Ref0248"/>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29"/>
      <w:r>
        <w:rPr>
          <w:b/>
          <w:bCs/>
          <w:color w:val="051C2C"/>
        </w:rPr>
        <w:t xml:space="preserve"> </w:t>
      </w:r>
      <w:r>
        <w:t xml:space="preserve">Pasal rezim nonalam dan sosial yang menentukan peran BNPB, 2001–2026</w:t>
      </w:r>
      <w:bookmarkEnd w:id="93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92"/>
        <w:gridCol w:w="1633"/>
        <w:gridCol w:w="1872"/>
        <w:gridCol w:w="2068"/>
        <w:gridCol w:w="1008"/>
        <w:gridCol w:w="1281"/>
      </w:tblGrid>
      <w:tr>
        <w:trPr>
          <w:cantSplit/>
          <w:tblHeader/>
        </w:trPr>
        <w:tc>
          <w:tcPr>
            <w:tcW w:w="1492" w:type="dxa"/>
            <w:tcBorders>
              <w:bottom w:val="single" w:sz="8" w:space="0" w:color="6B7280"/>
            </w:tcBorders>
            <w:vAlign w:val="bottom"/>
          </w:tcPr>
          <w:p>
            <w:pPr>
              <w:pStyle w:val="KepalaTabel"/>
              <w:suppressAutoHyphens/>
            </w:pPr>
            <w:r>
              <w:rPr>
                <w:b/>
                <w:bCs/>
                <w:color w:val="6B7280"/>
                <w:sz w:val="17"/>
                <w:szCs w:val="17"/>
              </w:rPr>
              <w:t xml:space="preserve">REGULASI</w:t>
            </w:r>
          </w:p>
        </w:tc>
        <w:tc>
          <w:tcPr>
            <w:tcW w:w="1633" w:type="dxa"/>
            <w:tcBorders>
              <w:bottom w:val="single" w:sz="8" w:space="0" w:color="6B7280"/>
            </w:tcBorders>
            <w:vAlign w:val="bottom"/>
          </w:tcPr>
          <w:p>
            <w:pPr>
              <w:pStyle w:val="KepalaTabel"/>
              <w:suppressAutoHyphens/>
            </w:pPr>
            <w:r>
              <w:rPr>
                <w:b/>
                <w:bCs/>
                <w:color w:val="6B7280"/>
                <w:sz w:val="17"/>
                <w:szCs w:val="17"/>
              </w:rPr>
              <w:t xml:space="preserve">PASAL</w:t>
            </w:r>
          </w:p>
        </w:tc>
        <w:tc>
          <w:tcPr>
            <w:tcW w:w="1872" w:type="dxa"/>
            <w:tcBorders>
              <w:bottom w:val="single" w:sz="8" w:space="0" w:color="6B7280"/>
            </w:tcBorders>
            <w:vAlign w:val="bottom"/>
          </w:tcPr>
          <w:p>
            <w:pPr>
              <w:pStyle w:val="KepalaTabel"/>
              <w:suppressAutoHyphens/>
            </w:pPr>
            <w:r>
              <w:rPr>
                <w:b/>
                <w:bCs/>
                <w:color w:val="6B7280"/>
                <w:sz w:val="17"/>
                <w:szCs w:val="17"/>
              </w:rPr>
              <w:t xml:space="preserve">POKOK PENGATURAN</w:t>
            </w:r>
          </w:p>
        </w:tc>
        <w:tc>
          <w:tcPr>
            <w:tcW w:w="2068" w:type="dxa"/>
            <w:tcBorders>
              <w:bottom w:val="single" w:sz="8" w:space="0" w:color="6B7280"/>
            </w:tcBorders>
            <w:vAlign w:val="bottom"/>
          </w:tcPr>
          <w:p>
            <w:pPr>
              <w:pStyle w:val="KepalaTabel"/>
              <w:suppressAutoHyphens/>
            </w:pPr>
            <w:r>
              <w:rPr>
                <w:b/>
                <w:bCs/>
                <w:color w:val="6B7280"/>
                <w:sz w:val="17"/>
                <w:szCs w:val="17"/>
              </w:rPr>
              <w:t xml:space="preserve">RELEVANSI BAGI BNPB</w:t>
            </w:r>
          </w:p>
        </w:tc>
        <w:tc>
          <w:tcPr>
            <w:tcW w:w="1008" w:type="dxa"/>
            <w:tcBorders>
              <w:bottom w:val="single" w:sz="8" w:space="0" w:color="6B7280"/>
            </w:tcBorders>
            <w:vAlign w:val="bottom"/>
          </w:tcPr>
          <w:p>
            <w:pPr>
              <w:pStyle w:val="KepalaTabel"/>
              <w:suppressAutoHyphens/>
            </w:pPr>
            <w:r>
              <w:rPr>
                <w:b/>
                <w:bCs/>
                <w:color w:val="6B7280"/>
                <w:sz w:val="17"/>
                <w:szCs w:val="17"/>
              </w:rPr>
              <w:t xml:space="preserve">STATUS</w:t>
            </w:r>
          </w:p>
        </w:tc>
        <w:tc>
          <w:tcPr>
            <w:tcW w:w="1281"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492" w:type="dxa"/>
          </w:tcPr>
          <w:p>
            <w:pPr>
              <w:pStyle w:val="IsiTabel"/>
              <w:suppressAutoHyphens/>
              <w:jc w:val="left"/>
            </w:pPr>
            <w:r>
              <w:t xml:space="preserve">UU 24/2007 Penanggulangan Bencana</w:t>
            </w:r>
          </w:p>
        </w:tc>
        <w:tc>
          <w:tcPr>
            <w:tcW w:w="1633" w:type="dxa"/>
          </w:tcPr>
          <w:p>
            <w:pPr>
              <w:pStyle w:val="IsiTabel"/>
              <w:suppressAutoHyphens/>
              <w:jc w:val="left"/>
            </w:pPr>
            <w:r>
              <w:t xml:space="preserve">Pasal 1 angka 3</w:t>
            </w:r>
          </w:p>
        </w:tc>
        <w:tc>
          <w:tcPr>
            <w:tcW w:w="1872" w:type="dxa"/>
          </w:tcPr>
          <w:p>
            <w:pPr>
              <w:pStyle w:val="IsiTabel"/>
              <w:suppressAutoHyphens/>
              <w:jc w:val="left"/>
            </w:pPr>
            <w:r>
              <w:t xml:space="preserve">Bencana nonalam: bencana akibat peristiwa nonalam 'antara lain berupa gagal teknologi, gagal modernisasi, epidemi, dan wabah penyakit'</w:t>
            </w:r>
          </w:p>
        </w:tc>
        <w:tc>
          <w:tcPr>
            <w:tcW w:w="2068" w:type="dxa"/>
          </w:tcPr>
          <w:p>
            <w:pPr>
              <w:pStyle w:val="IsiTabel"/>
              <w:suppressAutoHyphens/>
              <w:jc w:val="left"/>
            </w:pPr>
            <w:r>
              <w:t xml:space="preserve">dasar memasukkan pandemi, kebakaran industri, dan kebakaran TPA ke mandat PB</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UU 24/2007 Penanggulangan Bencana</w:t>
            </w:r>
          </w:p>
        </w:tc>
        <w:tc>
          <w:tcPr>
            <w:tcW w:w="1633" w:type="dxa"/>
          </w:tcPr>
          <w:p>
            <w:pPr>
              <w:pStyle w:val="IsiTabel"/>
              <w:suppressAutoHyphens/>
              <w:jc w:val="left"/>
            </w:pPr>
            <w:r>
              <w:t xml:space="preserve">Pasal 1 angka 4</w:t>
            </w:r>
          </w:p>
        </w:tc>
        <w:tc>
          <w:tcPr>
            <w:tcW w:w="1872" w:type="dxa"/>
          </w:tcPr>
          <w:p>
            <w:pPr>
              <w:pStyle w:val="IsiTabel"/>
              <w:suppressAutoHyphens/>
              <w:jc w:val="left"/>
            </w:pPr>
            <w:r>
              <w:t xml:space="preserve">Bencana sosial: bencana akibat peristiwa yang diakibatkan manusia 'yang meliputi konflik sosial antarkelompok atau antarkomunitas masyarakat, dan teror'</w:t>
            </w:r>
          </w:p>
        </w:tc>
        <w:tc>
          <w:tcPr>
            <w:tcW w:w="2068" w:type="dxa"/>
          </w:tcPr>
          <w:p>
            <w:pPr>
              <w:pStyle w:val="IsiTabel"/>
              <w:suppressAutoHyphens/>
              <w:jc w:val="left"/>
            </w:pPr>
            <w:r>
              <w:t xml:space="preserve">kerusuhan/konflik masuk bencana sosial, bukan nonalam</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UU 7/2012 Penanganan Konflik Sosial</w:t>
            </w:r>
          </w:p>
        </w:tc>
        <w:tc>
          <w:tcPr>
            <w:tcW w:w="1633" w:type="dxa"/>
          </w:tcPr>
          <w:p>
            <w:pPr>
              <w:pStyle w:val="IsiTabel"/>
              <w:suppressAutoHyphens/>
              <w:jc w:val="left"/>
            </w:pPr>
            <w:r>
              <w:t xml:space="preserve">Pasal 1 angka 1-2</w:t>
            </w:r>
          </w:p>
        </w:tc>
        <w:tc>
          <w:tcPr>
            <w:tcW w:w="1872" w:type="dxa"/>
          </w:tcPr>
          <w:p>
            <w:pPr>
              <w:pStyle w:val="IsiTabel"/>
              <w:suppressAutoHyphens/>
              <w:jc w:val="left"/>
            </w:pPr>
            <w:r>
              <w:t xml:space="preserve">Konflik = perseteruan/benturan fisik dengan kekerasan antara dua kelompok atau lebih yang berdampak luas; penanganan konflik = pencegahan, penghentian, pemulihan pascakonflik</w:t>
            </w:r>
          </w:p>
        </w:tc>
        <w:tc>
          <w:tcPr>
            <w:tcW w:w="2068" w:type="dxa"/>
          </w:tcPr>
          <w:p>
            <w:pPr>
              <w:pStyle w:val="IsiTabel"/>
              <w:suppressAutoHyphens/>
              <w:jc w:val="left"/>
            </w:pPr>
            <w:r>
              <w:t xml:space="preserve">rezim hukum tersendiri di luar UU 24/2007 untuk konflik</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UU 7/2012 Penanganan Konflik Sosial</w:t>
            </w:r>
          </w:p>
        </w:tc>
        <w:tc>
          <w:tcPr>
            <w:tcW w:w="1633" w:type="dxa"/>
          </w:tcPr>
          <w:p>
            <w:pPr>
              <w:pStyle w:val="IsiTabel"/>
              <w:suppressAutoHyphens/>
              <w:jc w:val="left"/>
            </w:pPr>
            <w:r>
              <w:t xml:space="preserve">Pasal 12-13</w:t>
            </w:r>
          </w:p>
        </w:tc>
        <w:tc>
          <w:tcPr>
            <w:tcW w:w="1872" w:type="dxa"/>
          </w:tcPr>
          <w:p>
            <w:pPr>
              <w:pStyle w:val="IsiTabel"/>
              <w:suppressAutoHyphens/>
              <w:jc w:val="left"/>
            </w:pPr>
            <w:r>
              <w:t xml:space="preserve">Penghentian konflik: penghentian kekerasan fisik (dikoordinasikan dan dikendalikan Polri), penetapan status keadaan konflik, tindakan darurat penyelamatan dan pelindungan korban, bantuan TNI</w:t>
            </w:r>
          </w:p>
        </w:tc>
        <w:tc>
          <w:tcPr>
            <w:tcW w:w="2068" w:type="dxa"/>
          </w:tcPr>
          <w:p>
            <w:pPr>
              <w:pStyle w:val="IsiTabel"/>
              <w:suppressAutoHyphens/>
              <w:jc w:val="left"/>
            </w:pPr>
            <w:r>
              <w:t xml:space="preserve">komando saat konflik di Polri, bukan BNPB</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UU 7/2012 Penanganan Konflik Sosial</w:t>
            </w:r>
          </w:p>
        </w:tc>
        <w:tc>
          <w:tcPr>
            <w:tcW w:w="1633" w:type="dxa"/>
          </w:tcPr>
          <w:p>
            <w:pPr>
              <w:pStyle w:val="IsiTabel"/>
              <w:suppressAutoHyphens/>
              <w:jc w:val="left"/>
            </w:pPr>
            <w:r>
              <w:t xml:space="preserve">Pasal 15, 16, 18, 20</w:t>
            </w:r>
          </w:p>
        </w:tc>
        <w:tc>
          <w:tcPr>
            <w:tcW w:w="1872" w:type="dxa"/>
          </w:tcPr>
          <w:p>
            <w:pPr>
              <w:pStyle w:val="IsiTabel"/>
              <w:suppressAutoHyphens/>
              <w:jc w:val="left"/>
            </w:pPr>
            <w:r>
              <w:t xml:space="preserve">Status keadaan konflik skala kab/kota ditetapkan bupati/wali kota, skala provinsi oleh gubernur, skala nasional oleh Presiden, masing-masing setelah berkonsultasi dengan pimpinan DPRD/DPR</w:t>
            </w:r>
          </w:p>
        </w:tc>
        <w:tc>
          <w:tcPr>
            <w:tcW w:w="2068" w:type="dxa"/>
          </w:tcPr>
          <w:p>
            <w:pPr>
              <w:pStyle w:val="IsiTabel"/>
              <w:suppressAutoHyphens/>
              <w:jc w:val="left"/>
            </w:pPr>
            <w:r>
              <w:t xml:space="preserve">status konflik bukan status keadaan darurat bencana UU 24/2007</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UU 7/2012 Penanganan Konflik Sosial</w:t>
            </w:r>
          </w:p>
        </w:tc>
        <w:tc>
          <w:tcPr>
            <w:tcW w:w="1633" w:type="dxa"/>
          </w:tcPr>
          <w:p>
            <w:pPr>
              <w:pStyle w:val="IsiTabel"/>
              <w:suppressAutoHyphens/>
              <w:jc w:val="left"/>
            </w:pPr>
            <w:r>
              <w:t xml:space="preserve">Pasal 36-39</w:t>
            </w:r>
          </w:p>
        </w:tc>
        <w:tc>
          <w:tcPr>
            <w:tcW w:w="1872" w:type="dxa"/>
          </w:tcPr>
          <w:p>
            <w:pPr>
              <w:pStyle w:val="IsiTabel"/>
              <w:suppressAutoHyphens/>
              <w:jc w:val="left"/>
            </w:pPr>
            <w:r>
              <w:t xml:space="preserve">Pemerintah dan pemda wajib melakukan pemulihan pascakonflik (rekonsiliasi, rehabilitasi, rekonstruksi)</w:t>
            </w:r>
          </w:p>
        </w:tc>
        <w:tc>
          <w:tcPr>
            <w:tcW w:w="2068" w:type="dxa"/>
          </w:tcPr>
          <w:p>
            <w:pPr>
              <w:pStyle w:val="IsiTabel"/>
              <w:suppressAutoHyphens/>
              <w:jc w:val="left"/>
            </w:pPr>
            <w:r>
              <w:t xml:space="preserve">ruang dukungan BNPB pada rehabilitasi/rekonstruksi pascakonflik</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UU 7/2012 Penanganan Konflik Sosial</w:t>
            </w:r>
          </w:p>
        </w:tc>
        <w:tc>
          <w:tcPr>
            <w:tcW w:w="1633" w:type="dxa"/>
          </w:tcPr>
          <w:p>
            <w:pPr>
              <w:pStyle w:val="IsiTabel"/>
              <w:suppressAutoHyphens/>
              <w:jc w:val="left"/>
            </w:pPr>
            <w:r>
              <w:t xml:space="preserve">Pasal 49 ayat (2) huruf l</w:t>
            </w:r>
          </w:p>
        </w:tc>
        <w:tc>
          <w:tcPr>
            <w:tcW w:w="1872" w:type="dxa"/>
          </w:tcPr>
          <w:p>
            <w:pPr>
              <w:pStyle w:val="IsiTabel"/>
              <w:suppressAutoHyphens/>
              <w:jc w:val="left"/>
            </w:pPr>
            <w:r>
              <w:t xml:space="preserve">BNPB adalah unsur Pemerintah dalam Satuan Tugas Penyelesaian Konflik Sosial skala nasional</w:t>
            </w:r>
          </w:p>
        </w:tc>
        <w:tc>
          <w:tcPr>
            <w:tcW w:w="2068" w:type="dxa"/>
          </w:tcPr>
          <w:p>
            <w:pPr>
              <w:pStyle w:val="IsiTabel"/>
              <w:suppressAutoHyphens/>
              <w:jc w:val="left"/>
            </w:pPr>
            <w:r>
              <w:t xml:space="preserve">satu-satunya penyebutan BNPB dalam UU 7/2012</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PP 2/2015 Peraturan Pelaksanaan UU 7/2012</w:t>
            </w:r>
          </w:p>
        </w:tc>
        <w:tc>
          <w:tcPr>
            <w:tcW w:w="1633" w:type="dxa"/>
          </w:tcPr>
          <w:p>
            <w:pPr>
              <w:pStyle w:val="IsiTabel"/>
              <w:suppressAutoHyphens/>
              <w:jc w:val="left"/>
            </w:pPr>
            <w:r>
              <w:t xml:space="preserve">Pasal 9 dan 21</w:t>
            </w:r>
          </w:p>
        </w:tc>
        <w:tc>
          <w:tcPr>
            <w:tcW w:w="1872" w:type="dxa"/>
          </w:tcPr>
          <w:p>
            <w:pPr>
              <w:pStyle w:val="IsiTabel"/>
              <w:suppressAutoHyphens/>
              <w:jc w:val="left"/>
            </w:pPr>
            <w:r>
              <w:t xml:space="preserve">Tindakan darurat penyelamatan dan pelindungan korban oleh Pemerintah dan pemda; pemenuhan kebutuhan dasar pengungsi konflik dilakukan menteri urusan sosial (sebagian oleh menteri pendidikan dan menteri kesehatan)</w:t>
            </w:r>
          </w:p>
        </w:tc>
        <w:tc>
          <w:tcPr>
            <w:tcW w:w="2068" w:type="dxa"/>
          </w:tcPr>
          <w:p>
            <w:pPr>
              <w:pStyle w:val="IsiTabel"/>
              <w:suppressAutoHyphens/>
              <w:jc w:val="left"/>
            </w:pPr>
            <w:r>
              <w:t xml:space="preserve">BNPB tidak disebut sebagai pelaksana pemenuhan kebutuhan dasar pengungsi konflik</w:t>
            </w:r>
          </w:p>
        </w:tc>
        <w:tc>
          <w:tcPr>
            <w:tcW w:w="1008" w:type="dxa"/>
          </w:tcPr>
          <w:p>
            <w:pPr>
              <w:pStyle w:val="IsiTabel"/>
              <w:suppressAutoHyphens/>
              <w:jc w:val="left"/>
            </w:pPr>
            <w:r>
              <w:t xml:space="preserve">berlaku</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Perpres 17/2018 PB dalam Keadaan Tertentu</w:t>
            </w:r>
          </w:p>
        </w:tc>
        <w:tc>
          <w:tcPr>
            <w:tcW w:w="1633" w:type="dxa"/>
          </w:tcPr>
          <w:p>
            <w:pPr>
              <w:pStyle w:val="IsiTabel"/>
              <w:suppressAutoHyphens/>
              <w:jc w:val="left"/>
            </w:pPr>
            <w:r>
              <w:t xml:space="preserve">Pasal 1 angka 1; Pasal 3</w:t>
            </w:r>
          </w:p>
        </w:tc>
        <w:tc>
          <w:tcPr>
            <w:tcW w:w="1872" w:type="dxa"/>
          </w:tcPr>
          <w:p>
            <w:pPr>
              <w:pStyle w:val="IsiTabel"/>
              <w:suppressAutoHyphens/>
              <w:jc w:val="left"/>
            </w:pPr>
            <w:r>
              <w:t xml:space="preserve">Keadaan tertentu: status keadaan darurat belum ditetapkan atau sudah berakhir tetapi masih diperlukan tindakan; Kepala BNPB dapat menyelenggarakan PB setelah keputusan rapat koordinasi yang dikoordinasikan Menko</w:t>
            </w:r>
          </w:p>
        </w:tc>
        <w:tc>
          <w:tcPr>
            <w:tcW w:w="2068" w:type="dxa"/>
          </w:tcPr>
          <w:p>
            <w:pPr>
              <w:pStyle w:val="IsiTabel"/>
              <w:suppressAutoHyphens/>
              <w:jc w:val="left"/>
            </w:pPr>
            <w:r>
              <w:t xml:space="preserve">dasar kewenangan BNPB di luar status darurat</w:t>
            </w:r>
          </w:p>
        </w:tc>
        <w:tc>
          <w:tcPr>
            <w:tcW w:w="1008" w:type="dxa"/>
          </w:tcPr>
          <w:p>
            <w:pPr>
              <w:pStyle w:val="IsiTabel"/>
              <w:suppressAutoHyphens/>
              <w:jc w:val="left"/>
            </w:pPr>
            <w:r>
              <w:t xml:space="preserve">berlaku, diubah Perpres 46/2026</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Perpres 46/2026 Perubahan Perpres 17/2018</w:t>
            </w:r>
          </w:p>
        </w:tc>
        <w:tc>
          <w:tcPr>
            <w:tcW w:w="1633" w:type="dxa"/>
          </w:tcPr>
          <w:p>
            <w:pPr>
              <w:pStyle w:val="IsiTabel"/>
              <w:suppressAutoHyphens/>
              <w:jc w:val="left"/>
            </w:pPr>
            <w:r>
              <w:t xml:space="preserve">Pasal I (Pasal 3 ayat (2) huruf a dan c)</w:t>
            </w:r>
          </w:p>
        </w:tc>
        <w:tc>
          <w:tcPr>
            <w:tcW w:w="1872" w:type="dxa"/>
          </w:tcPr>
          <w:p>
            <w:pPr>
              <w:pStyle w:val="IsiTabel"/>
              <w:suppressAutoHyphens/>
              <w:jc w:val="left"/>
            </w:pPr>
            <w:r>
              <w:t xml:space="preserve">Kondisi keadaan tertentu kini mencakup potensi bencana dengan ancaman maksimum 'yang disebabkan oleh faktor alam, nonalam, dan/atau sosial' dan 'pemerintah daerah yang wilayahnya dalam proses rekonsiliasi pascakonflik sosial dan memiliki kapasitas fiskal sangat rendah atau rendah'</w:t>
            </w:r>
          </w:p>
        </w:tc>
        <w:tc>
          <w:tcPr>
            <w:tcW w:w="2068" w:type="dxa"/>
          </w:tcPr>
          <w:p>
            <w:pPr>
              <w:pStyle w:val="IsiTabel"/>
              <w:suppressAutoHyphens/>
              <w:jc w:val="left"/>
            </w:pPr>
            <w:r>
              <w:t xml:space="preserve">membuka peran BNPB pascakonflik sosial (setelah keputusan rakor Menko); pedoman pelaksanaan ditetapkan Kepala BNPB (Pasal 3 ayat (4))</w:t>
            </w:r>
          </w:p>
        </w:tc>
        <w:tc>
          <w:tcPr>
            <w:tcW w:w="1008" w:type="dxa"/>
          </w:tcPr>
          <w:p>
            <w:pPr>
              <w:pStyle w:val="IsiTabel"/>
              <w:suppressAutoHyphens/>
              <w:jc w:val="left"/>
            </w:pPr>
            <w:r>
              <w:t xml:space="preserve">berlaku (LN 2026/83)</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Keppres 3/2001 Bakornas PBP</w:t>
            </w:r>
          </w:p>
        </w:tc>
        <w:tc>
          <w:tcPr>
            <w:tcW w:w="1633" w:type="dxa"/>
          </w:tcPr>
          <w:p>
            <w:pPr>
              <w:pStyle w:val="IsiTabel"/>
              <w:suppressAutoHyphens/>
              <w:jc w:val="left"/>
            </w:pPr>
            <w:r>
              <w:t xml:space="preserve">-</w:t>
            </w:r>
          </w:p>
        </w:tc>
        <w:tc>
          <w:tcPr>
            <w:tcW w:w="1872" w:type="dxa"/>
          </w:tcPr>
          <w:p>
            <w:pPr>
              <w:pStyle w:val="IsiTabel"/>
              <w:suppressAutoHyphens/>
              <w:jc w:val="left"/>
            </w:pPr>
            <w:r>
              <w:t xml:space="preserve">Bakornas PB diberi tugas tambahan mengoordinasikan penanganan pengungsi (menjadi Bakornas PBP), diketuai Wakil Presiden</w:t>
            </w:r>
          </w:p>
        </w:tc>
        <w:tc>
          <w:tcPr>
            <w:tcW w:w="2068" w:type="dxa"/>
          </w:tcPr>
          <w:p>
            <w:pPr>
              <w:pStyle w:val="IsiTabel"/>
              <w:suppressAutoHyphens/>
              <w:jc w:val="left"/>
            </w:pPr>
            <w:r>
              <w:t xml:space="preserve">preseden historis lembaga pendahulu BNPB menangani pengungsi konflik</w:t>
            </w:r>
          </w:p>
        </w:tc>
        <w:tc>
          <w:tcPr>
            <w:tcW w:w="1008" w:type="dxa"/>
          </w:tcPr>
          <w:p>
            <w:pPr>
              <w:pStyle w:val="IsiTabel"/>
              <w:suppressAutoHyphens/>
              <w:jc w:val="left"/>
            </w:pPr>
            <w:r>
              <w:t xml:space="preserve">tidak berlaku (diganti rezim UU 24/2007)</w:t>
            </w:r>
          </w:p>
        </w:tc>
        <w:tc>
          <w:tcPr>
            <w:tcW w:w="1281"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492" w:type="dxa"/>
          </w:tcPr>
          <w:p>
            <w:pPr>
              <w:pStyle w:val="IsiTabel"/>
              <w:suppressAutoHyphens/>
              <w:jc w:val="left"/>
            </w:pPr>
            <w:r>
              <w:t xml:space="preserve">Keppres 7/2020 Gugus Tugas Percepatan Penanganan COVID-19</w:t>
            </w:r>
          </w:p>
        </w:tc>
        <w:tc>
          <w:tcPr>
            <w:tcW w:w="1633" w:type="dxa"/>
          </w:tcPr>
          <w:p>
            <w:pPr>
              <w:pStyle w:val="IsiTabel"/>
              <w:suppressAutoHyphens/>
              <w:jc w:val="left"/>
            </w:pPr>
            <w:r>
              <w:t xml:space="preserve">-</w:t>
            </w:r>
          </w:p>
        </w:tc>
        <w:tc>
          <w:tcPr>
            <w:tcW w:w="1872" w:type="dxa"/>
          </w:tcPr>
          <w:p>
            <w:pPr>
              <w:pStyle w:val="IsiTabel"/>
              <w:suppressAutoHyphens/>
              <w:jc w:val="left"/>
            </w:pPr>
            <w:r>
              <w:t xml:space="preserve">Gugus Tugas COVID-19 (Kepala BNPB ketua pelaksana; riset A)</w:t>
            </w:r>
          </w:p>
        </w:tc>
        <w:tc>
          <w:tcPr>
            <w:tcW w:w="2068" w:type="dxa"/>
          </w:tcPr>
          <w:p>
            <w:pPr>
              <w:pStyle w:val="IsiTabel"/>
              <w:suppressAutoHyphens/>
              <w:jc w:val="left"/>
            </w:pPr>
            <w:r>
              <w:t xml:space="preserve">BNPB memimpin respons pandemi Mar-Jul 2020</w:t>
            </w:r>
          </w:p>
        </w:tc>
        <w:tc>
          <w:tcPr>
            <w:tcW w:w="1008" w:type="dxa"/>
          </w:tcPr>
          <w:p>
            <w:pPr>
              <w:pStyle w:val="IsiTabel"/>
              <w:suppressAutoHyphens/>
              <w:jc w:val="left"/>
            </w:pPr>
            <w:r>
              <w:t xml:space="preserve">tidak berlaku: diubah Keppres 9/2020, dicabut Perpres 82/2020</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suppressAutoHyphens/>
              <w:jc w:val="left"/>
            </w:pPr>
            <w:r>
              <w:t xml:space="preserve">Keppres 11/2020 Penetapan Kedaruratan Kesehatan Masyarakat COVID-19</w:t>
            </w:r>
          </w:p>
        </w:tc>
        <w:tc>
          <w:tcPr>
            <w:tcW w:w="1633" w:type="dxa"/>
          </w:tcPr>
          <w:p>
            <w:pPr>
              <w:pStyle w:val="IsiTabel"/>
              <w:suppressAutoHyphens/>
              <w:jc w:val="left"/>
            </w:pPr>
            <w:r>
              <w:t xml:space="preserve">Diktum KESATU-KEDUA</w:t>
            </w:r>
          </w:p>
        </w:tc>
        <w:tc>
          <w:tcPr>
            <w:tcW w:w="1872" w:type="dxa"/>
          </w:tcPr>
          <w:p>
            <w:pPr>
              <w:pStyle w:val="IsiTabel"/>
              <w:suppressAutoHyphens/>
              <w:jc w:val="left"/>
            </w:pPr>
            <w:r>
              <w:t xml:space="preserve">COVID-19 jenis penyakit yang menimbulkan KKM; menetapkan KKM COVID-19 di Indonesia (dasar UU 6/2018 Kekarantinaan Kesehatan)</w:t>
            </w:r>
          </w:p>
        </w:tc>
        <w:tc>
          <w:tcPr>
            <w:tcW w:w="2068" w:type="dxa"/>
          </w:tcPr>
          <w:p>
            <w:pPr>
              <w:pStyle w:val="IsiTabel"/>
              <w:suppressAutoHyphens/>
              <w:jc w:val="left"/>
            </w:pPr>
            <w:r>
              <w:t xml:space="preserve">rezim kekarantinaan (Kemenkes) berjalan paralel dengan rezim bencana</w:t>
            </w:r>
          </w:p>
        </w:tc>
        <w:tc>
          <w:tcPr>
            <w:tcW w:w="1008" w:type="dxa"/>
          </w:tcPr>
          <w:p>
            <w:pPr>
              <w:pStyle w:val="IsiTabel"/>
              <w:suppressAutoHyphens/>
              <w:jc w:val="left"/>
            </w:pPr>
            <w:r>
              <w:t xml:space="preserve">dicabut Keppres 17/2023</w:t>
            </w:r>
          </w:p>
        </w:tc>
        <w:tc>
          <w:tcPr>
            <w:tcW w:w="1281" w:type="dxa"/>
          </w:tcPr>
          <w:p>
            <w:pPr>
              <w:pStyle w:val="IsiTabel"/>
              <w:suppressAutoHyphens/>
              <w:jc w:val="left"/>
            </w:pPr>
            <w:r>
              <w:rPr>
                <w:b/>
                <w:bCs/>
                <w:color w:val="FFFFFF"/>
                <w:sz w:val="16"/>
                <w:szCs w:val="16"/>
                <w:shd w:val="clear" w:color="auto" w:fill="051C2C"/>
              </w:rPr>
              <w:t xml:space="preserve">  Resmi  </w:t>
            </w:r>
          </w:p>
        </w:tc>
      </w:tr>
      <w:tr>
        <w:trPr>
          <w:cantSplit/>
        </w:trPr>
        <w:tc>
          <w:tcPr>
            <w:tcW w:w="1492" w:type="dxa"/>
          </w:tcPr>
          <w:p>
            <w:pPr>
              <w:pStyle w:val="IsiTabel"/>
              <w:keepNext/>
              <w:suppressAutoHyphens/>
              <w:jc w:val="left"/>
            </w:pPr>
            <w:bookmarkStart w:id="931" w:name="_Ekor111a"/>
            <w:bookmarkEnd w:id="931"/>
            <w:r>
              <w:t xml:space="preserve">Keppres 12/2020 Penetapan Bencana Nonalam Penyebaran COVID-19 sebagai Bencana Nasional</w:t>
            </w:r>
          </w:p>
        </w:tc>
        <w:tc>
          <w:tcPr>
            <w:tcW w:w="1633" w:type="dxa"/>
          </w:tcPr>
          <w:p>
            <w:pPr>
              <w:pStyle w:val="IsiTabel"/>
              <w:keepNext/>
              <w:suppressAutoHyphens/>
              <w:jc w:val="left"/>
            </w:pPr>
            <w:r>
              <w:t xml:space="preserve">Diktum KESATU-KETIGA</w:t>
            </w:r>
          </w:p>
        </w:tc>
        <w:tc>
          <w:tcPr>
            <w:tcW w:w="1872" w:type="dxa"/>
          </w:tcPr>
          <w:p>
            <w:pPr>
              <w:pStyle w:val="IsiTabel"/>
              <w:keepNext/>
              <w:suppressAutoHyphens/>
              <w:jc w:val="left"/>
            </w:pPr>
            <w:r>
              <w:t xml:space="preserve">COVID-19 bencana nasional; ditangani Gugus Tugas (Keppres 7/2020 jo. 9/2020); gubernur, bupati, wali kota sebagai ketua gugus tugas daerah wajib memperhatikan kebijakan pusat</w:t>
            </w:r>
          </w:p>
        </w:tc>
        <w:tc>
          <w:tcPr>
            <w:tcW w:w="2068" w:type="dxa"/>
          </w:tcPr>
          <w:p>
            <w:pPr>
              <w:pStyle w:val="IsiTabel"/>
              <w:keepNext/>
              <w:suppressAutoHyphens/>
              <w:jc w:val="left"/>
            </w:pPr>
            <w:r>
              <w:t xml:space="preserve">satu-satunya penetapan bencana nasional nonalam; dasar hukum UU 4/1984 dan UU 24/2007</w:t>
            </w:r>
          </w:p>
        </w:tc>
        <w:tc>
          <w:tcPr>
            <w:tcW w:w="1008" w:type="dxa"/>
          </w:tcPr>
          <w:p>
            <w:pPr>
              <w:pStyle w:val="IsiTabel"/>
              <w:keepNext/>
              <w:suppressAutoHyphens/>
              <w:jc w:val="left"/>
            </w:pPr>
            <w:r>
              <w:t xml:space="preserve">dicabut Keppres 17/2023</w:t>
            </w:r>
          </w:p>
        </w:tc>
        <w:tc>
          <w:tcPr>
            <w:tcW w:w="1281"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492" w:type="dxa"/>
          </w:tcPr>
          <w:p>
            <w:pPr>
              <w:pStyle w:val="IsiTabel"/>
              <w:keepNext/>
              <w:suppressAutoHyphens/>
              <w:jc w:val="left"/>
            </w:pPr>
            <w:r>
              <w:t xml:space="preserve">Perpres 82/2020 Komite Penanganan COVID-19 dan PEN</w:t>
            </w:r>
          </w:p>
        </w:tc>
        <w:tc>
          <w:tcPr>
            <w:tcW w:w="1633" w:type="dxa"/>
          </w:tcPr>
          <w:p>
            <w:pPr>
              <w:pStyle w:val="IsiTabel"/>
              <w:keepNext/>
              <w:suppressAutoHyphens/>
              <w:jc w:val="left"/>
            </w:pPr>
            <w:r>
              <w:t xml:space="preserve">-</w:t>
            </w:r>
          </w:p>
        </w:tc>
        <w:tc>
          <w:tcPr>
            <w:tcW w:w="1872" w:type="dxa"/>
          </w:tcPr>
          <w:p>
            <w:pPr>
              <w:pStyle w:val="IsiTabel"/>
              <w:keepNext/>
              <w:suppressAutoHyphens/>
              <w:jc w:val="left"/>
            </w:pPr>
            <w:r>
              <w:t xml:space="preserve">Komite Kebijakan, Satgas Penanganan COVID-19, Satgas Pemulihan dan Transformasi Ekonomi; mencabut Keppres 7/2020 dan 9/2020</w:t>
            </w:r>
          </w:p>
        </w:tc>
        <w:tc>
          <w:tcPr>
            <w:tcW w:w="2068" w:type="dxa"/>
          </w:tcPr>
          <w:p>
            <w:pPr>
              <w:pStyle w:val="IsiTabel"/>
              <w:keepNext/>
              <w:suppressAutoHyphens/>
              <w:jc w:val="left"/>
            </w:pPr>
            <w:r>
              <w:t xml:space="preserve">BNPB menjadi Satgas Penanganan COVID-19 (Renstra BNPB hlm. 56)</w:t>
            </w:r>
          </w:p>
        </w:tc>
        <w:tc>
          <w:tcPr>
            <w:tcW w:w="1008" w:type="dxa"/>
          </w:tcPr>
          <w:p>
            <w:pPr>
              <w:pStyle w:val="IsiTabel"/>
              <w:keepNext/>
              <w:suppressAutoHyphens/>
              <w:jc w:val="left"/>
            </w:pPr>
            <w:r>
              <w:t xml:space="preserve">dicabut Perpres 48/2023 (LN 2020/178)</w:t>
            </w:r>
          </w:p>
        </w:tc>
        <w:tc>
          <w:tcPr>
            <w:tcW w:w="1281"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492" w:type="dxa"/>
          </w:tcPr>
          <w:p>
            <w:pPr>
              <w:pStyle w:val="IsiTabel"/>
              <w:keepNext/>
              <w:suppressAutoHyphens/>
              <w:jc w:val="left"/>
            </w:pPr>
            <w:r>
              <w:t xml:space="preserve">Keppres 17/2023 Penetapan Berakhirnya Status Pandemi COVID-19</w:t>
            </w:r>
          </w:p>
        </w:tc>
        <w:tc>
          <w:tcPr>
            <w:tcW w:w="1633" w:type="dxa"/>
          </w:tcPr>
          <w:p>
            <w:pPr>
              <w:pStyle w:val="IsiTabel"/>
              <w:keepNext/>
              <w:suppressAutoHyphens/>
              <w:jc w:val="left"/>
            </w:pPr>
            <w:r>
              <w:t xml:space="preserve">Diktum KESATU-KEEMPAT</w:t>
            </w:r>
          </w:p>
        </w:tc>
        <w:tc>
          <w:tcPr>
            <w:tcW w:w="1872" w:type="dxa"/>
          </w:tcPr>
          <w:p>
            <w:pPr>
              <w:pStyle w:val="IsiTabel"/>
              <w:keepNext/>
              <w:suppressAutoHyphens/>
              <w:jc w:val="left"/>
            </w:pPr>
            <w:r>
              <w:t xml:space="preserve">Status pandemi berakhir, COVID-19 menjadi penyakit endemi; mencabut penetapan KKM dan bencana nasional; Keppres 11/2020, 12/2020, 24/2021 dicabut; berlaku 21 Jun 2023, ditetapkan 22 Jun 2023</w:t>
            </w:r>
          </w:p>
        </w:tc>
        <w:tc>
          <w:tcPr>
            <w:tcW w:w="2068" w:type="dxa"/>
          </w:tcPr>
          <w:p>
            <w:pPr>
              <w:pStyle w:val="IsiTabel"/>
              <w:keepNext/>
              <w:suppressAutoHyphens/>
              <w:jc w:val="left"/>
            </w:pPr>
            <w:r>
              <w:t xml:space="preserve">akhir status bencana nasional nonalam</w:t>
            </w:r>
          </w:p>
        </w:tc>
        <w:tc>
          <w:tcPr>
            <w:tcW w:w="1008" w:type="dxa"/>
          </w:tcPr>
          <w:p>
            <w:pPr>
              <w:pStyle w:val="IsiTabel"/>
              <w:keepNext/>
              <w:suppressAutoHyphens/>
              <w:jc w:val="left"/>
            </w:pPr>
            <w:r>
              <w:t xml:space="preserve">berlaku</w:t>
            </w:r>
          </w:p>
        </w:tc>
        <w:tc>
          <w:tcPr>
            <w:tcW w:w="1281"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492" w:type="dxa"/>
          </w:tcPr>
          <w:p>
            <w:pPr>
              <w:pStyle w:val="IsiTabel"/>
              <w:keepNext/>
              <w:suppressAutoHyphens/>
              <w:jc w:val="left"/>
            </w:pPr>
            <w:bookmarkStart w:id="932" w:name="_Ekor111z"/>
            <w:bookmarkEnd w:id="932"/>
            <w:r>
              <w:t xml:space="preserve">Perpres 48/2023 Pengakhiran Penanganan Pandemi COVID-19</w:t>
            </w:r>
          </w:p>
        </w:tc>
        <w:tc>
          <w:tcPr>
            <w:tcW w:w="1633" w:type="dxa"/>
          </w:tcPr>
          <w:p>
            <w:pPr>
              <w:pStyle w:val="IsiTabel"/>
              <w:keepNext/>
              <w:suppressAutoHyphens/>
              <w:jc w:val="left"/>
            </w:pPr>
            <w:r>
              <w:t xml:space="preserve">-</w:t>
            </w:r>
          </w:p>
        </w:tc>
        <w:tc>
          <w:tcPr>
            <w:tcW w:w="1872" w:type="dxa"/>
          </w:tcPr>
          <w:p>
            <w:pPr>
              <w:pStyle w:val="IsiTabel"/>
              <w:keepNext/>
              <w:suppressAutoHyphens/>
              <w:jc w:val="left"/>
            </w:pPr>
            <w:r>
              <w:t xml:space="preserve">Mencabut Perpres 82/2020 jo. 108/2020 dan Perpres 99/2020 (vaksinasi)</w:t>
            </w:r>
          </w:p>
        </w:tc>
        <w:tc>
          <w:tcPr>
            <w:tcW w:w="2068" w:type="dxa"/>
          </w:tcPr>
          <w:p>
            <w:pPr>
              <w:pStyle w:val="IsiTabel"/>
              <w:keepNext/>
              <w:suppressAutoHyphens/>
              <w:jc w:val="left"/>
            </w:pPr>
            <w:r>
              <w:t xml:space="preserve">Satgas COVID-19 berakhir</w:t>
            </w:r>
          </w:p>
        </w:tc>
        <w:tc>
          <w:tcPr>
            <w:tcW w:w="1008" w:type="dxa"/>
          </w:tcPr>
          <w:p>
            <w:pPr>
              <w:pStyle w:val="IsiTabel"/>
              <w:keepNext/>
              <w:suppressAutoHyphens/>
              <w:jc w:val="left"/>
            </w:pPr>
            <w:r>
              <w:t xml:space="preserve">berlaku</w:t>
            </w:r>
          </w:p>
        </w:tc>
        <w:tc>
          <w:tcPr>
            <w:tcW w:w="1281"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Teks peraturan yang tercatat per baris di paket nonalam dan sosial Pantau Bencana, diakses 23 Oktober 2026</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Kutipan ditulis apa adanya dari teks peraturan; Keppres 3/2001 adalah preseden historis lembaga pendahulu BNPB dan tidak berlaku lagi.</w:t>
      </w:r>
    </w:p>
    <w:p>
      <w:pPr>
        <w:pStyle w:val="Heading2"/>
      </w:pPr>
      <w:bookmarkStart w:id="934" w:name="_Toc00292"/>
      <w:bookmarkStart w:id="933" w:name="_Ref0120"/>
      <w:r>
        <w:t xml:space="preserve">E.1</w:t>
      </w:r>
      <w:bookmarkEnd w:id="933"/>
      <w:r>
        <w:tab/>
      </w:r>
      <w:r>
        <w:t xml:space="preserve">Matriks Mandat Lembaga Lengkap</w:t>
      </w:r>
      <w:bookmarkEnd w:id="934"/>
    </w:p>
    <w:p>
      <w:pPr>
        <w:pStyle w:val="IsiTemuan"/>
      </w:pPr>
      <w:r>
        <w:rPr>
          <w:b/>
          <w:bCs/>
          <w:color w:val="051C2C"/>
        </w:rPr>
        <w:t xml:space="preserve">76</w:t>
      </w:r>
      <w:r>
        <w:rPr>
          <w:b/>
          <w:bCs/>
          <w:color w:val="051C2C"/>
        </w:rPr>
        <w:t xml:space="preserve"> dari </w:t>
      </w:r>
      <w:r>
        <w:rPr>
          <w:b/>
          <w:bCs/>
          <w:color w:val="051C2C"/>
        </w:rPr>
        <w:t xml:space="preserve">129</w:t>
      </w:r>
      <w:r>
        <w:rPr>
          <w:b/>
          <w:bCs/>
          <w:color w:val="051C2C"/>
        </w:rPr>
        <w:t xml:space="preserve"> baris peran menyebut lembaganya di norma, dan </w:t>
      </w:r>
      <w:r>
        <w:rPr>
          <w:b/>
          <w:bCs/>
          <w:color w:val="051C2C"/>
        </w:rPr>
        <w:t xml:space="preserve">53</w:t>
      </w:r>
      <w:r>
        <w:rPr>
          <w:b/>
          <w:bCs/>
          <w:color w:val="051C2C"/>
        </w:rPr>
        <w:t xml:space="preserve"> baris pelakunya dipetakan penyusun</w:t>
      </w:r>
      <w:r>
        <w:t xml:space="preserve"> (</w:t>
      </w:r>
      <w:r>
        <w:fldChar w:fldCharType="begin"/>
      </w:r>
      <w:r>
        <w:instrText xml:space="preserve"> REF _Ref0249 \h \* CHARFORMAT </w:instrText>
      </w:r>
      <w:r>
        <w:fldChar w:fldCharType="separate"/>
      </w:r>
      <w:r>
        <w:t xml:space="preserve">Tabel E.3</w:t>
      </w:r>
      <w:r>
        <w:fldChar w:fldCharType="end"/>
      </w:r>
      <w:r>
        <w:t xml:space="preserve">). Arti keempat kode peran tertulis di catatan </w:t>
      </w:r>
      <w:r>
        <w:fldChar w:fldCharType="begin"/>
      </w:r>
      <w:r>
        <w:instrText xml:space="preserve"> REF _Ref0249 \h \* CHARFORMAT </w:instrText>
      </w:r>
      <w:r>
        <w:fldChar w:fldCharType="separate"/>
      </w:r>
      <w:r>
        <w:t xml:space="preserve">Tabel E.3</w:t>
      </w:r>
      <w:r>
        <w:fldChar w:fldCharType="end"/>
      </w:r>
      <w:r>
        <w:t xml:space="preserve">, sama dengan </w:t>
      </w:r>
      <w:r>
        <w:fldChar w:fldCharType="begin"/>
      </w:r>
      <w:r>
        <w:instrText xml:space="preserve"> REF _Ref0308 \h \* CHARFORMAT </w:instrText>
      </w:r>
      <w:r>
        <w:fldChar w:fldCharType="separate"/>
      </w:r>
      <w:r>
        <w:t xml:space="preserve">Tabel 12.1</w:t>
      </w:r>
      <w:r>
        <w:fldChar w:fldCharType="end"/>
      </w:r>
      <w:r>
        <w:t xml:space="preserve">. Nama lembaga mengikuti nomenklatur Oktober 2026, dan halaman merujuk berkas teks peraturan yang dibuka penyusun.</w:t>
      </w:r>
    </w:p>
    <w:p>
      <w:pPr>
        <w:pStyle w:val="Caption"/>
      </w:pPr>
      <w:bookmarkStart w:id="936" w:name="_Toc00293"/>
      <w:bookmarkStart w:id="935" w:name="_Ref0249"/>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935"/>
      <w:r>
        <w:rPr>
          <w:b/>
          <w:bCs/>
          <w:color w:val="051C2C"/>
        </w:rPr>
        <w:t xml:space="preserve"> </w:t>
      </w:r>
      <w:r>
        <w:t xml:space="preserve">Peran lembaga menurut jenis bencana, tahap, kode peran, dan dasar peraturan, status Oktober 2026</w:t>
      </w:r>
      <w:bookmarkEnd w:id="9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39"/>
        <w:gridCol w:w="1475"/>
        <w:gridCol w:w="828"/>
        <w:gridCol w:w="2775"/>
        <w:gridCol w:w="1035"/>
        <w:gridCol w:w="1802"/>
      </w:tblGrid>
      <w:tr>
        <w:trPr>
          <w:cantSplit/>
          <w:tblHeader/>
        </w:trPr>
        <w:tc>
          <w:tcPr>
            <w:tcW w:w="1439" w:type="dxa"/>
            <w:tcBorders>
              <w:bottom w:val="single" w:sz="8" w:space="0" w:color="6B7280"/>
            </w:tcBorders>
            <w:vAlign w:val="bottom"/>
          </w:tcPr>
          <w:p>
            <w:pPr>
              <w:pStyle w:val="KepalaTabel"/>
              <w:suppressAutoHyphens/>
            </w:pPr>
            <w:r>
              <w:rPr>
                <w:b/>
                <w:bCs/>
                <w:color w:val="6B7280"/>
                <w:sz w:val="17"/>
                <w:szCs w:val="17"/>
              </w:rPr>
              <w:t xml:space="preserve">JENIS</w:t>
            </w:r>
          </w:p>
        </w:tc>
        <w:tc>
          <w:tcPr>
            <w:tcW w:w="1475" w:type="dxa"/>
            <w:tcBorders>
              <w:bottom w:val="single" w:sz="8" w:space="0" w:color="6B7280"/>
            </w:tcBorders>
            <w:vAlign w:val="bottom"/>
          </w:tcPr>
          <w:p>
            <w:pPr>
              <w:pStyle w:val="KepalaTabel"/>
              <w:suppressAutoHyphens/>
            </w:pPr>
            <w:r>
              <w:rPr>
                <w:b/>
                <w:bCs/>
                <w:color w:val="6B7280"/>
                <w:sz w:val="17"/>
                <w:szCs w:val="17"/>
              </w:rPr>
              <w:t xml:space="preserve">TAHAP</w:t>
            </w:r>
          </w:p>
        </w:tc>
        <w:tc>
          <w:tcPr>
            <w:tcW w:w="828" w:type="dxa"/>
            <w:tcBorders>
              <w:bottom w:val="single" w:sz="8" w:space="0" w:color="6B7280"/>
            </w:tcBorders>
            <w:vAlign w:val="bottom"/>
          </w:tcPr>
          <w:p>
            <w:pPr>
              <w:pStyle w:val="KepalaTabel"/>
              <w:suppressAutoHyphens/>
            </w:pPr>
            <w:r>
              <w:rPr>
                <w:b/>
                <w:bCs/>
                <w:color w:val="6B7280"/>
                <w:sz w:val="17"/>
                <w:szCs w:val="17"/>
              </w:rPr>
              <w:t xml:space="preserve">PERAN</w:t>
            </w:r>
          </w:p>
        </w:tc>
        <w:tc>
          <w:tcPr>
            <w:tcW w:w="2775" w:type="dxa"/>
            <w:tcBorders>
              <w:bottom w:val="single" w:sz="8" w:space="0" w:color="6B7280"/>
            </w:tcBorders>
            <w:vAlign w:val="bottom"/>
          </w:tcPr>
          <w:p>
            <w:pPr>
              <w:pStyle w:val="KepalaTabel"/>
              <w:suppressAutoHyphens/>
            </w:pPr>
            <w:r>
              <w:rPr>
                <w:b/>
                <w:bCs/>
                <w:color w:val="6B7280"/>
                <w:sz w:val="17"/>
                <w:szCs w:val="17"/>
              </w:rPr>
              <w:t xml:space="preserve">URAIAN</w:t>
            </w:r>
          </w:p>
        </w:tc>
        <w:tc>
          <w:tcPr>
            <w:tcW w:w="1035" w:type="dxa"/>
            <w:tcBorders>
              <w:bottom w:val="single" w:sz="8" w:space="0" w:color="6B7280"/>
            </w:tcBorders>
            <w:vAlign w:val="bottom"/>
          </w:tcPr>
          <w:p>
            <w:pPr>
              <w:pStyle w:val="KepalaTabel"/>
              <w:suppressAutoHyphens/>
            </w:pPr>
            <w:r>
              <w:rPr>
                <w:b/>
                <w:bCs/>
                <w:color w:val="6B7280"/>
                <w:sz w:val="17"/>
                <w:szCs w:val="17"/>
              </w:rPr>
              <w:t xml:space="preserve">DASAR</w:t>
            </w:r>
          </w:p>
        </w:tc>
        <w:tc>
          <w:tcPr>
            <w:tcW w:w="1802" w:type="dxa"/>
            <w:tcBorders>
              <w:bottom w:val="single" w:sz="8" w:space="0" w:color="6B7280"/>
            </w:tcBorders>
            <w:vAlign w:val="bottom"/>
          </w:tcPr>
          <w:p>
            <w:pPr>
              <w:pStyle w:val="KepalaTabel"/>
              <w:suppressAutoHyphens/>
            </w:pPr>
            <w:r>
              <w:rPr>
                <w:b/>
                <w:bCs/>
                <w:color w:val="6B7280"/>
                <w:sz w:val="17"/>
                <w:szCs w:val="17"/>
              </w:rPr>
              <w:t xml:space="preserve">BUKTI</w:t>
            </w:r>
          </w:p>
        </w:tc>
      </w:tr>
      <w:tr>
        <w:trPr>
          <w:cantSplit/>
        </w:trPr>
        <w:tc>
          <w:tcPr>
            <w:tcW w:w="9354" w:type="dxa"/>
            <w:gridSpan w:val="6"/>
            <w:shd w:val="clear" w:color="auto" w:fill="E6EAF0"/>
          </w:tcPr>
          <w:p>
            <w:pPr>
              <w:pStyle w:val="IsiTabel"/>
              <w:keepNext/>
              <w:suppressAutoHyphens/>
              <w:ind w:left="0"/>
            </w:pPr>
            <w:r>
              <w:rPr>
                <w:b/>
                <w:bCs/>
              </w:rPr>
              <w:t xml:space="preserve">Badan Nasional Penanggulangan Bencana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Pedoman dan pengarahan PB dari pencegahan sampai rekonstruksi</w:t>
            </w:r>
          </w:p>
        </w:tc>
        <w:tc>
          <w:tcPr>
            <w:tcW w:w="1035" w:type="dxa"/>
          </w:tcPr>
          <w:p>
            <w:pPr>
              <w:pStyle w:val="IsiTabel"/>
              <w:suppressAutoHyphens/>
              <w:jc w:val="left"/>
            </w:pPr>
            <w:r>
              <w:t xml:space="preserve">UU 24/2007, hlm. 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Kemudahan akses saat status darurat, termasuk komando memerintahkan sektor/lembaga</w:t>
            </w:r>
          </w:p>
        </w:tc>
        <w:tc>
          <w:tcPr>
            <w:tcW w:w="1035" w:type="dxa"/>
          </w:tcPr>
          <w:p>
            <w:pPr>
              <w:pStyle w:val="IsiTabel"/>
              <w:suppressAutoHyphens/>
              <w:jc w:val="left"/>
            </w:pPr>
            <w:r>
              <w:t xml:space="preserve">UU 24/2007, hlm. 23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Menggunakan dana siap pakai saat tanggap darurat</w:t>
            </w:r>
          </w:p>
        </w:tc>
        <w:tc>
          <w:tcPr>
            <w:tcW w:w="1035" w:type="dxa"/>
          </w:tcPr>
          <w:p>
            <w:pPr>
              <w:pStyle w:val="IsiTabel"/>
              <w:suppressAutoHyphens/>
              <w:jc w:val="left"/>
            </w:pPr>
            <w:r>
              <w:t xml:space="preserve">UU 24/2007, hlm. 27</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PB dalam keadaan tertentu (tanpa/selepas status darurat) untuk faktor alam, nonalam, sosial</w:t>
            </w:r>
          </w:p>
        </w:tc>
        <w:tc>
          <w:tcPr>
            <w:tcW w:w="1035" w:type="dxa"/>
          </w:tcPr>
          <w:p>
            <w:pPr>
              <w:pStyle w:val="IsiTabel"/>
              <w:suppressAutoHyphens/>
              <w:jc w:val="left"/>
            </w:pPr>
            <w:r>
              <w:t xml:space="preserve">Perpres 46/2026,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Fungsi komando: pengerahan SDM, logistik, peralatan dari instansi terkait, Polri, TNI</w:t>
            </w:r>
          </w:p>
        </w:tc>
        <w:tc>
          <w:tcPr>
            <w:tcW w:w="1035" w:type="dxa"/>
          </w:tcPr>
          <w:p>
            <w:pPr>
              <w:pStyle w:val="IsiTabel"/>
              <w:suppressAutoHyphens/>
              <w:jc w:val="left"/>
            </w:pPr>
            <w:r>
              <w:t xml:space="preserve">Perpres 1/2019, hlm. 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Mengelola platform Sistem Peringatan Dini Bencana multiancaman</w:t>
            </w:r>
          </w:p>
        </w:tc>
        <w:tc>
          <w:tcPr>
            <w:tcW w:w="1035" w:type="dxa"/>
          </w:tcPr>
          <w:p>
            <w:pPr>
              <w:pStyle w:val="IsiTabel"/>
              <w:suppressAutoHyphens/>
              <w:jc w:val="left"/>
            </w:pPr>
            <w:r>
              <w:t xml:space="preserve">Perban BNPB 2/2024, hlm. 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Menyusun Rencana Rehabilitasi dan Rekonstruksi skala nasional bersama Bappenas dan K/L</w:t>
            </w:r>
          </w:p>
        </w:tc>
        <w:tc>
          <w:tcPr>
            <w:tcW w:w="1035" w:type="dxa"/>
          </w:tcPr>
          <w:p>
            <w:pPr>
              <w:pStyle w:val="IsiTabel"/>
              <w:suppressAutoHyphens/>
              <w:jc w:val="left"/>
            </w:pPr>
            <w:r>
              <w:t xml:space="preserve">Perban BNPB 5/2017,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Logistik (Kepka BNPB 308/2024)</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Fungsi komando pengerahan sumber daya tingkat nasional; bantuan dana dan operasi udara/darat</w:t>
            </w:r>
          </w:p>
        </w:tc>
        <w:tc>
          <w:tcPr>
            <w:tcW w:w="1035" w:type="dxa"/>
          </w:tcPr>
          <w:p>
            <w:pPr>
              <w:pStyle w:val="IsiTabel"/>
              <w:suppressAutoHyphens/>
              <w:jc w:val="left"/>
            </w:pPr>
            <w:r>
              <w:t xml:space="preserve">Inpres 3/2020, hlm. 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Epidemi dan wabah termasuk bencana nonalam; data peringatan dini epidemik masuk SPD BNPB</w:t>
            </w:r>
          </w:p>
        </w:tc>
        <w:tc>
          <w:tcPr>
            <w:tcW w:w="1035" w:type="dxa"/>
          </w:tcPr>
          <w:p>
            <w:pPr>
              <w:pStyle w:val="IsiTabel"/>
              <w:suppressAutoHyphens/>
              <w:jc w:val="left"/>
            </w:pPr>
            <w:r>
              <w:t xml:space="preserve">UU 24/2007, hlm. 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Gagal teknologi termasuk bencana nonalam; data peringatan dini teknologi industri</w:t>
            </w:r>
          </w:p>
        </w:tc>
        <w:tc>
          <w:tcPr>
            <w:tcW w:w="1035" w:type="dxa"/>
          </w:tcPr>
          <w:p>
            <w:pPr>
              <w:pStyle w:val="IsiTabel"/>
              <w:suppressAutoHyphens/>
              <w:jc w:val="left"/>
            </w:pPr>
            <w:r>
              <w:t xml:space="preserve">UU 24/2007, hlm. 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PB keadaan tertentu bagi daerah dalam rekonsiliasi pascakonflik berkapasitas fiskal rendah</w:t>
            </w:r>
          </w:p>
        </w:tc>
        <w:tc>
          <w:tcPr>
            <w:tcW w:w="1035" w:type="dxa"/>
          </w:tcPr>
          <w:p>
            <w:pPr>
              <w:pStyle w:val="IsiTabel"/>
              <w:suppressAutoHyphens/>
              <w:jc w:val="left"/>
            </w:pPr>
            <w:r>
              <w:t xml:space="preserve">Perpres 46/2026,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Anggota Satgas Penyelesaian Konflik Sosial skala nasional</w:t>
            </w:r>
          </w:p>
        </w:tc>
        <w:tc>
          <w:tcPr>
            <w:tcW w:w="1035" w:type="dxa"/>
          </w:tcPr>
          <w:p>
            <w:pPr>
              <w:pStyle w:val="IsiTabel"/>
              <w:suppressAutoHyphens/>
              <w:jc w:val="left"/>
            </w:pPr>
            <w:r>
              <w:t xml:space="preserve">UU 7/2012, hlm. 25</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Perencanaan Pembangunan Nasional/Badan Perencanaan Pembangunan Nasional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Anggota tim penyusun Rencana Rehabilitasi dan Rekonstruksi skala nasional</w:t>
            </w:r>
          </w:p>
        </w:tc>
        <w:tc>
          <w:tcPr>
            <w:tcW w:w="1035" w:type="dxa"/>
          </w:tcPr>
          <w:p>
            <w:pPr>
              <w:pStyle w:val="IsiTabel"/>
              <w:suppressAutoHyphens/>
              <w:jc w:val="left"/>
            </w:pPr>
            <w:r>
              <w:t xml:space="preserve">Perban BNPB 5/2017,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Sinkronisasi perencanaan dan penganggaran (bersama Kemenkeu)</w:t>
            </w:r>
          </w:p>
        </w:tc>
        <w:tc>
          <w:tcPr>
            <w:tcW w:w="1035" w:type="dxa"/>
          </w:tcPr>
          <w:p>
            <w:pPr>
              <w:pStyle w:val="IsiTabel"/>
              <w:suppressAutoHyphens/>
              <w:jc w:val="left"/>
            </w:pPr>
            <w:r>
              <w:t xml:space="preserve">Inpres 3/2020, hlm. 13</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Penanggulangan Bencana Daerah (provinsi, kabupaten/kota)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Pedoman dan pengarahan PB di daerah dari pencegahan sampai rekonstruksi</w:t>
            </w:r>
          </w:p>
        </w:tc>
        <w:tc>
          <w:tcPr>
            <w:tcW w:w="1035" w:type="dxa"/>
          </w:tcPr>
          <w:p>
            <w:pPr>
              <w:pStyle w:val="IsiTabel"/>
              <w:suppressAutoHyphens/>
              <w:jc w:val="left"/>
            </w:pPr>
            <w:r>
              <w:t xml:space="preserve">UU 24/2007, hlm. 12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Menyusun, menetapkan, dan menginformasikan peta rawan bencana</w:t>
            </w:r>
          </w:p>
        </w:tc>
        <w:tc>
          <w:tcPr>
            <w:tcW w:w="1035" w:type="dxa"/>
          </w:tcPr>
          <w:p>
            <w:pPr>
              <w:pStyle w:val="IsiTabel"/>
              <w:suppressAutoHyphens/>
              <w:jc w:val="left"/>
            </w:pPr>
            <w:r>
              <w:t xml:space="preserve">UU 24/2007, hlm. 12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BPBD sebagai koordinator penanggulangan karhutla di provinsi dan kab/kota</w:t>
            </w:r>
          </w:p>
        </w:tc>
        <w:tc>
          <w:tcPr>
            <w:tcW w:w="1035" w:type="dxa"/>
          </w:tcPr>
          <w:p>
            <w:pPr>
              <w:pStyle w:val="IsiTabel"/>
              <w:suppressAutoHyphens/>
              <w:jc w:val="left"/>
            </w:pPr>
            <w:r>
              <w:t xml:space="preserve">Inpres 3/2020, hlm. 12</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Pemerintah daerah provinsi dan kabupaten/kota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Menjamin hak pengungsi sesuai SPM dan mengalokasikan dana PB di APBD</w:t>
            </w:r>
          </w:p>
        </w:tc>
        <w:tc>
          <w:tcPr>
            <w:tcW w:w="1035" w:type="dxa"/>
          </w:tcPr>
          <w:p>
            <w:pPr>
              <w:pStyle w:val="IsiTabel"/>
              <w:suppressAutoHyphens/>
              <w:jc w:val="left"/>
            </w:pPr>
            <w:r>
              <w:t xml:space="preserve">UU 24/2007, hlm. 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Sub-urusan bencana sebagai urusan daerah</w:t>
            </w:r>
          </w:p>
        </w:tc>
        <w:tc>
          <w:tcPr>
            <w:tcW w:w="1035" w:type="dxa"/>
          </w:tcPr>
          <w:p>
            <w:pPr>
              <w:pStyle w:val="IsiTabel"/>
              <w:suppressAutoHyphens/>
              <w:jc w:val="left"/>
            </w:pPr>
            <w:r>
              <w:t xml:space="preserve">UU 23/2014, hlm. 332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Gubernur dan bupati/wali kota menetapkan status keadaan darurat bencana daerah</w:t>
            </w:r>
          </w:p>
        </w:tc>
        <w:tc>
          <w:tcPr>
            <w:tcW w:w="1035" w:type="dxa"/>
          </w:tcPr>
          <w:p>
            <w:pPr>
              <w:pStyle w:val="IsiTabel"/>
              <w:suppressAutoHyphens/>
              <w:jc w:val="left"/>
            </w:pPr>
            <w:r>
              <w:t xml:space="preserve">Perpres 17/2018,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Penyediaan dan rehabilitasi rumah korban bencana provinsi dan kabupaten/kota</w:t>
            </w:r>
          </w:p>
        </w:tc>
        <w:tc>
          <w:tcPr>
            <w:tcW w:w="1035" w:type="dxa"/>
          </w:tcPr>
          <w:p>
            <w:pPr>
              <w:pStyle w:val="IsiTabel"/>
              <w:suppressAutoHyphens/>
              <w:jc w:val="left"/>
            </w:pPr>
            <w:r>
              <w:t xml:space="preserve">UU 23/2014, hlm. 329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Pengelolaan SDA dan pengaman pantai di WS lintas kab/kota (provinsi) dan dalam satu kab/kota</w:t>
            </w:r>
          </w:p>
        </w:tc>
        <w:tc>
          <w:tcPr>
            <w:tcW w:w="1035" w:type="dxa"/>
          </w:tcPr>
          <w:p>
            <w:pPr>
              <w:pStyle w:val="IsiTabel"/>
              <w:suppressAutoHyphens/>
              <w:jc w:val="left"/>
            </w:pPr>
            <w:r>
              <w:t xml:space="preserve">UU 23/2014, hlm. 322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Gubernur/bupati menetapkan kawasan daya rusak air pada WS kewenangannya</w:t>
            </w:r>
          </w:p>
        </w:tc>
        <w:tc>
          <w:tcPr>
            <w:tcW w:w="1035" w:type="dxa"/>
          </w:tcPr>
          <w:p>
            <w:pPr>
              <w:pStyle w:val="IsiTabel"/>
              <w:suppressAutoHyphens/>
              <w:jc w:val="left"/>
            </w:pPr>
            <w:r>
              <w:t xml:space="preserve">PP 30/2024, hlm. 66</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Kab/kota memenuhi kebutuhan pokok minimal air warganya</w:t>
            </w:r>
          </w:p>
        </w:tc>
        <w:tc>
          <w:tcPr>
            <w:tcW w:w="1035" w:type="dxa"/>
          </w:tcPr>
          <w:p>
            <w:pPr>
              <w:pStyle w:val="IsiTabel"/>
              <w:suppressAutoHyphens/>
              <w:jc w:val="left"/>
            </w:pPr>
            <w:r>
              <w:t xml:space="preserve">UU 17/2019, hlm. 14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Penetapan sistem peringatan dini pada setiap WS kewenangan provinsi dan kab/kota</w:t>
            </w:r>
          </w:p>
        </w:tc>
        <w:tc>
          <w:tcPr>
            <w:tcW w:w="1035" w:type="dxa"/>
          </w:tcPr>
          <w:p>
            <w:pPr>
              <w:pStyle w:val="IsiTabel"/>
              <w:suppressAutoHyphens/>
              <w:jc w:val="left"/>
            </w:pPr>
            <w:r>
              <w:t xml:space="preserve">PP 30/2024, hlm. 65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Gubernur dan bupati/wali kota sebagai komandan satuan tugas karhutla</w:t>
            </w:r>
          </w:p>
        </w:tc>
        <w:tc>
          <w:tcPr>
            <w:tcW w:w="1035" w:type="dxa"/>
          </w:tcPr>
          <w:p>
            <w:pPr>
              <w:pStyle w:val="IsiTabel"/>
              <w:suppressAutoHyphens/>
              <w:jc w:val="left"/>
            </w:pPr>
            <w:r>
              <w:t xml:space="preserve">Inpres 3/2020, hlm. 11-12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Bupati/wali kota, gubernur (atau Menteri) menetapkan KLB dan wajib menanggulanginya</w:t>
            </w:r>
          </w:p>
        </w:tc>
        <w:tc>
          <w:tcPr>
            <w:tcW w:w="1035" w:type="dxa"/>
          </w:tcPr>
          <w:p>
            <w:pPr>
              <w:pStyle w:val="IsiTabel"/>
              <w:suppressAutoHyphens/>
              <w:jc w:val="left"/>
            </w:pPr>
            <w:r>
              <w:t xml:space="preserve">UU 17/2023, hlm. 155-156</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Damkar kab/kota: pencegahan, pemadaman, penyelamatan, penanganan B3 kebakaran</w:t>
            </w:r>
          </w:p>
        </w:tc>
        <w:tc>
          <w:tcPr>
            <w:tcW w:w="1035" w:type="dxa"/>
          </w:tcPr>
          <w:p>
            <w:pPr>
              <w:pStyle w:val="IsiTabel"/>
              <w:suppressAutoHyphens/>
              <w:jc w:val="left"/>
            </w:pPr>
            <w:r>
              <w:t xml:space="preserve">UU 23/2014, hlm. 333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Kab/kota menyusun sistem tanggap darurat pengelolaan sampah dan memantau TPA</w:t>
            </w:r>
          </w:p>
        </w:tc>
        <w:tc>
          <w:tcPr>
            <w:tcW w:w="1035" w:type="dxa"/>
          </w:tcPr>
          <w:p>
            <w:pPr>
              <w:pStyle w:val="IsiTabel"/>
              <w:suppressAutoHyphens/>
              <w:jc w:val="left"/>
            </w:pPr>
            <w:r>
              <w:t xml:space="preserve">UU 18/2008, hlm. 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Pemadaman oleh damkar kab/kota</w:t>
            </w:r>
          </w:p>
        </w:tc>
        <w:tc>
          <w:tcPr>
            <w:tcW w:w="1035" w:type="dxa"/>
          </w:tcPr>
          <w:p>
            <w:pPr>
              <w:pStyle w:val="IsiTabel"/>
              <w:suppressAutoHyphens/>
              <w:jc w:val="left"/>
            </w:pPr>
            <w:r>
              <w:t xml:space="preserve">UU 23/2014, hlm. 333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Penanganan sampah di TPA/TPST regional (provinsi) dan pengelolaan sampah (kab/kota)</w:t>
            </w:r>
          </w:p>
        </w:tc>
        <w:tc>
          <w:tcPr>
            <w:tcW w:w="1035" w:type="dxa"/>
          </w:tcPr>
          <w:p>
            <w:pPr>
              <w:pStyle w:val="IsiTabel"/>
              <w:suppressAutoHyphens/>
              <w:jc w:val="left"/>
            </w:pPr>
            <w:r>
              <w:t xml:space="preserve">UU 23/2014, hlm. 361</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Bupati/wali kota dan gubernur menetapkan status keadaan konflik</w:t>
            </w:r>
          </w:p>
        </w:tc>
        <w:tc>
          <w:tcPr>
            <w:tcW w:w="1035" w:type="dxa"/>
          </w:tcPr>
          <w:p>
            <w:pPr>
              <w:pStyle w:val="IsiTabel"/>
              <w:suppressAutoHyphens/>
              <w:jc w:val="left"/>
            </w:pPr>
            <w:r>
              <w:t xml:space="preserve">UU 7/2012, hlm. 10-11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Pemulihan pascakonflik (bersama Pemerintah)</w:t>
            </w:r>
          </w:p>
        </w:tc>
        <w:tc>
          <w:tcPr>
            <w:tcW w:w="1035" w:type="dxa"/>
          </w:tcPr>
          <w:p>
            <w:pPr>
              <w:pStyle w:val="IsiTabel"/>
              <w:suppressAutoHyphens/>
              <w:jc w:val="left"/>
            </w:pPr>
            <w:r>
              <w:t xml:space="preserve">UU 7/2012, hlm. 16</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Presiden Republik Indonesia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Menetapkan status keadaan darurat bencana tingkat nasional</w:t>
            </w:r>
          </w:p>
        </w:tc>
        <w:tc>
          <w:tcPr>
            <w:tcW w:w="1035" w:type="dxa"/>
          </w:tcPr>
          <w:p>
            <w:pPr>
              <w:pStyle w:val="IsiTabel"/>
              <w:suppressAutoHyphens/>
              <w:jc w:val="left"/>
            </w:pPr>
            <w:r>
              <w:t xml:space="preserve">Perpres 17/2018,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Presiden menetapkan status keadaan konflik skala nasional</w:t>
            </w:r>
          </w:p>
        </w:tc>
        <w:tc>
          <w:tcPr>
            <w:tcW w:w="1035" w:type="dxa"/>
          </w:tcPr>
          <w:p>
            <w:pPr>
              <w:pStyle w:val="IsiTabel"/>
              <w:suppressAutoHyphens/>
              <w:jc w:val="left"/>
            </w:pPr>
            <w:r>
              <w:t xml:space="preserve">UU 7/2012, hlm. 11</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Koordinator Bidang Pembangunan Manusia dan Kebudayaan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Sinkronisasi dan koordinasi kebijakan K/L di bidang penanggulangan bencana dan konflik sosial</w:t>
            </w:r>
          </w:p>
        </w:tc>
        <w:tc>
          <w:tcPr>
            <w:tcW w:w="1035" w:type="dxa"/>
          </w:tcPr>
          <w:p>
            <w:pPr>
              <w:pStyle w:val="IsiTabel"/>
              <w:suppressAutoHyphens/>
              <w:jc w:val="left"/>
            </w:pPr>
            <w:r>
              <w:t xml:space="preserve">Perpres 144/2024, hlm. 13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Memimpin rapat koordinasi antar-K/L sebagai syarat BNPB bertindak dalam keadaan tertentu</w:t>
            </w:r>
          </w:p>
        </w:tc>
        <w:tc>
          <w:tcPr>
            <w:tcW w:w="1035" w:type="dxa"/>
          </w:tcPr>
          <w:p>
            <w:pPr>
              <w:pStyle w:val="IsiTabel"/>
              <w:suppressAutoHyphens/>
              <w:jc w:val="left"/>
            </w:pPr>
            <w:r>
              <w:t xml:space="preserve">Perpres 46/2026, hlm. 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Dilibatkan dalam penetapan prioritas penyaluran Dana Bersama PB</w:t>
            </w:r>
          </w:p>
        </w:tc>
        <w:tc>
          <w:tcPr>
            <w:tcW w:w="1035" w:type="dxa"/>
          </w:tcPr>
          <w:p>
            <w:pPr>
              <w:pStyle w:val="IsiTabel"/>
              <w:suppressAutoHyphens/>
              <w:jc w:val="left"/>
            </w:pPr>
            <w:r>
              <w:t xml:space="preserve">Perban BNPB 1/2026, hlm. 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Deputi Koordinasi Penanggulangan Bencana dan Konflik Sosial</w:t>
            </w:r>
          </w:p>
        </w:tc>
        <w:tc>
          <w:tcPr>
            <w:tcW w:w="1035" w:type="dxa"/>
          </w:tcPr>
          <w:p>
            <w:pPr>
              <w:pStyle w:val="IsiTabel"/>
              <w:suppressAutoHyphens/>
              <w:jc w:val="left"/>
            </w:pPr>
            <w:r>
              <w:t xml:space="preserve">Perpres 144/2024, hlm. 13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koordinasi urusan kesejahteraan rakyat</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Badan Nasional Pencarian dan Pertolongan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Pencarian dan Pertolongan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mendampingi pemeriksaan bantuan SAR asing (huruf s)</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Operasi pencarian dan pertolongan masyarakat terdampak karhutla</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Sosial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Pengungsian dan Perlindungan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pemulihan sosial, kemitraan, logistik bencana (huruf e)</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Menjamin kesejahteraan sosial masyarakat terdampak</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sosial</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Kesehatan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Kesehatan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Kesehatan bencana dari perencanaan prabencana sampai pascabencana (bersama pemda)</w:t>
            </w:r>
          </w:p>
        </w:tc>
        <w:tc>
          <w:tcPr>
            <w:tcW w:w="1035" w:type="dxa"/>
          </w:tcPr>
          <w:p>
            <w:pPr>
              <w:pStyle w:val="IsiTabel"/>
              <w:suppressAutoHyphens/>
              <w:jc w:val="left"/>
            </w:pPr>
            <w:r>
              <w:t xml:space="preserve">UU 17/2023, hlm. 52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kualifikasi personil medis, farmasi, alat kesehatan (huruf c)</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Menjamin layanan kesehatan masyarakat terdampak</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Menetapkan/mencabut daerah terjangkit wabah</w:t>
            </w:r>
          </w:p>
        </w:tc>
        <w:tc>
          <w:tcPr>
            <w:tcW w:w="1035" w:type="dxa"/>
          </w:tcPr>
          <w:p>
            <w:pPr>
              <w:pStyle w:val="IsiTabel"/>
              <w:suppressAutoHyphens/>
              <w:jc w:val="left"/>
            </w:pPr>
            <w:r>
              <w:t xml:space="preserve">UU 17/2023, hlm. 162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Penanggulangan penyakit (Ditjen Penanggulangan Penyakit)</w:t>
            </w:r>
          </w:p>
        </w:tc>
        <w:tc>
          <w:tcPr>
            <w:tcW w:w="1035" w:type="dxa"/>
          </w:tcPr>
          <w:p>
            <w:pPr>
              <w:pStyle w:val="IsiTabel"/>
              <w:suppressAutoHyphens/>
              <w:jc w:val="left"/>
            </w:pPr>
            <w:r>
              <w:t xml:space="preserve">Perpres 161/2024, hlm. 6</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kesehatan</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Pendidikan Dasar dan Menengah</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Pendidikan (pewaris nomenklatur)</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Penanggung jawab bersama Renas 2.1.2.a Penguatan Fasilitas Pendidikan Aman Bencana</w:t>
            </w:r>
          </w:p>
        </w:tc>
        <w:tc>
          <w:tcPr>
            <w:tcW w:w="1035" w:type="dxa"/>
          </w:tcPr>
          <w:p>
            <w:pPr>
              <w:pStyle w:val="IsiTabel"/>
              <w:suppressAutoHyphens/>
              <w:jc w:val="left"/>
            </w:pPr>
            <w:r>
              <w:t xml:space="preserve">Perban BNPB 1/2025, hlm. 72</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Dalam Negeri</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Pemulihan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Pembinaan sub-urusan bencana dan kebakaran daerah (Ditjen Bina Administrasi Kewilayahan)</w:t>
            </w:r>
          </w:p>
        </w:tc>
        <w:tc>
          <w:tcPr>
            <w:tcW w:w="1035" w:type="dxa"/>
          </w:tcPr>
          <w:p>
            <w:pPr>
              <w:pStyle w:val="IsiTabel"/>
              <w:suppressAutoHyphens/>
              <w:jc w:val="left"/>
            </w:pPr>
            <w:r>
              <w:t xml:space="preserve">Perpres 149/2024, hlm. 7</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di Pos Pendukung PDB melalui pemda/BPBD (huruf k)</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Bersama Menteri LHK membina dan mengawasi kebijakan gubernur/bupati soal karhutla</w:t>
            </w:r>
          </w:p>
        </w:tc>
        <w:tc>
          <w:tcPr>
            <w:tcW w:w="1035" w:type="dxa"/>
          </w:tcPr>
          <w:p>
            <w:pPr>
              <w:pStyle w:val="IsiTabel"/>
              <w:suppressAutoHyphens/>
              <w:jc w:val="left"/>
            </w:pPr>
            <w:r>
              <w:t xml:space="preserve">Inpres 3/2020,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Standardisasi sarana-prasarana dan kompetensi pemadam kebakaran (urusan pusat)</w:t>
            </w:r>
          </w:p>
        </w:tc>
        <w:tc>
          <w:tcPr>
            <w:tcW w:w="1035" w:type="dxa"/>
          </w:tcPr>
          <w:p>
            <w:pPr>
              <w:pStyle w:val="IsiTabel"/>
              <w:suppressAutoHyphens/>
              <w:jc w:val="left"/>
            </w:pPr>
            <w:r>
              <w:t xml:space="preserve">UU 23/2014, hlm. 333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dalam negeri</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Tentara Nasional Indonesia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Operasi militer selain perang: membantu mengatasi akibat bencana alam, pengungsian, bantuan kemanusiaan</w:t>
            </w:r>
          </w:p>
        </w:tc>
        <w:tc>
          <w:tcPr>
            <w:tcW w:w="1035" w:type="dxa"/>
          </w:tcPr>
          <w:p>
            <w:pPr>
              <w:pStyle w:val="IsiTabel"/>
              <w:suppressAutoHyphens/>
              <w:jc w:val="left"/>
            </w:pPr>
            <w:r>
              <w:t xml:space="preserve">UU 3/2025,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perizinan dan pengamanan bantuan militer asing (huruf a)</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Mengerahkan kekuatan TNI membantu Kepala BNPB untuk pemadaman</w:t>
            </w:r>
          </w:p>
        </w:tc>
        <w:tc>
          <w:tcPr>
            <w:tcW w:w="1035" w:type="dxa"/>
          </w:tcPr>
          <w:p>
            <w:pPr>
              <w:pStyle w:val="IsiTabel"/>
              <w:suppressAutoHyphens/>
              <w:jc w:val="left"/>
            </w:pPr>
            <w:r>
              <w:t xml:space="preserve">Inpres 3/2020, hlm. 7</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penggunaan kekuatan TNI atas permintaan kepala daerah</w:t>
            </w:r>
          </w:p>
        </w:tc>
        <w:tc>
          <w:tcPr>
            <w:tcW w:w="1035" w:type="dxa"/>
          </w:tcPr>
          <w:p>
            <w:pPr>
              <w:pStyle w:val="IsiTabel"/>
              <w:suppressAutoHyphens/>
              <w:jc w:val="left"/>
            </w:pPr>
            <w:r>
              <w:t xml:space="preserve">UU 7/2012, hlm. 15</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Kepolisian Negara Republik Indonesia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Melindungi masyarakat dan lingkungan dari gangguan ketertiban dan/atau bencana</w:t>
            </w:r>
          </w:p>
        </w:tc>
        <w:tc>
          <w:tcPr>
            <w:tcW w:w="1035" w:type="dxa"/>
          </w:tcPr>
          <w:p>
            <w:pPr>
              <w:pStyle w:val="IsiTabel"/>
              <w:suppressAutoHyphens/>
              <w:jc w:val="left"/>
            </w:pPr>
            <w:r>
              <w:t xml:space="preserve">UU 5/2026,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perizinan bantuan kepolisian asing, keamanan personil asing (huruf b)</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Mengerahkan kekuatan Polri membantu Kepala BNPB; penegakan hukum pidana</w:t>
            </w:r>
          </w:p>
        </w:tc>
        <w:tc>
          <w:tcPr>
            <w:tcW w:w="1035" w:type="dxa"/>
          </w:tcPr>
          <w:p>
            <w:pPr>
              <w:pStyle w:val="IsiTabel"/>
              <w:suppressAutoHyphens/>
              <w:jc w:val="left"/>
            </w:pPr>
            <w:r>
              <w:t xml:space="preserve">Inpres 3/2020, hlm. 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Mengoordinasikan pelaksanaan bantuan kekuatan TNI</w:t>
            </w:r>
          </w:p>
        </w:tc>
        <w:tc>
          <w:tcPr>
            <w:tcW w:w="1035" w:type="dxa"/>
          </w:tcPr>
          <w:p>
            <w:pPr>
              <w:pStyle w:val="IsiTabel"/>
              <w:suppressAutoHyphens/>
              <w:jc w:val="left"/>
            </w:pPr>
            <w:r>
              <w:t xml:space="preserve">UU 7/2012, hlm. 16</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Perumahan dan Kawasan Permukiman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Penyediaan dan rehabilitasi rumah korban bencana nasional (urusan perumahan)</w:t>
            </w:r>
          </w:p>
        </w:tc>
        <w:tc>
          <w:tcPr>
            <w:tcW w:w="1035" w:type="dxa"/>
          </w:tcPr>
          <w:p>
            <w:pPr>
              <w:pStyle w:val="IsiTabel"/>
              <w:suppressAutoHyphens/>
              <w:jc w:val="left"/>
            </w:pPr>
            <w:r>
              <w:t xml:space="preserve">UU 23/2014, hlm. 329</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Keuangan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Kepabeanan dan perpajakan barang bantuan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Sinkronisasi perencanaan dan penganggaran (bersama Bappenas)</w:t>
            </w:r>
          </w:p>
        </w:tc>
        <w:tc>
          <w:tcPr>
            <w:tcW w:w="1035" w:type="dxa"/>
          </w:tcPr>
          <w:p>
            <w:pPr>
              <w:pStyle w:val="IsiTabel"/>
              <w:suppressAutoHyphens/>
              <w:jc w:val="left"/>
            </w:pPr>
            <w:r>
              <w:t xml:space="preserve">Inpres 3/2020, hlm. 13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keuangan negara</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Luar Negeri</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Perizinan diplomatik personel asing bantuan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Perhubungan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Perizinan sarana transportasi dan fasilitas bandara/pelabuhan bantuan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Layanan angkutan udara, bandara sebagai base ops, ruang udara untuk OMC dan pemadaman</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Komunikasi dan Digital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Perizinan alat komunikasi yang dibawa lembaga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Monitor media massa dan perimbangan informasi (alamat Inpres: Menkominfo)</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Pekerjaan Umum</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bidang pekerjaan umum dan perumahan</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Pengelolaan SDA dan bangunan pengaman pantai di WS lintas provinsi/negara/strategis nasional</w:t>
            </w:r>
          </w:p>
        </w:tc>
        <w:tc>
          <w:tcPr>
            <w:tcW w:w="1035" w:type="dxa"/>
          </w:tcPr>
          <w:p>
            <w:pPr>
              <w:pStyle w:val="IsiTabel"/>
              <w:suppressAutoHyphens/>
              <w:jc w:val="left"/>
            </w:pPr>
            <w:r>
              <w:t xml:space="preserve">UU 23/2014, hlm. 322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Menetapkan kawasan daya rusak air (banjir, erosi, longsor, lahar dingin, ambles)</w:t>
            </w:r>
          </w:p>
        </w:tc>
        <w:tc>
          <w:tcPr>
            <w:tcW w:w="1035" w:type="dxa"/>
          </w:tcPr>
          <w:p>
            <w:pPr>
              <w:pStyle w:val="IsiTabel"/>
              <w:suppressAutoHyphens/>
              <w:jc w:val="left"/>
            </w:pPr>
            <w:r>
              <w:t xml:space="preserve">PP 30/2024, hlm. 66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tanah longsor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Kawasan daya rusak air memuat tanah longsor</w:t>
            </w:r>
          </w:p>
        </w:tc>
        <w:tc>
          <w:tcPr>
            <w:tcW w:w="1035" w:type="dxa"/>
          </w:tcPr>
          <w:p>
            <w:pPr>
              <w:pStyle w:val="IsiTabel"/>
              <w:suppressAutoHyphens/>
              <w:jc w:val="left"/>
            </w:pPr>
            <w:r>
              <w:t xml:space="preserve">PP 30/2024, hlm. 66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gelombang ekstrem dan abrasi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Bangunan pengaman pantai di WS kewenangan pusat</w:t>
            </w:r>
          </w:p>
        </w:tc>
        <w:tc>
          <w:tcPr>
            <w:tcW w:w="1035" w:type="dxa"/>
          </w:tcPr>
          <w:p>
            <w:pPr>
              <w:pStyle w:val="IsiTabel"/>
              <w:suppressAutoHyphens/>
              <w:jc w:val="left"/>
            </w:pPr>
            <w:r>
              <w:t xml:space="preserve">UU 23/2014, hlm. 322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Menjamin penyediaan air baku di WS lintas negara/provinsi/strategis nasional</w:t>
            </w:r>
          </w:p>
        </w:tc>
        <w:tc>
          <w:tcPr>
            <w:tcW w:w="1035" w:type="dxa"/>
          </w:tcPr>
          <w:p>
            <w:pPr>
              <w:pStyle w:val="IsiTabel"/>
              <w:suppressAutoHyphens/>
              <w:jc w:val="left"/>
            </w:pPr>
            <w:r>
              <w:t xml:space="preserve">UU 17/2019, hlm. 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SPAM bersifat khusus oleh pusat, termasuk penanganan bencana dan kekeringan</w:t>
            </w:r>
          </w:p>
        </w:tc>
        <w:tc>
          <w:tcPr>
            <w:tcW w:w="1035" w:type="dxa"/>
          </w:tcPr>
          <w:p>
            <w:pPr>
              <w:pStyle w:val="IsiTabel"/>
              <w:suppressAutoHyphens/>
              <w:jc w:val="left"/>
            </w:pPr>
            <w:r>
              <w:t xml:space="preserve">PP 122/2015, hlm. 43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Penetapan sistem peringatan dini pada setiap WS (pengaturan pencegahan daya rusak air), WS kewenangan pusat</w:t>
            </w:r>
          </w:p>
        </w:tc>
        <w:tc>
          <w:tcPr>
            <w:tcW w:w="1035" w:type="dxa"/>
          </w:tcPr>
          <w:p>
            <w:pPr>
              <w:pStyle w:val="IsiTabel"/>
              <w:suppressAutoHyphens/>
              <w:jc w:val="left"/>
            </w:pPr>
            <w:r>
              <w:t xml:space="preserve">PP 30/2024, hlm. 65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Sekat kanal pembasahan, konstruksi fisik, pemompaan (alamat Inpres: Menteri PUPR)</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Infrastruktur persampahan (Ditjen Cipta Karya)</w:t>
            </w:r>
          </w:p>
        </w:tc>
        <w:tc>
          <w:tcPr>
            <w:tcW w:w="1035" w:type="dxa"/>
          </w:tcPr>
          <w:p>
            <w:pPr>
              <w:pStyle w:val="IsiTabel"/>
              <w:suppressAutoHyphens/>
              <w:jc w:val="left"/>
            </w:pPr>
            <w:r>
              <w:t xml:space="preserve">Perpres 170/2024, hlm. 7</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Energi dan Sumber Daya Mineral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bidang energi dan sumber daya mineral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gempa bumi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Penetapan kawasan rawan bencana geologi; mitigasi bencana geologi (Badan Geologi)</w:t>
            </w:r>
          </w:p>
        </w:tc>
        <w:tc>
          <w:tcPr>
            <w:tcW w:w="1035" w:type="dxa"/>
          </w:tcPr>
          <w:p>
            <w:pPr>
              <w:pStyle w:val="IsiTabel"/>
              <w:suppressAutoHyphens/>
              <w:jc w:val="left"/>
            </w:pPr>
            <w:r>
              <w:t xml:space="preserve">UU 23/2014, hlm. 436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tsunami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Penetapan kawasan rawan bencana geologi</w:t>
            </w:r>
          </w:p>
        </w:tc>
        <w:tc>
          <w:tcPr>
            <w:tcW w:w="1035" w:type="dxa"/>
          </w:tcPr>
          <w:p>
            <w:pPr>
              <w:pStyle w:val="IsiTabel"/>
              <w:suppressAutoHyphens/>
              <w:jc w:val="left"/>
            </w:pPr>
            <w:r>
              <w:t xml:space="preserve">UU 23/2014, hlm. 436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gunung api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Penetapan status dan peringatan dini bahaya gunung api (Badan Geologi)</w:t>
            </w:r>
          </w:p>
        </w:tc>
        <w:tc>
          <w:tcPr>
            <w:tcW w:w="1035" w:type="dxa"/>
          </w:tcPr>
          <w:p>
            <w:pPr>
              <w:pStyle w:val="IsiTabel"/>
              <w:suppressAutoHyphens/>
              <w:jc w:val="left"/>
            </w:pPr>
            <w:r>
              <w:t xml:space="preserve">UU 23/2014, hlm. 435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tanah longsor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potensi gerakan tanah</w:t>
            </w:r>
          </w:p>
        </w:tc>
        <w:tc>
          <w:tcPr>
            <w:tcW w:w="1035" w:type="dxa"/>
          </w:tcPr>
          <w:p>
            <w:pPr>
              <w:pStyle w:val="IsiTabel"/>
              <w:suppressAutoHyphens/>
              <w:jc w:val="left"/>
            </w:pPr>
            <w:r>
              <w:t xml:space="preserve">UU 23/2014, hlm. 435-436</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Badan Informasi Geospasial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Informasi geospasial dasar dan tematik</w:t>
            </w:r>
          </w:p>
        </w:tc>
        <w:tc>
          <w:tcPr>
            <w:tcW w:w="1035" w:type="dxa"/>
          </w:tcPr>
          <w:p>
            <w:pPr>
              <w:pStyle w:val="IsiTabel"/>
              <w:suppressAutoHyphens/>
              <w:jc w:val="left"/>
            </w:pPr>
            <w:r>
              <w:t xml:space="preserve">Perpres 128/2022,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Bantuan internasional: data geospasial pendukung penanganan darurat (huruf w)</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Peta dasar dan tematik untuk pemadaman dan analisis tutupan lahan</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Riset dan Inovasi Nasional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Riset dan inovasi nasional (termasuk eks LAPAN dan BPPT)</w:t>
            </w:r>
          </w:p>
        </w:tc>
        <w:tc>
          <w:tcPr>
            <w:tcW w:w="1035" w:type="dxa"/>
          </w:tcPr>
          <w:p>
            <w:pPr>
              <w:pStyle w:val="IsiTabel"/>
              <w:suppressAutoHyphens/>
              <w:jc w:val="left"/>
            </w:pPr>
            <w:r>
              <w:t xml:space="preserve">Perpres 78/2021, hlm. 4</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bidang penerbangan-antariksa dan teknologi tepat guna (huruf u, v; alamat Perban: LAPAN, BPPT)</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Data citra satelit (alamat Inpres: LAPAN, kini BRIN)</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Agraria dan Tata Ruang/Badan Pertanahan Nasional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Perencanaan tata ruang dan pemanfaatan ruang (Ditjen Tata Ruang)</w:t>
            </w:r>
          </w:p>
        </w:tc>
        <w:tc>
          <w:tcPr>
            <w:tcW w:w="1035" w:type="dxa"/>
          </w:tcPr>
          <w:p>
            <w:pPr>
              <w:pStyle w:val="IsiTabel"/>
              <w:suppressAutoHyphens/>
              <w:jc w:val="left"/>
            </w:pPr>
            <w:r>
              <w:t xml:space="preserve">Perpres 176/2024,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Identifikasi tanah terlantar berizin dan sanksi</w:t>
            </w:r>
          </w:p>
        </w:tc>
        <w:tc>
          <w:tcPr>
            <w:tcW w:w="1035" w:type="dxa"/>
          </w:tcPr>
          <w:p>
            <w:pPr>
              <w:pStyle w:val="IsiTabel"/>
              <w:suppressAutoHyphens/>
              <w:jc w:val="left"/>
            </w:pPr>
            <w:r>
              <w:t xml:space="preserve">Inpres 3/2020, hlm. 6</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Pertanian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karantina tanaman dan/atau hewan (huruf d)</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Lahan dan irigasi pertanian</w:t>
            </w:r>
          </w:p>
        </w:tc>
        <w:tc>
          <w:tcPr>
            <w:tcW w:w="1035" w:type="dxa"/>
          </w:tcPr>
          <w:p>
            <w:pPr>
              <w:pStyle w:val="IsiTabel"/>
              <w:suppressAutoHyphens/>
              <w:jc w:val="left"/>
            </w:pPr>
            <w:r>
              <w:t xml:space="preserve">Perpres 192/2024,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Pengawasan usaha pertanian; pembukaan lahan tanpa bakar</w:t>
            </w:r>
          </w:p>
        </w:tc>
        <w:tc>
          <w:tcPr>
            <w:tcW w:w="1035" w:type="dxa"/>
          </w:tcPr>
          <w:p>
            <w:pPr>
              <w:pStyle w:val="IsiTabel"/>
              <w:suppressAutoHyphens/>
              <w:jc w:val="left"/>
            </w:pPr>
            <w:r>
              <w:t xml:space="preserve">Inpres 3/2020, hlm. 5</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Meteorologi, Klimatologi, dan Geofisika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bidang meteorologi, klimatologi, geofisika (huruf p)</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gempa bumi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Informasi gempa bumi tektonik</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tsunami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tsunami</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cuaca ekstrem</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cuaca ekstrem</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gelombang ekstrem dan abrasi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gelombang laut berbahaya</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iklim ekstrem dan prakiraan musim</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Data asap, titik panas, prakiraan cuaca dan musim; prakiraan potensi karhutla</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Operasi modifikasi cuaca (fungsi BMKG sejak Perpres 12/2024; Inpres menugaskan BPPT)</w:t>
            </w:r>
          </w:p>
        </w:tc>
        <w:tc>
          <w:tcPr>
            <w:tcW w:w="1035" w:type="dxa"/>
          </w:tcPr>
          <w:p>
            <w:pPr>
              <w:pStyle w:val="IsiTabel"/>
              <w:suppressAutoHyphens/>
              <w:jc w:val="left"/>
            </w:pPr>
            <w:r>
              <w:t xml:space="preserve">Perpres 12/2024, hlm. 2</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Perum Jasa Tirta I</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Pengendalian banjir di wilayah kerja (WS Brantas, Bengawan Solo)</w:t>
            </w:r>
          </w:p>
        </w:tc>
        <w:tc>
          <w:tcPr>
            <w:tcW w:w="1035" w:type="dxa"/>
          </w:tcPr>
          <w:p>
            <w:pPr>
              <w:pStyle w:val="IsiTabel"/>
              <w:suppressAutoHyphens/>
              <w:jc w:val="left"/>
            </w:pPr>
            <w:r>
              <w:t xml:space="preserve">PP 46/2010, hlm. 7</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Perum Jasa Tirta II</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Pengendalian banjir di wilayah kerja (WS Citarum)</w:t>
            </w:r>
          </w:p>
        </w:tc>
        <w:tc>
          <w:tcPr>
            <w:tcW w:w="1035" w:type="dxa"/>
          </w:tcPr>
          <w:p>
            <w:pPr>
              <w:pStyle w:val="IsiTabel"/>
              <w:suppressAutoHyphens/>
              <w:jc w:val="left"/>
            </w:pPr>
            <w:r>
              <w:t xml:space="preserve">PP 25/2022, hlm. 12</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Otorita Pengelola Pantai Utara Jawa</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Pengelolaan Pantura Jawa termasuk tanggul laut (banjir laut/rob)</w:t>
            </w:r>
          </w:p>
        </w:tc>
        <w:tc>
          <w:tcPr>
            <w:tcW w:w="1035" w:type="dxa"/>
          </w:tcPr>
          <w:p>
            <w:pPr>
              <w:pStyle w:val="IsiTabel"/>
              <w:suppressAutoHyphens/>
              <w:jc w:val="left"/>
            </w:pPr>
            <w:r>
              <w:t xml:space="preserve">Perpres 77/2025, hlm. 1</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Kelautan dan Perikanan</w:t>
            </w:r>
          </w:p>
        </w:tc>
      </w:tr>
      <w:tr>
        <w:trPr>
          <w:cantSplit/>
        </w:trPr>
        <w:tc>
          <w:tcPr>
            <w:tcW w:w="1439" w:type="dxa"/>
          </w:tcPr>
          <w:p>
            <w:pPr>
              <w:pStyle w:val="IsiTabel"/>
              <w:suppressAutoHyphens/>
              <w:jc w:val="left"/>
            </w:pPr>
            <w:r>
              <w:t xml:space="preserve">gelombang ekstrem dan abrasi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Adaptasi dan mitigasi bencana laut di pesisir dan pulau kecil</w:t>
            </w:r>
          </w:p>
        </w:tc>
        <w:tc>
          <w:tcPr>
            <w:tcW w:w="1035" w:type="dxa"/>
          </w:tcPr>
          <w:p>
            <w:pPr>
              <w:pStyle w:val="IsiTabel"/>
              <w:suppressAutoHyphens/>
              <w:jc w:val="left"/>
            </w:pPr>
            <w:r>
              <w:t xml:space="preserve">Perpres 193/2024, hlm. 7</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Koordinator Bidang Pangan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Sinkronisasi penyediaan air di lahan pertanian padi</w:t>
            </w:r>
          </w:p>
        </w:tc>
        <w:tc>
          <w:tcPr>
            <w:tcW w:w="1035" w:type="dxa"/>
          </w:tcPr>
          <w:p>
            <w:pPr>
              <w:pStyle w:val="IsiTabel"/>
              <w:suppressAutoHyphens/>
              <w:jc w:val="left"/>
            </w:pPr>
            <w:r>
              <w:t xml:space="preserve">Inpres 2/2025, hlm. 3</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Koordinator Bidang Politik dan Keamanan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Mengoordinasikan kebijakan penanggulangan karhutla (alamat Inpres: Menko Polhukam)</w:t>
            </w:r>
          </w:p>
        </w:tc>
        <w:tc>
          <w:tcPr>
            <w:tcW w:w="1035" w:type="dxa"/>
          </w:tcPr>
          <w:p>
            <w:pPr>
              <w:pStyle w:val="IsiTabel"/>
              <w:suppressAutoHyphens/>
              <w:jc w:val="left"/>
            </w:pPr>
            <w:r>
              <w:t xml:space="preserve">Inpres 3/2020, hlm. 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Unsur Satgas nasional: kementerian koordinasi politik, hukum, keamanan</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Kehutanan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Pengendalian kebakaran hutan (Ditjen Penegakan Hukum Kehutanan)</w:t>
            </w:r>
          </w:p>
        </w:tc>
        <w:tc>
          <w:tcPr>
            <w:tcW w:w="1035" w:type="dxa"/>
          </w:tcPr>
          <w:p>
            <w:pPr>
              <w:pStyle w:val="IsiTabel"/>
              <w:suppressAutoHyphens/>
              <w:jc w:val="left"/>
            </w:pPr>
            <w:r>
              <w:t xml:space="preserve">Perpres 175/2024, hlm. 13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kebakaran hutan (Perban 6/2018 Pasal 17 ayat (2) huruf f; alamat: KLHK)</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Lingkungan Hidup/Badan Pengendalian Lingkungan Hidup</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Pengendalian kebakaran lahan (BPLH, Deputi Penegakan Hukum LH)</w:t>
            </w:r>
          </w:p>
        </w:tc>
        <w:tc>
          <w:tcPr>
            <w:tcW w:w="1035" w:type="dxa"/>
          </w:tcPr>
          <w:p>
            <w:pPr>
              <w:pStyle w:val="IsiTabel"/>
              <w:suppressAutoHyphens/>
              <w:jc w:val="left"/>
            </w:pPr>
            <w:r>
              <w:t xml:space="preserve">Perpres 183/2024, hlm. 15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kebakaran lahan (Perban 6/2018 Pasal 17 ayat (2) huruf f; alamat: KLHK)</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Pengelolaan B3 dan limbah B3; bantuan bencana dampak B3</w:t>
            </w:r>
          </w:p>
        </w:tc>
        <w:tc>
          <w:tcPr>
            <w:tcW w:w="1035" w:type="dxa"/>
          </w:tcPr>
          <w:p>
            <w:pPr>
              <w:pStyle w:val="IsiTabel"/>
              <w:suppressAutoHyphens/>
              <w:jc w:val="left"/>
            </w:pPr>
            <w:r>
              <w:t xml:space="preserve">Perpres 183/2024, hlm. 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NSPK pengelolaan sampah (Pemerintah); pengelolaan sampah di KLH</w:t>
            </w:r>
          </w:p>
        </w:tc>
        <w:tc>
          <w:tcPr>
            <w:tcW w:w="1035" w:type="dxa"/>
          </w:tcPr>
          <w:p>
            <w:pPr>
              <w:pStyle w:val="IsiTabel"/>
              <w:suppressAutoHyphens/>
              <w:jc w:val="left"/>
            </w:pPr>
            <w:r>
              <w:t xml:space="preserve">UU 18/2008, hlm. 6</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bookmarkStart w:id="937" w:name="_Ekor112a"/>
            <w:bookmarkEnd w:id="937"/>
            <w:r>
              <w:rPr>
                <w:b/>
                <w:bCs/>
              </w:rPr>
              <w:t xml:space="preserve">Kementerian Desa dan Pembangunan Daerah Tertinggal</w:t>
            </w:r>
          </w:p>
        </w:tc>
      </w:tr>
      <w:tr>
        <w:trPr>
          <w:cantSplit/>
        </w:trPr>
        <w:tc>
          <w:tcPr>
            <w:tcW w:w="1439" w:type="dxa"/>
          </w:tcPr>
          <w:p>
            <w:pPr>
              <w:pStyle w:val="IsiTabel"/>
              <w:keepNext/>
              <w:suppressAutoHyphens/>
              <w:jc w:val="left"/>
            </w:pPr>
            <w:r>
              <w:t xml:space="preserve">karhutla</w:t>
            </w:r>
          </w:p>
        </w:tc>
        <w:tc>
          <w:tcPr>
            <w:tcW w:w="1475" w:type="dxa"/>
          </w:tcPr>
          <w:p>
            <w:pPr>
              <w:pStyle w:val="IsiTabel"/>
              <w:keepNext/>
              <w:suppressAutoHyphens/>
              <w:jc w:val="left"/>
            </w:pPr>
            <w:r>
              <w:t xml:space="preserve">prabencana</w:t>
            </w:r>
          </w:p>
        </w:tc>
        <w:tc>
          <w:tcPr>
            <w:tcW w:w="828" w:type="dxa"/>
          </w:tcPr>
          <w:p>
            <w:pPr>
              <w:pStyle w:val="IsiTabel"/>
              <w:keepNext/>
              <w:suppressAutoHyphens/>
              <w:jc w:val="left"/>
            </w:pPr>
            <w:r>
              <w:t xml:space="preserve">P</w:t>
            </w:r>
          </w:p>
        </w:tc>
        <w:tc>
          <w:tcPr>
            <w:tcW w:w="2775" w:type="dxa"/>
          </w:tcPr>
          <w:p>
            <w:pPr>
              <w:pStyle w:val="IsiTabel"/>
              <w:keepNext/>
              <w:suppressAutoHyphens/>
              <w:jc w:val="left"/>
            </w:pPr>
            <w:r>
              <w:t xml:space="preserve">Prioritas dana desa untuk penanggulangan karhutla</w:t>
            </w:r>
          </w:p>
        </w:tc>
        <w:tc>
          <w:tcPr>
            <w:tcW w:w="1035" w:type="dxa"/>
          </w:tcPr>
          <w:p>
            <w:pPr>
              <w:pStyle w:val="IsiTabel"/>
              <w:keepNext/>
              <w:suppressAutoHyphens/>
              <w:jc w:val="left"/>
            </w:pPr>
            <w:r>
              <w:t xml:space="preserve">Inpres 3/2020, hlm. 6</w:t>
            </w:r>
          </w:p>
        </w:tc>
        <w:tc>
          <w:tcPr>
            <w:tcW w:w="1802" w:type="dxa"/>
          </w:tcPr>
          <w:p>
            <w:pPr>
              <w:pStyle w:val="IsiTabel"/>
              <w:keepNext/>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Agama</w:t>
            </w:r>
          </w:p>
        </w:tc>
      </w:tr>
      <w:tr>
        <w:trPr>
          <w:cantSplit/>
        </w:trPr>
        <w:tc>
          <w:tcPr>
            <w:tcW w:w="1439" w:type="dxa"/>
          </w:tcPr>
          <w:p>
            <w:pPr>
              <w:pStyle w:val="IsiTabel"/>
              <w:suppressAutoHyphens/>
              <w:jc w:val="left"/>
            </w:pPr>
            <w:bookmarkStart w:id="938" w:name="_Ekor112z"/>
            <w:bookmarkEnd w:id="938"/>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Penanggung jawab bersama Renas 2.1.2.a Penguatan Fasilitas Pendidikan Aman Bencana</w:t>
            </w:r>
          </w:p>
        </w:tc>
        <w:tc>
          <w:tcPr>
            <w:tcW w:w="1035" w:type="dxa"/>
          </w:tcPr>
          <w:p>
            <w:pPr>
              <w:pStyle w:val="IsiTabel"/>
              <w:suppressAutoHyphens/>
              <w:jc w:val="left"/>
            </w:pPr>
            <w:r>
              <w:t xml:space="preserve">Perban BNPB 1/2025, hlm. 72</w:t>
            </w:r>
          </w:p>
        </w:tc>
        <w:tc>
          <w:tcPr>
            <w:tcW w:w="1802" w:type="dxa"/>
          </w:tcPr>
          <w:p>
            <w:pPr>
              <w:pStyle w:val="IsiTabel"/>
              <w:suppressAutoHyphens/>
              <w:jc w:val="left"/>
            </w:pPr>
            <w:r>
              <w:t xml:space="preserve">tertulis</w:t>
            </w:r>
          </w:p>
        </w:tc>
      </w:tr>
    </w:tbl>
    <w:p>
      <w:pPr>
        <w:pStyle w:val="Sumber"/>
        <w:spacing w:after="40"/>
      </w:pPr>
      <w:r>
        <w:rPr>
          <w:b/>
          <w:bCs/>
          <w:color w:val="6B7280"/>
          <w:sz w:val="17"/>
          <w:szCs w:val="17"/>
        </w:rPr>
        <w:t xml:space="preserve">Sumber: </w:t>
      </w:r>
      <w:r>
        <w:rPr>
          <w:color w:val="6B7280"/>
          <w:sz w:val="17"/>
          <w:szCs w:val="17"/>
        </w:rPr>
        <w:t xml:space="preserve">Paket lembaga Pantau Bencana (peran.csv) dari teks peraturan di JDIH BNPB dan JDIH BPK</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K koordinator atau penanggung jawab utama; P pelaksana atau pendukung; R penetap status atau izin dan pembuat norma; I penyedia informasi dan peringatan dini. Bukti tertulis berarti norma menyebut lembaga itu; dipetakan penyusun berarti norma menyebut pelaku umum ("Badan", "Menteri", "Pemerintah Pusat") yang dipetakan ke lembaga. Kementerian Perindustrian dan Kementerian Ketenagakerjaan belum dimuat paket lembaga.</w:t>
      </w:r>
    </w:p>
    <w:p>
      <w:pPr>
        <w:pStyle w:val="JudulLampiran"/>
      </w:pPr>
      <w:bookmarkStart w:id="940" w:name="_Toc00294"/>
      <w:bookmarkStart w:id="939" w:name="_Ref0065"/>
      <w:r>
        <w:t xml:space="preserve">Lampiran F</w:t>
      </w:r>
      <w:bookmarkEnd w:id="939"/>
      <w:r>
        <w:t xml:space="preserve">. Metode Simulasi, Asumsi, dan Ketersediaan Kuantifikasi</w:t>
      </w:r>
      <w:bookmarkEnd w:id="940"/>
    </w:p>
    <w:p>
      <w:pPr>
        <w:pStyle w:val="Isi"/>
      </w:pPr>
      <w:r>
        <w:t xml:space="preserve">Metode kajian diuraikan di Bab 3: matriks ketersediaan kuantifikasi per jenis di </w:t>
      </w:r>
      <w:r>
        <w:fldChar w:fldCharType="begin"/>
      </w:r>
      <w:r>
        <w:instrText xml:space="preserve"> REF _Ref0307 \h \* CHARFORMAT </w:instrText>
      </w:r>
      <w:r>
        <w:fldChar w:fldCharType="separate"/>
      </w:r>
      <w:r>
        <w:t xml:space="preserve">Tabel 3.5</w:t>
      </w:r>
      <w:r>
        <w:fldChar w:fldCharType="end"/>
      </w:r>
      <w:r>
        <w:t xml:space="preserve">, skala dampak lima kelas di </w:t>
      </w:r>
      <w:r>
        <w:fldChar w:fldCharType="begin"/>
      </w:r>
      <w:r>
        <w:instrText xml:space="preserve"> REF _Ref0326 \h \* CHARFORMAT </w:instrText>
      </w:r>
      <w:r>
        <w:fldChar w:fldCharType="separate"/>
      </w:r>
      <w:r>
        <w:t xml:space="preserve">Tabel 3.3</w:t>
      </w:r>
      <w:r>
        <w:fldChar w:fldCharType="end"/>
      </w:r>
      <w:r>
        <w:t xml:space="preserve">, dasar kemungkinan lima tahun di </w:t>
      </w:r>
      <w:r>
        <w:fldChar w:fldCharType="begin"/>
      </w:r>
      <w:r>
        <w:instrText xml:space="preserve"> REF _Ref0298 \h \* CHARFORMAT </w:instrText>
      </w:r>
      <w:r>
        <w:fldChar w:fldCharType="separate"/>
      </w:r>
      <w:r>
        <w:t xml:space="preserve">Tabel 3.4</w:t>
      </w:r>
      <w:r>
        <w:fldChar w:fldCharType="end"/>
      </w:r>
      <w:r>
        <w:t xml:space="preserve">, dan tiga besaran kerugian materiil di </w:t>
      </w:r>
      <w:r>
        <w:fldChar w:fldCharType="begin"/>
      </w:r>
      <w:r>
        <w:instrText xml:space="preserve"> REF _Ref0300 \h \* CHARFORMAT </w:instrText>
      </w:r>
      <w:r>
        <w:fldChar w:fldCharType="separate"/>
      </w:r>
      <w:r>
        <w:t xml:space="preserve">Tabel 3.6</w:t>
      </w:r>
      <w:r>
        <w:fldChar w:fldCharType="end"/>
      </w:r>
      <w:r>
        <w:t xml:space="preserve">. Lampiran ini menambahkan asumsi yang dipakai mesin simulasi dan kartu skenario, uji kepekaan model gempa, dan daftar celah data yang tertutup sesudah dokumen primer dibuka. Audit metode platform 21 Oktober 2026 menilai model korban gempa tidak layak untuk gempa nyata, sehingga keluaran model hanya tampil di kartu dan lampiran dengan label </w:t>
      </w:r>
      <w:r>
        <w:t xml:space="preserve">(Pantau Bencana, 2026e)</w:t>
      </w:r>
      <w:r>
        <w:t xml:space="preserve">.</w:t>
      </w:r>
    </w:p>
    <w:p>
      <w:pPr>
        <w:pStyle w:val="Heading2"/>
      </w:pPr>
      <w:bookmarkStart w:id="942" w:name="_Toc00295"/>
      <w:bookmarkStart w:id="941" w:name="_Ref0122"/>
      <w:r>
        <w:t xml:space="preserve">F.1</w:t>
      </w:r>
      <w:bookmarkEnd w:id="941"/>
      <w:r>
        <w:tab/>
      </w:r>
      <w:r>
        <w:t xml:space="preserve">Asumsi Model dan Kartu</w:t>
      </w:r>
      <w:bookmarkEnd w:id="942"/>
    </w:p>
    <w:p>
      <w:pPr>
        <w:pStyle w:val="IsiTemuan"/>
      </w:pPr>
      <w:r>
        <w:rPr>
          <w:b/>
          <w:bCs/>
          <w:color w:val="051C2C"/>
        </w:rPr>
        <w:t xml:space="preserve">Semua asumsi di </w:t>
      </w:r>
      <w:r>
        <w:rPr>
          <w:b/>
          <w:bCs/>
          <w:color w:val="051C2C"/>
        </w:rPr>
        <w:fldChar w:fldCharType="begin"/>
      </w:r>
      <w:r>
        <w:rPr>
          <w:b/>
          <w:bCs/>
          <w:color w:val="051C2C"/>
        </w:rPr>
        <w:instrText xml:space="preserve"> REF _Ref0250 \h \* CHARFORMAT </w:instrText>
      </w:r>
      <w:r>
        <w:rPr>
          <w:b/>
          <w:bCs/>
          <w:color w:val="051C2C"/>
        </w:rPr>
        <w:fldChar w:fldCharType="separate"/>
      </w:r>
      <w:r>
        <w:rPr>
          <w:b/>
          <w:bCs/>
          <w:color w:val="051C2C"/>
        </w:rPr>
        <w:t xml:space="preserve">Tabel F.1</w:t>
      </w:r>
      <w:r>
        <w:rPr>
          <w:b/>
          <w:bCs/>
          <w:color w:val="051C2C"/>
        </w:rPr>
        <w:fldChar w:fldCharType="end"/>
      </w:r>
      <w:r>
        <w:rPr>
          <w:b/>
          <w:bCs/>
          <w:color w:val="051C2C"/>
        </w:rPr>
        <w:t xml:space="preserve"> berlabel Asumsi kebijakan kecuali standar kebutuhan dasar dan pita peluang, yang dikutip dari dokumen resmi atau terverifikasi.</w:t>
      </w:r>
      <w:r>
        <w:t xml:space="preserve"> Ambang skala dampak dikunci penyusun sebelum kelas kartu diisi, dan pita fatalitas </w:t>
      </w:r>
      <w:r>
        <w:rPr>
          <w:i/>
          <w:iCs/>
        </w:rPr>
        <w:t xml:space="preserve">National Risk Register</w:t>
      </w:r>
      <w:r>
        <w:t xml:space="preserve"> Inggris berfungsi sebagai rujukan metode, bukan ambang resmi Indonesia </w:t>
      </w:r>
      <w:r>
        <w:t xml:space="preserve">(Cabinet Office, 2025, hlm. 12–14)</w:t>
      </w:r>
      <w:r>
        <w:t xml:space="preserve">.</w:t>
      </w:r>
    </w:p>
    <w:p>
      <w:pPr>
        <w:pStyle w:val="Caption"/>
      </w:pPr>
      <w:bookmarkStart w:id="944" w:name="_Toc00296"/>
      <w:bookmarkStart w:id="943" w:name="_Ref0250"/>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43"/>
      <w:r>
        <w:rPr>
          <w:b/>
          <w:bCs/>
          <w:color w:val="051C2C"/>
        </w:rPr>
        <w:t xml:space="preserve"> </w:t>
      </w:r>
      <w:r>
        <w:t xml:space="preserve">Asumsi mesin simulasi dan kartu skenario, nilai, pemakaian, dan label keyakinan, kajian mitigasi 2026</w:t>
      </w:r>
      <w:bookmarkEnd w:id="94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309"/>
        <w:gridCol w:w="2141"/>
        <w:gridCol w:w="2209"/>
        <w:gridCol w:w="1695"/>
      </w:tblGrid>
      <w:tr>
        <w:trPr>
          <w:cantSplit/>
          <w:tblHeader/>
        </w:trPr>
        <w:tc>
          <w:tcPr>
            <w:tcW w:w="3309" w:type="dxa"/>
            <w:tcBorders>
              <w:bottom w:val="single" w:sz="8" w:space="0" w:color="6B7280"/>
            </w:tcBorders>
            <w:vAlign w:val="bottom"/>
          </w:tcPr>
          <w:p>
            <w:pPr>
              <w:pStyle w:val="KepalaTabel"/>
              <w:suppressAutoHyphens/>
            </w:pPr>
            <w:r>
              <w:rPr>
                <w:b/>
                <w:bCs/>
                <w:color w:val="6B7280"/>
                <w:sz w:val="17"/>
                <w:szCs w:val="17"/>
              </w:rPr>
              <w:t xml:space="preserve">ASUMSI</w:t>
            </w:r>
          </w:p>
        </w:tc>
        <w:tc>
          <w:tcPr>
            <w:tcW w:w="2141" w:type="dxa"/>
            <w:tcBorders>
              <w:bottom w:val="single" w:sz="8" w:space="0" w:color="6B7280"/>
            </w:tcBorders>
            <w:vAlign w:val="bottom"/>
          </w:tcPr>
          <w:p>
            <w:pPr>
              <w:pStyle w:val="KepalaTabel"/>
              <w:suppressAutoHyphens/>
            </w:pPr>
            <w:r>
              <w:rPr>
                <w:b/>
                <w:bCs/>
                <w:color w:val="6B7280"/>
                <w:sz w:val="17"/>
                <w:szCs w:val="17"/>
              </w:rPr>
              <w:t xml:space="preserve">NILAI</w:t>
            </w:r>
          </w:p>
        </w:tc>
        <w:tc>
          <w:tcPr>
            <w:tcW w:w="2209" w:type="dxa"/>
            <w:tcBorders>
              <w:bottom w:val="single" w:sz="8" w:space="0" w:color="6B7280"/>
            </w:tcBorders>
            <w:vAlign w:val="bottom"/>
          </w:tcPr>
          <w:p>
            <w:pPr>
              <w:pStyle w:val="KepalaTabel"/>
              <w:suppressAutoHyphens/>
            </w:pPr>
            <w:r>
              <w:rPr>
                <w:b/>
                <w:bCs/>
                <w:color w:val="6B7280"/>
                <w:sz w:val="17"/>
                <w:szCs w:val="17"/>
              </w:rPr>
              <w:t xml:space="preserve">DIPAKAI DI</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309" w:type="dxa"/>
          </w:tcPr>
          <w:p>
            <w:pPr>
              <w:pStyle w:val="IsiTabel"/>
              <w:suppressAutoHyphens/>
              <w:jc w:val="left"/>
            </w:pPr>
            <w:r>
              <w:t xml:space="preserve">Jiwa per rumah</w:t>
            </w:r>
          </w:p>
        </w:tc>
        <w:tc>
          <w:tcPr>
            <w:tcW w:w="2141" w:type="dxa"/>
          </w:tcPr>
          <w:p>
            <w:pPr>
              <w:pStyle w:val="IsiTabel"/>
              <w:suppressAutoHyphens/>
              <w:jc w:val="left"/>
            </w:pPr>
            <w:r>
              <w:t xml:space="preserve">3,9 jiwa per rumah</w:t>
            </w:r>
          </w:p>
        </w:tc>
        <w:tc>
          <w:tcPr>
            <w:tcW w:w="2209" w:type="dxa"/>
          </w:tcPr>
          <w:p>
            <w:pPr>
              <w:pStyle w:val="IsiTabel"/>
              <w:suppressAutoHyphens/>
              <w:jc w:val="left"/>
            </w:pPr>
            <w:r>
              <w:t xml:space="preserve">rumah terdampak gempa dari jiwa; lantai kebutuhan respons gempa</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Lama mengungsi untuk pengungsi-hari</w:t>
            </w:r>
          </w:p>
        </w:tc>
        <w:tc>
          <w:tcPr>
            <w:tcW w:w="2141" w:type="dxa"/>
          </w:tcPr>
          <w:p>
            <w:pPr>
              <w:pStyle w:val="IsiTabel"/>
              <w:suppressAutoHyphens/>
              <w:jc w:val="left"/>
            </w:pPr>
            <w:r>
              <w:t xml:space="preserve">tujuh hari, rentang tiga sampai tiga puluh hari</w:t>
            </w:r>
          </w:p>
        </w:tc>
        <w:tc>
          <w:tcPr>
            <w:tcW w:w="2209" w:type="dxa"/>
          </w:tcPr>
          <w:p>
            <w:pPr>
              <w:pStyle w:val="IsiTabel"/>
              <w:suppressAutoHyphens/>
              <w:jc w:val="left"/>
            </w:pPr>
            <w:r>
              <w:t xml:space="preserve">kerugian imateriil hidrometeorologi</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Jendela pengungsi serentak</w:t>
            </w:r>
          </w:p>
        </w:tc>
        <w:tc>
          <w:tcPr>
            <w:tcW w:w="2141" w:type="dxa"/>
          </w:tcPr>
          <w:p>
            <w:pPr>
              <w:pStyle w:val="IsiTabel"/>
              <w:suppressAutoHyphens/>
              <w:jc w:val="left"/>
            </w:pPr>
            <w:r>
              <w:t xml:space="preserve">tiga puluh hari</w:t>
            </w:r>
          </w:p>
        </w:tc>
        <w:tc>
          <w:tcPr>
            <w:tcW w:w="2209" w:type="dxa"/>
          </w:tcPr>
          <w:p>
            <w:pPr>
              <w:pStyle w:val="IsiTabel"/>
              <w:suppressAutoHyphens/>
              <w:jc w:val="left"/>
            </w:pPr>
            <w:r>
              <w:t xml:space="preserve">lantai kebutuhan respons per wilayah direktorat</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Ambang penyisihan kejadian</w:t>
            </w:r>
          </w:p>
        </w:tc>
        <w:tc>
          <w:tcPr>
            <w:tcW w:w="2141" w:type="dxa"/>
          </w:tcPr>
          <w:p>
            <w:pPr>
              <w:pStyle w:val="IsiTabel"/>
              <w:suppressAutoHyphens/>
              <w:jc w:val="left"/>
            </w:pPr>
            <w:r>
              <w:t xml:space="preserve">peluang lima tahun di bawah </w:t>
            </w:r>
            <w:r>
              <w:t xml:space="preserve">0,2%</w:t>
            </w:r>
          </w:p>
        </w:tc>
        <w:tc>
          <w:tcPr>
            <w:tcW w:w="2209" w:type="dxa"/>
          </w:tcPr>
          <w:p>
            <w:pPr>
              <w:pStyle w:val="IsiTabel"/>
              <w:suppressAutoHyphens/>
              <w:jc w:val="left"/>
            </w:pPr>
            <w:r>
              <w:t xml:space="preserve">skenario terburuk yang masuk akal</w:t>
            </w:r>
          </w:p>
        </w:tc>
        <w:tc>
          <w:tcPr>
            <w:tcW w:w="1695"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309" w:type="dxa"/>
          </w:tcPr>
          <w:p>
            <w:pPr>
              <w:pStyle w:val="IsiTabel"/>
              <w:suppressAutoHyphens/>
              <w:jc w:val="left"/>
            </w:pPr>
            <w:r>
              <w:t xml:space="preserve">Pita peluang lima tahun</w:t>
            </w:r>
          </w:p>
        </w:tc>
        <w:tc>
          <w:tcPr>
            <w:tcW w:w="2141" w:type="dxa"/>
          </w:tcPr>
          <w:p>
            <w:pPr>
              <w:pStyle w:val="IsiTabel"/>
              <w:suppressAutoHyphens/>
              <w:jc w:val="left"/>
            </w:pPr>
            <w:r>
              <w:t xml:space="preserve">1%</w:t>
            </w:r>
            <w:r>
              <w:t xml:space="preserve">, </w:t>
            </w:r>
            <w:r>
              <w:t xml:space="preserve">5%</w:t>
            </w:r>
            <w:r>
              <w:t xml:space="preserve">, dan </w:t>
            </w:r>
            <w:r>
              <w:t xml:space="preserve">25%</w:t>
            </w:r>
            <w:r>
              <w:t xml:space="preserve"> sebagai batas pita</w:t>
            </w:r>
          </w:p>
        </w:tc>
        <w:tc>
          <w:tcPr>
            <w:tcW w:w="2209" w:type="dxa"/>
          </w:tcPr>
          <w:p>
            <w:pPr>
              <w:pStyle w:val="IsiTabel"/>
              <w:suppressAutoHyphens/>
              <w:jc w:val="left"/>
            </w:pPr>
            <w:r>
              <w:t xml:space="preserve">kelas kemungkinan kartu</w:t>
            </w:r>
          </w:p>
        </w:tc>
        <w:tc>
          <w:tcPr>
            <w:tcW w:w="1695"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309" w:type="dxa"/>
          </w:tcPr>
          <w:p>
            <w:pPr>
              <w:pStyle w:val="IsiTabel"/>
              <w:suppressAutoHyphens/>
              <w:jc w:val="left"/>
            </w:pPr>
            <w:r>
              <w:t xml:space="preserve">Periode acuan lantai</w:t>
            </w:r>
          </w:p>
        </w:tc>
        <w:tc>
          <w:tcPr>
            <w:tcW w:w="2141" w:type="dxa"/>
          </w:tcPr>
          <w:p>
            <w:pPr>
              <w:pStyle w:val="IsiTabel"/>
              <w:suppressAutoHyphens/>
              <w:jc w:val="left"/>
            </w:pPr>
            <w:r>
              <w:t xml:space="preserve">delapan belas musim hujan 2008/2009–2025/2026; 1996–2025 untuk geologi, nonalam, dan sosial</w:t>
            </w:r>
          </w:p>
        </w:tc>
        <w:tc>
          <w:tcPr>
            <w:tcW w:w="2209" w:type="dxa"/>
          </w:tcPr>
          <w:p>
            <w:pPr>
              <w:pStyle w:val="IsiTabel"/>
              <w:suppressAutoHyphens/>
              <w:jc w:val="left"/>
            </w:pPr>
            <w:r>
              <w:t xml:space="preserve">lantai skenario</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Standar beras dan air minum</w:t>
            </w:r>
          </w:p>
        </w:tc>
        <w:tc>
          <w:tcPr>
            <w:tcW w:w="2141" w:type="dxa"/>
          </w:tcPr>
          <w:p>
            <w:pPr>
              <w:pStyle w:val="IsiTabel"/>
              <w:suppressAutoHyphens/>
              <w:jc w:val="left"/>
            </w:pPr>
            <w:r>
              <w:t xml:space="preserve">400 gram per orang per hari</w:t>
            </w:r>
            <w:r>
              <w:t xml:space="preserve">; </w:t>
            </w:r>
            <w:r>
              <w:t xml:space="preserve">2,5 liter per orang per hari</w:t>
            </w:r>
          </w:p>
        </w:tc>
        <w:tc>
          <w:tcPr>
            <w:tcW w:w="2209" w:type="dxa"/>
          </w:tcPr>
          <w:p>
            <w:pPr>
              <w:pStyle w:val="IsiTabel"/>
              <w:suppressAutoHyphens/>
              <w:jc w:val="left"/>
            </w:pPr>
            <w:r>
              <w:t xml:space="preserve">kebutuhan respons harian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309" w:type="dxa"/>
          </w:tcPr>
          <w:p>
            <w:pPr>
              <w:pStyle w:val="IsiTabel"/>
              <w:suppressAutoHyphens/>
              <w:jc w:val="left"/>
            </w:pPr>
            <w:r>
              <w:t xml:space="preserve">Standar air bersih</w:t>
            </w:r>
          </w:p>
        </w:tc>
        <w:tc>
          <w:tcPr>
            <w:tcW w:w="2141" w:type="dxa"/>
          </w:tcPr>
          <w:p>
            <w:pPr>
              <w:pStyle w:val="IsiTabel"/>
              <w:suppressAutoHyphens/>
              <w:jc w:val="left"/>
            </w:pPr>
            <w:r>
              <w:t xml:space="preserve">7 liter per orang per hari</w:t>
            </w:r>
            <w:r>
              <w:t xml:space="preserve"> pada tiga hari pertama, lalu </w:t>
            </w:r>
            <w:r>
              <w:t xml:space="preserve">15 liter per orang per hari</w:t>
            </w:r>
          </w:p>
        </w:tc>
        <w:tc>
          <w:tcPr>
            <w:tcW w:w="2209" w:type="dxa"/>
          </w:tcPr>
          <w:p>
            <w:pPr>
              <w:pStyle w:val="IsiTabel"/>
              <w:suppressAutoHyphens/>
              <w:jc w:val="left"/>
            </w:pPr>
            <w:r>
              <w:t xml:space="preserve">kebutuhan respons harian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309" w:type="dxa"/>
          </w:tcPr>
          <w:p>
            <w:pPr>
              <w:pStyle w:val="IsiTabel"/>
              <w:keepNext/>
              <w:suppressAutoHyphens/>
              <w:jc w:val="left"/>
            </w:pPr>
            <w:bookmarkStart w:id="945" w:name="_Ekor113a"/>
            <w:bookmarkEnd w:id="945"/>
            <w:r>
              <w:t xml:space="preserve">Standar jamban dan hunian</w:t>
            </w:r>
          </w:p>
        </w:tc>
        <w:tc>
          <w:tcPr>
            <w:tcW w:w="2141" w:type="dxa"/>
          </w:tcPr>
          <w:p>
            <w:pPr>
              <w:pStyle w:val="IsiTabel"/>
              <w:keepNext/>
              <w:suppressAutoHyphens/>
              <w:jc w:val="left"/>
            </w:pPr>
            <w:r>
              <w:t xml:space="preserve">satu jamban untuk </w:t>
            </w:r>
            <w:r>
              <w:t xml:space="preserve">20</w:t>
            </w:r>
            <w:r>
              <w:t xml:space="preserve"> orang; </w:t>
            </w:r>
            <w:r>
              <w:t xml:space="preserve">3 m² per orang</w:t>
            </w:r>
          </w:p>
        </w:tc>
        <w:tc>
          <w:tcPr>
            <w:tcW w:w="2209" w:type="dxa"/>
          </w:tcPr>
          <w:p>
            <w:pPr>
              <w:pStyle w:val="IsiTabel"/>
              <w:keepNext/>
              <w:suppressAutoHyphens/>
              <w:jc w:val="left"/>
            </w:pPr>
            <w:r>
              <w:t xml:space="preserve">kebutuhan respons harian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309" w:type="dxa"/>
          </w:tcPr>
          <w:p>
            <w:pPr>
              <w:pStyle w:val="IsiTabel"/>
              <w:keepNext/>
              <w:suppressAutoHyphens/>
              <w:jc w:val="left"/>
            </w:pPr>
            <w:r>
              <w:t xml:space="preserve">Faktor evakuasi segera tsunami</w:t>
            </w:r>
          </w:p>
        </w:tc>
        <w:tc>
          <w:tcPr>
            <w:tcW w:w="2141" w:type="dxa"/>
          </w:tcPr>
          <w:p>
            <w:pPr>
              <w:pStyle w:val="IsiTabel"/>
              <w:keepNext/>
              <w:suppressAutoHyphens/>
              <w:jc w:val="left"/>
            </w:pPr>
            <w:r>
              <w:t xml:space="preserve">dasar satu; survei </w:t>
            </w:r>
            <w:r>
              <w:t xml:space="preserve">0,600</w:t>
            </w:r>
            <w:r>
              <w:t xml:space="preserve">; tinggi </w:t>
            </w:r>
            <w:r>
              <w:t xml:space="preserve">0,437</w:t>
            </w:r>
          </w:p>
        </w:tc>
        <w:tc>
          <w:tcPr>
            <w:tcW w:w="2209" w:type="dxa"/>
          </w:tcPr>
          <w:p>
            <w:pPr>
              <w:pStyle w:val="IsiTabel"/>
              <w:keepNext/>
              <w:suppressAutoHyphens/>
              <w:jc w:val="left"/>
            </w:pPr>
            <w:r>
              <w:t xml:space="preserve">tuas kepekaan kartu tsunami</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keepNext/>
              <w:suppressAutoHyphens/>
              <w:jc w:val="left"/>
            </w:pPr>
            <w:r>
              <w:t xml:space="preserve">Stimulan rumah per tingkat kerusakan</w:t>
            </w:r>
          </w:p>
        </w:tc>
        <w:tc>
          <w:tcPr>
            <w:tcW w:w="2141" w:type="dxa"/>
          </w:tcPr>
          <w:p>
            <w:pPr>
              <w:pStyle w:val="IsiTabel"/>
              <w:keepNext/>
              <w:suppressAutoHyphens/>
              <w:jc w:val="left"/>
            </w:pPr>
            <w:r>
              <w:t xml:space="preserve">besaran dua skema, tidak terdapat dalam korpus JDIH BNPB</w:t>
            </w:r>
          </w:p>
        </w:tc>
        <w:tc>
          <w:tcPr>
            <w:tcW w:w="2209" w:type="dxa"/>
          </w:tcPr>
          <w:p>
            <w:pPr>
              <w:pStyle w:val="IsiTabel"/>
              <w:keepNext/>
              <w:suppressAutoHyphens/>
              <w:jc w:val="left"/>
            </w:pPr>
            <w:r>
              <w:t xml:space="preserve">kebutuhan stimulan rumah, batas bawah kerugian materiil</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keepNext/>
              <w:suppressAutoHyphens/>
              <w:jc w:val="left"/>
            </w:pPr>
            <w:bookmarkStart w:id="946" w:name="_Ekor113z"/>
            <w:bookmarkEnd w:id="946"/>
            <w:r>
              <w:t xml:space="preserve">Rasio mortalitas cakupan peringatan dini lintas negara</w:t>
            </w:r>
          </w:p>
        </w:tc>
        <w:tc>
          <w:tcPr>
            <w:tcW w:w="2141" w:type="dxa"/>
          </w:tcPr>
          <w:p>
            <w:pPr>
              <w:pStyle w:val="IsiTabel"/>
              <w:keepNext/>
              <w:suppressAutoHyphens/>
              <w:jc w:val="left"/>
            </w:pPr>
            <w:r>
              <w:t xml:space="preserve">8 kali</w:t>
            </w:r>
          </w:p>
        </w:tc>
        <w:tc>
          <w:tcPr>
            <w:tcW w:w="2209" w:type="dxa"/>
          </w:tcPr>
          <w:p>
            <w:pPr>
              <w:pStyle w:val="IsiTabel"/>
              <w:keepNext/>
              <w:suppressAutoHyphens/>
              <w:jc w:val="left"/>
            </w:pPr>
            <w:r>
              <w:t xml:space="preserve">kepekaan peringatan dini hidrometeorologi selain tanah longsor</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Perka BNPB 7/2008; Cabinet Office (2025); Cabinet Office Jepang (2025); paket skenario geologi dan hidrometeorologi Pantau Bencana; Bab 3 dan Bab 11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Faktor evakuasi tsunami adalah tuas kepekaan, bukan perkiraan korban; korban tsunami tidak dihitung sampai genangan resmi InaRISK dipakai.</w:t>
      </w:r>
    </w:p>
    <w:p>
      <w:pPr>
        <w:pStyle w:val="IsiTemuan"/>
      </w:pPr>
      <w:r>
        <w:rPr>
          <w:b/>
          <w:bCs/>
          <w:color w:val="051C2C"/>
        </w:rPr>
        <w:t xml:space="preserve">Rasio mortalitas lintas negara adalah rasio asosiasi antarnegara yang belum diuji untuk Indonesia, bukan efek kausal</w:t>
      </w:r>
      <w:r>
        <w:t xml:space="preserve"> </w:t>
      </w:r>
      <w:r>
        <w:t xml:space="preserve">(WMO, 2022)</w:t>
      </w:r>
      <w:r>
        <w:t xml:space="preserve">. Angkanya tidak dipakai sebagai dasar tesis atau keputusan, dan hanya tampil di kartu dan grafik kepekaan berlabel (</w:t>
      </w:r>
      <w:r>
        <w:t xml:space="preserve">Subbab </w:t>
      </w:r>
      <w:r>
        <w:fldChar w:fldCharType="begin"/>
      </w:r>
      <w:r>
        <w:instrText xml:space="preserve"> REF _Ref0146 \h \* CHARFORMAT </w:instrText>
      </w:r>
      <w:r>
        <w:fldChar w:fldCharType="separate"/>
      </w:r>
      <w:r>
        <w:t xml:space="preserve">7.9</w:t>
      </w:r>
      <w:r>
        <w:fldChar w:fldCharType="end"/>
      </w:r>
      <w:r>
        <w:t xml:space="preserve">). Uji kepekaan aturan daftar perhatian dimuat di </w:t>
      </w:r>
      <w:r>
        <w:fldChar w:fldCharType="begin"/>
      </w:r>
      <w:r>
        <w:instrText xml:space="preserve"> REF _Ref0245 \h \* CHARFORMAT </w:instrText>
      </w:r>
      <w:r>
        <w:fldChar w:fldCharType="separate"/>
      </w:r>
      <w:r>
        <w:t xml:space="preserve">Tabel 3.7</w:t>
      </w:r>
      <w:r>
        <w:fldChar w:fldCharType="end"/>
      </w:r>
      <w:r>
        <w:t xml:space="preserve">.</w:t>
      </w:r>
    </w:p>
    <w:p>
      <w:pPr>
        <w:pStyle w:val="Heading2"/>
      </w:pPr>
      <w:bookmarkStart w:id="948" w:name="_Toc00297"/>
      <w:bookmarkStart w:id="947" w:name="_Ref0124"/>
      <w:r>
        <w:t xml:space="preserve">F.2</w:t>
      </w:r>
      <w:bookmarkEnd w:id="947"/>
      <w:r>
        <w:tab/>
      </w:r>
      <w:r>
        <w:t xml:space="preserve">Kepekaan Model Gempa</w:t>
      </w:r>
      <w:bookmarkEnd w:id="948"/>
    </w:p>
    <w:p>
      <w:pPr>
        <w:pStyle w:val="IsiTemuan"/>
      </w:pPr>
      <w:r>
        <w:rPr>
          <w:b/>
          <w:bCs/>
          <w:color w:val="051C2C"/>
        </w:rPr>
        <w:t xml:space="preserve">Kepatuhan bangunan adalah tuas korban guncangan yang dihitung model: tanpa tembok tanpa tulangan, korban model megathrust selatan Jawa bermagnitudo maksimum menjadi </w:t>
      </w:r>
      <w:r>
        <w:rPr>
          <w:b/>
          <w:bCs/>
          <w:color w:val="051C2C"/>
        </w:rPr>
        <w:t xml:space="preserve">sekitar 0,35</w:t>
      </w:r>
      <w:r>
        <w:rPr>
          <w:b/>
          <w:bCs/>
          <w:color w:val="051C2C"/>
        </w:rPr>
        <w:t xml:space="preserve"> kali dasar</w:t>
      </w:r>
      <w:r>
        <w:t xml:space="preserve"> (</w:t>
      </w:r>
      <w:r>
        <w:fldChar w:fldCharType="begin"/>
      </w:r>
      <w:r>
        <w:instrText xml:space="preserve"> REF _Ref0252 \h \* CHARFORMAT </w:instrText>
      </w:r>
      <w:r>
        <w:fldChar w:fldCharType="separate"/>
      </w:r>
      <w:r>
        <w:t xml:space="preserve">Tabel F.2</w:t>
      </w:r>
      <w:r>
        <w:fldChar w:fldCharType="end"/>
      </w:r>
      <w:r>
        <w:t xml:space="preserve">). Besar efek tuas itu belum diukur di Indonesia, sehingga faktor kepekaan dibaca sebagai arah, bukan perkiraan korban yang dapat dicegah (</w:t>
      </w:r>
      <w:r>
        <w:t xml:space="preserve">Subbab </w:t>
      </w:r>
      <w:r>
        <w:fldChar w:fldCharType="begin"/>
      </w:r>
      <w:r>
        <w:instrText xml:space="preserve"> REF _Ref0221 \h \* CHARFORMAT </w:instrText>
      </w:r>
      <w:r>
        <w:fldChar w:fldCharType="separate"/>
      </w:r>
      <w:r>
        <w:t xml:space="preserve">6.6.1</w:t>
      </w:r>
      <w:r>
        <w:fldChar w:fldCharType="end"/>
      </w:r>
      <w:r>
        <w:t xml:space="preserve">).</w:t>
      </w:r>
    </w:p>
    <w:p>
      <w:pPr>
        <w:pStyle w:val="Caption"/>
      </w:pPr>
      <w:bookmarkStart w:id="950" w:name="_Toc00298"/>
      <w:bookmarkStart w:id="949" w:name="_Ref0252"/>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49"/>
      <w:r>
        <w:rPr>
          <w:b/>
          <w:bCs/>
          <w:color w:val="051C2C"/>
        </w:rPr>
        <w:t xml:space="preserve"> </w:t>
      </w:r>
      <w:r>
        <w:t xml:space="preserve">Kepekaan korban guncangan dan rumah rusak berat model terhadap kepatuhan bangunan dan jam kejadian per skenario gempa, estimasi 2026</w:t>
      </w:r>
      <w:bookmarkEnd w:id="95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79"/>
        <w:gridCol w:w="2389"/>
        <w:gridCol w:w="970"/>
        <w:gridCol w:w="970"/>
        <w:gridCol w:w="970"/>
        <w:gridCol w:w="967"/>
        <w:gridCol w:w="1209"/>
      </w:tblGrid>
      <w:tr>
        <w:trPr>
          <w:cantSplit/>
          <w:tblHeader/>
        </w:trPr>
        <w:tc>
          <w:tcPr>
            <w:tcW w:w="1879" w:type="dxa"/>
            <w:tcBorders>
              <w:bottom w:val="single" w:sz="8" w:space="0" w:color="6B7280"/>
            </w:tcBorders>
            <w:vAlign w:val="bottom"/>
          </w:tcPr>
          <w:p>
            <w:pPr>
              <w:pStyle w:val="KepalaTabel"/>
              <w:suppressAutoHyphens/>
            </w:pPr>
            <w:r>
              <w:rPr>
                <w:b/>
                <w:bCs/>
                <w:color w:val="6B7280"/>
                <w:sz w:val="17"/>
                <w:szCs w:val="17"/>
              </w:rPr>
              <w:t xml:space="preserve">TUAS</w:t>
            </w:r>
          </w:p>
        </w:tc>
        <w:tc>
          <w:tcPr>
            <w:tcW w:w="2389" w:type="dxa"/>
            <w:tcBorders>
              <w:bottom w:val="single" w:sz="8" w:space="0" w:color="6B7280"/>
            </w:tcBorders>
            <w:vAlign w:val="bottom"/>
          </w:tcPr>
          <w:p>
            <w:pPr>
              <w:pStyle w:val="KepalaTabel"/>
              <w:suppressAutoHyphens/>
            </w:pPr>
            <w:r>
              <w:rPr>
                <w:b/>
                <w:bCs/>
                <w:color w:val="6B7280"/>
                <w:sz w:val="17"/>
                <w:szCs w:val="17"/>
              </w:rPr>
              <w:t xml:space="preserve">NILAI TUAS</w:t>
            </w:r>
          </w:p>
        </w:tc>
        <w:tc>
          <w:tcPr>
            <w:tcW w:w="970" w:type="dxa"/>
            <w:tcBorders>
              <w:bottom w:val="single" w:sz="8" w:space="0" w:color="6B7280"/>
            </w:tcBorders>
            <w:vAlign w:val="bottom"/>
          </w:tcPr>
          <w:p>
            <w:pPr>
              <w:pStyle w:val="KepalaTabel"/>
              <w:suppressAutoHyphens/>
            </w:pPr>
            <w:r>
              <w:rPr>
                <w:b/>
                <w:bCs/>
                <w:color w:val="6B7280"/>
                <w:sz w:val="17"/>
                <w:szCs w:val="17"/>
              </w:rPr>
              <w:t xml:space="preserve">KORBAN RENDAH (jiwa)</w:t>
            </w:r>
          </w:p>
        </w:tc>
        <w:tc>
          <w:tcPr>
            <w:tcW w:w="970" w:type="dxa"/>
            <w:tcBorders>
              <w:bottom w:val="single" w:sz="8" w:space="0" w:color="6B7280"/>
            </w:tcBorders>
            <w:vAlign w:val="bottom"/>
          </w:tcPr>
          <w:p>
            <w:pPr>
              <w:pStyle w:val="KepalaTabel"/>
              <w:suppressAutoHyphens/>
            </w:pPr>
            <w:r>
              <w:rPr>
                <w:b/>
                <w:bCs/>
                <w:color w:val="6B7280"/>
                <w:sz w:val="17"/>
                <w:szCs w:val="17"/>
              </w:rPr>
              <w:t xml:space="preserve">KORBAN TENGAH (jiwa)</w:t>
            </w:r>
          </w:p>
        </w:tc>
        <w:tc>
          <w:tcPr>
            <w:tcW w:w="970" w:type="dxa"/>
            <w:tcBorders>
              <w:bottom w:val="single" w:sz="8" w:space="0" w:color="6B7280"/>
            </w:tcBorders>
            <w:vAlign w:val="bottom"/>
          </w:tcPr>
          <w:p>
            <w:pPr>
              <w:pStyle w:val="KepalaTabel"/>
              <w:suppressAutoHyphens/>
            </w:pPr>
            <w:r>
              <w:rPr>
                <w:b/>
                <w:bCs/>
                <w:color w:val="6B7280"/>
                <w:sz w:val="17"/>
                <w:szCs w:val="17"/>
              </w:rPr>
              <w:t xml:space="preserve">KORBAN TINGGI (jiwa)</w:t>
            </w:r>
          </w:p>
        </w:tc>
        <w:tc>
          <w:tcPr>
            <w:tcW w:w="967" w:type="dxa"/>
            <w:tcBorders>
              <w:bottom w:val="single" w:sz="8" w:space="0" w:color="6B7280"/>
            </w:tcBorders>
            <w:vAlign w:val="bottom"/>
          </w:tcPr>
          <w:p>
            <w:pPr>
              <w:pStyle w:val="KepalaTabel"/>
              <w:suppressAutoHyphens/>
            </w:pPr>
            <w:r>
              <w:rPr>
                <w:b/>
                <w:bCs/>
                <w:color w:val="6B7280"/>
                <w:sz w:val="17"/>
                <w:szCs w:val="17"/>
              </w:rPr>
              <w:t xml:space="preserve">RUMAH RUSAK BERAT TENGAH (unit)</w:t>
            </w:r>
          </w:p>
        </w:tc>
        <w:tc>
          <w:tcPr>
            <w:tcW w:w="1209" w:type="dxa"/>
            <w:tcBorders>
              <w:bottom w:val="single" w:sz="8" w:space="0" w:color="6B7280"/>
            </w:tcBorders>
            <w:vAlign w:val="bottom"/>
          </w:tcPr>
          <w:p>
            <w:pPr>
              <w:pStyle w:val="KepalaTabel"/>
              <w:suppressAutoHyphens/>
            </w:pPr>
            <w:r>
              <w:rPr>
                <w:b/>
                <w:bCs/>
                <w:color w:val="6B7280"/>
                <w:sz w:val="17"/>
                <w:szCs w:val="17"/>
              </w:rPr>
              <w:t xml:space="preserve">FAKTOR TERHADAP DASAR</w:t>
            </w:r>
          </w:p>
        </w:tc>
      </w:tr>
      <w:tr>
        <w:trPr>
          <w:cantSplit/>
        </w:trPr>
        <w:tc>
          <w:tcPr>
            <w:tcW w:w="9354" w:type="dxa"/>
            <w:gridSpan w:val="7"/>
            <w:shd w:val="clear" w:color="auto" w:fill="E6EAF0"/>
          </w:tcPr>
          <w:p>
            <w:pPr>
              <w:pStyle w:val="IsiTabel"/>
              <w:keepNext/>
              <w:suppressAutoHyphens/>
              <w:ind w:left="0"/>
            </w:pPr>
            <w:r>
              <w:rPr>
                <w:b/>
                <w:bCs/>
              </w:rPr>
              <w:t xml:space="preserve">Megathrust selatan Jawa, di bawah magnitudo maksimum</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2.602</w:t>
            </w:r>
          </w:p>
        </w:tc>
        <w:tc>
          <w:tcPr>
            <w:tcW w:w="967" w:type="dxa"/>
          </w:tcPr>
          <w:p>
            <w:pPr>
              <w:pStyle w:val="IsiTabel"/>
              <w:suppressAutoHyphens/>
              <w:jc w:val="right"/>
            </w:pPr>
            <w:r>
              <w:t xml:space="preserve">24.991</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1.567</w:t>
            </w:r>
          </w:p>
        </w:tc>
        <w:tc>
          <w:tcPr>
            <w:tcW w:w="967" w:type="dxa"/>
          </w:tcPr>
          <w:p>
            <w:pPr>
              <w:pStyle w:val="IsiTabel"/>
              <w:suppressAutoHyphens/>
              <w:jc w:val="right"/>
            </w:pPr>
            <w:r>
              <w:t xml:space="preserve">16.762</w:t>
            </w:r>
          </w:p>
        </w:tc>
        <w:tc>
          <w:tcPr>
            <w:tcW w:w="1209" w:type="dxa"/>
          </w:tcPr>
          <w:p>
            <w:pPr>
              <w:pStyle w:val="IsiTabel"/>
              <w:suppressAutoHyphens/>
              <w:jc w:val="right"/>
            </w:pPr>
            <w:r>
              <w:t xml:space="preserve">0,60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532</w:t>
            </w:r>
          </w:p>
        </w:tc>
        <w:tc>
          <w:tcPr>
            <w:tcW w:w="967" w:type="dxa"/>
          </w:tcPr>
          <w:p>
            <w:pPr>
              <w:pStyle w:val="IsiTabel"/>
              <w:suppressAutoHyphens/>
              <w:jc w:val="right"/>
            </w:pPr>
            <w:r>
              <w:t xml:space="preserve">8.533</w:t>
            </w:r>
          </w:p>
        </w:tc>
        <w:tc>
          <w:tcPr>
            <w:tcW w:w="1209" w:type="dxa"/>
          </w:tcPr>
          <w:p>
            <w:pPr>
              <w:pStyle w:val="IsiTabel"/>
              <w:suppressAutoHyphens/>
              <w:jc w:val="right"/>
            </w:pPr>
            <w:r>
              <w:t xml:space="preserve">0,20</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malam (0,99) vs rata-rata (0,85)</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3.031</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Mentawai, di bawah magnitudo maksimum</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567</w:t>
            </w:r>
          </w:p>
        </w:tc>
        <w:tc>
          <w:tcPr>
            <w:tcW w:w="970" w:type="dxa"/>
          </w:tcPr>
          <w:p>
            <w:pPr>
              <w:pStyle w:val="IsiTabel"/>
              <w:suppressAutoHyphens/>
              <w:jc w:val="right"/>
            </w:pPr>
            <w:r>
              <w:t xml:space="preserve">1.836</w:t>
            </w:r>
          </w:p>
        </w:tc>
        <w:tc>
          <w:tcPr>
            <w:tcW w:w="970" w:type="dxa"/>
          </w:tcPr>
          <w:p>
            <w:pPr>
              <w:pStyle w:val="IsiTabel"/>
              <w:suppressAutoHyphens/>
              <w:jc w:val="right"/>
            </w:pPr>
            <w:r>
              <w:t xml:space="preserve">7.708</w:t>
            </w:r>
          </w:p>
        </w:tc>
        <w:tc>
          <w:tcPr>
            <w:tcW w:w="967" w:type="dxa"/>
          </w:tcPr>
          <w:p>
            <w:pPr>
              <w:pStyle w:val="IsiTabel"/>
              <w:suppressAutoHyphens/>
              <w:jc w:val="right"/>
            </w:pPr>
            <w:r>
              <w:t xml:space="preserve">50.378</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386</w:t>
            </w:r>
          </w:p>
        </w:tc>
        <w:tc>
          <w:tcPr>
            <w:tcW w:w="970" w:type="dxa"/>
          </w:tcPr>
          <w:p>
            <w:pPr>
              <w:pStyle w:val="IsiTabel"/>
              <w:suppressAutoHyphens/>
              <w:jc w:val="right"/>
            </w:pPr>
            <w:r>
              <w:t xml:space="preserve">1.251</w:t>
            </w:r>
          </w:p>
        </w:tc>
        <w:tc>
          <w:tcPr>
            <w:tcW w:w="970" w:type="dxa"/>
          </w:tcPr>
          <w:p>
            <w:pPr>
              <w:pStyle w:val="IsiTabel"/>
              <w:suppressAutoHyphens/>
              <w:jc w:val="right"/>
            </w:pPr>
            <w:r>
              <w:t xml:space="preserve">5.253</w:t>
            </w:r>
          </w:p>
        </w:tc>
        <w:tc>
          <w:tcPr>
            <w:tcW w:w="967" w:type="dxa"/>
          </w:tcPr>
          <w:p>
            <w:pPr>
              <w:pStyle w:val="IsiTabel"/>
              <w:suppressAutoHyphens/>
              <w:jc w:val="right"/>
            </w:pPr>
            <w:r>
              <w:t xml:space="preserve">38.399</w:t>
            </w:r>
          </w:p>
        </w:tc>
        <w:tc>
          <w:tcPr>
            <w:tcW w:w="1209" w:type="dxa"/>
          </w:tcPr>
          <w:p>
            <w:pPr>
              <w:pStyle w:val="IsiTabel"/>
              <w:suppressAutoHyphens/>
              <w:jc w:val="right"/>
            </w:pPr>
            <w:r>
              <w:t xml:space="preserve">0,68</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206</w:t>
            </w:r>
          </w:p>
        </w:tc>
        <w:tc>
          <w:tcPr>
            <w:tcW w:w="970" w:type="dxa"/>
          </w:tcPr>
          <w:p>
            <w:pPr>
              <w:pStyle w:val="IsiTabel"/>
              <w:suppressAutoHyphens/>
              <w:jc w:val="right"/>
            </w:pPr>
            <w:r>
              <w:t xml:space="preserve">666</w:t>
            </w:r>
          </w:p>
        </w:tc>
        <w:tc>
          <w:tcPr>
            <w:tcW w:w="970" w:type="dxa"/>
          </w:tcPr>
          <w:p>
            <w:pPr>
              <w:pStyle w:val="IsiTabel"/>
              <w:suppressAutoHyphens/>
              <w:jc w:val="right"/>
            </w:pPr>
            <w:r>
              <w:t xml:space="preserve">2.797</w:t>
            </w:r>
          </w:p>
        </w:tc>
        <w:tc>
          <w:tcPr>
            <w:tcW w:w="967" w:type="dxa"/>
          </w:tcPr>
          <w:p>
            <w:pPr>
              <w:pStyle w:val="IsiTabel"/>
              <w:suppressAutoHyphens/>
              <w:jc w:val="right"/>
            </w:pPr>
            <w:r>
              <w:t xml:space="preserve">26.420</w:t>
            </w:r>
          </w:p>
        </w:tc>
        <w:tc>
          <w:tcPr>
            <w:tcW w:w="1209" w:type="dxa"/>
          </w:tcPr>
          <w:p>
            <w:pPr>
              <w:pStyle w:val="IsiTabel"/>
              <w:suppressAutoHyphens/>
              <w:jc w:val="right"/>
            </w:pPr>
            <w:r>
              <w:t xml:space="preserve">0,36</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malam (0,99) vs rata-rata (0,85)</w:t>
            </w:r>
          </w:p>
        </w:tc>
        <w:tc>
          <w:tcPr>
            <w:tcW w:w="970" w:type="dxa"/>
          </w:tcPr>
          <w:p>
            <w:pPr>
              <w:pStyle w:val="IsiTabel"/>
              <w:suppressAutoHyphens/>
              <w:jc w:val="right"/>
            </w:pPr>
            <w:r>
              <w:t xml:space="preserve">660</w:t>
            </w:r>
          </w:p>
        </w:tc>
        <w:tc>
          <w:tcPr>
            <w:tcW w:w="970" w:type="dxa"/>
          </w:tcPr>
          <w:p>
            <w:pPr>
              <w:pStyle w:val="IsiTabel"/>
              <w:suppressAutoHyphens/>
              <w:jc w:val="right"/>
            </w:pPr>
            <w:r>
              <w:t xml:space="preserve">2.138</w:t>
            </w:r>
          </w:p>
        </w:tc>
        <w:tc>
          <w:tcPr>
            <w:tcW w:w="970" w:type="dxa"/>
          </w:tcPr>
          <w:p>
            <w:pPr>
              <w:pStyle w:val="IsiTabel"/>
              <w:suppressAutoHyphens/>
              <w:jc w:val="right"/>
            </w:pPr>
            <w:r>
              <w:t xml:space="preserve">8.978</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Sumba, magnitudo tanpa sumber</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928</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590</w:t>
            </w:r>
          </w:p>
        </w:tc>
        <w:tc>
          <w:tcPr>
            <w:tcW w:w="1209" w:type="dxa"/>
          </w:tcPr>
          <w:p>
            <w:pPr>
              <w:pStyle w:val="IsiTabel"/>
              <w:suppressAutoHyphens/>
              <w:jc w:val="right"/>
            </w:pPr>
            <w:r>
              <w:t xml:space="preserve">0,58</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252</w:t>
            </w:r>
          </w:p>
        </w:tc>
        <w:tc>
          <w:tcPr>
            <w:tcW w:w="1209" w:type="dxa"/>
          </w:tcPr>
          <w:p>
            <w:pPr>
              <w:pStyle w:val="IsiTabel"/>
              <w:suppressAutoHyphens/>
              <w:jc w:val="right"/>
            </w:pPr>
            <w:r>
              <w:t xml:space="preserve">0,15</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malam (0,99) vs rata-rata (0,85)</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selatan Jawa, magnitudo maksimum</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10.720</w:t>
            </w:r>
          </w:p>
        </w:tc>
        <w:tc>
          <w:tcPr>
            <w:tcW w:w="970" w:type="dxa"/>
          </w:tcPr>
          <w:p>
            <w:pPr>
              <w:pStyle w:val="IsiTabel"/>
              <w:suppressAutoHyphens/>
              <w:jc w:val="right"/>
            </w:pPr>
            <w:r>
              <w:t xml:space="preserve">32.397</w:t>
            </w:r>
          </w:p>
        </w:tc>
        <w:tc>
          <w:tcPr>
            <w:tcW w:w="970" w:type="dxa"/>
          </w:tcPr>
          <w:p>
            <w:pPr>
              <w:pStyle w:val="IsiTabel"/>
              <w:suppressAutoHyphens/>
              <w:jc w:val="right"/>
            </w:pPr>
            <w:r>
              <w:t xml:space="preserve">136.032</w:t>
            </w:r>
          </w:p>
        </w:tc>
        <w:tc>
          <w:tcPr>
            <w:tcW w:w="967" w:type="dxa"/>
          </w:tcPr>
          <w:p>
            <w:pPr>
              <w:pStyle w:val="IsiTabel"/>
              <w:suppressAutoHyphens/>
              <w:jc w:val="right"/>
            </w:pPr>
            <w:r>
              <w:t xml:space="preserve">896.686</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7.249</w:t>
            </w:r>
          </w:p>
        </w:tc>
        <w:tc>
          <w:tcPr>
            <w:tcW w:w="970" w:type="dxa"/>
          </w:tcPr>
          <w:p>
            <w:pPr>
              <w:pStyle w:val="IsiTabel"/>
              <w:suppressAutoHyphens/>
              <w:jc w:val="right"/>
            </w:pPr>
            <w:r>
              <w:t xml:space="preserve">21.906</w:t>
            </w:r>
          </w:p>
        </w:tc>
        <w:tc>
          <w:tcPr>
            <w:tcW w:w="970" w:type="dxa"/>
          </w:tcPr>
          <w:p>
            <w:pPr>
              <w:pStyle w:val="IsiTabel"/>
              <w:suppressAutoHyphens/>
              <w:jc w:val="right"/>
            </w:pPr>
            <w:r>
              <w:t xml:space="preserve">91.984</w:t>
            </w:r>
          </w:p>
        </w:tc>
        <w:tc>
          <w:tcPr>
            <w:tcW w:w="967" w:type="dxa"/>
          </w:tcPr>
          <w:p>
            <w:pPr>
              <w:pStyle w:val="IsiTabel"/>
              <w:suppressAutoHyphens/>
              <w:jc w:val="right"/>
            </w:pPr>
            <w:r>
              <w:t xml:space="preserve">684.998</w:t>
            </w:r>
          </w:p>
        </w:tc>
        <w:tc>
          <w:tcPr>
            <w:tcW w:w="1209" w:type="dxa"/>
          </w:tcPr>
          <w:p>
            <w:pPr>
              <w:pStyle w:val="IsiTabel"/>
              <w:suppressAutoHyphens/>
              <w:jc w:val="right"/>
            </w:pPr>
            <w:r>
              <w:t xml:space="preserve">0,68</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3.777</w:t>
            </w:r>
          </w:p>
        </w:tc>
        <w:tc>
          <w:tcPr>
            <w:tcW w:w="970" w:type="dxa"/>
          </w:tcPr>
          <w:p>
            <w:pPr>
              <w:pStyle w:val="IsiTabel"/>
              <w:suppressAutoHyphens/>
              <w:jc w:val="right"/>
            </w:pPr>
            <w:r>
              <w:t xml:space="preserve">11.416</w:t>
            </w:r>
          </w:p>
        </w:tc>
        <w:tc>
          <w:tcPr>
            <w:tcW w:w="970" w:type="dxa"/>
          </w:tcPr>
          <w:p>
            <w:pPr>
              <w:pStyle w:val="IsiTabel"/>
              <w:suppressAutoHyphens/>
              <w:jc w:val="right"/>
            </w:pPr>
            <w:r>
              <w:t xml:space="preserve">47.935</w:t>
            </w:r>
          </w:p>
        </w:tc>
        <w:tc>
          <w:tcPr>
            <w:tcW w:w="967" w:type="dxa"/>
          </w:tcPr>
          <w:p>
            <w:pPr>
              <w:pStyle w:val="IsiTabel"/>
              <w:suppressAutoHyphens/>
              <w:jc w:val="right"/>
            </w:pPr>
            <w:r>
              <w:t xml:space="preserve">473.310</w:t>
            </w:r>
          </w:p>
        </w:tc>
        <w:tc>
          <w:tcPr>
            <w:tcW w:w="1209" w:type="dxa"/>
          </w:tcPr>
          <w:p>
            <w:pPr>
              <w:pStyle w:val="IsiTabel"/>
              <w:suppressAutoHyphens/>
              <w:jc w:val="right"/>
            </w:pPr>
            <w:r>
              <w:t xml:space="preserve">0,35</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malam (0,99) vs rata-rata (0,85)</w:t>
            </w:r>
          </w:p>
        </w:tc>
        <w:tc>
          <w:tcPr>
            <w:tcW w:w="970" w:type="dxa"/>
          </w:tcPr>
          <w:p>
            <w:pPr>
              <w:pStyle w:val="IsiTabel"/>
              <w:suppressAutoHyphens/>
              <w:jc w:val="right"/>
            </w:pPr>
            <w:r>
              <w:t xml:space="preserve">12.486</w:t>
            </w:r>
          </w:p>
        </w:tc>
        <w:tc>
          <w:tcPr>
            <w:tcW w:w="970" w:type="dxa"/>
          </w:tcPr>
          <w:p>
            <w:pPr>
              <w:pStyle w:val="IsiTabel"/>
              <w:suppressAutoHyphens/>
              <w:jc w:val="right"/>
            </w:pPr>
            <w:r>
              <w:t xml:space="preserve">37.733</w:t>
            </w:r>
          </w:p>
        </w:tc>
        <w:tc>
          <w:tcPr>
            <w:tcW w:w="970" w:type="dxa"/>
          </w:tcPr>
          <w:p>
            <w:pPr>
              <w:pStyle w:val="IsiTabel"/>
              <w:suppressAutoHyphens/>
              <w:jc w:val="right"/>
            </w:pPr>
            <w:r>
              <w:t xml:space="preserve">158.438</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Mentawai, magnitudo maksimum</w:t>
            </w:r>
          </w:p>
        </w:tc>
      </w:tr>
      <w:tr>
        <w:trPr>
          <w:cantSplit/>
        </w:trPr>
        <w:tc>
          <w:tcPr>
            <w:tcW w:w="1879" w:type="dxa"/>
          </w:tcPr>
          <w:p>
            <w:pPr>
              <w:pStyle w:val="IsiTabel"/>
              <w:keepNext/>
              <w:suppressAutoHyphens/>
              <w:jc w:val="left"/>
            </w:pPr>
            <w:bookmarkStart w:id="951" w:name="_Ekor114a"/>
            <w:bookmarkEnd w:id="951"/>
            <w:r>
              <w:t xml:space="preserve">kepatuhan bangunan</w:t>
            </w:r>
          </w:p>
        </w:tc>
        <w:tc>
          <w:tcPr>
            <w:tcW w:w="2389" w:type="dxa"/>
          </w:tcPr>
          <w:p>
            <w:pPr>
              <w:pStyle w:val="IsiTabel"/>
              <w:keepNext/>
              <w:suppressAutoHyphens/>
              <w:jc w:val="left"/>
            </w:pPr>
            <w:r>
              <w:t xml:space="preserve">dasar (40/30/30)</w:t>
            </w:r>
          </w:p>
        </w:tc>
        <w:tc>
          <w:tcPr>
            <w:tcW w:w="970" w:type="dxa"/>
          </w:tcPr>
          <w:p>
            <w:pPr>
              <w:pStyle w:val="IsiTabel"/>
              <w:keepNext/>
              <w:suppressAutoHyphens/>
              <w:jc w:val="right"/>
            </w:pPr>
            <w:r>
              <w:t xml:space="preserve">901</w:t>
            </w:r>
          </w:p>
        </w:tc>
        <w:tc>
          <w:tcPr>
            <w:tcW w:w="970" w:type="dxa"/>
          </w:tcPr>
          <w:p>
            <w:pPr>
              <w:pStyle w:val="IsiTabel"/>
              <w:keepNext/>
              <w:suppressAutoHyphens/>
              <w:jc w:val="right"/>
            </w:pPr>
            <w:r>
              <w:t xml:space="preserve">2.723</w:t>
            </w:r>
          </w:p>
        </w:tc>
        <w:tc>
          <w:tcPr>
            <w:tcW w:w="970" w:type="dxa"/>
          </w:tcPr>
          <w:p>
            <w:pPr>
              <w:pStyle w:val="IsiTabel"/>
              <w:keepNext/>
              <w:suppressAutoHyphens/>
              <w:jc w:val="right"/>
            </w:pPr>
            <w:r>
              <w:t xml:space="preserve">11.435</w:t>
            </w:r>
          </w:p>
        </w:tc>
        <w:tc>
          <w:tcPr>
            <w:tcW w:w="967" w:type="dxa"/>
          </w:tcPr>
          <w:p>
            <w:pPr>
              <w:pStyle w:val="IsiTabel"/>
              <w:keepNext/>
              <w:suppressAutoHyphens/>
              <w:jc w:val="right"/>
            </w:pPr>
            <w:r>
              <w:t xml:space="preserve">84.335</w:t>
            </w:r>
          </w:p>
        </w:tc>
        <w:tc>
          <w:tcPr>
            <w:tcW w:w="1209" w:type="dxa"/>
          </w:tcPr>
          <w:p>
            <w:pPr>
              <w:pStyle w:val="IsiTabel"/>
              <w:keepNext/>
              <w:suppressAutoHyphens/>
              <w:jc w:val="right"/>
            </w:pPr>
            <w:r>
              <w:t xml:space="preserve">1,00</w:t>
            </w:r>
          </w:p>
        </w:tc>
      </w:tr>
      <w:tr>
        <w:trPr>
          <w:cantSplit/>
        </w:trPr>
        <w:tc>
          <w:tcPr>
            <w:tcW w:w="1879" w:type="dxa"/>
          </w:tcPr>
          <w:p>
            <w:pPr>
              <w:pStyle w:val="IsiTabel"/>
              <w:keepNext/>
              <w:suppressAutoHyphens/>
              <w:jc w:val="left"/>
            </w:pPr>
            <w:r>
              <w:t xml:space="preserve">kepatuhan bangunan</w:t>
            </w:r>
          </w:p>
        </w:tc>
        <w:tc>
          <w:tcPr>
            <w:tcW w:w="2389" w:type="dxa"/>
          </w:tcPr>
          <w:p>
            <w:pPr>
              <w:pStyle w:val="IsiTabel"/>
              <w:keepNext/>
              <w:suppressAutoHyphens/>
              <w:jc w:val="left"/>
            </w:pPr>
            <w:r>
              <w:t xml:space="preserve">kepatuhan naik (20/50/30)</w:t>
            </w:r>
          </w:p>
        </w:tc>
        <w:tc>
          <w:tcPr>
            <w:tcW w:w="970" w:type="dxa"/>
          </w:tcPr>
          <w:p>
            <w:pPr>
              <w:pStyle w:val="IsiTabel"/>
              <w:keepNext/>
              <w:suppressAutoHyphens/>
              <w:jc w:val="right"/>
            </w:pPr>
            <w:r>
              <w:t xml:space="preserve">621</w:t>
            </w:r>
          </w:p>
        </w:tc>
        <w:tc>
          <w:tcPr>
            <w:tcW w:w="970" w:type="dxa"/>
          </w:tcPr>
          <w:p>
            <w:pPr>
              <w:pStyle w:val="IsiTabel"/>
              <w:keepNext/>
              <w:suppressAutoHyphens/>
              <w:jc w:val="right"/>
            </w:pPr>
            <w:r>
              <w:t xml:space="preserve">1.875</w:t>
            </w:r>
          </w:p>
        </w:tc>
        <w:tc>
          <w:tcPr>
            <w:tcW w:w="970" w:type="dxa"/>
          </w:tcPr>
          <w:p>
            <w:pPr>
              <w:pStyle w:val="IsiTabel"/>
              <w:keepNext/>
              <w:suppressAutoHyphens/>
              <w:jc w:val="right"/>
            </w:pPr>
            <w:r>
              <w:t xml:space="preserve">7.874</w:t>
            </w:r>
          </w:p>
        </w:tc>
        <w:tc>
          <w:tcPr>
            <w:tcW w:w="967" w:type="dxa"/>
          </w:tcPr>
          <w:p>
            <w:pPr>
              <w:pStyle w:val="IsiTabel"/>
              <w:keepNext/>
              <w:suppressAutoHyphens/>
              <w:jc w:val="right"/>
            </w:pPr>
            <w:r>
              <w:t xml:space="preserve">65.215</w:t>
            </w:r>
          </w:p>
        </w:tc>
        <w:tc>
          <w:tcPr>
            <w:tcW w:w="1209" w:type="dxa"/>
          </w:tcPr>
          <w:p>
            <w:pPr>
              <w:pStyle w:val="IsiTabel"/>
              <w:keepNext/>
              <w:suppressAutoHyphens/>
              <w:jc w:val="right"/>
            </w:pPr>
            <w:r>
              <w:t xml:space="preserve">0,69</w:t>
            </w:r>
          </w:p>
        </w:tc>
      </w:tr>
      <w:tr>
        <w:trPr>
          <w:cantSplit/>
        </w:trPr>
        <w:tc>
          <w:tcPr>
            <w:tcW w:w="1879" w:type="dxa"/>
          </w:tcPr>
          <w:p>
            <w:pPr>
              <w:pStyle w:val="IsiTabel"/>
              <w:keepNext/>
              <w:suppressAutoHyphens/>
              <w:jc w:val="left"/>
            </w:pPr>
            <w:r>
              <w:t xml:space="preserve">kepatuhan bangunan</w:t>
            </w:r>
          </w:p>
        </w:tc>
        <w:tc>
          <w:tcPr>
            <w:tcW w:w="2389" w:type="dxa"/>
          </w:tcPr>
          <w:p>
            <w:pPr>
              <w:pStyle w:val="IsiTabel"/>
              <w:keepNext/>
              <w:suppressAutoHyphens/>
              <w:jc w:val="left"/>
            </w:pPr>
            <w:r>
              <w:t xml:space="preserve">kepatuhan penuh (0/70/30)</w:t>
            </w:r>
          </w:p>
        </w:tc>
        <w:tc>
          <w:tcPr>
            <w:tcW w:w="970" w:type="dxa"/>
          </w:tcPr>
          <w:p>
            <w:pPr>
              <w:pStyle w:val="IsiTabel"/>
              <w:keepNext/>
              <w:suppressAutoHyphens/>
              <w:jc w:val="right"/>
            </w:pPr>
            <w:r>
              <w:t xml:space="preserve">340</w:t>
            </w:r>
          </w:p>
        </w:tc>
        <w:tc>
          <w:tcPr>
            <w:tcW w:w="970" w:type="dxa"/>
          </w:tcPr>
          <w:p>
            <w:pPr>
              <w:pStyle w:val="IsiTabel"/>
              <w:keepNext/>
              <w:suppressAutoHyphens/>
              <w:jc w:val="right"/>
            </w:pPr>
            <w:r>
              <w:t xml:space="preserve">1.027</w:t>
            </w:r>
          </w:p>
        </w:tc>
        <w:tc>
          <w:tcPr>
            <w:tcW w:w="970" w:type="dxa"/>
          </w:tcPr>
          <w:p>
            <w:pPr>
              <w:pStyle w:val="IsiTabel"/>
              <w:keepNext/>
              <w:suppressAutoHyphens/>
              <w:jc w:val="right"/>
            </w:pPr>
            <w:r>
              <w:t xml:space="preserve">4.313</w:t>
            </w:r>
          </w:p>
        </w:tc>
        <w:tc>
          <w:tcPr>
            <w:tcW w:w="967" w:type="dxa"/>
          </w:tcPr>
          <w:p>
            <w:pPr>
              <w:pStyle w:val="IsiTabel"/>
              <w:keepNext/>
              <w:suppressAutoHyphens/>
              <w:jc w:val="right"/>
            </w:pPr>
            <w:r>
              <w:t xml:space="preserve">46.096</w:t>
            </w:r>
          </w:p>
        </w:tc>
        <w:tc>
          <w:tcPr>
            <w:tcW w:w="1209" w:type="dxa"/>
          </w:tcPr>
          <w:p>
            <w:pPr>
              <w:pStyle w:val="IsiTabel"/>
              <w:keepNext/>
              <w:suppressAutoHyphens/>
              <w:jc w:val="right"/>
            </w:pPr>
            <w:r>
              <w:t xml:space="preserve">0,38</w:t>
            </w:r>
          </w:p>
        </w:tc>
      </w:tr>
      <w:tr>
        <w:trPr>
          <w:cantSplit/>
        </w:trPr>
        <w:tc>
          <w:tcPr>
            <w:tcW w:w="1879" w:type="dxa"/>
          </w:tcPr>
          <w:p>
            <w:pPr>
              <w:pStyle w:val="IsiTabel"/>
              <w:suppressAutoHyphens/>
              <w:jc w:val="left"/>
            </w:pPr>
            <w:bookmarkStart w:id="952" w:name="_Ekor114z"/>
            <w:bookmarkEnd w:id="952"/>
            <w:r>
              <w:t xml:space="preserve">jam kejadian</w:t>
            </w:r>
          </w:p>
        </w:tc>
        <w:tc>
          <w:tcPr>
            <w:tcW w:w="2389" w:type="dxa"/>
          </w:tcPr>
          <w:p>
            <w:pPr>
              <w:pStyle w:val="IsiTabel"/>
              <w:suppressAutoHyphens/>
              <w:jc w:val="left"/>
            </w:pPr>
            <w:r>
              <w:t xml:space="preserve">malam (0,99) vs rata-rata (0,85)</w:t>
            </w:r>
          </w:p>
        </w:tc>
        <w:tc>
          <w:tcPr>
            <w:tcW w:w="970" w:type="dxa"/>
          </w:tcPr>
          <w:p>
            <w:pPr>
              <w:pStyle w:val="IsiTabel"/>
              <w:suppressAutoHyphens/>
              <w:jc w:val="right"/>
            </w:pPr>
            <w:r>
              <w:t xml:space="preserve">1.050</w:t>
            </w:r>
          </w:p>
        </w:tc>
        <w:tc>
          <w:tcPr>
            <w:tcW w:w="970" w:type="dxa"/>
          </w:tcPr>
          <w:p>
            <w:pPr>
              <w:pStyle w:val="IsiTabel"/>
              <w:suppressAutoHyphens/>
              <w:jc w:val="right"/>
            </w:pPr>
            <w:r>
              <w:t xml:space="preserve">3.172</w:t>
            </w:r>
          </w:p>
        </w:tc>
        <w:tc>
          <w:tcPr>
            <w:tcW w:w="970" w:type="dxa"/>
          </w:tcPr>
          <w:p>
            <w:pPr>
              <w:pStyle w:val="IsiTabel"/>
              <w:suppressAutoHyphens/>
              <w:jc w:val="right"/>
            </w:pPr>
            <w:r>
              <w:t xml:space="preserve">13.318</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bl>
    <w:p>
      <w:pPr>
        <w:pStyle w:val="Sumber"/>
        <w:spacing w:after="40"/>
      </w:pPr>
      <w:r>
        <w:rPr>
          <w:b/>
          <w:bCs/>
          <w:color w:val="6B7280"/>
          <w:sz w:val="17"/>
          <w:szCs w:val="17"/>
        </w:rPr>
        <w:t xml:space="preserve">Sumber: </w:t>
      </w:r>
      <w:r>
        <w:rPr>
          <w:color w:val="6B7280"/>
          <w:sz w:val="17"/>
          <w:szCs w:val="17"/>
        </w:rPr>
        <w:t xml:space="preserve">Platform Pantau Bencana, mesin guncangan dan kerusakan; WorldPop 2026</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Nilai tuas kepatuhan bangunan adalah porsi tembok tanpa tulangan, beton terkekang, dan kayu; jam kejadian membandingkan okupansi malam dengan rata-rata. Tuas evakuasi tsunami tidak dimuat.</w:t>
      </w:r>
    </w:p>
    <w:p>
      <w:pPr>
        <w:pStyle w:val="Heading2"/>
      </w:pPr>
      <w:bookmarkStart w:id="954" w:name="_Toc00299"/>
      <w:bookmarkStart w:id="953" w:name="_Ref0123"/>
      <w:r>
        <w:t xml:space="preserve">F.3</w:t>
      </w:r>
      <w:bookmarkEnd w:id="953"/>
      <w:r>
        <w:tab/>
      </w:r>
      <w:r>
        <w:t xml:space="preserve">Celah Data yang Tertutup</w:t>
      </w:r>
      <w:bookmarkEnd w:id="954"/>
    </w:p>
    <w:p>
      <w:pPr>
        <w:pStyle w:val="IsiTemuan"/>
      </w:pPr>
      <w:r>
        <w:rPr>
          <w:b/>
          <w:bCs/>
          <w:color w:val="051C2C"/>
        </w:rPr>
        <w:t xml:space="preserve">Enam celah data yang diakui kerangka kajian tertutup sesudah dokumen primer dibuka, dan isinya kini dipakai di badan teks</w:t>
      </w:r>
      <w:r>
        <w:t xml:space="preserve"> (</w:t>
      </w:r>
      <w:r>
        <w:fldChar w:fldCharType="begin"/>
      </w:r>
      <w:r>
        <w:instrText xml:space="preserve"> REF _Ref0251 \h \* CHARFORMAT </w:instrText>
      </w:r>
      <w:r>
        <w:fldChar w:fldCharType="separate"/>
      </w:r>
      <w:r>
        <w:t xml:space="preserve">Tabel F.3</w:t>
      </w:r>
      <w:r>
        <w:fldChar w:fldCharType="end"/>
      </w:r>
      <w:r>
        <w:t xml:space="preserve">). Celah yang tetap terbuka tercantum di </w:t>
      </w:r>
      <w:r>
        <w:fldChar w:fldCharType="begin"/>
      </w:r>
      <w:r>
        <w:instrText xml:space="preserve"> REF _Ref0229 \h \* CHARFORMAT </w:instrText>
      </w:r>
      <w:r>
        <w:fldChar w:fldCharType="separate"/>
      </w:r>
      <w:r>
        <w:t xml:space="preserve">Tabel 13.7</w:t>
      </w:r>
      <w:r>
        <w:fldChar w:fldCharType="end"/>
      </w:r>
      <w:r>
        <w:t xml:space="preserve"> beserta lembaga pemegangnya.</w:t>
      </w:r>
    </w:p>
    <w:p>
      <w:pPr>
        <w:pStyle w:val="Caption"/>
      </w:pPr>
      <w:bookmarkStart w:id="956" w:name="_Toc00300"/>
      <w:bookmarkStart w:id="955" w:name="_Ref0251"/>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955"/>
      <w:r>
        <w:rPr>
          <w:b/>
          <w:bCs/>
          <w:color w:val="051C2C"/>
        </w:rPr>
        <w:t xml:space="preserve"> </w:t>
      </w:r>
      <w:r>
        <w:t xml:space="preserve">Celah data kajian mitigasi yang tertutup sesudah pembukaan dokumen primer, Oktober 2026</w:t>
      </w:r>
      <w:bookmarkEnd w:id="95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47"/>
        <w:gridCol w:w="2018"/>
        <w:gridCol w:w="4264"/>
        <w:gridCol w:w="1525"/>
      </w:tblGrid>
      <w:tr>
        <w:trPr>
          <w:cantSplit/>
          <w:tblHeader/>
        </w:trPr>
        <w:tc>
          <w:tcPr>
            <w:tcW w:w="1547" w:type="dxa"/>
            <w:tcBorders>
              <w:bottom w:val="single" w:sz="8" w:space="0" w:color="6B7280"/>
            </w:tcBorders>
            <w:vAlign w:val="bottom"/>
          </w:tcPr>
          <w:p>
            <w:pPr>
              <w:pStyle w:val="KepalaTabel"/>
              <w:suppressAutoHyphens/>
            </w:pPr>
            <w:r>
              <w:rPr>
                <w:b/>
                <w:bCs/>
                <w:color w:val="6B7280"/>
                <w:sz w:val="17"/>
                <w:szCs w:val="17"/>
              </w:rPr>
              <w:t xml:space="preserve">CELAH</w:t>
            </w:r>
          </w:p>
        </w:tc>
        <w:tc>
          <w:tcPr>
            <w:tcW w:w="2018" w:type="dxa"/>
            <w:tcBorders>
              <w:bottom w:val="single" w:sz="8" w:space="0" w:color="6B7280"/>
            </w:tcBorders>
            <w:vAlign w:val="bottom"/>
          </w:tcPr>
          <w:p>
            <w:pPr>
              <w:pStyle w:val="KepalaTabel"/>
              <w:suppressAutoHyphens/>
            </w:pPr>
            <w:r>
              <w:rPr>
                <w:b/>
                <w:bCs/>
                <w:color w:val="6B7280"/>
                <w:sz w:val="17"/>
                <w:szCs w:val="17"/>
              </w:rPr>
              <w:t xml:space="preserve">YANG DIBUKA</w:t>
            </w:r>
          </w:p>
        </w:tc>
        <w:tc>
          <w:tcPr>
            <w:tcW w:w="4264" w:type="dxa"/>
            <w:tcBorders>
              <w:bottom w:val="single" w:sz="8" w:space="0" w:color="6B7280"/>
            </w:tcBorders>
            <w:vAlign w:val="bottom"/>
          </w:tcPr>
          <w:p>
            <w:pPr>
              <w:pStyle w:val="KepalaTabel"/>
              <w:suppressAutoHyphens/>
            </w:pPr>
            <w:r>
              <w:rPr>
                <w:b/>
                <w:bCs/>
                <w:color w:val="6B7280"/>
                <w:sz w:val="17"/>
                <w:szCs w:val="17"/>
              </w:rPr>
              <w:t xml:space="preserve">DIPAKAI DI</w:t>
            </w:r>
          </w:p>
        </w:tc>
        <w:tc>
          <w:tcPr>
            <w:tcW w:w="152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547" w:type="dxa"/>
          </w:tcPr>
          <w:p>
            <w:pPr>
              <w:pStyle w:val="IsiTabel"/>
              <w:suppressAutoHyphens/>
              <w:jc w:val="left"/>
            </w:pPr>
            <w:r>
              <w:t xml:space="preserve">Magnitudo maksimum megathrust hanya dari sumber sekunder</w:t>
            </w:r>
          </w:p>
        </w:tc>
        <w:tc>
          <w:tcPr>
            <w:tcW w:w="2018" w:type="dxa"/>
          </w:tcPr>
          <w:p>
            <w:pPr>
              <w:pStyle w:val="IsiTabel"/>
              <w:suppressAutoHyphens/>
              <w:jc w:val="left"/>
            </w:pPr>
            <w:r>
              <w:t xml:space="preserve">Peta Sumber dan Bahaya Gempa 2024: Mw </w:t>
            </w:r>
            <w:r>
              <w:t xml:space="preserve">9,1</w:t>
            </w:r>
            <w:r>
              <w:t xml:space="preserve"> segmen gabungan Jawa dan Mw </w:t>
            </w:r>
            <w:r>
              <w:t xml:space="preserve">8,9</w:t>
            </w:r>
            <w:r>
              <w:t xml:space="preserve"> per segmen</w:t>
            </w:r>
          </w:p>
        </w:tc>
        <w:tc>
          <w:tcPr>
            <w:tcW w:w="4264" w:type="dxa"/>
          </w:tcPr>
          <w:p>
            <w:pPr>
              <w:pStyle w:val="IsiTabel"/>
              <w:suppressAutoHyphens/>
              <w:jc w:val="left"/>
            </w:pPr>
            <w:r>
              <w:t xml:space="preserve">Bab 6, kartu megathrust</w:t>
            </w:r>
          </w:p>
        </w:tc>
        <w:tc>
          <w:tcPr>
            <w:tcW w:w="1525" w:type="dxa"/>
          </w:tcPr>
          <w:p>
            <w:pPr>
              <w:pStyle w:val="IsiTabel"/>
              <w:suppressAutoHyphens/>
              <w:jc w:val="left"/>
            </w:pPr>
            <w:r>
              <w:rPr>
                <w:b/>
                <w:bCs/>
                <w:color w:val="FFFFFF"/>
                <w:sz w:val="16"/>
                <w:szCs w:val="16"/>
                <w:shd w:val="clear" w:color="auto" w:fill="051C2C"/>
              </w:rPr>
              <w:t xml:space="preserve">  Resmi  </w:t>
            </w:r>
          </w:p>
        </w:tc>
      </w:tr>
      <w:tr>
        <w:trPr>
          <w:cantSplit/>
        </w:trPr>
        <w:tc>
          <w:tcPr>
            <w:tcW w:w="1547" w:type="dxa"/>
          </w:tcPr>
          <w:p>
            <w:pPr>
              <w:pStyle w:val="IsiTabel"/>
              <w:suppressAutoHyphens/>
              <w:jc w:val="left"/>
            </w:pPr>
            <w:r>
              <w:t xml:space="preserve">Magnitudo maksimum sesar darat tidak bersumber</w:t>
            </w:r>
          </w:p>
        </w:tc>
        <w:tc>
          <w:tcPr>
            <w:tcW w:w="2018" w:type="dxa"/>
          </w:tcPr>
          <w:p>
            <w:pPr>
              <w:pStyle w:val="IsiTabel"/>
              <w:suppressAutoHyphens/>
              <w:jc w:val="left"/>
            </w:pPr>
            <w:r>
              <w:t xml:space="preserve">Peta Sumber dan Bahaya Gempa 2024: Lembang Mw </w:t>
            </w:r>
            <w:r>
              <w:t xml:space="preserve">6,6</w:t>
            </w:r>
            <w:r>
              <w:t xml:space="preserve"> dan Opak Mw </w:t>
            </w:r>
            <w:r>
              <w:t xml:space="preserve">6,9</w:t>
            </w:r>
          </w:p>
        </w:tc>
        <w:tc>
          <w:tcPr>
            <w:tcW w:w="4264" w:type="dxa"/>
          </w:tcPr>
          <w:p>
            <w:pPr>
              <w:pStyle w:val="IsiTabel"/>
              <w:suppressAutoHyphens/>
              <w:jc w:val="left"/>
            </w:pPr>
            <w:r>
              <w:t xml:space="preserve">Bab 6, kartu sesar darat dengan korban dari analog</w:t>
            </w:r>
          </w:p>
        </w:tc>
        <w:tc>
          <w:tcPr>
            <w:tcW w:w="1525" w:type="dxa"/>
          </w:tcPr>
          <w:p>
            <w:pPr>
              <w:pStyle w:val="IsiTabel"/>
              <w:suppressAutoHyphens/>
              <w:jc w:val="left"/>
            </w:pPr>
            <w:r>
              <w:rPr>
                <w:b/>
                <w:bCs/>
                <w:color w:val="FFFFFF"/>
                <w:sz w:val="16"/>
                <w:szCs w:val="16"/>
                <w:shd w:val="clear" w:color="auto" w:fill="051C2C"/>
              </w:rPr>
              <w:t xml:space="preserve">  Resmi  </w:t>
            </w:r>
          </w:p>
        </w:tc>
      </w:tr>
      <w:tr>
        <w:trPr>
          <w:cantSplit/>
        </w:trPr>
        <w:tc>
          <w:tcPr>
            <w:tcW w:w="1547" w:type="dxa"/>
          </w:tcPr>
          <w:p>
            <w:pPr>
              <w:pStyle w:val="IsiTabel"/>
              <w:keepNext/>
              <w:suppressAutoHyphens/>
              <w:jc w:val="left"/>
            </w:pPr>
            <w:bookmarkStart w:id="957" w:name="_Ekor115a"/>
            <w:bookmarkEnd w:id="957"/>
            <w:r>
              <w:t xml:space="preserve">Beban kesehatan asap karhutla</w:t>
            </w:r>
          </w:p>
        </w:tc>
        <w:tc>
          <w:tcPr>
            <w:tcW w:w="2018" w:type="dxa"/>
          </w:tcPr>
          <w:p>
            <w:pPr>
              <w:pStyle w:val="IsiTabel"/>
              <w:keepNext/>
              <w:suppressAutoHyphens/>
              <w:jc w:val="left"/>
            </w:pPr>
            <w:r>
              <w:t xml:space="preserve">Koplitz dkk. (2016): </w:t>
            </w:r>
            <w:r>
              <w:t xml:space="preserve">sekitar 92.000 jiwa</w:t>
            </w:r>
            <w:r>
              <w:t xml:space="preserve"> kematian berlebih akibat asap 2015</w:t>
            </w:r>
          </w:p>
        </w:tc>
        <w:tc>
          <w:tcPr>
            <w:tcW w:w="4264" w:type="dxa"/>
          </w:tcPr>
          <w:p>
            <w:pPr>
              <w:pStyle w:val="IsiTabel"/>
              <w:keepNext/>
              <w:suppressAutoHyphens/>
              <w:jc w:val="left"/>
            </w:pPr>
            <w:r>
              <w:t xml:space="preserve">Bab 7, berdampingan dengan korban tercatat</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1547" w:type="dxa"/>
          </w:tcPr>
          <w:p>
            <w:pPr>
              <w:pStyle w:val="IsiTabel"/>
              <w:keepNext/>
              <w:suppressAutoHyphens/>
              <w:jc w:val="left"/>
            </w:pPr>
            <w:r>
              <w:t xml:space="preserve">Rezim keselamatan kebakaran industri</w:t>
            </w:r>
          </w:p>
        </w:tc>
        <w:tc>
          <w:tcPr>
            <w:tcW w:w="2018" w:type="dxa"/>
          </w:tcPr>
          <w:p>
            <w:pPr>
              <w:pStyle w:val="IsiTabel"/>
              <w:keepNext/>
              <w:suppressAutoHyphens/>
              <w:jc w:val="left"/>
            </w:pPr>
            <w:r>
              <w:t xml:space="preserve">mandat tertulis Menteri ESDM, Menteri Perindustrian, dan Menteri Ketenagakerjaan; BNPB tidak disebut</w:t>
            </w:r>
          </w:p>
        </w:tc>
        <w:tc>
          <w:tcPr>
            <w:tcW w:w="4264" w:type="dxa"/>
          </w:tcPr>
          <w:p>
            <w:pPr>
              <w:pStyle w:val="IsiTabel"/>
              <w:keepNext/>
              <w:suppressAutoHyphens/>
              <w:jc w:val="left"/>
            </w:pPr>
            <w:r>
              <w:t xml:space="preserve">Bab 8 dan Bab 12</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547" w:type="dxa"/>
          </w:tcPr>
          <w:p>
            <w:pPr>
              <w:pStyle w:val="IsiTabel"/>
              <w:keepNext/>
              <w:suppressAutoHyphens/>
              <w:jc w:val="left"/>
            </w:pPr>
            <w:r>
              <w:t xml:space="preserve">Teks Perpres 87/2020, Perpres 75/2021, Lampiran Perpres 12/2025, PP 21/2008, dan PP 22/2008</w:t>
            </w:r>
          </w:p>
        </w:tc>
        <w:tc>
          <w:tcPr>
            <w:tcW w:w="2018" w:type="dxa"/>
          </w:tcPr>
          <w:p>
            <w:pPr>
              <w:pStyle w:val="IsiTabel"/>
              <w:keepNext/>
              <w:suppressAutoHyphens/>
              <w:jc w:val="left"/>
            </w:pPr>
            <w:r>
              <w:t xml:space="preserve">teks dari JDIH BPK</w:t>
            </w:r>
          </w:p>
        </w:tc>
        <w:tc>
          <w:tcPr>
            <w:tcW w:w="4264" w:type="dxa"/>
          </w:tcPr>
          <w:p>
            <w:pPr>
              <w:pStyle w:val="IsiTabel"/>
              <w:keepNext/>
              <w:suppressAutoHyphens/>
              <w:jc w:val="left"/>
            </w:pPr>
            <w:r>
              <w:t xml:space="preserve">Bab 1, Bab 2, dan Bab 12</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547" w:type="dxa"/>
          </w:tcPr>
          <w:p>
            <w:pPr>
              <w:pStyle w:val="IsiTabel"/>
              <w:keepNext/>
              <w:suppressAutoHyphens/>
              <w:jc w:val="left"/>
            </w:pPr>
            <w:bookmarkStart w:id="958" w:name="_Ekor115z"/>
            <w:bookmarkEnd w:id="958"/>
            <w:r>
              <w:t xml:space="preserve">Nomenklatur K/L belum terpetakan</w:t>
            </w:r>
          </w:p>
        </w:tc>
        <w:tc>
          <w:tcPr>
            <w:tcW w:w="2018" w:type="dxa"/>
          </w:tcPr>
          <w:p>
            <w:pPr>
              <w:pStyle w:val="IsiTabel"/>
              <w:keepNext/>
              <w:suppressAutoHyphens/>
              <w:jc w:val="left"/>
            </w:pPr>
            <w:r>
              <w:t xml:space="preserve">daftar lembaga bernomenklatur Oktober 2026 di paket lembaga</w:t>
            </w:r>
          </w:p>
        </w:tc>
        <w:tc>
          <w:tcPr>
            <w:tcW w:w="4264" w:type="dxa"/>
          </w:tcPr>
          <w:p>
            <w:pPr>
              <w:pStyle w:val="IsiTabel"/>
              <w:keepNext/>
              <w:suppressAutoHyphens/>
              <w:jc w:val="left"/>
            </w:pPr>
            <w:r>
              <w:t xml:space="preserve">seluruh rekomendasi dan matriks lembaga</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PuSGeN 2024; Koplitz dkk. (2016); UU 1/1970; UU 3/2014; PP 11/1979; JDIH BPK; paket lembaga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JudulLampiran"/>
      </w:pPr>
      <w:bookmarkStart w:id="960" w:name="_Toc00301"/>
      <w:bookmarkStart w:id="959" w:name="_Ref0071"/>
      <w:r>
        <w:t xml:space="preserve">Lampiran G</w:t>
      </w:r>
      <w:bookmarkEnd w:id="959"/>
      <w:r>
        <w:t xml:space="preserve">. Rekonsiliasi Angka</w:t>
      </w:r>
      <w:bookmarkEnd w:id="960"/>
    </w:p>
    <w:p>
      <w:pPr>
        <w:pStyle w:val="Isi"/>
      </w:pPr>
      <w:r>
        <w:t xml:space="preserve">Bab 3 memuat butir rekonsiliasi yang mengubah angka atau arah kajian (</w:t>
      </w:r>
      <w:r>
        <w:t xml:space="preserve">Subbab </w:t>
      </w:r>
      <w:r>
        <w:fldChar w:fldCharType="begin"/>
      </w:r>
      <w:r>
        <w:instrText xml:space="preserve"> REF _Ref0205 \h \* CHARFORMAT </w:instrText>
      </w:r>
      <w:r>
        <w:fldChar w:fldCharType="separate"/>
      </w:r>
      <w:r>
        <w:t xml:space="preserve">3.9</w:t>
      </w:r>
      <w:r>
        <w:fldChar w:fldCharType="end"/>
      </w:r>
      <w:r>
        <w:t xml:space="preserve">). Lampiran ini memuat butir lain yang memiliki lebih dari satu versi resmi atau pembanding, dengan aturan yang sama: versi resmi yang dibaca di dokumen penerbitnya dipakai, versi sekunder hanya pembanding, dan dua versi resmi yang bertentangan ditulis berdampingan tanpa dirata-rata </w:t>
      </w:r>
      <w:r>
        <w:t xml:space="preserve">(BNPB, t.t.-a, 2026c)</w:t>
      </w:r>
      <w:r>
        <w:t xml:space="preserve">. Versi yang berbeda karena definisi diberi nama besarannya dan tidak disebut bertentangan.</w:t>
      </w:r>
    </w:p>
    <w:p>
      <w:pPr>
        <w:pStyle w:val="IsiTemuan"/>
      </w:pPr>
      <w:r>
        <w:rPr>
          <w:b/>
          <w:bCs/>
          <w:color w:val="051C2C"/>
        </w:rPr>
        <w:t xml:space="preserve">Pernyataan produsen.</w:t>
      </w:r>
      <w:r>
        <w:t xml:space="preserve"> Hitungan per 100.000 penduduk dan pemilihan jendela kejadian adalah turunan penyusun dari data resmi, bukan Data Bencana menurut Perban BNPB 1/2023 </w:t>
      </w:r>
      <w:r>
        <w:t xml:space="preserve">(BNPB, 2023b)</w:t>
      </w:r>
      <w:r>
        <w:t xml:space="preserve">.</w:t>
      </w:r>
    </w:p>
    <w:p>
      <w:pPr>
        <w:pStyle w:val="Caption"/>
      </w:pPr>
      <w:bookmarkStart w:id="962" w:name="_Toc00302"/>
      <w:bookmarkStart w:id="961" w:name="_Ref0253"/>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61"/>
      <w:r>
        <w:rPr>
          <w:b/>
          <w:bCs/>
          <w:color w:val="051C2C"/>
        </w:rPr>
        <w:t xml:space="preserve"> </w:t>
      </w:r>
      <w:r>
        <w:t xml:space="preserve">Butir angka berversi ganda di luar rekonsiliasi Bab 3, versi yang dipakai, dan sebab bedanya, 2009–2026</w:t>
      </w:r>
      <w:bookmarkEnd w:id="96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50"/>
        <w:gridCol w:w="1877"/>
        <w:gridCol w:w="1695"/>
        <w:gridCol w:w="1089"/>
        <w:gridCol w:w="1443"/>
      </w:tblGrid>
      <w:tr>
        <w:trPr>
          <w:cantSplit/>
          <w:tblHeader/>
        </w:trPr>
        <w:tc>
          <w:tcPr>
            <w:tcW w:w="3250" w:type="dxa"/>
            <w:tcBorders>
              <w:bottom w:val="single" w:sz="8" w:space="0" w:color="6B7280"/>
            </w:tcBorders>
            <w:vAlign w:val="bottom"/>
          </w:tcPr>
          <w:p>
            <w:pPr>
              <w:pStyle w:val="KepalaTabel"/>
              <w:suppressAutoHyphens/>
            </w:pPr>
            <w:r>
              <w:rPr>
                <w:b/>
                <w:bCs/>
                <w:color w:val="6B7280"/>
                <w:sz w:val="17"/>
                <w:szCs w:val="17"/>
              </w:rPr>
              <w:t xml:space="preserve">BESARAN</w:t>
            </w:r>
          </w:p>
        </w:tc>
        <w:tc>
          <w:tcPr>
            <w:tcW w:w="1877" w:type="dxa"/>
            <w:tcBorders>
              <w:bottom w:val="single" w:sz="8" w:space="0" w:color="6B7280"/>
            </w:tcBorders>
            <w:vAlign w:val="bottom"/>
          </w:tcPr>
          <w:p>
            <w:pPr>
              <w:pStyle w:val="KepalaTabel"/>
              <w:suppressAutoHyphens/>
            </w:pPr>
            <w:r>
              <w:rPr>
                <w:b/>
                <w:bCs/>
                <w:color w:val="6B7280"/>
                <w:sz w:val="17"/>
                <w:szCs w:val="17"/>
              </w:rPr>
              <w:t xml:space="preserve">VERSI DAN NILAI</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c>
          <w:tcPr>
            <w:tcW w:w="1089" w:type="dxa"/>
            <w:tcBorders>
              <w:bottom w:val="single" w:sz="8" w:space="0" w:color="6B7280"/>
            </w:tcBorders>
            <w:vAlign w:val="bottom"/>
          </w:tcPr>
          <w:p>
            <w:pPr>
              <w:pStyle w:val="KepalaTabel"/>
              <w:suppressAutoHyphens/>
            </w:pPr>
            <w:r>
              <w:rPr>
                <w:b/>
                <w:bCs/>
                <w:color w:val="6B7280"/>
                <w:sz w:val="17"/>
                <w:szCs w:val="17"/>
              </w:rPr>
              <w:t xml:space="preserve">SEBAB BEDA</w:t>
            </w:r>
          </w:p>
        </w:tc>
        <w:tc>
          <w:tcPr>
            <w:tcW w:w="1443" w:type="dxa"/>
            <w:tcBorders>
              <w:bottom w:val="single" w:sz="8" w:space="0" w:color="6B7280"/>
            </w:tcBorders>
            <w:vAlign w:val="bottom"/>
          </w:tcPr>
          <w:p>
            <w:pPr>
              <w:pStyle w:val="KepalaTabel"/>
              <w:suppressAutoHyphens/>
            </w:pPr>
            <w:r>
              <w:rPr>
                <w:b/>
                <w:bCs/>
                <w:color w:val="6B7280"/>
                <w:sz w:val="17"/>
                <w:szCs w:val="17"/>
              </w:rPr>
              <w:t xml:space="preserve">YANG DIPAKAI</w:t>
            </w:r>
          </w:p>
        </w:tc>
      </w:tr>
      <w:tr>
        <w:trPr>
          <w:cantSplit/>
        </w:trPr>
        <w:tc>
          <w:tcPr>
            <w:tcW w:w="3250" w:type="dxa"/>
          </w:tcPr>
          <w:p>
            <w:pPr>
              <w:pStyle w:val="IsiTabel"/>
              <w:suppressAutoHyphens/>
              <w:jc w:val="left"/>
            </w:pPr>
            <w:r>
              <w:t xml:space="preserve">Korban bencana 2025</w:t>
            </w:r>
          </w:p>
        </w:tc>
        <w:tc>
          <w:tcPr>
            <w:tcW w:w="1877" w:type="dxa"/>
          </w:tcPr>
          <w:p>
            <w:pPr>
              <w:pStyle w:val="IsiTabel"/>
              <w:suppressAutoHyphens/>
              <w:jc w:val="left"/>
            </w:pPr>
            <w:r>
              <w:t xml:space="preserve">LKIP BNPB 2025 </w:t>
            </w:r>
            <w:r>
              <w:t xml:space="preserve">1.666</w:t>
            </w:r>
            <w:r>
              <w:t xml:space="preserve"> meninggal dan </w:t>
            </w:r>
            <w:r>
              <w:t xml:space="preserve">214</w:t>
            </w:r>
            <w:r>
              <w:t xml:space="preserve"> hilang; DIBI semua klasifikasi </w:t>
            </w:r>
            <w:r>
              <w:t xml:space="preserve">2.030</w:t>
            </w:r>
            <w:r>
              <w:t xml:space="preserve"> dan </w:t>
            </w:r>
            <w:r>
              <w:t xml:space="preserve">246</w:t>
            </w:r>
            <w:r>
              <w:t xml:space="preserve">; DIBI bencana alam </w:t>
            </w:r>
            <w:r>
              <w:t xml:space="preserve">1.735</w:t>
            </w:r>
            <w:r>
              <w:t xml:space="preserve"> dan </w:t>
            </w:r>
            <w:r>
              <w:t xml:space="preserve">221</w:t>
            </w:r>
          </w:p>
        </w:tc>
        <w:tc>
          <w:tcPr>
            <w:tcW w:w="1695" w:type="dxa"/>
          </w:tcPr>
          <w:p>
            <w:pPr>
              <w:pStyle w:val="IsiTabel"/>
              <w:suppressAutoHyphens/>
              <w:jc w:val="left"/>
            </w:pPr>
            <w:r>
              <w:rPr>
                <w:b/>
                <w:bCs/>
                <w:color w:val="FFFFFF"/>
                <w:sz w:val="16"/>
                <w:szCs w:val="16"/>
                <w:shd w:val="clear" w:color="auto" w:fill="051C2C"/>
              </w:rPr>
              <w:t xml:space="preserve">  Resmi  </w:t>
            </w:r>
          </w:p>
        </w:tc>
        <w:tc>
          <w:tcPr>
            <w:tcW w:w="1089" w:type="dxa"/>
          </w:tcPr>
          <w:p>
            <w:pPr>
              <w:pStyle w:val="IsiTabel"/>
              <w:suppressAutoHyphens/>
              <w:jc w:val="left"/>
            </w:pPr>
            <w:r>
              <w:t xml:space="preserve">tanggal data dan klasifikasi</w:t>
            </w:r>
          </w:p>
        </w:tc>
        <w:tc>
          <w:tcPr>
            <w:tcW w:w="1443" w:type="dxa"/>
          </w:tcPr>
          <w:p>
            <w:pPr>
              <w:pStyle w:val="IsiTabel"/>
              <w:suppressAutoHyphens/>
              <w:jc w:val="left"/>
            </w:pPr>
            <w:r>
              <w:t xml:space="preserve">DIBI bencana alam untuk tren; LKIP berdampingan</w:t>
            </w:r>
          </w:p>
        </w:tc>
      </w:tr>
      <w:tr>
        <w:trPr>
          <w:cantSplit/>
        </w:trPr>
        <w:tc>
          <w:tcPr>
            <w:tcW w:w="3250" w:type="dxa"/>
          </w:tcPr>
          <w:p>
            <w:pPr>
              <w:pStyle w:val="IsiTabel"/>
              <w:suppressAutoHyphens/>
              <w:jc w:val="left"/>
            </w:pPr>
            <w:r>
              <w:t xml:space="preserve">Renas PB 1.a, 2025</w:t>
            </w:r>
          </w:p>
        </w:tc>
        <w:tc>
          <w:tcPr>
            <w:tcW w:w="1877" w:type="dxa"/>
          </w:tcPr>
          <w:p>
            <w:pPr>
              <w:pStyle w:val="IsiTabel"/>
              <w:suppressAutoHyphens/>
              <w:jc w:val="left"/>
            </w:pPr>
            <w:r>
              <w:t xml:space="preserve">DIBI bencana alam </w:t>
            </w:r>
            <w:r>
              <w:t xml:space="preserve">0,68</w:t>
            </w:r>
            <w:r>
              <w:t xml:space="preserve"> per 100.000; semua klasifikasi </w:t>
            </w:r>
            <w:r>
              <w:t xml:space="preserve">0,79</w:t>
            </w:r>
            <w:r>
              <w:t xml:space="preserve">; proyeksi Renas PB </w:t>
            </w:r>
            <w:r>
              <w:t xml:space="preserve">0,22</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089" w:type="dxa"/>
          </w:tcPr>
          <w:p>
            <w:pPr>
              <w:pStyle w:val="IsiTabel"/>
              <w:suppressAutoHyphens/>
              <w:jc w:val="left"/>
            </w:pPr>
            <w:r>
              <w:t xml:space="preserve">klasifikasi dan penyebut; rumus Renas PB tidak tertulis</w:t>
            </w:r>
          </w:p>
        </w:tc>
        <w:tc>
          <w:tcPr>
            <w:tcW w:w="1443" w:type="dxa"/>
          </w:tcPr>
          <w:p>
            <w:pPr>
              <w:pStyle w:val="IsiTabel"/>
              <w:suppressAutoHyphens/>
              <w:jc w:val="left"/>
            </w:pPr>
            <w:r>
              <w:t xml:space="preserve">berdampingan sebagai pembanding, bukan capaian</w:t>
            </w:r>
          </w:p>
        </w:tc>
      </w:tr>
      <w:tr>
        <w:trPr>
          <w:cantSplit/>
        </w:trPr>
        <w:tc>
          <w:tcPr>
            <w:tcW w:w="3250" w:type="dxa"/>
          </w:tcPr>
          <w:p>
            <w:pPr>
              <w:pStyle w:val="IsiTabel"/>
              <w:suppressAutoHyphens/>
              <w:jc w:val="left"/>
            </w:pPr>
            <w:r>
              <w:t xml:space="preserve">Kejadian bencana 2025</w:t>
            </w:r>
          </w:p>
        </w:tc>
        <w:tc>
          <w:tcPr>
            <w:tcW w:w="1877" w:type="dxa"/>
          </w:tcPr>
          <w:p>
            <w:pPr>
              <w:pStyle w:val="IsiTabel"/>
              <w:suppressAutoHyphens/>
              <w:jc w:val="left"/>
            </w:pPr>
            <w:r>
              <w:t xml:space="preserve">semua laporan </w:t>
            </w:r>
            <w:r>
              <w:t xml:space="preserve">9.305</w:t>
            </w:r>
            <w:r>
              <w:t xml:space="preserve">; kejadian bencana </w:t>
            </w:r>
            <w:r>
              <w:t xml:space="preserve">5.440</w:t>
            </w:r>
            <w:r>
              <w:t xml:space="preserve">; bencana alam </w:t>
            </w:r>
            <w:r>
              <w:t xml:space="preserve">5.077</w:t>
            </w:r>
          </w:p>
        </w:tc>
        <w:tc>
          <w:tcPr>
            <w:tcW w:w="1695" w:type="dxa"/>
          </w:tcPr>
          <w:p>
            <w:pPr>
              <w:pStyle w:val="IsiTabel"/>
              <w:suppressAutoHyphens/>
              <w:jc w:val="left"/>
            </w:pPr>
            <w:r>
              <w:rPr>
                <w:b/>
                <w:bCs/>
                <w:color w:val="FFFFFF"/>
                <w:sz w:val="16"/>
                <w:szCs w:val="16"/>
                <w:shd w:val="clear" w:color="auto" w:fill="051C2C"/>
              </w:rPr>
              <w:t xml:space="preserve">  Resmi  </w:t>
            </w:r>
          </w:p>
        </w:tc>
        <w:tc>
          <w:tcPr>
            <w:tcW w:w="1089" w:type="dxa"/>
          </w:tcPr>
          <w:p>
            <w:pPr>
              <w:pStyle w:val="IsiTabel"/>
              <w:suppressAutoHyphens/>
              <w:jc w:val="left"/>
            </w:pPr>
            <w:r>
              <w:t xml:space="preserve">cakupan dan ambang Juklak BNPB 7/2023</w:t>
            </w:r>
          </w:p>
        </w:tc>
        <w:tc>
          <w:tcPr>
            <w:tcW w:w="1443" w:type="dxa"/>
          </w:tcPr>
          <w:p>
            <w:pPr>
              <w:pStyle w:val="IsiTabel"/>
              <w:suppressAutoHyphens/>
              <w:jc w:val="left"/>
            </w:pPr>
            <w:r>
              <w:t xml:space="preserve">kejadian bencana bercakupan tertulis</w:t>
            </w:r>
          </w:p>
        </w:tc>
      </w:tr>
      <w:tr>
        <w:trPr>
          <w:cantSplit/>
        </w:trPr>
        <w:tc>
          <w:tcPr>
            <w:tcW w:w="3250" w:type="dxa"/>
          </w:tcPr>
          <w:p>
            <w:pPr>
              <w:pStyle w:val="IsiTabel"/>
              <w:suppressAutoHyphens/>
              <w:jc w:val="left"/>
            </w:pPr>
            <w:r>
              <w:t xml:space="preserve">IRB nasional 2024</w:t>
            </w:r>
          </w:p>
        </w:tc>
        <w:tc>
          <w:tcPr>
            <w:tcW w:w="1877" w:type="dxa"/>
          </w:tcPr>
          <w:p>
            <w:pPr>
              <w:pStyle w:val="IsiTabel"/>
              <w:suppressAutoHyphens/>
              <w:jc w:val="left"/>
            </w:pPr>
            <w:r>
              <w:t xml:space="preserve">seri IRBI 2015–2024 </w:t>
            </w:r>
            <w:r>
              <w:t xml:space="preserve">128,52</w:t>
            </w:r>
            <w:r>
              <w:t xml:space="preserve">; hitungan LKIP dengan komponen KRB 2021 </w:t>
            </w:r>
            <w:r>
              <w:t xml:space="preserve">171,95</w:t>
            </w:r>
          </w:p>
        </w:tc>
        <w:tc>
          <w:tcPr>
            <w:tcW w:w="1695" w:type="dxa"/>
          </w:tcPr>
          <w:p>
            <w:pPr>
              <w:pStyle w:val="IsiTabel"/>
              <w:suppressAutoHyphens/>
              <w:jc w:val="left"/>
            </w:pPr>
            <w:r>
              <w:rPr>
                <w:b/>
                <w:bCs/>
                <w:color w:val="FFFFFF"/>
                <w:sz w:val="16"/>
                <w:szCs w:val="16"/>
                <w:shd w:val="clear" w:color="auto" w:fill="051C2C"/>
              </w:rPr>
              <w:t xml:space="preserve">  Resmi  </w:t>
            </w:r>
          </w:p>
        </w:tc>
        <w:tc>
          <w:tcPr>
            <w:tcW w:w="1089" w:type="dxa"/>
          </w:tcPr>
          <w:p>
            <w:pPr>
              <w:pStyle w:val="IsiTabel"/>
              <w:suppressAutoHyphens/>
              <w:jc w:val="left"/>
            </w:pPr>
            <w:r>
              <w:t xml:space="preserve">komponen indeks berbeda</w:t>
            </w:r>
          </w:p>
        </w:tc>
        <w:tc>
          <w:tcPr>
            <w:tcW w:w="1443" w:type="dxa"/>
          </w:tcPr>
          <w:p>
            <w:pPr>
              <w:pStyle w:val="IsiTabel"/>
              <w:suppressAutoHyphens/>
              <w:jc w:val="left"/>
            </w:pPr>
            <w:r>
              <w:t xml:space="preserve">berdampingan; rekonsiliasi lewat catatan metode IRBI 2025</w:t>
            </w:r>
          </w:p>
        </w:tc>
      </w:tr>
      <w:tr>
        <w:trPr>
          <w:cantSplit/>
        </w:trPr>
        <w:tc>
          <w:tcPr>
            <w:tcW w:w="3250" w:type="dxa"/>
          </w:tcPr>
          <w:p>
            <w:pPr>
              <w:pStyle w:val="IsiTabel"/>
              <w:keepNext/>
              <w:suppressAutoHyphens/>
              <w:jc w:val="left"/>
            </w:pPr>
            <w:bookmarkStart w:id="963" w:name="_Ekor116a"/>
            <w:bookmarkEnd w:id="963"/>
            <w:r>
              <w:t xml:space="preserve">Gempa Lombok 2018, meninggal</w:t>
            </w:r>
          </w:p>
        </w:tc>
        <w:tc>
          <w:tcPr>
            <w:tcW w:w="1877" w:type="dxa"/>
          </w:tcPr>
          <w:p>
            <w:pPr>
              <w:pStyle w:val="IsiTabel"/>
              <w:keepNext/>
              <w:suppressAutoHyphens/>
              <w:jc w:val="left"/>
            </w:pPr>
            <w:r>
              <w:t xml:space="preserve">DIBI </w:t>
            </w:r>
            <w:r>
              <w:t xml:space="preserve">569</w:t>
            </w:r>
            <w:r>
              <w:t xml:space="preserve">; USGS </w:t>
            </w:r>
            <w:r>
              <w:t xml:space="preserve">563</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jendela kejadian dan penerbit</w:t>
            </w:r>
          </w:p>
        </w:tc>
        <w:tc>
          <w:tcPr>
            <w:tcW w:w="1443" w:type="dxa"/>
          </w:tcPr>
          <w:p>
            <w:pPr>
              <w:pStyle w:val="IsiTabel"/>
              <w:keepNext/>
              <w:suppressAutoHyphens/>
              <w:jc w:val="left"/>
            </w:pPr>
            <w:r>
              <w:t xml:space="preserve">DIBI</w:t>
            </w:r>
          </w:p>
        </w:tc>
      </w:tr>
      <w:tr>
        <w:trPr>
          <w:cantSplit/>
        </w:trPr>
        <w:tc>
          <w:tcPr>
            <w:tcW w:w="3250" w:type="dxa"/>
          </w:tcPr>
          <w:p>
            <w:pPr>
              <w:pStyle w:val="IsiTabel"/>
              <w:keepNext/>
              <w:suppressAutoHyphens/>
              <w:jc w:val="left"/>
            </w:pPr>
            <w:r>
              <w:t xml:space="preserve">Gempa Padang 2009, meninggal</w:t>
            </w:r>
          </w:p>
        </w:tc>
        <w:tc>
          <w:tcPr>
            <w:tcW w:w="1877" w:type="dxa"/>
          </w:tcPr>
          <w:p>
            <w:pPr>
              <w:pStyle w:val="IsiTabel"/>
              <w:keepNext/>
              <w:suppressAutoHyphens/>
              <w:jc w:val="left"/>
            </w:pPr>
            <w:r>
              <w:t xml:space="preserve">DIBI </w:t>
            </w:r>
            <w:r>
              <w:t xml:space="preserve">1.195</w:t>
            </w:r>
            <w:r>
              <w:t xml:space="preserve"> meninggal dan </w:t>
            </w:r>
            <w:r>
              <w:t xml:space="preserve">2</w:t>
            </w:r>
            <w:r>
              <w:t xml:space="preserve"> hilang; USGS </w:t>
            </w:r>
            <w:r>
              <w:t xml:space="preserve">1.117</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penerbit dan tanggal rekap</w:t>
            </w:r>
          </w:p>
        </w:tc>
        <w:tc>
          <w:tcPr>
            <w:tcW w:w="1443" w:type="dxa"/>
          </w:tcPr>
          <w:p>
            <w:pPr>
              <w:pStyle w:val="IsiTabel"/>
              <w:keepNext/>
              <w:suppressAutoHyphens/>
              <w:jc w:val="left"/>
            </w:pPr>
            <w:r>
              <w:t xml:space="preserve">DIBI</w:t>
            </w:r>
          </w:p>
        </w:tc>
      </w:tr>
      <w:tr>
        <w:trPr>
          <w:cantSplit/>
        </w:trPr>
        <w:tc>
          <w:tcPr>
            <w:tcW w:w="3250" w:type="dxa"/>
          </w:tcPr>
          <w:p>
            <w:pPr>
              <w:pStyle w:val="IsiTabel"/>
              <w:keepNext/>
              <w:suppressAutoHyphens/>
              <w:jc w:val="left"/>
            </w:pPr>
            <w:r>
              <w:t xml:space="preserve">Penyebut penduduk nasional</w:t>
            </w:r>
          </w:p>
        </w:tc>
        <w:tc>
          <w:tcPr>
            <w:tcW w:w="1877" w:type="dxa"/>
          </w:tcPr>
          <w:p>
            <w:pPr>
              <w:pStyle w:val="IsiTabel"/>
              <w:keepNext/>
              <w:suppressAutoHyphens/>
              <w:jc w:val="left"/>
            </w:pPr>
            <w:r>
              <w:t xml:space="preserve">BPS 2026 </w:t>
            </w:r>
            <w:r>
              <w:t xml:space="preserve">287.198.383</w:t>
            </w:r>
            <w:r>
              <w:t xml:space="preserve">; KRB InaRISK </w:t>
            </w:r>
            <w:r>
              <w:t xml:space="preserve">271.680.290</w:t>
            </w:r>
            <w:r>
              <w:t xml:space="preserve">; Sensus Penduduk 2020 </w:t>
            </w:r>
            <w:r>
              <w:t xml:space="preserve">270.203.917</w:t>
            </w:r>
            <w:r>
              <w:t xml:space="preserve">; WorldPop 2026 </w:t>
            </w:r>
            <w:r>
              <w:t xml:space="preserve">sekitar 290.000.000</w:t>
            </w:r>
            <w:r>
              <w:t xml:space="preserve"> (estimasi model)</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tahun basis dan cara hitung</w:t>
            </w:r>
          </w:p>
        </w:tc>
        <w:tc>
          <w:tcPr>
            <w:tcW w:w="1443" w:type="dxa"/>
          </w:tcPr>
          <w:p>
            <w:pPr>
              <w:pStyle w:val="IsiTabel"/>
              <w:keepNext/>
              <w:suppressAutoHyphens/>
              <w:jc w:val="left"/>
            </w:pPr>
            <w:r>
              <w:t xml:space="preserve">BPS 2026 untuk indikator per 100.000; KRB untuk penyebut kab/kota</w:t>
            </w:r>
          </w:p>
        </w:tc>
      </w:tr>
      <w:tr>
        <w:trPr>
          <w:cantSplit/>
        </w:trPr>
        <w:tc>
          <w:tcPr>
            <w:tcW w:w="3250" w:type="dxa"/>
          </w:tcPr>
          <w:p>
            <w:pPr>
              <w:pStyle w:val="IsiTabel"/>
              <w:keepNext/>
              <w:suppressAutoHyphens/>
              <w:jc w:val="left"/>
            </w:pPr>
            <w:bookmarkStart w:id="964" w:name="_Ekor116z"/>
            <w:bookmarkEnd w:id="964"/>
            <w:r>
              <w:t xml:space="preserve">Tiga provinsi berindeks terendah 2023</w:t>
            </w:r>
          </w:p>
        </w:tc>
        <w:tc>
          <w:tcPr>
            <w:tcW w:w="1877" w:type="dxa"/>
          </w:tcPr>
          <w:p>
            <w:pPr>
              <w:pStyle w:val="IsiTabel"/>
              <w:keepNext/>
              <w:suppressAutoHyphens/>
              <w:jc w:val="left"/>
            </w:pPr>
            <w:r>
              <w:t xml:space="preserve">Renas PB: DKI Jakarta, Papua Pegunungan, DI Yogyakarta; Renstra Tabel 1.1 dan data InaRISK menempatkan Kepulauan Riau di bawah DI Yogyakarta</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dua dokumen BNPB berbeda</w:t>
            </w:r>
          </w:p>
        </w:tc>
        <w:tc>
          <w:tcPr>
            <w:tcW w:w="1443" w:type="dxa"/>
          </w:tcPr>
          <w:p>
            <w:pPr>
              <w:pStyle w:val="IsiTabel"/>
              <w:keepNext/>
              <w:suppressAutoHyphens/>
              <w:jc w:val="left"/>
            </w:pPr>
            <w:r>
              <w:t xml:space="preserve">berdampingan; dicatat di Lampiran J</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LKIP BNPB 2025; Renas PB 2025–2029; Renstra BNPB 2025–2029; USGS; BPS; InaRISK BNPB; WorldPop 2026;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Kolom keyakinan memuat label versi yang dipakai. Penyebut per 100.000 penduduk adalah proyeksi BPS 2026.</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Indikator Renas PB 1.a berubah menurut penyebut yang dipilih, sehingga realisasi 2025 hanya dibaca sebagai pembanding terhadap proyeksi Renas PB, bukan capaian</w:t>
      </w:r>
      <w:r>
        <w:t xml:space="preserve"> (</w:t>
      </w:r>
      <w:r>
        <w:t xml:space="preserve">Subbab </w:t>
      </w:r>
      <w:r>
        <w:fldChar w:fldCharType="begin"/>
      </w:r>
      <w:r>
        <w:instrText xml:space="preserve"> REF _Ref0206 \h \* CHARFORMAT </w:instrText>
      </w:r>
      <w:r>
        <w:fldChar w:fldCharType="separate"/>
      </w:r>
      <w:r>
        <w:t xml:space="preserve">12.4</w:t>
      </w:r>
      <w:r>
        <w:fldChar w:fldCharType="end"/>
      </w:r>
      <w:r>
        <w:t xml:space="preserve">). Rumus dan penyebut indikator itu diusulkan ditulis lewat evaluasi tahunan Renas PB 2026 (</w:t>
      </w:r>
      <w:r>
        <w:fldChar w:fldCharType="begin"/>
      </w:r>
      <w:r>
        <w:instrText xml:space="preserve"> REF _Ref0094 \h \* CHARFORMAT </w:instrText>
      </w:r>
      <w:r>
        <w:fldChar w:fldCharType="separate"/>
      </w:r>
      <w:r>
        <w:t xml:space="preserve">21</w:t>
      </w:r>
      <w:r>
        <w:fldChar w:fldCharType="end"/>
      </w:r>
      <w:r>
        <w:t xml:space="preserve">).</w:t>
      </w:r>
    </w:p>
    <w:p>
      <w:pPr>
        <w:pStyle w:val="JudulLampiran"/>
      </w:pPr>
      <w:bookmarkStart w:id="966" w:name="_Toc00303"/>
      <w:bookmarkStart w:id="965" w:name="_Ref0067"/>
      <w:r>
        <w:t xml:space="preserve">Lampiran H</w:t>
      </w:r>
      <w:bookmarkEnd w:id="965"/>
      <w:r>
        <w:t xml:space="preserve">. Katalog Program dan Kekuatan Bukti</w:t>
      </w:r>
      <w:bookmarkEnd w:id="966"/>
    </w:p>
    <w:p>
      <w:pPr>
        <w:pStyle w:val="Isi"/>
      </w:pPr>
      <w:r>
        <w:t xml:space="preserve">Katalog ini memuat seluruh </w:t>
      </w:r>
      <w:r>
        <w:t xml:space="preserve">25</w:t>
      </w:r>
      <w:r>
        <w:t xml:space="preserve"> program dalam kompendium kedua kajian beserta kekuatan buktinya </w:t>
      </w:r>
      <w:r>
        <w:t xml:space="preserve">(Pantau Bencana, 2026d)</w:t>
      </w:r>
      <w:r>
        <w:t xml:space="preserve">. Rubrik kompendium memberi kuat untuk deret sebelum-sesudah resmi atau studi bertinjauan dengan pola konsisten, bukan untuk uji kausal, dan belum terbukti berarti bukti dampak tidak ditemukan (</w:t>
      </w:r>
      <w:r>
        <w:t xml:space="preserve">Subbab </w:t>
      </w:r>
      <w:r>
        <w:fldChar w:fldCharType="begin"/>
      </w:r>
      <w:r>
        <w:instrText xml:space="preserve"> REF _Ref0192 \h \* CHARFORMAT </w:instrText>
      </w:r>
      <w:r>
        <w:fldChar w:fldCharType="separate"/>
      </w:r>
      <w:r>
        <w:t xml:space="preserve">2.5</w:t>
      </w:r>
      <w:r>
        <w:fldChar w:fldCharType="end"/>
      </w:r>
      <w:r>
        <w:t xml:space="preserve">). Belum terbukti tidak berarti program tidak bermanfaat.</w:t>
      </w:r>
    </w:p>
    <w:p>
      <w:pPr>
        <w:pStyle w:val="IsiTemuan"/>
      </w:pPr>
      <w:r>
        <w:rPr>
          <w:b/>
          <w:bCs/>
          <w:color w:val="051C2C"/>
        </w:rPr>
        <w:t xml:space="preserve">Kedua program berbukti kuat berasal dari luar negeri, dan tidak satu pun program dalam negeri berbukti kuat</w:t>
      </w:r>
      <w:r>
        <w:t xml:space="preserve"> (</w:t>
      </w:r>
      <w:r>
        <w:fldChar w:fldCharType="begin"/>
      </w:r>
      <w:r>
        <w:instrText xml:space="preserve"> REF _Ref0264 \h \* CHARFORMAT </w:instrText>
      </w:r>
      <w:r>
        <w:fldChar w:fldCharType="separate"/>
      </w:r>
      <w:r>
        <w:t xml:space="preserve">Tabel H.1</w:t>
      </w:r>
      <w:r>
        <w:fldChar w:fldCharType="end"/>
      </w:r>
      <w:r>
        <w:t xml:space="preserve">). Status usulan hanya diberikan kepada program dalam negeri; kolom kajian menunjukkan kajian yang memakai program itu, dan uraian program untuk kajian mitigasi ada di Bab 2, Bab 6, Bab 10, dan Bab 11.</w:t>
      </w:r>
    </w:p>
    <w:p>
      <w:pPr>
        <w:pStyle w:val="Caption"/>
      </w:pPr>
      <w:bookmarkStart w:id="968" w:name="_Toc00304"/>
      <w:bookmarkStart w:id="967" w:name="_Ref0264"/>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67"/>
      <w:r>
        <w:rPr>
          <w:b/>
          <w:bCs/>
          <w:color w:val="051C2C"/>
        </w:rPr>
        <w:t xml:space="preserve"> </w:t>
      </w:r>
      <w:r>
        <w:t xml:space="preserve">Program dalam kompendium menurut kelompok, kekuatan bukti, posisi, dan status usulan, 1956–2026</w:t>
      </w:r>
      <w:bookmarkEnd w:id="9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32"/>
        <w:gridCol w:w="1486"/>
        <w:gridCol w:w="1455"/>
        <w:gridCol w:w="815"/>
        <w:gridCol w:w="1007"/>
        <w:gridCol w:w="1391"/>
        <w:gridCol w:w="968"/>
      </w:tblGrid>
      <w:tr>
        <w:trPr>
          <w:cantSplit/>
          <w:tblHeader/>
        </w:trPr>
        <w:tc>
          <w:tcPr>
            <w:tcW w:w="2232" w:type="dxa"/>
            <w:tcBorders>
              <w:bottom w:val="single" w:sz="8" w:space="0" w:color="6B7280"/>
            </w:tcBorders>
            <w:vAlign w:val="bottom"/>
          </w:tcPr>
          <w:p>
            <w:pPr>
              <w:pStyle w:val="KepalaTabel"/>
              <w:suppressAutoHyphens/>
            </w:pPr>
            <w:r>
              <w:rPr>
                <w:b/>
                <w:bCs/>
                <w:color w:val="6B7280"/>
                <w:sz w:val="17"/>
                <w:szCs w:val="17"/>
              </w:rPr>
              <w:t xml:space="preserve">PROGRAM</w:t>
            </w:r>
          </w:p>
        </w:tc>
        <w:tc>
          <w:tcPr>
            <w:tcW w:w="1486" w:type="dxa"/>
            <w:tcBorders>
              <w:bottom w:val="single" w:sz="8" w:space="0" w:color="6B7280"/>
            </w:tcBorders>
            <w:vAlign w:val="bottom"/>
          </w:tcPr>
          <w:p>
            <w:pPr>
              <w:pStyle w:val="KepalaTabel"/>
              <w:suppressAutoHyphens/>
            </w:pPr>
            <w:r>
              <w:rPr>
                <w:b/>
                <w:bCs/>
                <w:color w:val="6B7280"/>
                <w:sz w:val="17"/>
                <w:szCs w:val="17"/>
              </w:rPr>
              <w:t xml:space="preserve">LOKASI</w:t>
            </w:r>
          </w:p>
        </w:tc>
        <w:tc>
          <w:tcPr>
            <w:tcW w:w="1455" w:type="dxa"/>
            <w:tcBorders>
              <w:bottom w:val="single" w:sz="8" w:space="0" w:color="6B7280"/>
            </w:tcBorders>
            <w:vAlign w:val="bottom"/>
          </w:tcPr>
          <w:p>
            <w:pPr>
              <w:pStyle w:val="KepalaTabel"/>
              <w:suppressAutoHyphens/>
            </w:pPr>
            <w:r>
              <w:rPr>
                <w:b/>
                <w:bCs/>
                <w:color w:val="6B7280"/>
                <w:sz w:val="17"/>
                <w:szCs w:val="17"/>
              </w:rPr>
              <w:t xml:space="preserve">PERIODE</w:t>
            </w:r>
          </w:p>
        </w:tc>
        <w:tc>
          <w:tcPr>
            <w:tcW w:w="815" w:type="dxa"/>
            <w:tcBorders>
              <w:bottom w:val="single" w:sz="8" w:space="0" w:color="6B7280"/>
            </w:tcBorders>
            <w:vAlign w:val="bottom"/>
          </w:tcPr>
          <w:p>
            <w:pPr>
              <w:pStyle w:val="KepalaTabel"/>
              <w:suppressAutoHyphens/>
            </w:pPr>
            <w:r>
              <w:rPr>
                <w:b/>
                <w:bCs/>
                <w:color w:val="6B7280"/>
                <w:sz w:val="17"/>
                <w:szCs w:val="17"/>
              </w:rPr>
              <w:t xml:space="preserve">BUKTI</w:t>
            </w:r>
          </w:p>
        </w:tc>
        <w:tc>
          <w:tcPr>
            <w:tcW w:w="1007" w:type="dxa"/>
            <w:tcBorders>
              <w:bottom w:val="single" w:sz="8" w:space="0" w:color="6B7280"/>
            </w:tcBorders>
            <w:vAlign w:val="bottom"/>
          </w:tcPr>
          <w:p>
            <w:pPr>
              <w:pStyle w:val="KepalaTabel"/>
              <w:suppressAutoHyphens/>
            </w:pPr>
            <w:r>
              <w:rPr>
                <w:b/>
                <w:bCs/>
                <w:color w:val="6B7280"/>
                <w:sz w:val="17"/>
                <w:szCs w:val="17"/>
              </w:rPr>
              <w:t xml:space="preserve">POSISI</w:t>
            </w:r>
          </w:p>
        </w:tc>
        <w:tc>
          <w:tcPr>
            <w:tcW w:w="1391" w:type="dxa"/>
            <w:tcBorders>
              <w:bottom w:val="single" w:sz="8" w:space="0" w:color="6B7280"/>
            </w:tcBorders>
            <w:vAlign w:val="bottom"/>
          </w:tcPr>
          <w:p>
            <w:pPr>
              <w:pStyle w:val="KepalaTabel"/>
              <w:suppressAutoHyphens/>
            </w:pPr>
            <w:r>
              <w:rPr>
                <w:b/>
                <w:bCs/>
                <w:color w:val="6B7280"/>
                <w:sz w:val="17"/>
                <w:szCs w:val="17"/>
              </w:rPr>
              <w:t xml:space="preserve">STATUS USULAN</w:t>
            </w:r>
          </w:p>
        </w:tc>
        <w:tc>
          <w:tcPr>
            <w:tcW w:w="968" w:type="dxa"/>
            <w:tcBorders>
              <w:bottom w:val="single" w:sz="8" w:space="0" w:color="6B7280"/>
            </w:tcBorders>
            <w:vAlign w:val="bottom"/>
          </w:tcPr>
          <w:p>
            <w:pPr>
              <w:pStyle w:val="KepalaTabel"/>
              <w:suppressAutoHyphens/>
            </w:pPr>
            <w:r>
              <w:rPr>
                <w:b/>
                <w:bCs/>
                <w:color w:val="6B7280"/>
                <w:sz w:val="17"/>
                <w:szCs w:val="17"/>
              </w:rPr>
              <w:t xml:space="preserve">KAJIAN</w:t>
            </w:r>
          </w:p>
        </w:tc>
      </w:tr>
      <w:tr>
        <w:trPr>
          <w:cantSplit/>
        </w:trPr>
        <w:tc>
          <w:tcPr>
            <w:tcW w:w="9354" w:type="dxa"/>
            <w:gridSpan w:val="7"/>
            <w:shd w:val="clear" w:color="auto" w:fill="E6EAF0"/>
          </w:tcPr>
          <w:p>
            <w:pPr>
              <w:pStyle w:val="IsiTabel"/>
              <w:keepNext/>
              <w:suppressAutoHyphens/>
              <w:ind w:left="0"/>
            </w:pPr>
            <w:r>
              <w:rPr>
                <w:b/>
                <w:bCs/>
              </w:rPr>
              <w:t xml:space="preserve">Dalam negeri</w:t>
            </w:r>
          </w:p>
        </w:tc>
      </w:tr>
      <w:tr>
        <w:trPr>
          <w:cantSplit/>
        </w:trPr>
        <w:tc>
          <w:tcPr>
            <w:tcW w:w="2232" w:type="dxa"/>
          </w:tcPr>
          <w:p>
            <w:pPr>
              <w:pStyle w:val="IsiTabel"/>
              <w:suppressAutoHyphens/>
              <w:jc w:val="left"/>
            </w:pPr>
            <w:r>
              <w:t xml:space="preserve">Desa dan Kelurahan Tangguh Bencana (Destana)</w:t>
            </w:r>
          </w:p>
        </w:tc>
        <w:tc>
          <w:tcPr>
            <w:tcW w:w="1486" w:type="dxa"/>
          </w:tcPr>
          <w:p>
            <w:pPr>
              <w:pStyle w:val="IsiTabel"/>
              <w:suppressAutoHyphens/>
              <w:jc w:val="left"/>
            </w:pPr>
            <w:r>
              <w:t xml:space="preserve">Indonesia, nasional</w:t>
            </w:r>
          </w:p>
        </w:tc>
        <w:tc>
          <w:tcPr>
            <w:tcW w:w="1455" w:type="dxa"/>
          </w:tcPr>
          <w:p>
            <w:pPr>
              <w:pStyle w:val="IsiTabel"/>
              <w:suppressAutoHyphens/>
              <w:jc w:val="left"/>
            </w:pPr>
            <w:r>
              <w:t xml:space="preserve">2012–sekarang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keduanya</w:t>
            </w:r>
          </w:p>
        </w:tc>
      </w:tr>
      <w:tr>
        <w:trPr>
          <w:cantSplit/>
        </w:trPr>
        <w:tc>
          <w:tcPr>
            <w:tcW w:w="2232" w:type="dxa"/>
          </w:tcPr>
          <w:p>
            <w:pPr>
              <w:pStyle w:val="IsiTabel"/>
              <w:suppressAutoHyphens/>
              <w:jc w:val="left"/>
            </w:pPr>
            <w:r>
              <w:t xml:space="preserve">Satuan Pendidikan Aman Bencana (SPAB)</w:t>
            </w:r>
          </w:p>
        </w:tc>
        <w:tc>
          <w:tcPr>
            <w:tcW w:w="1486" w:type="dxa"/>
          </w:tcPr>
          <w:p>
            <w:pPr>
              <w:pStyle w:val="IsiTabel"/>
              <w:suppressAutoHyphens/>
              <w:jc w:val="left"/>
            </w:pPr>
            <w:r>
              <w:t xml:space="preserve">Indonesia, nasional</w:t>
            </w:r>
          </w:p>
        </w:tc>
        <w:tc>
          <w:tcPr>
            <w:tcW w:w="1455" w:type="dxa"/>
          </w:tcPr>
          <w:p>
            <w:pPr>
              <w:pStyle w:val="IsiTabel"/>
              <w:suppressAutoHyphens/>
              <w:jc w:val="left"/>
            </w:pPr>
            <w:r>
              <w:t xml:space="preserve">2012–sekarang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Sistem Peringatan Dini Tsunami Indonesia (InaTEWS)</w:t>
            </w:r>
          </w:p>
        </w:tc>
        <w:tc>
          <w:tcPr>
            <w:tcW w:w="1486" w:type="dxa"/>
          </w:tcPr>
          <w:p>
            <w:pPr>
              <w:pStyle w:val="IsiTabel"/>
              <w:suppressAutoHyphens/>
              <w:jc w:val="left"/>
            </w:pPr>
            <w:r>
              <w:t xml:space="preserve">Indonesia, pesisir rawan tsunami</w:t>
            </w:r>
          </w:p>
        </w:tc>
        <w:tc>
          <w:tcPr>
            <w:tcW w:w="1455" w:type="dxa"/>
          </w:tcPr>
          <w:p>
            <w:pPr>
              <w:pStyle w:val="IsiTabel"/>
              <w:suppressAutoHyphens/>
              <w:jc w:val="left"/>
            </w:pPr>
            <w:r>
              <w:t xml:space="preserve">2008–sekarang</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Sekolah Lapang Iklim (SLI) BMKG</w:t>
            </w:r>
          </w:p>
        </w:tc>
        <w:tc>
          <w:tcPr>
            <w:tcW w:w="1486" w:type="dxa"/>
          </w:tcPr>
          <w:p>
            <w:pPr>
              <w:pStyle w:val="IsiTabel"/>
              <w:suppressAutoHyphens/>
              <w:jc w:val="left"/>
            </w:pPr>
            <w:r>
              <w:t xml:space="preserve">Indonesia, sentra pangan</w:t>
            </w:r>
          </w:p>
        </w:tc>
        <w:tc>
          <w:tcPr>
            <w:tcW w:w="1455" w:type="dxa"/>
          </w:tcPr>
          <w:p>
            <w:pPr>
              <w:pStyle w:val="IsiTabel"/>
              <w:suppressAutoHyphens/>
              <w:jc w:val="left"/>
            </w:pPr>
            <w:r>
              <w:t xml:space="preserve">2011–sekarang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Masyarakat Peduli Api dan Desa Bebas Api (Fire Free Village Programme)</w:t>
            </w:r>
          </w:p>
        </w:tc>
        <w:tc>
          <w:tcPr>
            <w:tcW w:w="1486" w:type="dxa"/>
          </w:tcPr>
          <w:p>
            <w:pPr>
              <w:pStyle w:val="IsiTabel"/>
              <w:suppressAutoHyphens/>
              <w:jc w:val="left"/>
            </w:pPr>
            <w:r>
              <w:t xml:space="preserve">Riau (konsesi APRIL/RAPP)</w:t>
            </w:r>
          </w:p>
        </w:tc>
        <w:tc>
          <w:tcPr>
            <w:tcW w:w="1455" w:type="dxa"/>
          </w:tcPr>
          <w:p>
            <w:pPr>
              <w:pStyle w:val="IsiTabel"/>
              <w:suppressAutoHyphens/>
              <w:jc w:val="left"/>
            </w:pPr>
            <w:r>
              <w:t xml:space="preserve">2014–sekarang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Uji coba terukur</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Restorasi gambut melalui sekat kanal (pembasahan)</w:t>
            </w:r>
          </w:p>
        </w:tc>
        <w:tc>
          <w:tcPr>
            <w:tcW w:w="1486" w:type="dxa"/>
          </w:tcPr>
          <w:p>
            <w:pPr>
              <w:pStyle w:val="IsiTabel"/>
              <w:suppressAutoHyphens/>
              <w:jc w:val="left"/>
            </w:pPr>
            <w:r>
              <w:t xml:space="preserve">Sumatra dan Kalimantan, lahan gambut</w:t>
            </w:r>
          </w:p>
        </w:tc>
        <w:tc>
          <w:tcPr>
            <w:tcW w:w="1455" w:type="dxa"/>
          </w:tcPr>
          <w:p>
            <w:pPr>
              <w:pStyle w:val="IsiTabel"/>
              <w:suppressAutoHyphens/>
              <w:jc w:val="left"/>
            </w:pPr>
            <w:r>
              <w:t xml:space="preserve">2016–sekarang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Rekompak: rekonstruksi rumah berbasis komunitas, gempa Yogyakarta-Jawa Tengah 2006</w:t>
            </w:r>
          </w:p>
        </w:tc>
        <w:tc>
          <w:tcPr>
            <w:tcW w:w="1486" w:type="dxa"/>
          </w:tcPr>
          <w:p>
            <w:pPr>
              <w:pStyle w:val="IsiTabel"/>
              <w:suppressAutoHyphens/>
              <w:jc w:val="left"/>
            </w:pPr>
            <w:r>
              <w:t xml:space="preserve">DIY, Jawa Tengah, Jawa Barat</w:t>
            </w:r>
          </w:p>
        </w:tc>
        <w:tc>
          <w:tcPr>
            <w:tcW w:w="1455" w:type="dxa"/>
          </w:tcPr>
          <w:p>
            <w:pPr>
              <w:pStyle w:val="IsiTabel"/>
              <w:suppressAutoHyphens/>
              <w:jc w:val="left"/>
            </w:pPr>
            <w:r>
              <w:t xml:space="preserve">2006–2012</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Rujukan tata kelola</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BRR Aceh-Nias: badan rekonstruksi berbatas waktu</w:t>
            </w:r>
          </w:p>
        </w:tc>
        <w:tc>
          <w:tcPr>
            <w:tcW w:w="1486" w:type="dxa"/>
          </w:tcPr>
          <w:p>
            <w:pPr>
              <w:pStyle w:val="IsiTabel"/>
              <w:suppressAutoHyphens/>
              <w:jc w:val="left"/>
            </w:pPr>
            <w:r>
              <w:t xml:space="preserve">Aceh dan Nias</w:t>
            </w:r>
          </w:p>
        </w:tc>
        <w:tc>
          <w:tcPr>
            <w:tcW w:w="1455" w:type="dxa"/>
          </w:tcPr>
          <w:p>
            <w:pPr>
              <w:pStyle w:val="IsiTabel"/>
              <w:suppressAutoHyphens/>
              <w:jc w:val="left"/>
            </w:pPr>
            <w:r>
              <w:t xml:space="preserve">2005–2009</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Rujukan tata kelola</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Rehabilitasi-rekonstruksi rumah pascagempa Lombok 2018 (stimulan, pokmas, RISHA)</w:t>
            </w:r>
          </w:p>
        </w:tc>
        <w:tc>
          <w:tcPr>
            <w:tcW w:w="1486" w:type="dxa"/>
          </w:tcPr>
          <w:p>
            <w:pPr>
              <w:pStyle w:val="IsiTabel"/>
              <w:suppressAutoHyphens/>
              <w:jc w:val="left"/>
            </w:pPr>
            <w:r>
              <w:t xml:space="preserve">NTB</w:t>
            </w:r>
          </w:p>
        </w:tc>
        <w:tc>
          <w:tcPr>
            <w:tcW w:w="1455" w:type="dxa"/>
          </w:tcPr>
          <w:p>
            <w:pPr>
              <w:pStyle w:val="IsiTabel"/>
              <w:suppressAutoHyphens/>
              <w:jc w:val="left"/>
            </w:pPr>
            <w:r>
              <w:t xml:space="preserve">2018–2020</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Pelajaran, bukan teladan</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Embung dan panen air hujan</w:t>
            </w:r>
          </w:p>
        </w:tc>
        <w:tc>
          <w:tcPr>
            <w:tcW w:w="1486" w:type="dxa"/>
          </w:tcPr>
          <w:p>
            <w:pPr>
              <w:pStyle w:val="IsiTabel"/>
              <w:suppressAutoHyphens/>
              <w:jc w:val="left"/>
            </w:pPr>
            <w:r>
              <w:t xml:space="preserve">Indonesia, lahan tadah hujan</w:t>
            </w:r>
          </w:p>
        </w:tc>
        <w:tc>
          <w:tcPr>
            <w:tcW w:w="1455" w:type="dxa"/>
          </w:tcPr>
          <w:p>
            <w:pPr>
              <w:pStyle w:val="IsiTabel"/>
              <w:suppressAutoHyphens/>
              <w:jc w:val="left"/>
            </w:pPr>
            <w:r>
              <w:t xml:space="preserve">2015–sekarang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Sumur resapan dan lubang resapan biopori</w:t>
            </w:r>
          </w:p>
        </w:tc>
        <w:tc>
          <w:tcPr>
            <w:tcW w:w="1486" w:type="dxa"/>
          </w:tcPr>
          <w:p>
            <w:pPr>
              <w:pStyle w:val="IsiTabel"/>
              <w:suppressAutoHyphens/>
              <w:jc w:val="left"/>
            </w:pPr>
            <w:r>
              <w:t xml:space="preserve">DKI Jakarta dan kota lain</w:t>
            </w:r>
          </w:p>
        </w:tc>
        <w:tc>
          <w:tcPr>
            <w:tcW w:w="1455" w:type="dxa"/>
          </w:tcPr>
          <w:p>
            <w:pPr>
              <w:pStyle w:val="IsiTabel"/>
              <w:suppressAutoHyphens/>
              <w:jc w:val="left"/>
            </w:pPr>
            <w:r>
              <w:t xml:space="preserve">2010–sekarang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Citarum Harum (pemulihan DAS Citarum)</w:t>
            </w:r>
          </w:p>
        </w:tc>
        <w:tc>
          <w:tcPr>
            <w:tcW w:w="1486" w:type="dxa"/>
          </w:tcPr>
          <w:p>
            <w:pPr>
              <w:pStyle w:val="IsiTabel"/>
              <w:suppressAutoHyphens/>
              <w:jc w:val="left"/>
            </w:pPr>
            <w:r>
              <w:t xml:space="preserve">DAS Citarum, Jawa Barat</w:t>
            </w:r>
          </w:p>
        </w:tc>
        <w:tc>
          <w:tcPr>
            <w:tcW w:w="1455" w:type="dxa"/>
          </w:tcPr>
          <w:p>
            <w:pPr>
              <w:pStyle w:val="IsiTabel"/>
              <w:suppressAutoHyphens/>
              <w:jc w:val="left"/>
            </w:pPr>
            <w:r>
              <w:t xml:space="preserve">2018–2025</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PAMSIMAS (penyediaan air minum dan sanitasi berbasis masyarakat)</w:t>
            </w:r>
          </w:p>
        </w:tc>
        <w:tc>
          <w:tcPr>
            <w:tcW w:w="1486" w:type="dxa"/>
          </w:tcPr>
          <w:p>
            <w:pPr>
              <w:pStyle w:val="IsiTabel"/>
              <w:suppressAutoHyphens/>
              <w:jc w:val="left"/>
            </w:pPr>
            <w:r>
              <w:t xml:space="preserve">Indonesia, perdesaan</w:t>
            </w:r>
          </w:p>
        </w:tc>
        <w:tc>
          <w:tcPr>
            <w:tcW w:w="1455" w:type="dxa"/>
          </w:tcPr>
          <w:p>
            <w:pPr>
              <w:pStyle w:val="IsiTabel"/>
              <w:suppressAutoHyphens/>
              <w:jc w:val="left"/>
            </w:pPr>
            <w:r>
              <w:t xml:space="preserve">2008–2023</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dengan syarat (bukti sedang)</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Sodetan dan bendungan kering Ciliwung</w:t>
            </w:r>
          </w:p>
        </w:tc>
        <w:tc>
          <w:tcPr>
            <w:tcW w:w="1486" w:type="dxa"/>
          </w:tcPr>
          <w:p>
            <w:pPr>
              <w:pStyle w:val="IsiTabel"/>
              <w:suppressAutoHyphens/>
              <w:jc w:val="left"/>
            </w:pPr>
            <w:r>
              <w:t xml:space="preserve">DAS Ciliwung, Jabodetabek</w:t>
            </w:r>
          </w:p>
        </w:tc>
        <w:tc>
          <w:tcPr>
            <w:tcW w:w="1455" w:type="dxa"/>
          </w:tcPr>
          <w:p>
            <w:pPr>
              <w:pStyle w:val="IsiTabel"/>
              <w:suppressAutoHyphens/>
              <w:jc w:val="left"/>
            </w:pPr>
            <w:r>
              <w:t xml:space="preserve">2023–sekarang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Sistem polder dan pompa kota pesisir</w:t>
            </w:r>
          </w:p>
        </w:tc>
        <w:tc>
          <w:tcPr>
            <w:tcW w:w="1486" w:type="dxa"/>
          </w:tcPr>
          <w:p>
            <w:pPr>
              <w:pStyle w:val="IsiTabel"/>
              <w:suppressAutoHyphens/>
              <w:jc w:val="left"/>
            </w:pPr>
            <w:r>
              <w:t xml:space="preserve">Jakarta, Semarang, Pekalongan</w:t>
            </w:r>
          </w:p>
        </w:tc>
        <w:tc>
          <w:tcPr>
            <w:tcW w:w="1455" w:type="dxa"/>
          </w:tcPr>
          <w:p>
            <w:pPr>
              <w:pStyle w:val="IsiTabel"/>
              <w:suppressAutoHyphens/>
              <w:jc w:val="left"/>
            </w:pPr>
            <w:r>
              <w:t xml:space="preserve">2009–sekarang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9354" w:type="dxa"/>
            <w:gridSpan w:val="7"/>
            <w:shd w:val="clear" w:color="auto" w:fill="E6EAF0"/>
          </w:tcPr>
          <w:p>
            <w:pPr>
              <w:pStyle w:val="IsiTabel"/>
              <w:keepNext/>
              <w:suppressAutoHyphens/>
              <w:ind w:left="0"/>
            </w:pPr>
            <w:r>
              <w:rPr>
                <w:b/>
                <w:bCs/>
              </w:rPr>
              <w:t xml:space="preserve">Luar negeri</w:t>
            </w:r>
          </w:p>
        </w:tc>
      </w:tr>
      <w:tr>
        <w:trPr>
          <w:cantSplit/>
        </w:trPr>
        <w:tc>
          <w:tcPr>
            <w:tcW w:w="2232" w:type="dxa"/>
          </w:tcPr>
          <w:p>
            <w:pPr>
              <w:pStyle w:val="IsiTabel"/>
              <w:suppressAutoHyphens/>
              <w:jc w:val="left"/>
            </w:pPr>
            <w:r>
              <w:t xml:space="preserve">Pengendalian pengambilan air tanah untuk menghentikan penurunan tanah (Tokyo, Osaka, Bangkok)</w:t>
            </w:r>
          </w:p>
        </w:tc>
        <w:tc>
          <w:tcPr>
            <w:tcW w:w="1486" w:type="dxa"/>
          </w:tcPr>
          <w:p>
            <w:pPr>
              <w:pStyle w:val="IsiTabel"/>
              <w:suppressAutoHyphens/>
              <w:jc w:val="left"/>
            </w:pPr>
            <w:r>
              <w:t xml:space="preserve">Jepang (Tokyo, Osaka); Thailand (Bangkok)</w:t>
            </w:r>
          </w:p>
        </w:tc>
        <w:tc>
          <w:tcPr>
            <w:tcW w:w="1455" w:type="dxa"/>
          </w:tcPr>
          <w:p>
            <w:pPr>
              <w:pStyle w:val="IsiTabel"/>
              <w:suppressAutoHyphens/>
              <w:jc w:val="left"/>
            </w:pPr>
            <w:r>
              <w:t xml:space="preserve">1956–1990–an</w:t>
            </w:r>
          </w:p>
        </w:tc>
        <w:tc>
          <w:tcPr>
            <w:tcW w:w="815" w:type="dxa"/>
          </w:tcPr>
          <w:p>
            <w:pPr>
              <w:pStyle w:val="IsiTabel"/>
              <w:suppressAutoHyphens/>
              <w:jc w:val="left"/>
            </w:pPr>
            <w:r>
              <w:t xml:space="preserve">kuat</w:t>
            </w:r>
          </w:p>
        </w:tc>
        <w:tc>
          <w:tcPr>
            <w:tcW w:w="1007" w:type="dxa"/>
          </w:tcPr>
          <w:p>
            <w:pPr>
              <w:pStyle w:val="IsiTabel"/>
              <w:suppressAutoHyphens/>
              <w:jc w:val="left"/>
            </w:pPr>
            <w:r>
              <w:t xml:space="preserve">Program (bukti kuat)</w:t>
            </w:r>
          </w:p>
        </w:tc>
        <w:tc>
          <w:tcPr>
            <w:tcW w:w="1391" w:type="dxa"/>
          </w:tcPr>
          <w:p>
            <w:pPr>
              <w:pStyle w:val="IsiTabel"/>
              <w:suppressAutoHyphens/>
              <w:jc w:val="left"/>
            </w:pPr>
            <w:r>
              <w:t xml:space="preserve">–</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Delta Programme Belanda (UU, dana, komisaris, laporan tahunan)</w:t>
            </w:r>
          </w:p>
        </w:tc>
        <w:tc>
          <w:tcPr>
            <w:tcW w:w="1486" w:type="dxa"/>
          </w:tcPr>
          <w:p>
            <w:pPr>
              <w:pStyle w:val="IsiTabel"/>
              <w:suppressAutoHyphens/>
              <w:jc w:val="left"/>
            </w:pPr>
            <w:r>
              <w:t xml:space="preserve">Belanda</w:t>
            </w:r>
          </w:p>
        </w:tc>
        <w:tc>
          <w:tcPr>
            <w:tcW w:w="1455" w:type="dxa"/>
          </w:tcPr>
          <w:p>
            <w:pPr>
              <w:pStyle w:val="IsiTabel"/>
              <w:suppressAutoHyphens/>
              <w:jc w:val="left"/>
            </w:pPr>
            <w:r>
              <w:t xml:space="preserve">2010–2050</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Rujukan tata kelola</w:t>
            </w:r>
          </w:p>
        </w:tc>
        <w:tc>
          <w:tcPr>
            <w:tcW w:w="1391" w:type="dxa"/>
          </w:tcPr>
          <w:p>
            <w:pPr>
              <w:pStyle w:val="IsiTabel"/>
              <w:suppressAutoHyphens/>
              <w:jc w:val="left"/>
            </w:pPr>
            <w:r>
              <w:t xml:space="preserve">–</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Room for the River (ruang untuk sungai)</w:t>
            </w:r>
          </w:p>
        </w:tc>
        <w:tc>
          <w:tcPr>
            <w:tcW w:w="1486" w:type="dxa"/>
          </w:tcPr>
          <w:p>
            <w:pPr>
              <w:pStyle w:val="IsiTabel"/>
              <w:suppressAutoHyphens/>
              <w:jc w:val="left"/>
            </w:pPr>
            <w:r>
              <w:t xml:space="preserve">Belanda (Rhine, Waal, Meuse)</w:t>
            </w:r>
          </w:p>
        </w:tc>
        <w:tc>
          <w:tcPr>
            <w:tcW w:w="1455" w:type="dxa"/>
          </w:tcPr>
          <w:p>
            <w:pPr>
              <w:pStyle w:val="IsiTabel"/>
              <w:suppressAutoHyphens/>
              <w:jc w:val="left"/>
            </w:pPr>
            <w:r>
              <w:t xml:space="preserve">2006–2019</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Uji coba terukur</w:t>
            </w:r>
          </w:p>
        </w:tc>
        <w:tc>
          <w:tcPr>
            <w:tcW w:w="1391" w:type="dxa"/>
          </w:tcPr>
          <w:p>
            <w:pPr>
              <w:pStyle w:val="IsiTabel"/>
              <w:suppressAutoHyphens/>
              <w:jc w:val="left"/>
            </w:pPr>
            <w:r>
              <w:t xml:space="preserve">–</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Kesiapsiagaan siklon Bangladesh: Cyclone Preparedness Programme (CPP), shelter, dan tanggul pesisir</w:t>
            </w:r>
          </w:p>
        </w:tc>
        <w:tc>
          <w:tcPr>
            <w:tcW w:w="1486" w:type="dxa"/>
          </w:tcPr>
          <w:p>
            <w:pPr>
              <w:pStyle w:val="IsiTabel"/>
              <w:suppressAutoHyphens/>
              <w:jc w:val="left"/>
            </w:pPr>
            <w:r>
              <w:t xml:space="preserve">Pesisir Bangladesh</w:t>
            </w:r>
          </w:p>
        </w:tc>
        <w:tc>
          <w:tcPr>
            <w:tcW w:w="1455" w:type="dxa"/>
          </w:tcPr>
          <w:p>
            <w:pPr>
              <w:pStyle w:val="IsiTabel"/>
              <w:suppressAutoHyphens/>
              <w:jc w:val="left"/>
            </w:pPr>
            <w:r>
              <w:t xml:space="preserve">1972–sekarang</w:t>
            </w:r>
          </w:p>
        </w:tc>
        <w:tc>
          <w:tcPr>
            <w:tcW w:w="815" w:type="dxa"/>
          </w:tcPr>
          <w:p>
            <w:pPr>
              <w:pStyle w:val="IsiTabel"/>
              <w:suppressAutoHyphens/>
              <w:jc w:val="left"/>
            </w:pPr>
            <w:r>
              <w:t xml:space="preserve">kuat</w:t>
            </w:r>
          </w:p>
        </w:tc>
        <w:tc>
          <w:tcPr>
            <w:tcW w:w="1007" w:type="dxa"/>
          </w:tcPr>
          <w:p>
            <w:pPr>
              <w:pStyle w:val="IsiTabel"/>
              <w:suppressAutoHyphens/>
              <w:jc w:val="left"/>
            </w:pPr>
            <w:r>
              <w:t xml:space="preserve">Program (bukti kuat)</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Kesiapsiagaan siklon Odisha (OSDMA): evakuasi preemptif dan shelter</w:t>
            </w:r>
          </w:p>
        </w:tc>
        <w:tc>
          <w:tcPr>
            <w:tcW w:w="1486" w:type="dxa"/>
          </w:tcPr>
          <w:p>
            <w:pPr>
              <w:pStyle w:val="IsiTabel"/>
              <w:suppressAutoHyphens/>
              <w:jc w:val="left"/>
            </w:pPr>
            <w:r>
              <w:t xml:space="preserve">Odisha, India</w:t>
            </w:r>
          </w:p>
        </w:tc>
        <w:tc>
          <w:tcPr>
            <w:tcW w:w="1455" w:type="dxa"/>
          </w:tcPr>
          <w:p>
            <w:pPr>
              <w:pStyle w:val="IsiTabel"/>
              <w:suppressAutoHyphens/>
              <w:jc w:val="left"/>
            </w:pPr>
            <w:r>
              <w:t xml:space="preserve">1999–sekarang</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dengan syarat (bukti sedang)</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Pendidikan kebencanaan Kamaishi (Jepang)</w:t>
            </w:r>
          </w:p>
        </w:tc>
        <w:tc>
          <w:tcPr>
            <w:tcW w:w="1486" w:type="dxa"/>
          </w:tcPr>
          <w:p>
            <w:pPr>
              <w:pStyle w:val="IsiTabel"/>
              <w:suppressAutoHyphens/>
              <w:jc w:val="left"/>
            </w:pPr>
            <w:r>
              <w:t xml:space="preserve">Kota Kamaishi, Iwate, Jepang</w:t>
            </w:r>
          </w:p>
        </w:tc>
        <w:tc>
          <w:tcPr>
            <w:tcW w:w="1455" w:type="dxa"/>
          </w:tcPr>
          <w:p>
            <w:pPr>
              <w:pStyle w:val="IsiTabel"/>
              <w:suppressAutoHyphens/>
              <w:jc w:val="left"/>
            </w:pPr>
            <w:r>
              <w:t xml:space="preserve">2004–2011</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dengan syarat (bukti sedang)</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r>
        <w:trPr>
          <w:cantSplit/>
        </w:trPr>
        <w:tc>
          <w:tcPr>
            <w:tcW w:w="2232" w:type="dxa"/>
          </w:tcPr>
          <w:p>
            <w:pPr>
              <w:pStyle w:val="IsiTabel"/>
              <w:keepNext/>
              <w:suppressAutoHyphens/>
              <w:jc w:val="left"/>
            </w:pPr>
            <w:bookmarkStart w:id="969" w:name="_Ekor117a"/>
            <w:bookmarkEnd w:id="969"/>
            <w:r>
              <w:t xml:space="preserve">Kode bangunan tahan gempa Chile (NCh433) dan penegakannya</w:t>
            </w:r>
          </w:p>
        </w:tc>
        <w:tc>
          <w:tcPr>
            <w:tcW w:w="1486" w:type="dxa"/>
          </w:tcPr>
          <w:p>
            <w:pPr>
              <w:pStyle w:val="IsiTabel"/>
              <w:keepNext/>
              <w:suppressAutoHyphens/>
              <w:jc w:val="left"/>
            </w:pPr>
            <w:r>
              <w:t xml:space="preserve">Chile</w:t>
            </w:r>
          </w:p>
        </w:tc>
        <w:tc>
          <w:tcPr>
            <w:tcW w:w="1455" w:type="dxa"/>
          </w:tcPr>
          <w:p>
            <w:pPr>
              <w:pStyle w:val="IsiTabel"/>
              <w:keepNext/>
              <w:suppressAutoHyphens/>
              <w:jc w:val="left"/>
            </w:pPr>
            <w:r>
              <w:t xml:space="preserve">1972–sekarang</w:t>
            </w:r>
          </w:p>
        </w:tc>
        <w:tc>
          <w:tcPr>
            <w:tcW w:w="815" w:type="dxa"/>
          </w:tcPr>
          <w:p>
            <w:pPr>
              <w:pStyle w:val="IsiTabel"/>
              <w:keepNext/>
              <w:suppressAutoHyphens/>
              <w:jc w:val="left"/>
            </w:pPr>
            <w:r>
              <w:t xml:space="preserve">sedang</w:t>
            </w:r>
          </w:p>
        </w:tc>
        <w:tc>
          <w:tcPr>
            <w:tcW w:w="1007" w:type="dxa"/>
          </w:tcPr>
          <w:p>
            <w:pPr>
              <w:pStyle w:val="IsiTabel"/>
              <w:keepNext/>
              <w:suppressAutoHyphens/>
              <w:jc w:val="left"/>
            </w:pPr>
            <w:r>
              <w:t xml:space="preserve">Program dengan syarat (bukti sedang)</w:t>
            </w:r>
          </w:p>
        </w:tc>
        <w:tc>
          <w:tcPr>
            <w:tcW w:w="1391" w:type="dxa"/>
          </w:tcPr>
          <w:p>
            <w:pPr>
              <w:pStyle w:val="IsiTabel"/>
              <w:keepNext/>
              <w:suppressAutoHyphens/>
              <w:jc w:val="left"/>
            </w:pPr>
            <w:r>
              <w:t xml:space="preserve">–</w:t>
            </w:r>
          </w:p>
        </w:tc>
        <w:tc>
          <w:tcPr>
            <w:tcW w:w="968" w:type="dxa"/>
          </w:tcPr>
          <w:p>
            <w:pPr>
              <w:pStyle w:val="IsiTabel"/>
              <w:keepNext/>
              <w:suppressAutoHyphens/>
              <w:jc w:val="left"/>
            </w:pPr>
            <w:r>
              <w:t xml:space="preserve">mitigasi</w:t>
            </w:r>
          </w:p>
        </w:tc>
      </w:tr>
      <w:tr>
        <w:trPr>
          <w:cantSplit/>
        </w:trPr>
        <w:tc>
          <w:tcPr>
            <w:tcW w:w="2232" w:type="dxa"/>
          </w:tcPr>
          <w:p>
            <w:pPr>
              <w:pStyle w:val="IsiTabel"/>
              <w:keepNext/>
              <w:suppressAutoHyphens/>
              <w:jc w:val="left"/>
            </w:pPr>
            <w:r>
              <w:t xml:space="preserve">Asuransi risiko bencana dan pooling regional (CCRIF, ARC; Asuransi BMN dan Dana Bersama PB)</w:t>
            </w:r>
          </w:p>
        </w:tc>
        <w:tc>
          <w:tcPr>
            <w:tcW w:w="1486" w:type="dxa"/>
          </w:tcPr>
          <w:p>
            <w:pPr>
              <w:pStyle w:val="IsiTabel"/>
              <w:keepNext/>
              <w:suppressAutoHyphens/>
              <w:jc w:val="left"/>
            </w:pPr>
            <w:r>
              <w:t xml:space="preserve">Karibia, Afrika; Indonesia</w:t>
            </w:r>
          </w:p>
        </w:tc>
        <w:tc>
          <w:tcPr>
            <w:tcW w:w="1455" w:type="dxa"/>
          </w:tcPr>
          <w:p>
            <w:pPr>
              <w:pStyle w:val="IsiTabel"/>
              <w:keepNext/>
              <w:suppressAutoHyphens/>
              <w:jc w:val="left"/>
            </w:pPr>
            <w:r>
              <w:t xml:space="preserve">2007–sekarang</w:t>
            </w:r>
          </w:p>
        </w:tc>
        <w:tc>
          <w:tcPr>
            <w:tcW w:w="815" w:type="dxa"/>
          </w:tcPr>
          <w:p>
            <w:pPr>
              <w:pStyle w:val="IsiTabel"/>
              <w:keepNext/>
              <w:suppressAutoHyphens/>
              <w:jc w:val="left"/>
            </w:pPr>
            <w:r>
              <w:t xml:space="preserve">sedang</w:t>
            </w:r>
          </w:p>
        </w:tc>
        <w:tc>
          <w:tcPr>
            <w:tcW w:w="1007" w:type="dxa"/>
          </w:tcPr>
          <w:p>
            <w:pPr>
              <w:pStyle w:val="IsiTabel"/>
              <w:keepNext/>
              <w:suppressAutoHyphens/>
              <w:jc w:val="left"/>
            </w:pPr>
            <w:r>
              <w:t xml:space="preserve">Program dengan syarat (bukti sedang)</w:t>
            </w:r>
          </w:p>
        </w:tc>
        <w:tc>
          <w:tcPr>
            <w:tcW w:w="1391" w:type="dxa"/>
          </w:tcPr>
          <w:p>
            <w:pPr>
              <w:pStyle w:val="IsiTabel"/>
              <w:keepNext/>
              <w:suppressAutoHyphens/>
              <w:jc w:val="left"/>
            </w:pPr>
            <w:r>
              <w:t xml:space="preserve">–</w:t>
            </w:r>
          </w:p>
        </w:tc>
        <w:tc>
          <w:tcPr>
            <w:tcW w:w="968" w:type="dxa"/>
          </w:tcPr>
          <w:p>
            <w:pPr>
              <w:pStyle w:val="IsiTabel"/>
              <w:keepNext/>
              <w:suppressAutoHyphens/>
              <w:jc w:val="left"/>
            </w:pPr>
            <w:r>
              <w:t xml:space="preserve">mitigasi</w:t>
            </w:r>
          </w:p>
        </w:tc>
      </w:tr>
      <w:tr>
        <w:trPr>
          <w:cantSplit/>
        </w:trPr>
        <w:tc>
          <w:tcPr>
            <w:tcW w:w="2232" w:type="dxa"/>
          </w:tcPr>
          <w:p>
            <w:pPr>
              <w:pStyle w:val="IsiTabel"/>
              <w:keepNext/>
              <w:suppressAutoHyphens/>
              <w:jc w:val="left"/>
            </w:pPr>
            <w:r>
              <w:t xml:space="preserve">Hibah mitigasi FEMA (HMGP, BRIC) dengan syarat analisis manfaat-biaya</w:t>
            </w:r>
          </w:p>
        </w:tc>
        <w:tc>
          <w:tcPr>
            <w:tcW w:w="1486" w:type="dxa"/>
          </w:tcPr>
          <w:p>
            <w:pPr>
              <w:pStyle w:val="IsiTabel"/>
              <w:keepNext/>
              <w:suppressAutoHyphens/>
              <w:jc w:val="left"/>
            </w:pPr>
            <w:r>
              <w:t xml:space="preserve">Amerika Serikat</w:t>
            </w:r>
          </w:p>
        </w:tc>
        <w:tc>
          <w:tcPr>
            <w:tcW w:w="1455" w:type="dxa"/>
          </w:tcPr>
          <w:p>
            <w:pPr>
              <w:pStyle w:val="IsiTabel"/>
              <w:keepNext/>
              <w:suppressAutoHyphens/>
              <w:jc w:val="left"/>
            </w:pPr>
            <w:r>
              <w:t xml:space="preserve">1993–sekarang</w:t>
            </w:r>
          </w:p>
        </w:tc>
        <w:tc>
          <w:tcPr>
            <w:tcW w:w="815" w:type="dxa"/>
          </w:tcPr>
          <w:p>
            <w:pPr>
              <w:pStyle w:val="IsiTabel"/>
              <w:keepNext/>
              <w:suppressAutoHyphens/>
              <w:jc w:val="left"/>
            </w:pPr>
            <w:r>
              <w:t xml:space="preserve">sedang</w:t>
            </w:r>
          </w:p>
        </w:tc>
        <w:tc>
          <w:tcPr>
            <w:tcW w:w="1007" w:type="dxa"/>
          </w:tcPr>
          <w:p>
            <w:pPr>
              <w:pStyle w:val="IsiTabel"/>
              <w:keepNext/>
              <w:suppressAutoHyphens/>
              <w:jc w:val="left"/>
            </w:pPr>
            <w:r>
              <w:t xml:space="preserve">Rujukan tata kelola</w:t>
            </w:r>
          </w:p>
        </w:tc>
        <w:tc>
          <w:tcPr>
            <w:tcW w:w="1391" w:type="dxa"/>
          </w:tcPr>
          <w:p>
            <w:pPr>
              <w:pStyle w:val="IsiTabel"/>
              <w:keepNext/>
              <w:suppressAutoHyphens/>
              <w:jc w:val="left"/>
            </w:pPr>
            <w:r>
              <w:t xml:space="preserve">–</w:t>
            </w:r>
          </w:p>
        </w:tc>
        <w:tc>
          <w:tcPr>
            <w:tcW w:w="968" w:type="dxa"/>
          </w:tcPr>
          <w:p>
            <w:pPr>
              <w:pStyle w:val="IsiTabel"/>
              <w:keepNext/>
              <w:suppressAutoHyphens/>
              <w:jc w:val="left"/>
            </w:pPr>
            <w:r>
              <w:t xml:space="preserve">keduanya</w:t>
            </w:r>
          </w:p>
        </w:tc>
      </w:tr>
      <w:tr>
        <w:trPr>
          <w:cantSplit/>
        </w:trPr>
        <w:tc>
          <w:tcPr>
            <w:tcW w:w="2232" w:type="dxa"/>
          </w:tcPr>
          <w:p>
            <w:pPr>
              <w:pStyle w:val="IsiTabel"/>
              <w:suppressAutoHyphens/>
              <w:jc w:val="left"/>
            </w:pPr>
            <w:bookmarkStart w:id="970" w:name="_Ekor117z"/>
            <w:bookmarkEnd w:id="970"/>
            <w:r>
              <w:t xml:space="preserve">Evakuasi preemptif topan di Filipina (Albay, NDRRMC)</w:t>
            </w:r>
          </w:p>
        </w:tc>
        <w:tc>
          <w:tcPr>
            <w:tcW w:w="1486" w:type="dxa"/>
          </w:tcPr>
          <w:p>
            <w:pPr>
              <w:pStyle w:val="IsiTabel"/>
              <w:suppressAutoHyphens/>
              <w:jc w:val="left"/>
            </w:pPr>
            <w:r>
              <w:t xml:space="preserve">Filipina</w:t>
            </w:r>
          </w:p>
        </w:tc>
        <w:tc>
          <w:tcPr>
            <w:tcW w:w="1455" w:type="dxa"/>
          </w:tcPr>
          <w:p>
            <w:pPr>
              <w:pStyle w:val="IsiTabel"/>
              <w:suppressAutoHyphens/>
              <w:jc w:val="left"/>
            </w:pPr>
            <w:r>
              <w:t xml:space="preserve">2010–sekarang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Pelajaran, bukan teladan</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bl>
    <w:p>
      <w:pPr>
        <w:pStyle w:val="Sumber"/>
        <w:spacing w:after="40"/>
      </w:pPr>
      <w:r>
        <w:rPr>
          <w:b/>
          <w:bCs/>
          <w:color w:val="6B7280"/>
          <w:sz w:val="17"/>
          <w:szCs w:val="17"/>
        </w:rPr>
        <w:t xml:space="preserve">Sumber: </w:t>
      </w:r>
      <w:r>
        <w:rPr>
          <w:color w:val="6B7280"/>
          <w:sz w:val="17"/>
          <w:szCs w:val="17"/>
        </w:rPr>
        <w:t xml:space="preserve">Kompendium program Pantau Bencana dengan rubrik kekuatan bukti, dihitung 24 Okt 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Posisi dan kekuatan bukti adalah penilaian penyusun menurut rubrik; status usulan mengikuti tiga kode KEPUTUSAN P7. Program luar negeri tidak diberi status usulan ("–").</w:t>
      </w:r>
    </w:p>
    <w:p>
      <w:pPr>
        <w:pStyle w:val="JudulLampiran"/>
      </w:pPr>
      <w:bookmarkStart w:id="972" w:name="_Toc00305"/>
      <w:bookmarkStart w:id="971" w:name="_Ref0069"/>
      <w:r>
        <w:t xml:space="preserve">Lampiran I</w:t>
      </w:r>
      <w:bookmarkEnd w:id="971"/>
      <w:r>
        <w:t xml:space="preserve">. Register Rekomendasi dan Tabel Silang Kajian Ketahanan Air</w:t>
      </w:r>
      <w:bookmarkEnd w:id="972"/>
    </w:p>
    <w:p>
      <w:pPr>
        <w:pStyle w:val="Isi"/>
      </w:pPr>
      <w:r>
        <w:t xml:space="preserve">Register rekomendasi kedua kajian BNPB memakai satu daftar kode: kode berawalan R-A dipakai Grand Design Ketahanan Air Pulau Jawa 2026–2030 dan kajian ini, sedangkan kode berawalan R-M khusus kajian mitigasi. Nomor dua digit di kolom REK adalah nomor rekomendasi di dokumen ini; rincian dan indikator selesai tiap baris ada di </w:t>
      </w:r>
      <w:r>
        <w:fldChar w:fldCharType="begin"/>
      </w:r>
      <w:r>
        <w:instrText xml:space="preserve"> REF _Ref0321 \h \* CHARFORMAT </w:instrText>
      </w:r>
      <w:r>
        <w:fldChar w:fldCharType="separate"/>
      </w:r>
      <w:r>
        <w:t xml:space="preserve">Tabel 13.4</w:t>
      </w:r>
      <w:r>
        <w:fldChar w:fldCharType="end"/>
      </w:r>
      <w:r>
        <w:t xml:space="preserve"> dan </w:t>
      </w:r>
      <w:r>
        <w:fldChar w:fldCharType="begin"/>
      </w:r>
      <w:r>
        <w:instrText xml:space="preserve"> REF _Ref0322 \h \* CHARFORMAT </w:instrText>
      </w:r>
      <w:r>
        <w:fldChar w:fldCharType="separate"/>
      </w:r>
      <w:r>
        <w:t xml:space="preserve">Tabel 13.5</w:t>
      </w:r>
      <w:r>
        <w:fldChar w:fldCharType="end"/>
      </w:r>
      <w:r>
        <w:t xml:space="preserve">. Nama unit mengikuti Perban BNPB 6/2025 jo. 11/2025 </w:t>
      </w:r>
      <w:r>
        <w:t xml:space="preserve">(BNPB, 2025f, 2025d)</w:t>
      </w:r>
      <w:r>
        <w:t xml:space="preserve">.</w:t>
      </w:r>
    </w:p>
    <w:p>
      <w:pPr>
        <w:pStyle w:val="IsiTemuan"/>
      </w:pPr>
      <w:r>
        <w:rPr>
          <w:b/>
          <w:bCs/>
          <w:color w:val="051C2C"/>
        </w:rPr>
        <w:t xml:space="preserve">Tiga puluh enam rekomendasi kajian ini terdiri atas dua puluh tujuh rekomendasi internal BNPB dan sembilan rekomendasi lintas K/L, dan dua belas di antaranya berjangka 100 hari</w:t>
      </w:r>
      <w:r>
        <w:t xml:space="preserve"> (</w:t>
      </w:r>
      <w:r>
        <w:fldChar w:fldCharType="begin"/>
      </w:r>
      <w:r>
        <w:instrText xml:space="preserve"> REF _Ref0275 \h \* CHARFORMAT </w:instrText>
      </w:r>
      <w:r>
        <w:fldChar w:fldCharType="separate"/>
      </w:r>
      <w:r>
        <w:t xml:space="preserve">Tabel I.1</w:t>
      </w:r>
      <w:r>
        <w:fldChar w:fldCharType="end"/>
      </w:r>
      <w:r>
        <w:t xml:space="preserve">). Daftar 100 hari dan daftar keputusan empat belas hari pertama hanya satu untuk kedua kajian (</w:t>
      </w:r>
      <w:r>
        <w:fldChar w:fldCharType="begin"/>
      </w:r>
      <w:r>
        <w:instrText xml:space="preserve"> REF _Ref0299 \h \* CHARFORMAT </w:instrText>
      </w:r>
      <w:r>
        <w:fldChar w:fldCharType="separate"/>
      </w:r>
      <w:r>
        <w:t xml:space="preserve">Tabel 13.2</w:t>
      </w:r>
      <w:r>
        <w:fldChar w:fldCharType="end"/>
      </w:r>
      <w:r>
        <w:t xml:space="preserve">). Jangkar waktu dan instrumen per horizon tercantum di </w:t>
      </w:r>
      <w:r>
        <w:fldChar w:fldCharType="begin"/>
      </w:r>
      <w:r>
        <w:instrText xml:space="preserve"> REF _Ref0313 \h \* CHARFORMAT </w:instrText>
      </w:r>
      <w:r>
        <w:fldChar w:fldCharType="separate"/>
      </w:r>
      <w:r>
        <w:t xml:space="preserve">Tabel 12.5</w:t>
      </w:r>
      <w:r>
        <w:fldChar w:fldCharType="end"/>
      </w:r>
      <w:r>
        <w:t xml:space="preserve">.</w:t>
      </w:r>
    </w:p>
    <w:p>
      <w:pPr>
        <w:pStyle w:val="Caption"/>
      </w:pPr>
      <w:bookmarkStart w:id="974" w:name="_Toc00306"/>
      <w:bookmarkStart w:id="973" w:name="_Ref0275"/>
      <w:r>
        <w:rPr>
          <w:b/>
          <w:bCs/>
          <w:color w:val="051C2C"/>
        </w:rPr>
        <w:t xml:space="preserve">Tabel</w:t>
      </w:r>
      <w:r>
        <w:rPr>
          <w:b/>
          <w:bCs/>
          <w:color w:val="051C2C"/>
        </w:rPr>
        <w:t xml:space="preserve"> </w:t>
      </w:r>
      <w:r>
        <w:rPr>
          <w:b/>
          <w:bCs/>
          <w:color w:val="051C2C"/>
        </w:rPr>
        <w:t xml:space="preserve">I</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73"/>
      <w:r>
        <w:rPr>
          <w:b/>
          <w:bCs/>
          <w:color w:val="051C2C"/>
        </w:rPr>
        <w:t xml:space="preserve"> </w:t>
      </w:r>
      <w:r>
        <w:t xml:space="preserve">Register rekomendasi kajian mitigasi menurut horizon, unit pemimpin, dan K/L, 2026–2030</w:t>
      </w:r>
      <w:bookmarkEnd w:id="97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720"/>
        <w:gridCol w:w="1427"/>
        <w:gridCol w:w="2462"/>
        <w:gridCol w:w="3059"/>
        <w:gridCol w:w="1126"/>
      </w:tblGrid>
      <w:tr>
        <w:trPr>
          <w:cantSplit/>
          <w:tblHeader/>
        </w:trPr>
        <w:tc>
          <w:tcPr>
            <w:tcW w:w="560" w:type="dxa"/>
            <w:tcBorders>
              <w:bottom w:val="single" w:sz="8" w:space="0" w:color="6B7280"/>
            </w:tcBorders>
            <w:vAlign w:val="bottom"/>
          </w:tcPr>
          <w:p>
            <w:pPr>
              <w:pStyle w:val="KepalaTabel"/>
              <w:suppressAutoHyphens/>
            </w:pPr>
            <w:r>
              <w:rPr>
                <w:b/>
                <w:bCs/>
                <w:color w:val="6B7280"/>
                <w:sz w:val="17"/>
                <w:szCs w:val="17"/>
              </w:rPr>
              <w:t xml:space="preserve">REK</w:t>
            </w:r>
          </w:p>
        </w:tc>
        <w:tc>
          <w:tcPr>
            <w:tcW w:w="720" w:type="dxa"/>
            <w:tcBorders>
              <w:bottom w:val="single" w:sz="8" w:space="0" w:color="6B7280"/>
            </w:tcBorders>
            <w:vAlign w:val="bottom"/>
          </w:tcPr>
          <w:p>
            <w:pPr>
              <w:pStyle w:val="KepalaTabel"/>
              <w:suppressAutoHyphens/>
            </w:pPr>
            <w:r>
              <w:rPr>
                <w:b/>
                <w:bCs/>
                <w:color w:val="6B7280"/>
                <w:sz w:val="17"/>
                <w:szCs w:val="17"/>
              </w:rPr>
              <w:t xml:space="preserve">KODE</w:t>
            </w:r>
          </w:p>
        </w:tc>
        <w:tc>
          <w:tcPr>
            <w:tcW w:w="1427" w:type="dxa"/>
            <w:tcBorders>
              <w:bottom w:val="single" w:sz="8" w:space="0" w:color="6B7280"/>
            </w:tcBorders>
            <w:vAlign w:val="bottom"/>
          </w:tcPr>
          <w:p>
            <w:pPr>
              <w:pStyle w:val="KepalaTabel"/>
              <w:suppressAutoHyphens/>
            </w:pPr>
            <w:r>
              <w:rPr>
                <w:b/>
                <w:bCs/>
                <w:color w:val="6B7280"/>
                <w:sz w:val="17"/>
                <w:szCs w:val="17"/>
              </w:rPr>
              <w:t xml:space="preserve">LANGKAH</w:t>
            </w:r>
          </w:p>
        </w:tc>
        <w:tc>
          <w:tcPr>
            <w:tcW w:w="2462" w:type="dxa"/>
            <w:tcBorders>
              <w:bottom w:val="single" w:sz="8" w:space="0" w:color="6B7280"/>
            </w:tcBorders>
            <w:vAlign w:val="bottom"/>
          </w:tcPr>
          <w:p>
            <w:pPr>
              <w:pStyle w:val="KepalaTabel"/>
              <w:suppressAutoHyphens/>
            </w:pPr>
            <w:r>
              <w:rPr>
                <w:b/>
                <w:bCs/>
                <w:color w:val="6B7280"/>
                <w:sz w:val="17"/>
                <w:szCs w:val="17"/>
              </w:rPr>
              <w:t xml:space="preserve">UNIT PEMIMPIN</w:t>
            </w:r>
          </w:p>
        </w:tc>
        <w:tc>
          <w:tcPr>
            <w:tcW w:w="3059" w:type="dxa"/>
            <w:tcBorders>
              <w:bottom w:val="single" w:sz="8" w:space="0" w:color="6B7280"/>
            </w:tcBorders>
            <w:vAlign w:val="bottom"/>
          </w:tcPr>
          <w:p>
            <w:pPr>
              <w:pStyle w:val="KepalaTabel"/>
              <w:suppressAutoHyphens/>
            </w:pPr>
            <w:r>
              <w:rPr>
                <w:b/>
                <w:bCs/>
                <w:color w:val="6B7280"/>
                <w:sz w:val="17"/>
                <w:szCs w:val="17"/>
              </w:rPr>
              <w:t xml:space="preserve">K/L</w:t>
            </w:r>
          </w:p>
        </w:tc>
        <w:tc>
          <w:tcPr>
            <w:tcW w:w="1126" w:type="dxa"/>
            <w:tcBorders>
              <w:bottom w:val="single" w:sz="8" w:space="0" w:color="6B7280"/>
            </w:tcBorders>
            <w:vAlign w:val="bottom"/>
          </w:tcPr>
          <w:p>
            <w:pPr>
              <w:pStyle w:val="KepalaTabel"/>
              <w:suppressAutoHyphens/>
            </w:pPr>
            <w:r>
              <w:rPr>
                <w:b/>
                <w:bCs/>
                <w:color w:val="6B7280"/>
                <w:sz w:val="17"/>
                <w:szCs w:val="17"/>
              </w:rPr>
              <w:t xml:space="preserve">WAKTU</w:t>
            </w:r>
          </w:p>
        </w:tc>
      </w:tr>
      <w:tr>
        <w:trPr>
          <w:cantSplit/>
        </w:trPr>
        <w:tc>
          <w:tcPr>
            <w:tcW w:w="560" w:type="dxa"/>
          </w:tcPr>
          <w:p>
            <w:pPr>
              <w:pStyle w:val="IsiTabel"/>
              <w:suppressAutoHyphens/>
              <w:jc w:val="left"/>
            </w:pPr>
            <w:r>
              <w:fldChar w:fldCharType="begin"/>
            </w:r>
            <w:r>
              <w:instrText xml:space="preserve"> REF _Ref0073 \h \* CHARFORMAT </w:instrText>
            </w:r>
            <w:r>
              <w:fldChar w:fldCharType="separate"/>
            </w:r>
            <w:r>
              <w:t xml:space="preserve">05</w:t>
            </w:r>
            <w:r>
              <w:fldChar w:fldCharType="end"/>
            </w:r>
          </w:p>
        </w:tc>
        <w:tc>
          <w:tcPr>
            <w:tcW w:w="720" w:type="dxa"/>
          </w:tcPr>
          <w:p>
            <w:pPr>
              <w:pStyle w:val="IsiTabel"/>
              <w:suppressAutoHyphens/>
              <w:jc w:val="left"/>
            </w:pPr>
            <w:r>
              <w:t xml:space="preserve">R-A01</w:t>
            </w:r>
          </w:p>
        </w:tc>
        <w:tc>
          <w:tcPr>
            <w:tcW w:w="1427" w:type="dxa"/>
          </w:tcPr>
          <w:p>
            <w:pPr>
              <w:pStyle w:val="IsiTabel"/>
              <w:suppressAutoHyphens/>
              <w:jc w:val="left"/>
            </w:pPr>
            <w:r>
              <w:t xml:space="preserve">Tetapkan hari ke-0 dan tugaskan unit</w:t>
            </w:r>
          </w:p>
        </w:tc>
        <w:tc>
          <w:tcPr>
            <w:tcW w:w="2462" w:type="dxa"/>
          </w:tcPr>
          <w:p>
            <w:pPr>
              <w:pStyle w:val="IsiTabel"/>
              <w:suppressAutoHyphens/>
              <w:jc w:val="left"/>
            </w:pPr>
            <w:r>
              <w:t xml:space="preserve">Kepala BNPB</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_Ref0074 \h \* CHARFORMAT </w:instrText>
            </w:r>
            <w:r>
              <w:fldChar w:fldCharType="separate"/>
            </w:r>
            <w:r>
              <w:t xml:space="preserve">06</w:t>
            </w:r>
            <w:r>
              <w:fldChar w:fldCharType="end"/>
            </w:r>
          </w:p>
        </w:tc>
        <w:tc>
          <w:tcPr>
            <w:tcW w:w="720" w:type="dxa"/>
          </w:tcPr>
          <w:p>
            <w:pPr>
              <w:pStyle w:val="IsiTabel"/>
              <w:suppressAutoHyphens/>
              <w:jc w:val="left"/>
            </w:pPr>
            <w:r>
              <w:t xml:space="preserve">R-A02</w:t>
            </w:r>
          </w:p>
        </w:tc>
        <w:tc>
          <w:tcPr>
            <w:tcW w:w="1427" w:type="dxa"/>
          </w:tcPr>
          <w:p>
            <w:pPr>
              <w:pStyle w:val="IsiTabel"/>
              <w:suppressAutoHyphens/>
              <w:jc w:val="left"/>
            </w:pPr>
            <w:r>
              <w:t xml:space="preserve">Kirim prakiraan, minta kaji ulang rencana kontinjensi</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_Ref0075 \h \* CHARFORMAT </w:instrText>
            </w:r>
            <w:r>
              <w:fldChar w:fldCharType="separate"/>
            </w:r>
            <w:r>
              <w:t xml:space="preserve">07</w:t>
            </w:r>
            <w:r>
              <w:fldChar w:fldCharType="end"/>
            </w:r>
          </w:p>
        </w:tc>
        <w:tc>
          <w:tcPr>
            <w:tcW w:w="720" w:type="dxa"/>
          </w:tcPr>
          <w:p>
            <w:pPr>
              <w:pStyle w:val="IsiTabel"/>
              <w:suppressAutoHyphens/>
              <w:jc w:val="left"/>
            </w:pPr>
            <w:r>
              <w:t xml:space="preserve">R-A03</w:t>
            </w:r>
          </w:p>
        </w:tc>
        <w:tc>
          <w:tcPr>
            <w:tcW w:w="1427" w:type="dxa"/>
          </w:tcPr>
          <w:p>
            <w:pPr>
              <w:pStyle w:val="IsiTabel"/>
              <w:suppressAutoHyphens/>
              <w:jc w:val="left"/>
            </w:pPr>
            <w:r>
              <w:t xml:space="preserve">Minta data operasional kemarau 2026</w:t>
            </w:r>
          </w:p>
        </w:tc>
        <w:tc>
          <w:tcPr>
            <w:tcW w:w="2462" w:type="dxa"/>
          </w:tcPr>
          <w:p>
            <w:pPr>
              <w:pStyle w:val="IsiTabel"/>
              <w:suppressAutoHyphens/>
              <w:jc w:val="left"/>
            </w:pPr>
            <w:r>
              <w:t xml:space="preserve">Pusat Data, Informasi, dan Komunikasi Kebencanaan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_Ref0076 \h \* CHARFORMAT </w:instrText>
            </w:r>
            <w:r>
              <w:fldChar w:fldCharType="separate"/>
            </w:r>
            <w:r>
              <w:t xml:space="preserve">08</w:t>
            </w:r>
            <w:r>
              <w:fldChar w:fldCharType="end"/>
            </w:r>
          </w:p>
        </w:tc>
        <w:tc>
          <w:tcPr>
            <w:tcW w:w="720" w:type="dxa"/>
          </w:tcPr>
          <w:p>
            <w:pPr>
              <w:pStyle w:val="IsiTabel"/>
              <w:suppressAutoHyphens/>
              <w:jc w:val="left"/>
            </w:pPr>
            <w:r>
              <w:t xml:space="preserve">R-A04</w:t>
            </w:r>
          </w:p>
        </w:tc>
        <w:tc>
          <w:tcPr>
            <w:tcW w:w="1427" w:type="dxa"/>
          </w:tcPr>
          <w:p>
            <w:pPr>
              <w:pStyle w:val="IsiTabel"/>
              <w:suppressAutoHyphens/>
              <w:jc w:val="left"/>
            </w:pPr>
            <w:r>
              <w:t xml:space="preserve">Inventarisasi logistik terhadap lantai musim hujan</w:t>
            </w:r>
          </w:p>
        </w:tc>
        <w:tc>
          <w:tcPr>
            <w:tcW w:w="2462" w:type="dxa"/>
          </w:tcPr>
          <w:p>
            <w:pPr>
              <w:pStyle w:val="IsiTabel"/>
              <w:suppressAutoHyphens/>
              <w:jc w:val="left"/>
            </w:pPr>
            <w:r>
              <w:t xml:space="preserve">Deputi Bidang Logistik dan Peralatan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_Ref0077 \h \* CHARFORMAT </w:instrText>
            </w:r>
            <w:r>
              <w:fldChar w:fldCharType="separate"/>
            </w:r>
            <w:r>
              <w:t xml:space="preserve">09</w:t>
            </w:r>
            <w:r>
              <w:fldChar w:fldCharType="end"/>
            </w:r>
          </w:p>
        </w:tc>
        <w:tc>
          <w:tcPr>
            <w:tcW w:w="720" w:type="dxa"/>
          </w:tcPr>
          <w:p>
            <w:pPr>
              <w:pStyle w:val="IsiTabel"/>
              <w:suppressAutoHyphens/>
              <w:jc w:val="left"/>
            </w:pPr>
            <w:r>
              <w:t xml:space="preserve">R-A05</w:t>
            </w:r>
          </w:p>
        </w:tc>
        <w:tc>
          <w:tcPr>
            <w:tcW w:w="1427" w:type="dxa"/>
          </w:tcPr>
          <w:p>
            <w:pPr>
              <w:pStyle w:val="IsiTabel"/>
              <w:suppressAutoHyphens/>
              <w:jc w:val="left"/>
            </w:pPr>
            <w:r>
              <w:t xml:space="preserve">Ajukan rakor peninjauan Renas PB</w:t>
            </w:r>
          </w:p>
        </w:tc>
        <w:tc>
          <w:tcPr>
            <w:tcW w:w="2462" w:type="dxa"/>
          </w:tcPr>
          <w:p>
            <w:pPr>
              <w:pStyle w:val="IsiTabel"/>
              <w:suppressAutoHyphens/>
              <w:jc w:val="left"/>
            </w:pPr>
            <w:r>
              <w:t xml:space="preserve">Biro Perencanaan</w:t>
            </w:r>
          </w:p>
        </w:tc>
        <w:tc>
          <w:tcPr>
            <w:tcW w:w="3059" w:type="dxa"/>
          </w:tcPr>
          <w:p>
            <w:pPr>
              <w:pStyle w:val="IsiTabel"/>
              <w:suppressAutoHyphens/>
              <w:jc w:val="left"/>
            </w:pPr>
            <w:r>
              <w:t xml:space="preserve">Kemenko PMK</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_Ref0078 \h \* CHARFORMAT </w:instrText>
            </w:r>
            <w:r>
              <w:fldChar w:fldCharType="separate"/>
            </w:r>
            <w:r>
              <w:t xml:space="preserve">12</w:t>
            </w:r>
            <w:r>
              <w:fldChar w:fldCharType="end"/>
            </w:r>
          </w:p>
        </w:tc>
        <w:tc>
          <w:tcPr>
            <w:tcW w:w="720" w:type="dxa"/>
          </w:tcPr>
          <w:p>
            <w:pPr>
              <w:pStyle w:val="IsiTabel"/>
              <w:suppressAutoHyphens/>
              <w:jc w:val="left"/>
            </w:pPr>
            <w:r>
              <w:t xml:space="preserve">R-A06</w:t>
            </w:r>
          </w:p>
        </w:tc>
        <w:tc>
          <w:tcPr>
            <w:tcW w:w="1427" w:type="dxa"/>
          </w:tcPr>
          <w:p>
            <w:pPr>
              <w:pStyle w:val="IsiTabel"/>
              <w:suppressAutoHyphens/>
              <w:jc w:val="left"/>
            </w:pPr>
            <w:r>
              <w:t xml:space="preserve">Uji rantai peringatan dini banjir dan longsor</w:t>
            </w:r>
          </w:p>
        </w:tc>
        <w:tc>
          <w:tcPr>
            <w:tcW w:w="2462" w:type="dxa"/>
          </w:tcPr>
          <w:p>
            <w:pPr>
              <w:pStyle w:val="IsiTabel"/>
              <w:suppressAutoHyphens/>
              <w:jc w:val="left"/>
            </w:pPr>
            <w:r>
              <w:t xml:space="preserve">Direktorat Peringatan Dini</w:t>
            </w:r>
          </w:p>
        </w:tc>
        <w:tc>
          <w:tcPr>
            <w:tcW w:w="3059" w:type="dxa"/>
          </w:tcPr>
          <w:p>
            <w:pPr>
              <w:pStyle w:val="IsiTabel"/>
              <w:suppressAutoHyphens/>
              <w:jc w:val="left"/>
            </w:pPr>
            <w:r>
              <w:t xml:space="preserve">BMKG; Kementerian PU</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_Ref0079 \h \* CHARFORMAT </w:instrText>
            </w:r>
            <w:r>
              <w:fldChar w:fldCharType="separate"/>
            </w:r>
            <w:r>
              <w:t xml:space="preserve">13</w:t>
            </w:r>
            <w:r>
              <w:fldChar w:fldCharType="end"/>
            </w:r>
          </w:p>
        </w:tc>
        <w:tc>
          <w:tcPr>
            <w:tcW w:w="720" w:type="dxa"/>
          </w:tcPr>
          <w:p>
            <w:pPr>
              <w:pStyle w:val="IsiTabel"/>
              <w:suppressAutoHyphens/>
              <w:jc w:val="left"/>
            </w:pPr>
            <w:r>
              <w:t xml:space="preserve">R-A08</w:t>
            </w:r>
          </w:p>
        </w:tc>
        <w:tc>
          <w:tcPr>
            <w:tcW w:w="1427" w:type="dxa"/>
          </w:tcPr>
          <w:p>
            <w:pPr>
              <w:pStyle w:val="IsiTabel"/>
              <w:suppressAutoHyphens/>
              <w:jc w:val="left"/>
            </w:pPr>
            <w:r>
              <w:t xml:space="preserve">Masukkan lantai skenario ke rencana kontinjensi provinsi</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_Ref0080 \h \* CHARFORMAT </w:instrText>
            </w:r>
            <w:r>
              <w:fldChar w:fldCharType="separate"/>
            </w:r>
            <w:r>
              <w:t xml:space="preserve">32</w:t>
            </w:r>
            <w:r>
              <w:fldChar w:fldCharType="end"/>
            </w:r>
          </w:p>
        </w:tc>
        <w:tc>
          <w:tcPr>
            <w:tcW w:w="720" w:type="dxa"/>
          </w:tcPr>
          <w:p>
            <w:pPr>
              <w:pStyle w:val="IsiTabel"/>
              <w:suppressAutoHyphens/>
              <w:jc w:val="left"/>
            </w:pPr>
            <w:r>
              <w:t xml:space="preserve">R-A09</w:t>
            </w:r>
          </w:p>
        </w:tc>
        <w:tc>
          <w:tcPr>
            <w:tcW w:w="1427" w:type="dxa"/>
          </w:tcPr>
          <w:p>
            <w:pPr>
              <w:pStyle w:val="IsiTabel"/>
              <w:suppressAutoHyphens/>
              <w:jc w:val="left"/>
            </w:pPr>
            <w:r>
              <w:t xml:space="preserve">Siapkan pemicu Kesiapan Musim Kemarau 2027</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 Kementerian PU; Kementerian Pertanian</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_Ref0086 \h \* CHARFORMAT </w:instrText>
            </w:r>
            <w:r>
              <w:fldChar w:fldCharType="separate"/>
            </w:r>
            <w:r>
              <w:t xml:space="preserve">10</w:t>
            </w:r>
            <w:r>
              <w:fldChar w:fldCharType="end"/>
            </w:r>
          </w:p>
        </w:tc>
        <w:tc>
          <w:tcPr>
            <w:tcW w:w="720" w:type="dxa"/>
          </w:tcPr>
          <w:p>
            <w:pPr>
              <w:pStyle w:val="IsiTabel"/>
              <w:suppressAutoHyphens/>
              <w:jc w:val="left"/>
            </w:pPr>
            <w:r>
              <w:t xml:space="preserve">R-M01</w:t>
            </w:r>
          </w:p>
        </w:tc>
        <w:tc>
          <w:tcPr>
            <w:tcW w:w="1427" w:type="dxa"/>
          </w:tcPr>
          <w:p>
            <w:pPr>
              <w:pStyle w:val="IsiTabel"/>
              <w:suppressAutoHyphens/>
              <w:jc w:val="left"/>
            </w:pPr>
            <w:r>
              <w:t xml:space="preserve">Tugaskan catatan metode IRBI 2025</w:t>
            </w:r>
          </w:p>
        </w:tc>
        <w:tc>
          <w:tcPr>
            <w:tcW w:w="2462" w:type="dxa"/>
          </w:tcPr>
          <w:p>
            <w:pPr>
              <w:pStyle w:val="IsiTabel"/>
              <w:suppressAutoHyphens/>
              <w:jc w:val="left"/>
            </w:pPr>
            <w:r>
              <w:t xml:space="preserve">Direktorat Pemetaan dan Evaluasi Risiko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_Ref0087 \h \* CHARFORMAT </w:instrText>
            </w:r>
            <w:r>
              <w:fldChar w:fldCharType="separate"/>
            </w:r>
            <w:r>
              <w:t xml:space="preserve">11</w:t>
            </w:r>
            <w:r>
              <w:fldChar w:fldCharType="end"/>
            </w:r>
          </w:p>
        </w:tc>
        <w:tc>
          <w:tcPr>
            <w:tcW w:w="720" w:type="dxa"/>
          </w:tcPr>
          <w:p>
            <w:pPr>
              <w:pStyle w:val="IsiTabel"/>
              <w:suppressAutoHyphens/>
              <w:jc w:val="left"/>
            </w:pPr>
            <w:r>
              <w:t xml:space="preserve">R-M02</w:t>
            </w:r>
          </w:p>
        </w:tc>
        <w:tc>
          <w:tcPr>
            <w:tcW w:w="1427" w:type="dxa"/>
          </w:tcPr>
          <w:p>
            <w:pPr>
              <w:pStyle w:val="IsiTabel"/>
              <w:suppressAutoHyphens/>
              <w:jc w:val="left"/>
            </w:pPr>
            <w:r>
              <w:t xml:space="preserve">Ajukan izin prakarsa peraturan di luar Progsun</w:t>
            </w:r>
          </w:p>
        </w:tc>
        <w:tc>
          <w:tcPr>
            <w:tcW w:w="2462" w:type="dxa"/>
          </w:tcPr>
          <w:p>
            <w:pPr>
              <w:pStyle w:val="IsiTabel"/>
              <w:suppressAutoHyphens/>
              <w:jc w:val="left"/>
            </w:pPr>
            <w:r>
              <w:t xml:space="preserve">Biro Hukum, Organisasi, dan Kerja Sama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_Ref0088 \h \* CHARFORMAT </w:instrText>
            </w:r>
            <w:r>
              <w:fldChar w:fldCharType="separate"/>
            </w:r>
            <w:r>
              <w:t xml:space="preserve">14</w:t>
            </w:r>
            <w:r>
              <w:fldChar w:fldCharType="end"/>
            </w:r>
          </w:p>
        </w:tc>
        <w:tc>
          <w:tcPr>
            <w:tcW w:w="720" w:type="dxa"/>
          </w:tcPr>
          <w:p>
            <w:pPr>
              <w:pStyle w:val="IsiTabel"/>
              <w:suppressAutoHyphens/>
              <w:jc w:val="left"/>
            </w:pPr>
            <w:r>
              <w:t xml:space="preserve">R-M03</w:t>
            </w:r>
          </w:p>
        </w:tc>
        <w:tc>
          <w:tcPr>
            <w:tcW w:w="1427" w:type="dxa"/>
          </w:tcPr>
          <w:p>
            <w:pPr>
              <w:pStyle w:val="IsiTabel"/>
              <w:suppressAutoHyphens/>
              <w:jc w:val="left"/>
            </w:pPr>
            <w:r>
              <w:t xml:space="preserve">Susun pedoman keadaan tertentu Perpres 46/2026</w:t>
            </w:r>
          </w:p>
        </w:tc>
        <w:tc>
          <w:tcPr>
            <w:tcW w:w="2462" w:type="dxa"/>
          </w:tcPr>
          <w:p>
            <w:pPr>
              <w:pStyle w:val="IsiTabel"/>
              <w:suppressAutoHyphens/>
              <w:jc w:val="left"/>
            </w:pPr>
            <w:r>
              <w:t xml:space="preserve">Deputi Bidang Penanganan Darurat</w:t>
            </w:r>
          </w:p>
        </w:tc>
        <w:tc>
          <w:tcPr>
            <w:tcW w:w="3059" w:type="dxa"/>
          </w:tcPr>
          <w:p>
            <w:pPr>
              <w:pStyle w:val="IsiTabel"/>
              <w:suppressAutoHyphens/>
              <w:jc w:val="left"/>
            </w:pPr>
            <w:r>
              <w:t xml:space="preserve">Kemenko PMK; Kementerian Dalam Negeri; Kementerian Sosial; Kementerian Keuangan</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_Ref0107 \h \* CHARFORMAT </w:instrText>
            </w:r>
            <w:r>
              <w:fldChar w:fldCharType="separate"/>
            </w:r>
            <w:r>
              <w:t xml:space="preserve">15</w:t>
            </w:r>
            <w:r>
              <w:fldChar w:fldCharType="end"/>
            </w:r>
          </w:p>
        </w:tc>
        <w:tc>
          <w:tcPr>
            <w:tcW w:w="720" w:type="dxa"/>
          </w:tcPr>
          <w:p>
            <w:pPr>
              <w:pStyle w:val="IsiTabel"/>
              <w:suppressAutoHyphens/>
              <w:jc w:val="left"/>
            </w:pPr>
            <w:r>
              <w:t xml:space="preserve">R-M22</w:t>
            </w:r>
          </w:p>
        </w:tc>
        <w:tc>
          <w:tcPr>
            <w:tcW w:w="1427" w:type="dxa"/>
          </w:tcPr>
          <w:p>
            <w:pPr>
              <w:pStyle w:val="IsiTabel"/>
              <w:suppressAutoHyphens/>
              <w:jc w:val="left"/>
            </w:pPr>
            <w:r>
              <w:t xml:space="preserve">Sarankan perubahan lokasi lewat pengendalian Renas PB</w:t>
            </w:r>
          </w:p>
        </w:tc>
        <w:tc>
          <w:tcPr>
            <w:tcW w:w="2462" w:type="dxa"/>
          </w:tcPr>
          <w:p>
            <w:pPr>
              <w:pStyle w:val="IsiTabel"/>
              <w:suppressAutoHyphens/>
              <w:jc w:val="left"/>
            </w:pPr>
            <w:r>
              <w:t xml:space="preserve">Direktorat Pengembangan Strategi Penanggulangan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_Ref0081 \h \* CHARFORMAT </w:instrText>
            </w:r>
            <w:r>
              <w:fldChar w:fldCharType="separate"/>
            </w:r>
            <w:r>
              <w:t xml:space="preserve">33</w:t>
            </w:r>
            <w:r>
              <w:fldChar w:fldCharType="end"/>
            </w:r>
          </w:p>
        </w:tc>
        <w:tc>
          <w:tcPr>
            <w:tcW w:w="720" w:type="dxa"/>
          </w:tcPr>
          <w:p>
            <w:pPr>
              <w:pStyle w:val="IsiTabel"/>
              <w:suppressAutoHyphens/>
              <w:jc w:val="left"/>
            </w:pPr>
            <w:r>
              <w:t xml:space="preserve">R-A10</w:t>
            </w:r>
          </w:p>
        </w:tc>
        <w:tc>
          <w:tcPr>
            <w:tcW w:w="1427" w:type="dxa"/>
          </w:tcPr>
          <w:p>
            <w:pPr>
              <w:pStyle w:val="IsiTabel"/>
              <w:suppressAutoHyphens/>
              <w:jc w:val="left"/>
            </w:pPr>
            <w:r>
              <w:t xml:space="preserve">Selaraskan target cakupan peringatan dini</w:t>
            </w:r>
          </w:p>
        </w:tc>
        <w:tc>
          <w:tcPr>
            <w:tcW w:w="2462" w:type="dxa"/>
          </w:tcPr>
          <w:p>
            <w:pPr>
              <w:pStyle w:val="IsiTabel"/>
              <w:suppressAutoHyphens/>
              <w:jc w:val="left"/>
            </w:pPr>
            <w:r>
              <w:t xml:space="preserve">Biro Perencanaan</w:t>
            </w:r>
          </w:p>
        </w:tc>
        <w:tc>
          <w:tcPr>
            <w:tcW w:w="3059" w:type="dxa"/>
          </w:tcPr>
          <w:p>
            <w:pPr>
              <w:pStyle w:val="IsiTabel"/>
              <w:suppressAutoHyphens/>
              <w:jc w:val="left"/>
            </w:pPr>
            <w:r>
              <w:t xml:space="preserve">Kementerian PPN/Bappenas</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_Ref0082 \h \* CHARFORMAT </w:instrText>
            </w:r>
            <w:r>
              <w:fldChar w:fldCharType="separate"/>
            </w:r>
            <w:r>
              <w:t xml:space="preserve">16</w:t>
            </w:r>
            <w:r>
              <w:fldChar w:fldCharType="end"/>
            </w:r>
          </w:p>
        </w:tc>
        <w:tc>
          <w:tcPr>
            <w:tcW w:w="720" w:type="dxa"/>
          </w:tcPr>
          <w:p>
            <w:pPr>
              <w:pStyle w:val="IsiTabel"/>
              <w:suppressAutoHyphens/>
              <w:jc w:val="left"/>
            </w:pPr>
            <w:r>
              <w:t xml:space="preserve">R-A11</w:t>
            </w:r>
          </w:p>
        </w:tc>
        <w:tc>
          <w:tcPr>
            <w:tcW w:w="1427" w:type="dxa"/>
          </w:tcPr>
          <w:p>
            <w:pPr>
              <w:pStyle w:val="IsiTabel"/>
              <w:suppressAutoHyphens/>
              <w:jc w:val="left"/>
            </w:pPr>
            <w:r>
              <w:t xml:space="preserve">Bentuk garis dasar cakupan peringatan dini</w:t>
            </w:r>
          </w:p>
        </w:tc>
        <w:tc>
          <w:tcPr>
            <w:tcW w:w="2462" w:type="dxa"/>
          </w:tcPr>
          <w:p>
            <w:pPr>
              <w:pStyle w:val="IsiTabel"/>
              <w:suppressAutoHyphens/>
              <w:jc w:val="left"/>
            </w:pPr>
            <w:r>
              <w:t xml:space="preserve">Direktorat Peringatan Dini</w:t>
            </w:r>
          </w:p>
        </w:tc>
        <w:tc>
          <w:tcPr>
            <w:tcW w:w="3059" w:type="dxa"/>
          </w:tcPr>
          <w:p>
            <w:pPr>
              <w:pStyle w:val="IsiTabel"/>
              <w:suppressAutoHyphens/>
              <w:jc w:val="left"/>
            </w:pPr>
            <w:r>
              <w:t xml:space="preserve">BMKG; 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_Ref0083 \h \* CHARFORMAT </w:instrText>
            </w:r>
            <w:r>
              <w:fldChar w:fldCharType="separate"/>
            </w:r>
            <w:r>
              <w:t xml:space="preserve">34</w:t>
            </w:r>
            <w:r>
              <w:fldChar w:fldCharType="end"/>
            </w:r>
          </w:p>
        </w:tc>
        <w:tc>
          <w:tcPr>
            <w:tcW w:w="720" w:type="dxa"/>
          </w:tcPr>
          <w:p>
            <w:pPr>
              <w:pStyle w:val="IsiTabel"/>
              <w:suppressAutoHyphens/>
              <w:jc w:val="left"/>
            </w:pPr>
            <w:r>
              <w:t xml:space="preserve">R-A15</w:t>
            </w:r>
          </w:p>
        </w:tc>
        <w:tc>
          <w:tcPr>
            <w:tcW w:w="1427" w:type="dxa"/>
          </w:tcPr>
          <w:p>
            <w:pPr>
              <w:pStyle w:val="IsiTabel"/>
              <w:suppressAutoHyphens/>
              <w:jc w:val="left"/>
            </w:pPr>
            <w:r>
              <w:t xml:space="preserve">Bentuk garis dasar evaluasi dampak Destana</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Kementerian Desa dan Pembangunan Daerah Tertinggal; Kementerian Sosial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_Ref0084 \h \* CHARFORMAT </w:instrText>
            </w:r>
            <w:r>
              <w:fldChar w:fldCharType="separate"/>
            </w:r>
            <w:r>
              <w:t xml:space="preserve">17</w:t>
            </w:r>
            <w:r>
              <w:fldChar w:fldCharType="end"/>
            </w:r>
          </w:p>
        </w:tc>
        <w:tc>
          <w:tcPr>
            <w:tcW w:w="720" w:type="dxa"/>
          </w:tcPr>
          <w:p>
            <w:pPr>
              <w:pStyle w:val="IsiTabel"/>
              <w:suppressAutoHyphens/>
              <w:jc w:val="left"/>
            </w:pPr>
            <w:r>
              <w:t xml:space="preserve">R-A17</w:t>
            </w:r>
          </w:p>
        </w:tc>
        <w:tc>
          <w:tcPr>
            <w:tcW w:w="1427" w:type="dxa"/>
          </w:tcPr>
          <w:p>
            <w:pPr>
              <w:pStyle w:val="IsiTabel"/>
              <w:suppressAutoHyphens/>
              <w:jc w:val="left"/>
            </w:pPr>
            <w:r>
              <w:t xml:space="preserve">Serahkan lampiran data kab/kota ke Walidata</w:t>
            </w:r>
          </w:p>
        </w:tc>
        <w:tc>
          <w:tcPr>
            <w:tcW w:w="2462" w:type="dxa"/>
          </w:tcPr>
          <w:p>
            <w:pPr>
              <w:pStyle w:val="IsiTabel"/>
              <w:suppressAutoHyphens/>
              <w:jc w:val="left"/>
            </w:pPr>
            <w:r>
              <w:t xml:space="preserve">Pusat Data, Informasi, dan Komunikasi Kebencanaan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_Ref0089 \h \* CHARFORMAT </w:instrText>
            </w:r>
            <w:r>
              <w:fldChar w:fldCharType="separate"/>
            </w:r>
            <w:r>
              <w:t xml:space="preserve">35</w:t>
            </w:r>
            <w:r>
              <w:fldChar w:fldCharType="end"/>
            </w:r>
          </w:p>
        </w:tc>
        <w:tc>
          <w:tcPr>
            <w:tcW w:w="720" w:type="dxa"/>
          </w:tcPr>
          <w:p>
            <w:pPr>
              <w:pStyle w:val="IsiTabel"/>
              <w:suppressAutoHyphens/>
              <w:jc w:val="left"/>
            </w:pPr>
            <w:r>
              <w:t xml:space="preserve">R-M04</w:t>
            </w:r>
          </w:p>
        </w:tc>
        <w:tc>
          <w:tcPr>
            <w:tcW w:w="1427" w:type="dxa"/>
          </w:tcPr>
          <w:p>
            <w:pPr>
              <w:pStyle w:val="IsiTabel"/>
              <w:suppressAutoHyphens/>
              <w:jc w:val="left"/>
            </w:pPr>
            <w:r>
              <w:t xml:space="preserve">Putuskan alat ukur dan penyebut kapasitas daerah</w:t>
            </w:r>
          </w:p>
        </w:tc>
        <w:tc>
          <w:tcPr>
            <w:tcW w:w="2462" w:type="dxa"/>
          </w:tcPr>
          <w:p>
            <w:pPr>
              <w:pStyle w:val="IsiTabel"/>
              <w:suppressAutoHyphens/>
              <w:jc w:val="left"/>
            </w:pPr>
            <w:r>
              <w:t xml:space="preserve">Biro Perencanaan</w:t>
            </w:r>
          </w:p>
        </w:tc>
        <w:tc>
          <w:tcPr>
            <w:tcW w:w="3059" w:type="dxa"/>
          </w:tcPr>
          <w:p>
            <w:pPr>
              <w:pStyle w:val="IsiTabel"/>
              <w:suppressAutoHyphens/>
              <w:jc w:val="left"/>
            </w:pPr>
            <w:r>
              <w:t xml:space="preserve">Kementerian PPN/Bappenas; 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_Ref0090 \h \* CHARFORMAT </w:instrText>
            </w:r>
            <w:r>
              <w:fldChar w:fldCharType="separate"/>
            </w:r>
            <w:r>
              <w:t xml:space="preserve">18</w:t>
            </w:r>
            <w:r>
              <w:fldChar w:fldCharType="end"/>
            </w:r>
          </w:p>
        </w:tc>
        <w:tc>
          <w:tcPr>
            <w:tcW w:w="720" w:type="dxa"/>
          </w:tcPr>
          <w:p>
            <w:pPr>
              <w:pStyle w:val="IsiTabel"/>
              <w:suppressAutoHyphens/>
              <w:jc w:val="left"/>
            </w:pPr>
            <w:r>
              <w:t xml:space="preserve">R-M05</w:t>
            </w:r>
          </w:p>
        </w:tc>
        <w:tc>
          <w:tcPr>
            <w:tcW w:w="1427" w:type="dxa"/>
          </w:tcPr>
          <w:p>
            <w:pPr>
              <w:pStyle w:val="IsiTabel"/>
              <w:suppressAutoHyphens/>
              <w:jc w:val="left"/>
            </w:pPr>
            <w:r>
              <w:t xml:space="preserve">Masukkan skenario megathrust ke rencana kontinjensi pesisir</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 Kementerian ESDM (Badan Geologi)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_Ref0091 \h \* CHARFORMAT </w:instrText>
            </w:r>
            <w:r>
              <w:fldChar w:fldCharType="separate"/>
            </w:r>
            <w:r>
              <w:t xml:space="preserve">19</w:t>
            </w:r>
            <w:r>
              <w:fldChar w:fldCharType="end"/>
            </w:r>
          </w:p>
        </w:tc>
        <w:tc>
          <w:tcPr>
            <w:tcW w:w="720" w:type="dxa"/>
          </w:tcPr>
          <w:p>
            <w:pPr>
              <w:pStyle w:val="IsiTabel"/>
              <w:suppressAutoHyphens/>
              <w:jc w:val="left"/>
            </w:pPr>
            <w:r>
              <w:t xml:space="preserve">R-M06</w:t>
            </w:r>
          </w:p>
        </w:tc>
        <w:tc>
          <w:tcPr>
            <w:tcW w:w="1427" w:type="dxa"/>
          </w:tcPr>
          <w:p>
            <w:pPr>
              <w:pStyle w:val="IsiTabel"/>
              <w:suppressAutoHyphens/>
              <w:jc w:val="left"/>
            </w:pPr>
            <w:r>
              <w:t xml:space="preserve">Usulkan inisiasi Perpres status dan tingkatan bencana</w:t>
            </w:r>
          </w:p>
        </w:tc>
        <w:tc>
          <w:tcPr>
            <w:tcW w:w="2462" w:type="dxa"/>
          </w:tcPr>
          <w:p>
            <w:pPr>
              <w:pStyle w:val="IsiTabel"/>
              <w:suppressAutoHyphens/>
              <w:jc w:val="left"/>
            </w:pPr>
            <w:r>
              <w:t xml:space="preserve">Direktorat Sistem Penanggulangan Bencana</w:t>
            </w:r>
          </w:p>
        </w:tc>
        <w:tc>
          <w:tcPr>
            <w:tcW w:w="3059" w:type="dxa"/>
          </w:tcPr>
          <w:p>
            <w:pPr>
              <w:pStyle w:val="IsiTabel"/>
              <w:suppressAutoHyphens/>
              <w:jc w:val="left"/>
            </w:pPr>
            <w:r>
              <w:t xml:space="preserve">Kemenko PMK; Kementerian Sekretariat Negara</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_Ref0092 \h \* CHARFORMAT </w:instrText>
            </w:r>
            <w:r>
              <w:fldChar w:fldCharType="separate"/>
            </w:r>
            <w:r>
              <w:t xml:space="preserve">36</w:t>
            </w:r>
            <w:r>
              <w:fldChar w:fldCharType="end"/>
            </w:r>
          </w:p>
        </w:tc>
        <w:tc>
          <w:tcPr>
            <w:tcW w:w="720" w:type="dxa"/>
          </w:tcPr>
          <w:p>
            <w:pPr>
              <w:pStyle w:val="IsiTabel"/>
              <w:suppressAutoHyphens/>
              <w:jc w:val="left"/>
            </w:pPr>
            <w:r>
              <w:t xml:space="preserve">R-M07</w:t>
            </w:r>
          </w:p>
        </w:tc>
        <w:tc>
          <w:tcPr>
            <w:tcW w:w="1427" w:type="dxa"/>
          </w:tcPr>
          <w:p>
            <w:pPr>
              <w:pStyle w:val="IsiTabel"/>
              <w:suppressAutoHyphens/>
              <w:jc w:val="left"/>
            </w:pPr>
            <w:r>
              <w:t xml:space="preserve">Tetapkan norma pengait KLB dan darurat bencana</w:t>
            </w:r>
          </w:p>
        </w:tc>
        <w:tc>
          <w:tcPr>
            <w:tcW w:w="2462" w:type="dxa"/>
          </w:tcPr>
          <w:p>
            <w:pPr>
              <w:pStyle w:val="IsiTabel"/>
              <w:suppressAutoHyphens/>
              <w:jc w:val="left"/>
            </w:pPr>
            <w:r>
              <w:t xml:space="preserve">Direktorat Sistem Penanggulangan Bencana</w:t>
            </w:r>
          </w:p>
        </w:tc>
        <w:tc>
          <w:tcPr>
            <w:tcW w:w="3059" w:type="dxa"/>
          </w:tcPr>
          <w:p>
            <w:pPr>
              <w:pStyle w:val="IsiTabel"/>
              <w:suppressAutoHyphens/>
              <w:jc w:val="left"/>
            </w:pPr>
            <w:r>
              <w:t xml:space="preserve">Kementerian Kesehatan; Kemenko PMK</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_Ref0093 \h \* CHARFORMAT </w:instrText>
            </w:r>
            <w:r>
              <w:fldChar w:fldCharType="separate"/>
            </w:r>
            <w:r>
              <w:t xml:space="preserve">20</w:t>
            </w:r>
            <w:r>
              <w:fldChar w:fldCharType="end"/>
            </w:r>
          </w:p>
        </w:tc>
        <w:tc>
          <w:tcPr>
            <w:tcW w:w="720" w:type="dxa"/>
          </w:tcPr>
          <w:p>
            <w:pPr>
              <w:pStyle w:val="IsiTabel"/>
              <w:suppressAutoHyphens/>
              <w:jc w:val="left"/>
            </w:pPr>
            <w:r>
              <w:t xml:space="preserve">R-M08</w:t>
            </w:r>
          </w:p>
        </w:tc>
        <w:tc>
          <w:tcPr>
            <w:tcW w:w="1427" w:type="dxa"/>
          </w:tcPr>
          <w:p>
            <w:pPr>
              <w:pStyle w:val="IsiTabel"/>
              <w:suppressAutoHyphens/>
              <w:jc w:val="left"/>
            </w:pPr>
            <w:r>
              <w:t xml:space="preserve">Rapikan pencatatan nonalam dan sosial di DIBI</w:t>
            </w:r>
          </w:p>
        </w:tc>
        <w:tc>
          <w:tcPr>
            <w:tcW w:w="2462" w:type="dxa"/>
          </w:tcPr>
          <w:p>
            <w:pPr>
              <w:pStyle w:val="IsiTabel"/>
              <w:suppressAutoHyphens/>
              <w:jc w:val="left"/>
            </w:pPr>
            <w:r>
              <w:t xml:space="preserve">Pusat Data, Informasi, dan Komunikasi Kebencanaan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_Ref0094 \h \* CHARFORMAT </w:instrText>
            </w:r>
            <w:r>
              <w:fldChar w:fldCharType="separate"/>
            </w:r>
            <w:r>
              <w:t xml:space="preserve">21</w:t>
            </w:r>
            <w:r>
              <w:fldChar w:fldCharType="end"/>
            </w:r>
          </w:p>
        </w:tc>
        <w:tc>
          <w:tcPr>
            <w:tcW w:w="720" w:type="dxa"/>
          </w:tcPr>
          <w:p>
            <w:pPr>
              <w:pStyle w:val="IsiTabel"/>
              <w:suppressAutoHyphens/>
              <w:jc w:val="left"/>
            </w:pPr>
            <w:r>
              <w:t xml:space="preserve">R-M09</w:t>
            </w:r>
          </w:p>
        </w:tc>
        <w:tc>
          <w:tcPr>
            <w:tcW w:w="1427" w:type="dxa"/>
          </w:tcPr>
          <w:p>
            <w:pPr>
              <w:pStyle w:val="IsiTabel"/>
              <w:suppressAutoHyphens/>
              <w:jc w:val="left"/>
            </w:pPr>
            <w:r>
              <w:t xml:space="preserve">Laporkan realisasi indikator korban Renas PB tahunan</w:t>
            </w:r>
          </w:p>
        </w:tc>
        <w:tc>
          <w:tcPr>
            <w:tcW w:w="2462" w:type="dxa"/>
          </w:tcPr>
          <w:p>
            <w:pPr>
              <w:pStyle w:val="IsiTabel"/>
              <w:suppressAutoHyphens/>
              <w:jc w:val="left"/>
            </w:pPr>
            <w:r>
              <w:t xml:space="preserve">Direktorat Pengembangan Strategi Penanggulangan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_Ref0095 \h \* CHARFORMAT </w:instrText>
            </w:r>
            <w:r>
              <w:fldChar w:fldCharType="separate"/>
            </w:r>
            <w:r>
              <w:t xml:space="preserve">22</w:t>
            </w:r>
            <w:r>
              <w:fldChar w:fldCharType="end"/>
            </w:r>
          </w:p>
        </w:tc>
        <w:tc>
          <w:tcPr>
            <w:tcW w:w="720" w:type="dxa"/>
          </w:tcPr>
          <w:p>
            <w:pPr>
              <w:pStyle w:val="IsiTabel"/>
              <w:suppressAutoHyphens/>
              <w:jc w:val="left"/>
            </w:pPr>
            <w:r>
              <w:t xml:space="preserve">R-M10</w:t>
            </w:r>
          </w:p>
        </w:tc>
        <w:tc>
          <w:tcPr>
            <w:tcW w:w="1427" w:type="dxa"/>
          </w:tcPr>
          <w:p>
            <w:pPr>
              <w:pStyle w:val="IsiTabel"/>
              <w:suppressAutoHyphens/>
              <w:jc w:val="left"/>
            </w:pPr>
            <w:r>
              <w:t xml:space="preserve">Selaraskan klaster dan dokumen ke organisasi berlaku</w:t>
            </w:r>
          </w:p>
        </w:tc>
        <w:tc>
          <w:tcPr>
            <w:tcW w:w="2462" w:type="dxa"/>
          </w:tcPr>
          <w:p>
            <w:pPr>
              <w:pStyle w:val="IsiTabel"/>
              <w:suppressAutoHyphens/>
              <w:jc w:val="left"/>
            </w:pPr>
            <w:r>
              <w:t xml:space="preserve">Biro Hukum, Organisasi, dan Kerja Sama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_Ref0096 \h \* CHARFORMAT </w:instrText>
            </w:r>
            <w:r>
              <w:fldChar w:fldCharType="separate"/>
            </w:r>
            <w:r>
              <w:t xml:space="preserve">23</w:t>
            </w:r>
            <w:r>
              <w:fldChar w:fldCharType="end"/>
            </w:r>
          </w:p>
        </w:tc>
        <w:tc>
          <w:tcPr>
            <w:tcW w:w="720" w:type="dxa"/>
          </w:tcPr>
          <w:p>
            <w:pPr>
              <w:pStyle w:val="IsiTabel"/>
              <w:suppressAutoHyphens/>
              <w:jc w:val="left"/>
            </w:pPr>
            <w:r>
              <w:t xml:space="preserve">R-M11</w:t>
            </w:r>
          </w:p>
        </w:tc>
        <w:tc>
          <w:tcPr>
            <w:tcW w:w="1427" w:type="dxa"/>
          </w:tcPr>
          <w:p>
            <w:pPr>
              <w:pStyle w:val="IsiTabel"/>
              <w:suppressAutoHyphens/>
              <w:jc w:val="left"/>
            </w:pPr>
            <w:r>
              <w:t xml:space="preserve">Tetapkan Perban analisis risiko pembangunan berisiko tinggi</w:t>
            </w:r>
          </w:p>
        </w:tc>
        <w:tc>
          <w:tcPr>
            <w:tcW w:w="2462" w:type="dxa"/>
          </w:tcPr>
          <w:p>
            <w:pPr>
              <w:pStyle w:val="IsiTabel"/>
              <w:suppressAutoHyphens/>
              <w:jc w:val="left"/>
            </w:pPr>
            <w:r>
              <w:t xml:space="preserve">Direktorat Pemetaan dan Evaluasi Risiko Bencana</w:t>
            </w:r>
          </w:p>
        </w:tc>
        <w:tc>
          <w:tcPr>
            <w:tcW w:w="3059" w:type="dxa"/>
          </w:tcPr>
          <w:p>
            <w:pPr>
              <w:pStyle w:val="IsiTabel"/>
              <w:suppressAutoHyphens/>
              <w:jc w:val="left"/>
            </w:pPr>
            <w:r>
              <w:t xml:space="preserve">Kementerian ESDM; Kementerian Perindustrian</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_Ref0097 \h \* CHARFORMAT </w:instrText>
            </w:r>
            <w:r>
              <w:fldChar w:fldCharType="separate"/>
            </w:r>
            <w:r>
              <w:t xml:space="preserve">24</w:t>
            </w:r>
            <w:r>
              <w:fldChar w:fldCharType="end"/>
            </w:r>
          </w:p>
        </w:tc>
        <w:tc>
          <w:tcPr>
            <w:tcW w:w="720" w:type="dxa"/>
          </w:tcPr>
          <w:p>
            <w:pPr>
              <w:pStyle w:val="IsiTabel"/>
              <w:suppressAutoHyphens/>
              <w:jc w:val="left"/>
            </w:pPr>
            <w:r>
              <w:t xml:space="preserve">R-M12</w:t>
            </w:r>
          </w:p>
        </w:tc>
        <w:tc>
          <w:tcPr>
            <w:tcW w:w="1427" w:type="dxa"/>
          </w:tcPr>
          <w:p>
            <w:pPr>
              <w:pStyle w:val="IsiTabel"/>
              <w:suppressAutoHyphens/>
              <w:jc w:val="left"/>
            </w:pPr>
            <w:r>
              <w:t xml:space="preserve">Susun rencana induk peringatan dini multiancaman</w:t>
            </w:r>
          </w:p>
        </w:tc>
        <w:tc>
          <w:tcPr>
            <w:tcW w:w="2462" w:type="dxa"/>
          </w:tcPr>
          <w:p>
            <w:pPr>
              <w:pStyle w:val="IsiTabel"/>
              <w:suppressAutoHyphens/>
              <w:jc w:val="left"/>
            </w:pPr>
            <w:r>
              <w:t xml:space="preserve">Direktorat Peringatan Dini</w:t>
            </w:r>
          </w:p>
        </w:tc>
        <w:tc>
          <w:tcPr>
            <w:tcW w:w="3059" w:type="dxa"/>
          </w:tcPr>
          <w:p>
            <w:pPr>
              <w:pStyle w:val="IsiTabel"/>
              <w:suppressAutoHyphens/>
              <w:jc w:val="left"/>
            </w:pPr>
            <w:r>
              <w:t xml:space="preserve">BMKG; Kementerian PU; Kementerian ESDM (Badan Geologi)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_Ref0098 \h \* CHARFORMAT </w:instrText>
            </w:r>
            <w:r>
              <w:fldChar w:fldCharType="separate"/>
            </w:r>
            <w:r>
              <w:t xml:space="preserve">25</w:t>
            </w:r>
            <w:r>
              <w:fldChar w:fldCharType="end"/>
            </w:r>
          </w:p>
        </w:tc>
        <w:tc>
          <w:tcPr>
            <w:tcW w:w="720" w:type="dxa"/>
          </w:tcPr>
          <w:p>
            <w:pPr>
              <w:pStyle w:val="IsiTabel"/>
              <w:suppressAutoHyphens/>
              <w:jc w:val="left"/>
            </w:pPr>
            <w:r>
              <w:t xml:space="preserve">R-M13</w:t>
            </w:r>
          </w:p>
        </w:tc>
        <w:tc>
          <w:tcPr>
            <w:tcW w:w="1427" w:type="dxa"/>
          </w:tcPr>
          <w:p>
            <w:pPr>
              <w:pStyle w:val="IsiTabel"/>
              <w:suppressAutoHyphens/>
              <w:jc w:val="left"/>
            </w:pPr>
            <w:r>
              <w:t xml:space="preserve">Lengkapi dokumen dasar daerah berkapasitas rendah</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_Ref0099 \h \* CHARFORMAT </w:instrText>
            </w:r>
            <w:r>
              <w:fldChar w:fldCharType="separate"/>
            </w:r>
            <w:r>
              <w:t xml:space="preserve">37</w:t>
            </w:r>
            <w:r>
              <w:fldChar w:fldCharType="end"/>
            </w:r>
          </w:p>
        </w:tc>
        <w:tc>
          <w:tcPr>
            <w:tcW w:w="720" w:type="dxa"/>
          </w:tcPr>
          <w:p>
            <w:pPr>
              <w:pStyle w:val="IsiTabel"/>
              <w:suppressAutoHyphens/>
              <w:jc w:val="left"/>
            </w:pPr>
            <w:r>
              <w:t xml:space="preserve">R-M14</w:t>
            </w:r>
          </w:p>
        </w:tc>
        <w:tc>
          <w:tcPr>
            <w:tcW w:w="1427" w:type="dxa"/>
          </w:tcPr>
          <w:p>
            <w:pPr>
              <w:pStyle w:val="IsiTabel"/>
              <w:suppressAutoHyphens/>
              <w:jc w:val="left"/>
            </w:pPr>
            <w:r>
              <w:t xml:space="preserve">Selesaikan perubahan Permendagri organisasi BPBD</w:t>
            </w:r>
          </w:p>
        </w:tc>
        <w:tc>
          <w:tcPr>
            <w:tcW w:w="2462" w:type="dxa"/>
          </w:tcPr>
          <w:p>
            <w:pPr>
              <w:pStyle w:val="IsiTabel"/>
              <w:suppressAutoHyphens/>
              <w:jc w:val="left"/>
            </w:pPr>
            <w:r>
              <w:t xml:space="preserve">Direktorat Sistem Penanggulangan Bencana</w:t>
            </w:r>
          </w:p>
        </w:tc>
        <w:tc>
          <w:tcPr>
            <w:tcW w:w="3059" w:type="dxa"/>
          </w:tcPr>
          <w:p>
            <w:pPr>
              <w:pStyle w:val="IsiTabel"/>
              <w:suppressAutoHyphens/>
              <w:jc w:val="left"/>
            </w:pPr>
            <w:r>
              <w:t xml:space="preserve">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_Ref0100 \h \* CHARFORMAT </w:instrText>
            </w:r>
            <w:r>
              <w:fldChar w:fldCharType="separate"/>
            </w:r>
            <w:r>
              <w:t xml:space="preserve">38</w:t>
            </w:r>
            <w:r>
              <w:fldChar w:fldCharType="end"/>
            </w:r>
          </w:p>
        </w:tc>
        <w:tc>
          <w:tcPr>
            <w:tcW w:w="720" w:type="dxa"/>
          </w:tcPr>
          <w:p>
            <w:pPr>
              <w:pStyle w:val="IsiTabel"/>
              <w:suppressAutoHyphens/>
              <w:jc w:val="left"/>
            </w:pPr>
            <w:r>
              <w:t xml:space="preserve">R-M15</w:t>
            </w:r>
          </w:p>
        </w:tc>
        <w:tc>
          <w:tcPr>
            <w:tcW w:w="1427" w:type="dxa"/>
          </w:tcPr>
          <w:p>
            <w:pPr>
              <w:pStyle w:val="IsiTabel"/>
              <w:suppressAutoHyphens/>
              <w:jc w:val="left"/>
            </w:pPr>
            <w:r>
              <w:t xml:space="preserve">Masukkan TPA pembuangan terbuka ke kesiapan kemarau</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KLH/BPLH; Pemda</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_Ref0101 \h \* CHARFORMAT </w:instrText>
            </w:r>
            <w:r>
              <w:fldChar w:fldCharType="separate"/>
            </w:r>
            <w:r>
              <w:t xml:space="preserve">26</w:t>
            </w:r>
            <w:r>
              <w:fldChar w:fldCharType="end"/>
            </w:r>
          </w:p>
        </w:tc>
        <w:tc>
          <w:tcPr>
            <w:tcW w:w="720" w:type="dxa"/>
          </w:tcPr>
          <w:p>
            <w:pPr>
              <w:pStyle w:val="IsiTabel"/>
              <w:suppressAutoHyphens/>
              <w:jc w:val="left"/>
            </w:pPr>
            <w:r>
              <w:t xml:space="preserve">R-M16</w:t>
            </w:r>
          </w:p>
        </w:tc>
        <w:tc>
          <w:tcPr>
            <w:tcW w:w="1427" w:type="dxa"/>
          </w:tcPr>
          <w:p>
            <w:pPr>
              <w:pStyle w:val="IsiTabel"/>
              <w:suppressAutoHyphens/>
              <w:jc w:val="left"/>
            </w:pPr>
            <w:r>
              <w:t xml:space="preserve">Latih komando dengan skenario lantai</w:t>
            </w:r>
          </w:p>
        </w:tc>
        <w:tc>
          <w:tcPr>
            <w:tcW w:w="2462" w:type="dxa"/>
          </w:tcPr>
          <w:p>
            <w:pPr>
              <w:pStyle w:val="IsiTabel"/>
              <w:suppressAutoHyphens/>
              <w:jc w:val="left"/>
            </w:pPr>
            <w:r>
              <w:t xml:space="preserve">Pusat Pendidikan dan Pelatihan Penanggulangan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_Ref0102 \h \* CHARFORMAT </w:instrText>
            </w:r>
            <w:r>
              <w:fldChar w:fldCharType="separate"/>
            </w:r>
            <w:r>
              <w:t xml:space="preserve">27</w:t>
            </w:r>
            <w:r>
              <w:fldChar w:fldCharType="end"/>
            </w:r>
          </w:p>
        </w:tc>
        <w:tc>
          <w:tcPr>
            <w:tcW w:w="720" w:type="dxa"/>
          </w:tcPr>
          <w:p>
            <w:pPr>
              <w:pStyle w:val="IsiTabel"/>
              <w:suppressAutoHyphens/>
              <w:jc w:val="left"/>
            </w:pPr>
            <w:r>
              <w:t xml:space="preserve">R-M17</w:t>
            </w:r>
          </w:p>
        </w:tc>
        <w:tc>
          <w:tcPr>
            <w:tcW w:w="1427" w:type="dxa"/>
          </w:tcPr>
          <w:p>
            <w:pPr>
              <w:pStyle w:val="IsiTabel"/>
              <w:suppressAutoHyphens/>
              <w:jc w:val="left"/>
            </w:pPr>
            <w:r>
              <w:t xml:space="preserve">Tarik data kerusakan R3P dan samakan instrumen</w:t>
            </w:r>
          </w:p>
        </w:tc>
        <w:tc>
          <w:tcPr>
            <w:tcW w:w="2462" w:type="dxa"/>
          </w:tcPr>
          <w:p>
            <w:pPr>
              <w:pStyle w:val="IsiTabel"/>
              <w:suppressAutoHyphens/>
              <w:jc w:val="left"/>
            </w:pPr>
            <w:r>
              <w:t xml:space="preserve">Deputi Bidang Rehabilitasi dan Rekonstruksi</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_Ref0108 \h \* CHARFORMAT </w:instrText>
            </w:r>
            <w:r>
              <w:fldChar w:fldCharType="separate"/>
            </w:r>
            <w:r>
              <w:t xml:space="preserve">39</w:t>
            </w:r>
            <w:r>
              <w:fldChar w:fldCharType="end"/>
            </w:r>
          </w:p>
        </w:tc>
        <w:tc>
          <w:tcPr>
            <w:tcW w:w="720" w:type="dxa"/>
          </w:tcPr>
          <w:p>
            <w:pPr>
              <w:pStyle w:val="IsiTabel"/>
              <w:suppressAutoHyphens/>
              <w:jc w:val="left"/>
            </w:pPr>
            <w:r>
              <w:t xml:space="preserve">R-M23</w:t>
            </w:r>
          </w:p>
        </w:tc>
        <w:tc>
          <w:tcPr>
            <w:tcW w:w="1427" w:type="dxa"/>
          </w:tcPr>
          <w:p>
            <w:pPr>
              <w:pStyle w:val="IsiTabel"/>
              <w:suppressAutoHyphens/>
              <w:jc w:val="left"/>
            </w:pPr>
            <w:r>
              <w:t xml:space="preserve">Tinjau target perumahan Renas PB 3.1.2.c</w:t>
            </w:r>
          </w:p>
        </w:tc>
        <w:tc>
          <w:tcPr>
            <w:tcW w:w="2462" w:type="dxa"/>
          </w:tcPr>
          <w:p>
            <w:pPr>
              <w:pStyle w:val="IsiTabel"/>
              <w:suppressAutoHyphens/>
              <w:jc w:val="left"/>
            </w:pPr>
            <w:r>
              <w:t xml:space="preserve">Deputi Bidang Rehabilitasi dan Rekonstruksi</w:t>
            </w:r>
          </w:p>
        </w:tc>
        <w:tc>
          <w:tcPr>
            <w:tcW w:w="3059" w:type="dxa"/>
          </w:tcPr>
          <w:p>
            <w:pPr>
              <w:pStyle w:val="IsiTabel"/>
              <w:suppressAutoHyphens/>
              <w:jc w:val="left"/>
            </w:pPr>
            <w:r>
              <w:t xml:space="preserve">Kementerian PKP; Kemenko PMK</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_Ref0085 \h \* CHARFORMAT </w:instrText>
            </w:r>
            <w:r>
              <w:fldChar w:fldCharType="separate"/>
            </w:r>
            <w:r>
              <w:t xml:space="preserve">28</w:t>
            </w:r>
            <w:r>
              <w:fldChar w:fldCharType="end"/>
            </w:r>
          </w:p>
        </w:tc>
        <w:tc>
          <w:tcPr>
            <w:tcW w:w="720" w:type="dxa"/>
          </w:tcPr>
          <w:p>
            <w:pPr>
              <w:pStyle w:val="IsiTabel"/>
              <w:suppressAutoHyphens/>
              <w:jc w:val="left"/>
            </w:pPr>
            <w:r>
              <w:t xml:space="preserve">R-A18</w:t>
            </w:r>
          </w:p>
        </w:tc>
        <w:tc>
          <w:tcPr>
            <w:tcW w:w="1427" w:type="dxa"/>
          </w:tcPr>
          <w:p>
            <w:pPr>
              <w:pStyle w:val="IsiTabel"/>
              <w:suppressAutoHyphens/>
              <w:jc w:val="left"/>
            </w:pPr>
            <w:r>
              <w:t xml:space="preserve">Terbitkan kalender kesiapan musiman berpemicu ENSO</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w:t>
            </w:r>
          </w:p>
        </w:tc>
        <w:tc>
          <w:tcPr>
            <w:tcW w:w="1126" w:type="dxa"/>
          </w:tcPr>
          <w:p>
            <w:pPr>
              <w:pStyle w:val="IsiTabel"/>
              <w:suppressAutoHyphens/>
              <w:jc w:val="left"/>
            </w:pPr>
            <w:r>
              <w:t xml:space="preserve">2028–2030</w:t>
            </w:r>
          </w:p>
        </w:tc>
      </w:tr>
      <w:tr>
        <w:trPr>
          <w:cantSplit/>
        </w:trPr>
        <w:tc>
          <w:tcPr>
            <w:tcW w:w="560" w:type="dxa"/>
          </w:tcPr>
          <w:p>
            <w:pPr>
              <w:pStyle w:val="IsiTabel"/>
              <w:keepNext/>
              <w:suppressAutoHyphens/>
              <w:jc w:val="left"/>
            </w:pPr>
            <w:bookmarkStart w:id="975" w:name="_Ekor118a"/>
            <w:bookmarkEnd w:id="975"/>
            <w:r>
              <w:fldChar w:fldCharType="begin"/>
            </w:r>
            <w:r>
              <w:instrText xml:space="preserve"> REF _Ref0103 \h \* CHARFORMAT </w:instrText>
            </w:r>
            <w:r>
              <w:fldChar w:fldCharType="separate"/>
            </w:r>
            <w:r>
              <w:t xml:space="preserve">29</w:t>
            </w:r>
            <w:r>
              <w:fldChar w:fldCharType="end"/>
            </w:r>
          </w:p>
        </w:tc>
        <w:tc>
          <w:tcPr>
            <w:tcW w:w="720" w:type="dxa"/>
          </w:tcPr>
          <w:p>
            <w:pPr>
              <w:pStyle w:val="IsiTabel"/>
              <w:keepNext/>
              <w:suppressAutoHyphens/>
              <w:jc w:val="left"/>
            </w:pPr>
            <w:r>
              <w:t xml:space="preserve">R-M18</w:t>
            </w:r>
          </w:p>
        </w:tc>
        <w:tc>
          <w:tcPr>
            <w:tcW w:w="1427" w:type="dxa"/>
          </w:tcPr>
          <w:p>
            <w:pPr>
              <w:pStyle w:val="IsiTabel"/>
              <w:keepNext/>
              <w:suppressAutoHyphens/>
              <w:jc w:val="left"/>
            </w:pPr>
            <w:r>
              <w:t xml:space="preserve">Tambahkan syarat manfaat-biaya Dana Bersama prabencana</w:t>
            </w:r>
          </w:p>
        </w:tc>
        <w:tc>
          <w:tcPr>
            <w:tcW w:w="2462" w:type="dxa"/>
          </w:tcPr>
          <w:p>
            <w:pPr>
              <w:pStyle w:val="IsiTabel"/>
              <w:keepNext/>
              <w:suppressAutoHyphens/>
              <w:jc w:val="left"/>
            </w:pPr>
            <w:r>
              <w:t xml:space="preserve">Direktorat Pengembangan Strategi Penanggulangan Bencana</w:t>
            </w:r>
          </w:p>
        </w:tc>
        <w:tc>
          <w:tcPr>
            <w:tcW w:w="3059" w:type="dxa"/>
          </w:tcPr>
          <w:p>
            <w:pPr>
              <w:pStyle w:val="IsiTabel"/>
              <w:keepNext/>
              <w:suppressAutoHyphens/>
              <w:jc w:val="left"/>
            </w:pPr>
            <w:r>
              <w:t xml:space="preserve">Kementerian Keuangan; Kementerian PPN/Bappenas; Kementerian Dalam Negeri; Kemenko PMK</w:t>
            </w:r>
          </w:p>
        </w:tc>
        <w:tc>
          <w:tcPr>
            <w:tcW w:w="1126" w:type="dxa"/>
          </w:tcPr>
          <w:p>
            <w:pPr>
              <w:pStyle w:val="IsiTabel"/>
              <w:keepNext/>
              <w:suppressAutoHyphens/>
              <w:jc w:val="left"/>
            </w:pPr>
            <w:r>
              <w:t xml:space="preserve">2028–2030</w:t>
            </w:r>
          </w:p>
        </w:tc>
      </w:tr>
      <w:tr>
        <w:trPr>
          <w:cantSplit/>
        </w:trPr>
        <w:tc>
          <w:tcPr>
            <w:tcW w:w="560" w:type="dxa"/>
          </w:tcPr>
          <w:p>
            <w:pPr>
              <w:pStyle w:val="IsiTabel"/>
              <w:keepNext/>
              <w:suppressAutoHyphens/>
              <w:jc w:val="left"/>
            </w:pPr>
            <w:r>
              <w:fldChar w:fldCharType="begin"/>
            </w:r>
            <w:r>
              <w:instrText xml:space="preserve"> REF _Ref0104 \h \* CHARFORMAT </w:instrText>
            </w:r>
            <w:r>
              <w:fldChar w:fldCharType="separate"/>
            </w:r>
            <w:r>
              <w:t xml:space="preserve">40</w:t>
            </w:r>
            <w:r>
              <w:fldChar w:fldCharType="end"/>
            </w:r>
          </w:p>
        </w:tc>
        <w:tc>
          <w:tcPr>
            <w:tcW w:w="720" w:type="dxa"/>
          </w:tcPr>
          <w:p>
            <w:pPr>
              <w:pStyle w:val="IsiTabel"/>
              <w:keepNext/>
              <w:suppressAutoHyphens/>
              <w:jc w:val="left"/>
            </w:pPr>
            <w:r>
              <w:t xml:space="preserve">R-M19</w:t>
            </w:r>
          </w:p>
        </w:tc>
        <w:tc>
          <w:tcPr>
            <w:tcW w:w="1427" w:type="dxa"/>
          </w:tcPr>
          <w:p>
            <w:pPr>
              <w:pStyle w:val="IsiTabel"/>
              <w:keepNext/>
              <w:suppressAutoHyphens/>
              <w:jc w:val="left"/>
            </w:pPr>
            <w:r>
              <w:t xml:space="preserve">Jalankan agenda evaluasi dampak program berjalan</w:t>
            </w:r>
          </w:p>
        </w:tc>
        <w:tc>
          <w:tcPr>
            <w:tcW w:w="2462" w:type="dxa"/>
          </w:tcPr>
          <w:p>
            <w:pPr>
              <w:pStyle w:val="IsiTabel"/>
              <w:keepNext/>
              <w:suppressAutoHyphens/>
              <w:jc w:val="left"/>
            </w:pPr>
            <w:r>
              <w:t xml:space="preserve">Direktorat Mitigasi Bencana</w:t>
            </w:r>
          </w:p>
        </w:tc>
        <w:tc>
          <w:tcPr>
            <w:tcW w:w="3059" w:type="dxa"/>
          </w:tcPr>
          <w:p>
            <w:pPr>
              <w:pStyle w:val="IsiTabel"/>
              <w:keepNext/>
              <w:suppressAutoHyphens/>
              <w:jc w:val="left"/>
            </w:pPr>
            <w:r>
              <w:t xml:space="preserve">BMKG; Kementerian Pendidikan Dasar dan Menengah; Kementerian Desa dan Pembangunan Daerah Tertinggal</w:t>
            </w:r>
          </w:p>
        </w:tc>
        <w:tc>
          <w:tcPr>
            <w:tcW w:w="1126" w:type="dxa"/>
          </w:tcPr>
          <w:p>
            <w:pPr>
              <w:pStyle w:val="IsiTabel"/>
              <w:keepNext/>
              <w:suppressAutoHyphens/>
              <w:jc w:val="left"/>
            </w:pPr>
            <w:r>
              <w:t xml:space="preserve">2028–2030</w:t>
            </w:r>
          </w:p>
        </w:tc>
      </w:tr>
      <w:tr>
        <w:trPr>
          <w:cantSplit/>
        </w:trPr>
        <w:tc>
          <w:tcPr>
            <w:tcW w:w="560" w:type="dxa"/>
          </w:tcPr>
          <w:p>
            <w:pPr>
              <w:pStyle w:val="IsiTabel"/>
              <w:keepNext/>
              <w:suppressAutoHyphens/>
              <w:jc w:val="left"/>
            </w:pPr>
            <w:r>
              <w:fldChar w:fldCharType="begin"/>
            </w:r>
            <w:r>
              <w:instrText xml:space="preserve"> REF _Ref0105 \h \* CHARFORMAT </w:instrText>
            </w:r>
            <w:r>
              <w:fldChar w:fldCharType="separate"/>
            </w:r>
            <w:r>
              <w:t xml:space="preserve">30</w:t>
            </w:r>
            <w:r>
              <w:fldChar w:fldCharType="end"/>
            </w:r>
          </w:p>
        </w:tc>
        <w:tc>
          <w:tcPr>
            <w:tcW w:w="720" w:type="dxa"/>
          </w:tcPr>
          <w:p>
            <w:pPr>
              <w:pStyle w:val="IsiTabel"/>
              <w:keepNext/>
              <w:suppressAutoHyphens/>
              <w:jc w:val="left"/>
            </w:pPr>
            <w:r>
              <w:t xml:space="preserve">R-M20</w:t>
            </w:r>
          </w:p>
        </w:tc>
        <w:tc>
          <w:tcPr>
            <w:tcW w:w="1427" w:type="dxa"/>
          </w:tcPr>
          <w:p>
            <w:pPr>
              <w:pStyle w:val="IsiTabel"/>
              <w:keepNext/>
              <w:suppressAutoHyphens/>
              <w:jc w:val="left"/>
            </w:pPr>
            <w:r>
              <w:t xml:space="preserve">Perbarui daftar perhatian dan lantai</w:t>
            </w:r>
          </w:p>
        </w:tc>
        <w:tc>
          <w:tcPr>
            <w:tcW w:w="2462" w:type="dxa"/>
          </w:tcPr>
          <w:p>
            <w:pPr>
              <w:pStyle w:val="IsiTabel"/>
              <w:keepNext/>
              <w:suppressAutoHyphens/>
              <w:jc w:val="left"/>
            </w:pPr>
            <w:r>
              <w:t xml:space="preserve">Direktorat Pemetaan dan Evaluasi Risiko Bencana</w:t>
            </w:r>
          </w:p>
        </w:tc>
        <w:tc>
          <w:tcPr>
            <w:tcW w:w="3059" w:type="dxa"/>
          </w:tcPr>
          <w:p>
            <w:pPr>
              <w:pStyle w:val="IsiTabel"/>
              <w:keepNext/>
              <w:suppressAutoHyphens/>
              <w:jc w:val="left"/>
            </w:pPr>
            <w:r>
              <w:t xml:space="preserve">–</w:t>
            </w:r>
          </w:p>
        </w:tc>
        <w:tc>
          <w:tcPr>
            <w:tcW w:w="1126" w:type="dxa"/>
          </w:tcPr>
          <w:p>
            <w:pPr>
              <w:pStyle w:val="IsiTabel"/>
              <w:keepNext/>
              <w:suppressAutoHyphens/>
              <w:jc w:val="left"/>
            </w:pPr>
            <w:r>
              <w:t xml:space="preserve">2028–2030</w:t>
            </w:r>
          </w:p>
        </w:tc>
      </w:tr>
      <w:tr>
        <w:trPr>
          <w:cantSplit/>
        </w:trPr>
        <w:tc>
          <w:tcPr>
            <w:tcW w:w="560" w:type="dxa"/>
          </w:tcPr>
          <w:p>
            <w:pPr>
              <w:pStyle w:val="IsiTabel"/>
              <w:suppressAutoHyphens/>
              <w:jc w:val="left"/>
            </w:pPr>
            <w:bookmarkStart w:id="976" w:name="_Ekor118z"/>
            <w:bookmarkEnd w:id="976"/>
            <w:r>
              <w:fldChar w:fldCharType="begin"/>
            </w:r>
            <w:r>
              <w:instrText xml:space="preserve"> REF _Ref0106 \h \* CHARFORMAT </w:instrText>
            </w:r>
            <w:r>
              <w:fldChar w:fldCharType="separate"/>
            </w:r>
            <w:r>
              <w:t xml:space="preserve">31</w:t>
            </w:r>
            <w:r>
              <w:fldChar w:fldCharType="end"/>
            </w:r>
          </w:p>
        </w:tc>
        <w:tc>
          <w:tcPr>
            <w:tcW w:w="720" w:type="dxa"/>
          </w:tcPr>
          <w:p>
            <w:pPr>
              <w:pStyle w:val="IsiTabel"/>
              <w:suppressAutoHyphens/>
              <w:jc w:val="left"/>
            </w:pPr>
            <w:r>
              <w:t xml:space="preserve">R-M21</w:t>
            </w:r>
          </w:p>
        </w:tc>
        <w:tc>
          <w:tcPr>
            <w:tcW w:w="1427" w:type="dxa"/>
          </w:tcPr>
          <w:p>
            <w:pPr>
              <w:pStyle w:val="IsiTabel"/>
              <w:suppressAutoHyphens/>
              <w:jc w:val="left"/>
            </w:pPr>
            <w:r>
              <w:t xml:space="preserve">Sampaikan masukan peninjauan RIPB</w:t>
            </w:r>
          </w:p>
        </w:tc>
        <w:tc>
          <w:tcPr>
            <w:tcW w:w="2462" w:type="dxa"/>
          </w:tcPr>
          <w:p>
            <w:pPr>
              <w:pStyle w:val="IsiTabel"/>
              <w:suppressAutoHyphens/>
              <w:jc w:val="left"/>
            </w:pPr>
            <w:r>
              <w:t xml:space="preserve">Direktorat Pengembangan Strategi Penanggulangan Bencana</w:t>
            </w:r>
          </w:p>
        </w:tc>
        <w:tc>
          <w:tcPr>
            <w:tcW w:w="3059" w:type="dxa"/>
          </w:tcPr>
          <w:p>
            <w:pPr>
              <w:pStyle w:val="IsiTabel"/>
              <w:suppressAutoHyphens/>
              <w:jc w:val="left"/>
            </w:pPr>
            <w:r>
              <w:t xml:space="preserve">Kemenko PMK</w:t>
            </w:r>
          </w:p>
        </w:tc>
        <w:tc>
          <w:tcPr>
            <w:tcW w:w="1126" w:type="dxa"/>
          </w:tcPr>
          <w:p>
            <w:pPr>
              <w:pStyle w:val="IsiTabel"/>
              <w:suppressAutoHyphens/>
              <w:jc w:val="left"/>
            </w:pPr>
            <w:r>
              <w:t xml:space="preserve">2028–2030</w:t>
            </w:r>
          </w:p>
        </w:tc>
      </w:tr>
    </w:tbl>
    <w:p>
      <w:pPr>
        <w:pStyle w:val="Sumber"/>
        <w:spacing w:after="40"/>
      </w:pPr>
      <w:r>
        <w:rPr>
          <w:b/>
          <w:bCs/>
          <w:color w:val="6B7280"/>
          <w:sz w:val="17"/>
          <w:szCs w:val="17"/>
        </w:rPr>
        <w:t xml:space="preserve">Sumber: </w:t>
      </w:r>
      <w:r>
        <w:rPr>
          <w:color w:val="6B7280"/>
          <w:sz w:val="17"/>
          <w:szCs w:val="17"/>
        </w:rPr>
        <w:t xml:space="preserve">Register rekomendasi kajian ini (Bab 13);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Unit pemimpin adalah unit pertama pada rekomendasi; unit pendukung tercantum di Bab 13. "–" berarti tanpa K/L. Kode R-A dipakai kedua kajian dengan langkah yang sama.</w:t>
      </w:r>
    </w:p>
    <w:p>
      <w:pPr>
        <w:pStyle w:val="IsiTemuan"/>
      </w:pPr>
      <w:r>
        <w:rPr>
          <w:b/>
          <w:bCs/>
          <w:color w:val="051C2C"/>
        </w:rPr>
        <w:t xml:space="preserve">Sembilan kode register hanya dipakai kajian ketahanan air karena menyangkut sistem air Pulau Jawa</w:t>
      </w:r>
      <w:r>
        <w:t xml:space="preserve"> (</w:t>
      </w:r>
      <w:r>
        <w:fldChar w:fldCharType="begin"/>
      </w:r>
      <w:r>
        <w:instrText xml:space="preserve"> REF _Ref0276 \h \* CHARFORMAT </w:instrText>
      </w:r>
      <w:r>
        <w:fldChar w:fldCharType="separate"/>
      </w:r>
      <w:r>
        <w:t xml:space="preserve">Tabel I.2</w:t>
      </w:r>
      <w:r>
        <w:fldChar w:fldCharType="end"/>
      </w:r>
      <w:r>
        <w:t xml:space="preserve">). R-A12 menjalankan peran BNPB yang sudah tercantum sebagai kontributor aksi Renas PB 2.4.4.a tentang penurunan muka tanah, dengan isi kontribusi berupa telaah risiko bencana </w:t>
      </w:r>
      <w:r>
        <w:t xml:space="preserve">(BNPB, 2025c, hlm. 86)</w:t>
      </w:r>
      <w:r>
        <w:t xml:space="preserve">.</w:t>
      </w:r>
    </w:p>
    <w:p>
      <w:pPr>
        <w:pStyle w:val="Caption"/>
      </w:pPr>
      <w:bookmarkStart w:id="978" w:name="_Toc00307"/>
      <w:bookmarkStart w:id="977" w:name="_Ref0276"/>
      <w:r>
        <w:rPr>
          <w:b/>
          <w:bCs/>
          <w:color w:val="051C2C"/>
        </w:rPr>
        <w:t xml:space="preserve">Tabel</w:t>
      </w:r>
      <w:r>
        <w:rPr>
          <w:b/>
          <w:bCs/>
          <w:color w:val="051C2C"/>
        </w:rPr>
        <w:t xml:space="preserve"> </w:t>
      </w:r>
      <w:r>
        <w:rPr>
          <w:b/>
          <w:bCs/>
          <w:color w:val="051C2C"/>
        </w:rPr>
        <w:t xml:space="preserve">I</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77"/>
      <w:r>
        <w:rPr>
          <w:b/>
          <w:bCs/>
          <w:color w:val="051C2C"/>
        </w:rPr>
        <w:t xml:space="preserve"> </w:t>
      </w:r>
      <w:r>
        <w:t xml:space="preserve">Kode register yang hanya dipakai Grand Design Ketahanan Air Pulau Jawa 2026–2030</w:t>
      </w:r>
      <w:bookmarkEnd w:id="97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93"/>
        <w:gridCol w:w="2453"/>
        <w:gridCol w:w="5082"/>
        <w:gridCol w:w="1126"/>
      </w:tblGrid>
      <w:tr>
        <w:trPr>
          <w:cantSplit/>
          <w:tblHeader/>
        </w:trPr>
        <w:tc>
          <w:tcPr>
            <w:tcW w:w="693" w:type="dxa"/>
            <w:tcBorders>
              <w:bottom w:val="single" w:sz="8" w:space="0" w:color="6B7280"/>
            </w:tcBorders>
            <w:vAlign w:val="bottom"/>
          </w:tcPr>
          <w:p>
            <w:pPr>
              <w:pStyle w:val="KepalaTabel"/>
              <w:suppressAutoHyphens/>
            </w:pPr>
            <w:r>
              <w:rPr>
                <w:b/>
                <w:bCs/>
                <w:color w:val="6B7280"/>
                <w:sz w:val="17"/>
                <w:szCs w:val="17"/>
              </w:rPr>
              <w:t xml:space="preserve">KODE</w:t>
            </w:r>
          </w:p>
        </w:tc>
        <w:tc>
          <w:tcPr>
            <w:tcW w:w="2453" w:type="dxa"/>
            <w:tcBorders>
              <w:bottom w:val="single" w:sz="8" w:space="0" w:color="6B7280"/>
            </w:tcBorders>
            <w:vAlign w:val="bottom"/>
          </w:tcPr>
          <w:p>
            <w:pPr>
              <w:pStyle w:val="KepalaTabel"/>
              <w:suppressAutoHyphens/>
            </w:pPr>
            <w:r>
              <w:rPr>
                <w:b/>
                <w:bCs/>
                <w:color w:val="6B7280"/>
                <w:sz w:val="17"/>
                <w:szCs w:val="17"/>
              </w:rPr>
              <w:t xml:space="preserve">LANGKAH</w:t>
            </w:r>
          </w:p>
        </w:tc>
        <w:tc>
          <w:tcPr>
            <w:tcW w:w="5082" w:type="dxa"/>
            <w:tcBorders>
              <w:bottom w:val="single" w:sz="8" w:space="0" w:color="6B7280"/>
            </w:tcBorders>
            <w:vAlign w:val="bottom"/>
          </w:tcPr>
          <w:p>
            <w:pPr>
              <w:pStyle w:val="KepalaTabel"/>
              <w:suppressAutoHyphens/>
            </w:pPr>
            <w:r>
              <w:rPr>
                <w:b/>
                <w:bCs/>
                <w:color w:val="6B7280"/>
                <w:sz w:val="17"/>
                <w:szCs w:val="17"/>
              </w:rPr>
              <w:t xml:space="preserve">UNIT PEMIMPIN</w:t>
            </w:r>
          </w:p>
        </w:tc>
        <w:tc>
          <w:tcPr>
            <w:tcW w:w="1126" w:type="dxa"/>
            <w:tcBorders>
              <w:bottom w:val="single" w:sz="8" w:space="0" w:color="6B7280"/>
            </w:tcBorders>
            <w:vAlign w:val="bottom"/>
          </w:tcPr>
          <w:p>
            <w:pPr>
              <w:pStyle w:val="KepalaTabel"/>
              <w:suppressAutoHyphens/>
            </w:pPr>
            <w:r>
              <w:rPr>
                <w:b/>
                <w:bCs/>
                <w:color w:val="6B7280"/>
                <w:sz w:val="17"/>
                <w:szCs w:val="17"/>
              </w:rPr>
              <w:t xml:space="preserve">WAKTU</w:t>
            </w:r>
          </w:p>
        </w:tc>
      </w:tr>
      <w:tr>
        <w:trPr>
          <w:cantSplit/>
        </w:trPr>
        <w:tc>
          <w:tcPr>
            <w:tcW w:w="693" w:type="dxa"/>
          </w:tcPr>
          <w:p>
            <w:pPr>
              <w:pStyle w:val="IsiTabel"/>
              <w:suppressAutoHyphens/>
              <w:jc w:val="left"/>
            </w:pPr>
            <w:r>
              <w:t xml:space="preserve">R-A07</w:t>
            </w:r>
          </w:p>
        </w:tc>
        <w:tc>
          <w:tcPr>
            <w:tcW w:w="2453" w:type="dxa"/>
          </w:tcPr>
          <w:p>
            <w:pPr>
              <w:pStyle w:val="IsiTabel"/>
              <w:suppressAutoHyphens/>
              <w:jc w:val="left"/>
            </w:pPr>
            <w:r>
              <w:t xml:space="preserve">Minta daftar RTD bendungan hulu permukiman</w:t>
            </w:r>
          </w:p>
        </w:tc>
        <w:tc>
          <w:tcPr>
            <w:tcW w:w="5082" w:type="dxa"/>
          </w:tcPr>
          <w:p>
            <w:pPr>
              <w:pStyle w:val="IsiTabel"/>
              <w:suppressAutoHyphens/>
              <w:jc w:val="left"/>
            </w:pPr>
            <w:r>
              <w:t xml:space="preserve">Direktorat Kesiapsiagaan</w:t>
            </w:r>
          </w:p>
        </w:tc>
        <w:tc>
          <w:tcPr>
            <w:tcW w:w="1126" w:type="dxa"/>
          </w:tcPr>
          <w:p>
            <w:pPr>
              <w:pStyle w:val="IsiTabel"/>
              <w:suppressAutoHyphens/>
              <w:jc w:val="left"/>
            </w:pPr>
            <w:r>
              <w:t xml:space="preserve">100 hari</w:t>
            </w:r>
          </w:p>
        </w:tc>
      </w:tr>
      <w:tr>
        <w:trPr>
          <w:cantSplit/>
        </w:trPr>
        <w:tc>
          <w:tcPr>
            <w:tcW w:w="693" w:type="dxa"/>
          </w:tcPr>
          <w:p>
            <w:pPr>
              <w:pStyle w:val="IsiTabel"/>
              <w:suppressAutoHyphens/>
              <w:jc w:val="left"/>
            </w:pPr>
            <w:r>
              <w:t xml:space="preserve">R-A12</w:t>
            </w:r>
          </w:p>
        </w:tc>
        <w:tc>
          <w:tcPr>
            <w:tcW w:w="2453" w:type="dxa"/>
          </w:tcPr>
          <w:p>
            <w:pPr>
              <w:pStyle w:val="IsiTabel"/>
              <w:suppressAutoHyphens/>
              <w:jc w:val="left"/>
            </w:pPr>
            <w:r>
              <w:t xml:space="preserve">Jalankan peran kontributor NSPK penurunan muka tanah</w:t>
            </w:r>
          </w:p>
        </w:tc>
        <w:tc>
          <w:tcPr>
            <w:tcW w:w="5082" w:type="dxa"/>
          </w:tcPr>
          <w:p>
            <w:pPr>
              <w:pStyle w:val="IsiTabel"/>
              <w:suppressAutoHyphens/>
              <w:jc w:val="left"/>
            </w:pPr>
            <w:r>
              <w:t xml:space="preserve">Direktorat Pemetaan dan Evaluasi Risiko Bencana</w:t>
            </w:r>
          </w:p>
        </w:tc>
        <w:tc>
          <w:tcPr>
            <w:tcW w:w="1126" w:type="dxa"/>
          </w:tcPr>
          <w:p>
            <w:pPr>
              <w:pStyle w:val="IsiTabel"/>
              <w:suppressAutoHyphens/>
              <w:jc w:val="left"/>
            </w:pPr>
            <w:r>
              <w:t xml:space="preserve">2026–2027</w:t>
            </w:r>
          </w:p>
        </w:tc>
      </w:tr>
      <w:tr>
        <w:trPr>
          <w:cantSplit/>
        </w:trPr>
        <w:tc>
          <w:tcPr>
            <w:tcW w:w="693" w:type="dxa"/>
          </w:tcPr>
          <w:p>
            <w:pPr>
              <w:pStyle w:val="IsiTabel"/>
              <w:suppressAutoHyphens/>
              <w:jc w:val="left"/>
            </w:pPr>
            <w:r>
              <w:t xml:space="preserve">R-A13</w:t>
            </w:r>
          </w:p>
        </w:tc>
        <w:tc>
          <w:tcPr>
            <w:tcW w:w="2453" w:type="dxa"/>
          </w:tcPr>
          <w:p>
            <w:pPr>
              <w:pStyle w:val="IsiTabel"/>
              <w:suppressAutoHyphens/>
              <w:jc w:val="left"/>
            </w:pPr>
            <w:r>
              <w:t xml:space="preserve">Sambungkan prosedur kegagalan tanggul ke rencana kontinjensi pesisir</w:t>
            </w:r>
          </w:p>
        </w:tc>
        <w:tc>
          <w:tcPr>
            <w:tcW w:w="5082" w:type="dxa"/>
          </w:tcPr>
          <w:p>
            <w:pPr>
              <w:pStyle w:val="IsiTabel"/>
              <w:suppressAutoHyphens/>
              <w:jc w:val="left"/>
            </w:pPr>
            <w:r>
              <w:t xml:space="preserve">Direktorat Kesiapsiagaan</w:t>
            </w:r>
          </w:p>
        </w:tc>
        <w:tc>
          <w:tcPr>
            <w:tcW w:w="1126" w:type="dxa"/>
          </w:tcPr>
          <w:p>
            <w:pPr>
              <w:pStyle w:val="IsiTabel"/>
              <w:suppressAutoHyphens/>
              <w:jc w:val="left"/>
            </w:pPr>
            <w:r>
              <w:t xml:space="preserve">2026–2027</w:t>
            </w:r>
          </w:p>
        </w:tc>
      </w:tr>
      <w:tr>
        <w:trPr>
          <w:cantSplit/>
        </w:trPr>
        <w:tc>
          <w:tcPr>
            <w:tcW w:w="693" w:type="dxa"/>
          </w:tcPr>
          <w:p>
            <w:pPr>
              <w:pStyle w:val="IsiTabel"/>
              <w:suppressAutoHyphens/>
              <w:jc w:val="left"/>
            </w:pPr>
            <w:r>
              <w:t xml:space="preserve">R-A14</w:t>
            </w:r>
          </w:p>
        </w:tc>
        <w:tc>
          <w:tcPr>
            <w:tcW w:w="2453" w:type="dxa"/>
          </w:tcPr>
          <w:p>
            <w:pPr>
              <w:pStyle w:val="IsiTabel"/>
              <w:suppressAutoHyphens/>
              <w:jc w:val="left"/>
            </w:pPr>
            <w:r>
              <w:t xml:space="preserve">Minta data struktural air lewat Dewan SDA</w:t>
            </w:r>
          </w:p>
        </w:tc>
        <w:tc>
          <w:tcPr>
            <w:tcW w:w="5082" w:type="dxa"/>
          </w:tcPr>
          <w:p>
            <w:pPr>
              <w:pStyle w:val="IsiTabel"/>
              <w:suppressAutoHyphens/>
              <w:jc w:val="left"/>
            </w:pPr>
            <w:r>
              <w:t xml:space="preserve">Pusat Data, Informasi, dan Komunikasi Kebencanaan</w:t>
            </w:r>
          </w:p>
        </w:tc>
        <w:tc>
          <w:tcPr>
            <w:tcW w:w="1126" w:type="dxa"/>
          </w:tcPr>
          <w:p>
            <w:pPr>
              <w:pStyle w:val="IsiTabel"/>
              <w:suppressAutoHyphens/>
              <w:jc w:val="left"/>
            </w:pPr>
            <w:r>
              <w:t xml:space="preserve">2026–2027</w:t>
            </w:r>
          </w:p>
        </w:tc>
      </w:tr>
      <w:tr>
        <w:trPr>
          <w:cantSplit/>
        </w:trPr>
        <w:tc>
          <w:tcPr>
            <w:tcW w:w="693" w:type="dxa"/>
          </w:tcPr>
          <w:p>
            <w:pPr>
              <w:pStyle w:val="IsiTabel"/>
              <w:suppressAutoHyphens/>
              <w:jc w:val="left"/>
            </w:pPr>
            <w:r>
              <w:t xml:space="preserve">R-A16</w:t>
            </w:r>
          </w:p>
        </w:tc>
        <w:tc>
          <w:tcPr>
            <w:tcW w:w="2453" w:type="dxa"/>
          </w:tcPr>
          <w:p>
            <w:pPr>
              <w:pStyle w:val="IsiTabel"/>
              <w:suppressAutoHyphens/>
              <w:jc w:val="left"/>
            </w:pPr>
            <w:r>
              <w:t xml:space="preserve">Buka catatan operasi modifikasi cuaca dan protokol evaluasi</w:t>
            </w:r>
          </w:p>
        </w:tc>
        <w:tc>
          <w:tcPr>
            <w:tcW w:w="5082" w:type="dxa"/>
          </w:tcPr>
          <w:p>
            <w:pPr>
              <w:pStyle w:val="IsiTabel"/>
              <w:suppressAutoHyphens/>
              <w:jc w:val="left"/>
            </w:pPr>
            <w:r>
              <w:t xml:space="preserve">Direktorat Koordinasi Pengendalian Operasi Darurat</w:t>
            </w:r>
          </w:p>
        </w:tc>
        <w:tc>
          <w:tcPr>
            <w:tcW w:w="1126" w:type="dxa"/>
          </w:tcPr>
          <w:p>
            <w:pPr>
              <w:pStyle w:val="IsiTabel"/>
              <w:suppressAutoHyphens/>
              <w:jc w:val="left"/>
            </w:pPr>
            <w:r>
              <w:t xml:space="preserve">2026–2027</w:t>
            </w:r>
          </w:p>
        </w:tc>
      </w:tr>
      <w:tr>
        <w:trPr>
          <w:cantSplit/>
        </w:trPr>
        <w:tc>
          <w:tcPr>
            <w:tcW w:w="693" w:type="dxa"/>
          </w:tcPr>
          <w:p>
            <w:pPr>
              <w:pStyle w:val="IsiTabel"/>
              <w:keepNext/>
              <w:suppressAutoHyphens/>
              <w:jc w:val="left"/>
            </w:pPr>
            <w:bookmarkStart w:id="979" w:name="_Ekor119a"/>
            <w:bookmarkEnd w:id="979"/>
            <w:r>
              <w:t xml:space="preserve">R-A19</w:t>
            </w:r>
          </w:p>
        </w:tc>
        <w:tc>
          <w:tcPr>
            <w:tcW w:w="2453" w:type="dxa"/>
          </w:tcPr>
          <w:p>
            <w:pPr>
              <w:pStyle w:val="IsiTabel"/>
              <w:keepNext/>
              <w:suppressAutoHyphens/>
              <w:jc w:val="left"/>
            </w:pPr>
            <w:r>
              <w:t xml:space="preserve">Evaluasi aset PAMSIMAS yang tersisa saat kemarau</w:t>
            </w:r>
          </w:p>
        </w:tc>
        <w:tc>
          <w:tcPr>
            <w:tcW w:w="5082" w:type="dxa"/>
          </w:tcPr>
          <w:p>
            <w:pPr>
              <w:pStyle w:val="IsiTabel"/>
              <w:keepNext/>
              <w:suppressAutoHyphens/>
              <w:jc w:val="left"/>
            </w:pPr>
            <w:r>
              <w:t xml:space="preserve">Direktorat Mitigasi Bencana</w:t>
            </w:r>
          </w:p>
        </w:tc>
        <w:tc>
          <w:tcPr>
            <w:tcW w:w="1126" w:type="dxa"/>
          </w:tcPr>
          <w:p>
            <w:pPr>
              <w:pStyle w:val="IsiTabel"/>
              <w:keepNext/>
              <w:suppressAutoHyphens/>
              <w:jc w:val="left"/>
            </w:pPr>
            <w:r>
              <w:t xml:space="preserve">2028–2030</w:t>
            </w:r>
          </w:p>
        </w:tc>
      </w:tr>
      <w:tr>
        <w:trPr>
          <w:cantSplit/>
        </w:trPr>
        <w:tc>
          <w:tcPr>
            <w:tcW w:w="693" w:type="dxa"/>
          </w:tcPr>
          <w:p>
            <w:pPr>
              <w:pStyle w:val="IsiTabel"/>
              <w:keepNext/>
              <w:suppressAutoHyphens/>
              <w:jc w:val="left"/>
            </w:pPr>
            <w:r>
              <w:t xml:space="preserve">R-A20</w:t>
            </w:r>
          </w:p>
        </w:tc>
        <w:tc>
          <w:tcPr>
            <w:tcW w:w="2453" w:type="dxa"/>
          </w:tcPr>
          <w:p>
            <w:pPr>
              <w:pStyle w:val="IsiTabel"/>
              <w:keepNext/>
              <w:suppressAutoHyphens/>
              <w:jc w:val="left"/>
            </w:pPr>
            <w:r>
              <w:t xml:space="preserve">Masukkan evaluasi independen ke tata kelola tanggul</w:t>
            </w:r>
          </w:p>
        </w:tc>
        <w:tc>
          <w:tcPr>
            <w:tcW w:w="5082" w:type="dxa"/>
          </w:tcPr>
          <w:p>
            <w:pPr>
              <w:pStyle w:val="IsiTabel"/>
              <w:keepNext/>
              <w:suppressAutoHyphens/>
              <w:jc w:val="left"/>
            </w:pPr>
            <w:r>
              <w:t xml:space="preserve">Direktorat Pengembangan Strategi Penanggulangan Bencana</w:t>
            </w:r>
          </w:p>
        </w:tc>
        <w:tc>
          <w:tcPr>
            <w:tcW w:w="1126" w:type="dxa"/>
          </w:tcPr>
          <w:p>
            <w:pPr>
              <w:pStyle w:val="IsiTabel"/>
              <w:keepNext/>
              <w:suppressAutoHyphens/>
              <w:jc w:val="left"/>
            </w:pPr>
            <w:r>
              <w:t xml:space="preserve">2028–2030</w:t>
            </w:r>
          </w:p>
        </w:tc>
      </w:tr>
      <w:tr>
        <w:trPr>
          <w:cantSplit/>
        </w:trPr>
        <w:tc>
          <w:tcPr>
            <w:tcW w:w="693" w:type="dxa"/>
          </w:tcPr>
          <w:p>
            <w:pPr>
              <w:pStyle w:val="IsiTabel"/>
              <w:keepNext/>
              <w:suppressAutoHyphens/>
              <w:jc w:val="left"/>
            </w:pPr>
            <w:r>
              <w:t xml:space="preserve">R-A21</w:t>
            </w:r>
          </w:p>
        </w:tc>
        <w:tc>
          <w:tcPr>
            <w:tcW w:w="2453" w:type="dxa"/>
          </w:tcPr>
          <w:p>
            <w:pPr>
              <w:pStyle w:val="IsiTabel"/>
              <w:keepNext/>
              <w:suppressAutoHyphens/>
              <w:jc w:val="left"/>
            </w:pPr>
            <w:r>
              <w:t xml:space="preserve">Laporkan irisan Jawa indikator korban Renas PB</w:t>
            </w:r>
          </w:p>
        </w:tc>
        <w:tc>
          <w:tcPr>
            <w:tcW w:w="5082" w:type="dxa"/>
          </w:tcPr>
          <w:p>
            <w:pPr>
              <w:pStyle w:val="IsiTabel"/>
              <w:keepNext/>
              <w:suppressAutoHyphens/>
              <w:jc w:val="left"/>
            </w:pPr>
            <w:r>
              <w:t xml:space="preserve">Direktorat Pengembangan Strategi Penanggulangan Bencana</w:t>
            </w:r>
          </w:p>
        </w:tc>
        <w:tc>
          <w:tcPr>
            <w:tcW w:w="1126" w:type="dxa"/>
          </w:tcPr>
          <w:p>
            <w:pPr>
              <w:pStyle w:val="IsiTabel"/>
              <w:keepNext/>
              <w:suppressAutoHyphens/>
              <w:jc w:val="left"/>
            </w:pPr>
            <w:r>
              <w:t xml:space="preserve">2028–2030</w:t>
            </w:r>
          </w:p>
        </w:tc>
      </w:tr>
      <w:tr>
        <w:trPr>
          <w:cantSplit/>
        </w:trPr>
        <w:tc>
          <w:tcPr>
            <w:tcW w:w="693" w:type="dxa"/>
          </w:tcPr>
          <w:p>
            <w:pPr>
              <w:pStyle w:val="IsiTabel"/>
              <w:suppressAutoHyphens/>
              <w:jc w:val="left"/>
            </w:pPr>
            <w:bookmarkStart w:id="980" w:name="_Ekor119z"/>
            <w:bookmarkEnd w:id="980"/>
            <w:r>
              <w:t xml:space="preserve">R-A22</w:t>
            </w:r>
          </w:p>
        </w:tc>
        <w:tc>
          <w:tcPr>
            <w:tcW w:w="2453" w:type="dxa"/>
          </w:tcPr>
          <w:p>
            <w:pPr>
              <w:pStyle w:val="IsiTabel"/>
              <w:suppressAutoHyphens/>
              <w:jc w:val="left"/>
            </w:pPr>
            <w:r>
              <w:t xml:space="preserve">Sampaikan agenda evaluasi dampak program air berjalan</w:t>
            </w:r>
          </w:p>
        </w:tc>
        <w:tc>
          <w:tcPr>
            <w:tcW w:w="5082" w:type="dxa"/>
          </w:tcPr>
          <w:p>
            <w:pPr>
              <w:pStyle w:val="IsiTabel"/>
              <w:suppressAutoHyphens/>
              <w:jc w:val="left"/>
            </w:pPr>
            <w:r>
              <w:t xml:space="preserve">Direktorat Mitigasi Bencana</w:t>
            </w:r>
          </w:p>
        </w:tc>
        <w:tc>
          <w:tcPr>
            <w:tcW w:w="1126" w:type="dxa"/>
          </w:tcPr>
          <w:p>
            <w:pPr>
              <w:pStyle w:val="IsiTabel"/>
              <w:suppressAutoHyphens/>
              <w:jc w:val="left"/>
            </w:pPr>
            <w:r>
              <w:t xml:space="preserve">2026–2027</w:t>
            </w:r>
          </w:p>
        </w:tc>
      </w:tr>
    </w:tbl>
    <w:p>
      <w:pPr>
        <w:pStyle w:val="Sumber"/>
        <w:spacing w:after="40"/>
      </w:pPr>
      <w:r>
        <w:rPr>
          <w:b/>
          <w:bCs/>
          <w:color w:val="6B7280"/>
          <w:sz w:val="17"/>
          <w:szCs w:val="17"/>
        </w:rPr>
        <w:t xml:space="preserve">Sumber: </w:t>
      </w:r>
      <w:r>
        <w:rPr>
          <w:color w:val="6B7280"/>
          <w:sz w:val="17"/>
          <w:szCs w:val="17"/>
        </w:rPr>
        <w:t xml:space="preserve">Register rekomendasi kedua kajian; Grand Design Ketahanan Air Pulau Jawa 2026–2030 Bab 10</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Nomor rekomendasi di dokumen kajian air berbeda dari dokumen ini; kode register tetap.</w:t>
      </w:r>
    </w:p>
    <w:p>
      <w:pPr>
        <w:pStyle w:val="JudulLampiran"/>
      </w:pPr>
      <w:bookmarkStart w:id="982" w:name="_Toc00308"/>
      <w:bookmarkStart w:id="981" w:name="_Ref0066"/>
      <w:r>
        <w:t xml:space="preserve">Lampiran J</w:t>
      </w:r>
      <w:bookmarkEnd w:id="981"/>
      <w:r>
        <w:t xml:space="preserve">. Penyelarasan Dokumen BNPB</w:t>
      </w:r>
      <w:bookmarkEnd w:id="982"/>
    </w:p>
    <w:p>
      <w:pPr>
        <w:pStyle w:val="Isi"/>
      </w:pPr>
      <w:r>
        <w:t xml:space="preserve">Lampiran ini mencatat angka dan rujukan dalam dokumen BNPB yang berbeda dari dokumen BNPB lain atau dari sumber primer penerbitnya, beserta penyelarasan yang dapat dilakukan BNPB sendiri. Dokumen yang ditelaah adalah Renas PB 2025–2029, Renstra BNPB 2025–2029, Laporan Kinerja BNPB 2025, Perban BNPB 5/2018, dan Perban BNPB 2/2024 </w:t>
      </w:r>
      <w:r>
        <w:t xml:space="preserve">(BNPB, 2025c, 2025e, 2026c)</w:t>
      </w:r>
      <w:r>
        <w:t xml:space="preserve">. Penyelarasan tidak mengubah sasaran; yang diselaraskan adalah angka acuan dan rumus indikator, ditambah nama unit, supaya capaian 2026–2029 dapat diperiksa pihak lain.</w:t>
      </w:r>
    </w:p>
    <w:p>
      <w:pPr>
        <w:pStyle w:val="IsiTemuan"/>
      </w:pPr>
      <w:r>
        <w:rPr>
          <w:b/>
          <w:bCs/>
          <w:color w:val="051C2C"/>
        </w:rPr>
        <w:t xml:space="preserve">Dua belas butir perlu diselaraskan, dan sembilan di antaranya sudah tertaut rekomendasi kajian ini</w:t>
      </w:r>
      <w:r>
        <w:t xml:space="preserve"> (</w:t>
      </w:r>
      <w:r>
        <w:fldChar w:fldCharType="begin"/>
      </w:r>
      <w:r>
        <w:instrText xml:space="preserve"> REF _Ref0280 \h \* CHARFORMAT </w:instrText>
      </w:r>
      <w:r>
        <w:fldChar w:fldCharType="separate"/>
      </w:r>
      <w:r>
        <w:t xml:space="preserve">Tabel J.1</w:t>
      </w:r>
      <w:r>
        <w:fldChar w:fldCharType="end"/>
      </w:r>
      <w:r>
        <w:t xml:space="preserve">). Butir yang menyangkut target Renas PB hanya dapat masuk lewat jalur berkala paling lambat </w:t>
      </w:r>
      <w:r>
        <w:t xml:space="preserve">2027</w:t>
      </w:r>
      <w:r>
        <w:t xml:space="preserve">, sedangkan nama unit dan rujukan versi dapat dibetulkan pada revisi dokumen berikutnya (</w:t>
      </w:r>
      <w:r>
        <w:t xml:space="preserve">Subbab </w:t>
      </w:r>
      <w:r>
        <w:fldChar w:fldCharType="begin"/>
      </w:r>
      <w:r>
        <w:instrText xml:space="preserve"> REF _Ref0206 \h \* CHARFORMAT </w:instrText>
      </w:r>
      <w:r>
        <w:fldChar w:fldCharType="separate"/>
      </w:r>
      <w:r>
        <w:t xml:space="preserve">12.4</w:t>
      </w:r>
      <w:r>
        <w:fldChar w:fldCharType="end"/>
      </w:r>
      <w:r>
        <w:t xml:space="preserve">).</w:t>
      </w:r>
    </w:p>
    <w:p>
      <w:pPr>
        <w:pStyle w:val="Caption"/>
      </w:pPr>
      <w:bookmarkStart w:id="984" w:name="_Toc00309"/>
      <w:bookmarkStart w:id="983" w:name="_Ref0280"/>
      <w:r>
        <w:rPr>
          <w:b/>
          <w:bCs/>
          <w:color w:val="051C2C"/>
        </w:rPr>
        <w:t xml:space="preserve">Tabel</w:t>
      </w:r>
      <w:r>
        <w:rPr>
          <w:b/>
          <w:bCs/>
          <w:color w:val="051C2C"/>
        </w:rPr>
        <w:t xml:space="preserve"> </w:t>
      </w:r>
      <w:r>
        <w:rPr>
          <w:b/>
          <w:bCs/>
          <w:color w:val="051C2C"/>
        </w:rPr>
        <w:t xml:space="preserve">J</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83"/>
      <w:r>
        <w:rPr>
          <w:b/>
          <w:bCs/>
          <w:color w:val="051C2C"/>
        </w:rPr>
        <w:t xml:space="preserve"> </w:t>
      </w:r>
      <w:r>
        <w:t xml:space="preserve">Angka dan rujukan dokumen BNPB yang perlu diselaraskan, pembandingnya, dan usulan penyelarasan, Oktober 2026</w:t>
      </w:r>
      <w:bookmarkEnd w:id="98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12"/>
        <w:gridCol w:w="3645"/>
        <w:gridCol w:w="1499"/>
        <w:gridCol w:w="2138"/>
        <w:gridCol w:w="560"/>
      </w:tblGrid>
      <w:tr>
        <w:trPr>
          <w:cantSplit/>
          <w:tblHeader/>
        </w:trPr>
        <w:tc>
          <w:tcPr>
            <w:tcW w:w="1512" w:type="dxa"/>
            <w:tcBorders>
              <w:bottom w:val="single" w:sz="8" w:space="0" w:color="6B7280"/>
            </w:tcBorders>
            <w:vAlign w:val="bottom"/>
          </w:tcPr>
          <w:p>
            <w:pPr>
              <w:pStyle w:val="KepalaTabel"/>
              <w:suppressAutoHyphens/>
            </w:pPr>
            <w:r>
              <w:rPr>
                <w:b/>
                <w:bCs/>
                <w:color w:val="6B7280"/>
                <w:sz w:val="17"/>
                <w:szCs w:val="17"/>
              </w:rPr>
              <w:t xml:space="preserve">DOKUMEN</w:t>
            </w:r>
          </w:p>
        </w:tc>
        <w:tc>
          <w:tcPr>
            <w:tcW w:w="3645" w:type="dxa"/>
            <w:tcBorders>
              <w:bottom w:val="single" w:sz="8" w:space="0" w:color="6B7280"/>
            </w:tcBorders>
            <w:vAlign w:val="bottom"/>
          </w:tcPr>
          <w:p>
            <w:pPr>
              <w:pStyle w:val="KepalaTabel"/>
              <w:suppressAutoHyphens/>
            </w:pPr>
            <w:r>
              <w:rPr>
                <w:b/>
                <w:bCs/>
                <w:color w:val="6B7280"/>
                <w:sz w:val="17"/>
                <w:szCs w:val="17"/>
              </w:rPr>
              <w:t xml:space="preserve">YANG TERTULIS</w:t>
            </w:r>
          </w:p>
        </w:tc>
        <w:tc>
          <w:tcPr>
            <w:tcW w:w="1499" w:type="dxa"/>
            <w:tcBorders>
              <w:bottom w:val="single" w:sz="8" w:space="0" w:color="6B7280"/>
            </w:tcBorders>
            <w:vAlign w:val="bottom"/>
          </w:tcPr>
          <w:p>
            <w:pPr>
              <w:pStyle w:val="KepalaTabel"/>
              <w:suppressAutoHyphens/>
            </w:pPr>
            <w:r>
              <w:rPr>
                <w:b/>
                <w:bCs/>
                <w:color w:val="6B7280"/>
                <w:sz w:val="17"/>
                <w:szCs w:val="17"/>
              </w:rPr>
              <w:t xml:space="preserve">PEMBANDING</w:t>
            </w:r>
          </w:p>
        </w:tc>
        <w:tc>
          <w:tcPr>
            <w:tcW w:w="2138" w:type="dxa"/>
            <w:tcBorders>
              <w:bottom w:val="single" w:sz="8" w:space="0" w:color="6B7280"/>
            </w:tcBorders>
            <w:vAlign w:val="bottom"/>
          </w:tcPr>
          <w:p>
            <w:pPr>
              <w:pStyle w:val="KepalaTabel"/>
              <w:suppressAutoHyphens/>
            </w:pPr>
            <w:r>
              <w:rPr>
                <w:b/>
                <w:bCs/>
                <w:color w:val="6B7280"/>
                <w:sz w:val="17"/>
                <w:szCs w:val="17"/>
              </w:rPr>
              <w:t xml:space="preserve">USULAN PENYELARASAN</w:t>
            </w:r>
          </w:p>
        </w:tc>
        <w:tc>
          <w:tcPr>
            <w:tcW w:w="560" w:type="dxa"/>
            <w:tcBorders>
              <w:bottom w:val="single" w:sz="8" w:space="0" w:color="6B7280"/>
            </w:tcBorders>
            <w:vAlign w:val="bottom"/>
          </w:tcPr>
          <w:p>
            <w:pPr>
              <w:pStyle w:val="KepalaTabel"/>
              <w:suppressAutoHyphens/>
            </w:pPr>
            <w:r>
              <w:rPr>
                <w:b/>
                <w:bCs/>
                <w:color w:val="6B7280"/>
                <w:sz w:val="17"/>
                <w:szCs w:val="17"/>
              </w:rPr>
              <w:t xml:space="preserve">REK</w:t>
            </w:r>
          </w:p>
        </w:tc>
      </w:tr>
      <w:tr>
        <w:trPr>
          <w:cantSplit/>
        </w:trPr>
        <w:tc>
          <w:tcPr>
            <w:tcW w:w="1512" w:type="dxa"/>
          </w:tcPr>
          <w:p>
            <w:pPr>
              <w:pStyle w:val="IsiTabel"/>
              <w:suppressAutoHyphens/>
              <w:jc w:val="left"/>
            </w:pPr>
            <w:r>
              <w:t xml:space="preserve">Renstra BNPB, kapasitas daerah</w:t>
            </w:r>
          </w:p>
        </w:tc>
        <w:tc>
          <w:tcPr>
            <w:tcW w:w="3645" w:type="dxa"/>
          </w:tcPr>
          <w:p>
            <w:pPr>
              <w:pStyle w:val="IsiTabel"/>
              <w:suppressAutoHyphens/>
              <w:jc w:val="left"/>
            </w:pPr>
            <w:r>
              <w:t xml:space="preserve">naik dari </w:t>
            </w:r>
            <w:r>
              <w:t xml:space="preserve">67%</w:t>
            </w:r>
            <w:r>
              <w:t xml:space="preserve"> ke </w:t>
            </w:r>
            <w:r>
              <w:t xml:space="preserve">90%</w:t>
            </w:r>
          </w:p>
        </w:tc>
        <w:tc>
          <w:tcPr>
            <w:tcW w:w="1499" w:type="dxa"/>
          </w:tcPr>
          <w:p>
            <w:pPr>
              <w:pStyle w:val="IsiTabel"/>
              <w:suppressAutoHyphens/>
              <w:jc w:val="left"/>
            </w:pPr>
            <w:r>
              <w:t xml:space="preserve">RPJMN KP 08.04.01: baseline </w:t>
            </w:r>
            <w:r>
              <w:t xml:space="preserve">62%</w:t>
            </w:r>
            <w:r>
              <w:t xml:space="preserve"> pada 2023; </w:t>
            </w:r>
            <w:r>
              <w:t xml:space="preserve">67%</w:t>
            </w:r>
            <w:r>
              <w:t xml:space="preserve"> adalah target 2025</w:t>
            </w:r>
          </w:p>
        </w:tc>
        <w:tc>
          <w:tcPr>
            <w:tcW w:w="2138" w:type="dxa"/>
          </w:tcPr>
          <w:p>
            <w:pPr>
              <w:pStyle w:val="IsiTabel"/>
              <w:suppressAutoHyphens/>
              <w:jc w:val="left"/>
            </w:pPr>
            <w:r>
              <w:t xml:space="preserve">tulis baseline 2023 dan target 2025 terpisah; penyebut diputus lewat KD-3</w:t>
            </w:r>
          </w:p>
        </w:tc>
        <w:tc>
          <w:tcPr>
            <w:tcW w:w="560" w:type="dxa"/>
          </w:tcPr>
          <w:p>
            <w:pPr>
              <w:pStyle w:val="IsiTabel"/>
              <w:suppressAutoHyphens/>
              <w:jc w:val="left"/>
            </w:pPr>
            <w:r>
              <w:fldChar w:fldCharType="begin"/>
            </w:r>
            <w:r>
              <w:instrText xml:space="preserve"> REF _Ref0089 \h \* CHARFORMAT </w:instrText>
            </w:r>
            <w:r>
              <w:fldChar w:fldCharType="separate"/>
            </w:r>
            <w:r>
              <w:t xml:space="preserve">35</w:t>
            </w:r>
            <w:r>
              <w:fldChar w:fldCharType="end"/>
            </w:r>
          </w:p>
        </w:tc>
      </w:tr>
      <w:tr>
        <w:trPr>
          <w:cantSplit/>
        </w:trPr>
        <w:tc>
          <w:tcPr>
            <w:tcW w:w="1512" w:type="dxa"/>
          </w:tcPr>
          <w:p>
            <w:pPr>
              <w:pStyle w:val="IsiTabel"/>
              <w:suppressAutoHyphens/>
              <w:jc w:val="left"/>
            </w:pPr>
            <w:r>
              <w:t xml:space="preserve">Renstra BNPB, segmen megathrust dan sesar</w:t>
            </w:r>
          </w:p>
        </w:tc>
        <w:tc>
          <w:tcPr>
            <w:tcW w:w="3645" w:type="dxa"/>
          </w:tcPr>
          <w:p>
            <w:pPr>
              <w:pStyle w:val="IsiTabel"/>
              <w:suppressAutoHyphens/>
              <w:jc w:val="left"/>
            </w:pPr>
            <w:r>
              <w:t xml:space="preserve">13</w:t>
            </w:r>
            <w:r>
              <w:t xml:space="preserve"> segmen megathrust dan </w:t>
            </w:r>
            <w:r>
              <w:t xml:space="preserve">295</w:t>
            </w:r>
            <w:r>
              <w:t xml:space="preserve"> sesar aktif</w:t>
            </w:r>
          </w:p>
        </w:tc>
        <w:tc>
          <w:tcPr>
            <w:tcW w:w="1499" w:type="dxa"/>
          </w:tcPr>
          <w:p>
            <w:pPr>
              <w:pStyle w:val="IsiTabel"/>
              <w:suppressAutoHyphens/>
              <w:jc w:val="left"/>
            </w:pPr>
            <w:r>
              <w:t xml:space="preserve">PuSGeN 2024: </w:t>
            </w:r>
            <w:r>
              <w:t xml:space="preserve">14</w:t>
            </w:r>
            <w:r>
              <w:t xml:space="preserve"> segmen dan </w:t>
            </w:r>
            <w:r>
              <w:t xml:space="preserve">401</w:t>
            </w:r>
            <w:r>
              <w:t xml:space="preserve"> sesar; PuSGeN 2017: </w:t>
            </w:r>
            <w:r>
              <w:t xml:space="preserve">13</w:t>
            </w:r>
            <w:r>
              <w:t xml:space="preserve"> segmen dan </w:t>
            </w:r>
            <w:r>
              <w:t xml:space="preserve">273</w:t>
            </w:r>
            <w:r>
              <w:t xml:space="preserve"> sesar</w:t>
            </w:r>
          </w:p>
        </w:tc>
        <w:tc>
          <w:tcPr>
            <w:tcW w:w="2138" w:type="dxa"/>
          </w:tcPr>
          <w:p>
            <w:pPr>
              <w:pStyle w:val="IsiTabel"/>
              <w:suppressAutoHyphens/>
              <w:jc w:val="left"/>
            </w:pPr>
            <w:r>
              <w:t xml:space="preserve">rujuk Peta Sumber dan Bahaya Gempa 2024</w:t>
            </w:r>
          </w:p>
        </w:tc>
        <w:tc>
          <w:tcPr>
            <w:tcW w:w="560" w:type="dxa"/>
          </w:tcPr>
          <w:p>
            <w:pPr>
              <w:pStyle w:val="IsiTabel"/>
              <w:suppressAutoHyphens/>
              <w:jc w:val="left"/>
            </w:pPr>
            <w:r>
              <w:t xml:space="preserve">–</w:t>
            </w:r>
          </w:p>
        </w:tc>
      </w:tr>
      <w:tr>
        <w:trPr>
          <w:cantSplit/>
        </w:trPr>
        <w:tc>
          <w:tcPr>
            <w:tcW w:w="1512" w:type="dxa"/>
          </w:tcPr>
          <w:p>
            <w:pPr>
              <w:pStyle w:val="IsiTabel"/>
              <w:suppressAutoHyphens/>
              <w:jc w:val="left"/>
            </w:pPr>
            <w:r>
              <w:t xml:space="preserve">Renstra BNPB dan LKIP BNPB 2025, IRB 2024</w:t>
            </w:r>
          </w:p>
        </w:tc>
        <w:tc>
          <w:tcPr>
            <w:tcW w:w="3645" w:type="dxa"/>
          </w:tcPr>
          <w:p>
            <w:pPr>
              <w:pStyle w:val="IsiTabel"/>
              <w:suppressAutoHyphens/>
              <w:jc w:val="left"/>
            </w:pPr>
            <w:r>
              <w:t xml:space="preserve">128,52</w:t>
            </w:r>
            <w:r>
              <w:t xml:space="preserve"> pada seri IRBI 2015–2024</w:t>
            </w:r>
          </w:p>
        </w:tc>
        <w:tc>
          <w:tcPr>
            <w:tcW w:w="1499" w:type="dxa"/>
          </w:tcPr>
          <w:p>
            <w:pPr>
              <w:pStyle w:val="IsiTabel"/>
              <w:suppressAutoHyphens/>
              <w:jc w:val="left"/>
            </w:pPr>
            <w:r>
              <w:t xml:space="preserve">171,95</w:t>
            </w:r>
            <w:r>
              <w:t xml:space="preserve"> pada hitungan LKIP dengan komponen KRB 2021</w:t>
            </w:r>
          </w:p>
        </w:tc>
        <w:tc>
          <w:tcPr>
            <w:tcW w:w="2138" w:type="dxa"/>
          </w:tcPr>
          <w:p>
            <w:pPr>
              <w:pStyle w:val="IsiTabel"/>
              <w:suppressAutoHyphens/>
              <w:jc w:val="left"/>
            </w:pPr>
            <w:r>
              <w:t xml:space="preserve">terbitkan catatan metode dan tabel rekonsiliasi kedua seri</w:t>
            </w:r>
          </w:p>
        </w:tc>
        <w:tc>
          <w:tcPr>
            <w:tcW w:w="560" w:type="dxa"/>
          </w:tcPr>
          <w:p>
            <w:pPr>
              <w:pStyle w:val="IsiTabel"/>
              <w:suppressAutoHyphens/>
              <w:jc w:val="left"/>
            </w:pPr>
            <w:r>
              <w:fldChar w:fldCharType="begin"/>
            </w:r>
            <w:r>
              <w:instrText xml:space="preserve"> REF _Ref0086 \h \* CHARFORMAT </w:instrText>
            </w:r>
            <w:r>
              <w:fldChar w:fldCharType="separate"/>
            </w:r>
            <w:r>
              <w:t xml:space="preserve">10</w:t>
            </w:r>
            <w:r>
              <w:fldChar w:fldCharType="end"/>
            </w:r>
          </w:p>
        </w:tc>
      </w:tr>
      <w:tr>
        <w:trPr>
          <w:cantSplit/>
        </w:trPr>
        <w:tc>
          <w:tcPr>
            <w:tcW w:w="1512" w:type="dxa"/>
          </w:tcPr>
          <w:p>
            <w:pPr>
              <w:pStyle w:val="IsiTabel"/>
              <w:suppressAutoHyphens/>
              <w:jc w:val="left"/>
            </w:pPr>
            <w:r>
              <w:t xml:space="preserve">Renstra BNPB dan Renas PB, cakupan peringatan dini</w:t>
            </w:r>
          </w:p>
        </w:tc>
        <w:tc>
          <w:tcPr>
            <w:tcW w:w="3645" w:type="dxa"/>
          </w:tcPr>
          <w:p>
            <w:pPr>
              <w:pStyle w:val="IsiTabel"/>
              <w:suppressAutoHyphens/>
              <w:jc w:val="left"/>
            </w:pPr>
            <w:r>
              <w:t xml:space="preserve">IKP Renstra </w:t>
            </w:r>
            <w:r>
              <w:t xml:space="preserve">6,10%</w:t>
            </w:r>
            <w:r>
              <w:t xml:space="preserve"> ke </w:t>
            </w:r>
            <w:r>
              <w:t xml:space="preserve">6,32%</w:t>
            </w:r>
          </w:p>
        </w:tc>
        <w:tc>
          <w:tcPr>
            <w:tcW w:w="1499" w:type="dxa"/>
          </w:tcPr>
          <w:p>
            <w:pPr>
              <w:pStyle w:val="IsiTabel"/>
              <w:suppressAutoHyphens/>
              <w:jc w:val="left"/>
            </w:pPr>
            <w:r>
              <w:t xml:space="preserve">Renas PB 1.c </w:t>
            </w:r>
            <w:r>
              <w:t xml:space="preserve">11.060</w:t>
            </w:r>
            <w:r>
              <w:t xml:space="preserve"> ke </w:t>
            </w:r>
            <w:r>
              <w:t xml:space="preserve">52.000 per 100.000 penduduk</w:t>
            </w:r>
          </w:p>
        </w:tc>
        <w:tc>
          <w:tcPr>
            <w:tcW w:w="2138" w:type="dxa"/>
          </w:tcPr>
          <w:p>
            <w:pPr>
              <w:pStyle w:val="IsiTabel"/>
              <w:suppressAutoHyphens/>
              <w:jc w:val="left"/>
            </w:pPr>
            <w:r>
              <w:t xml:space="preserve">satu lintasan dengan penyebut tertulis (KD-2)</w:t>
            </w:r>
          </w:p>
        </w:tc>
        <w:tc>
          <w:tcPr>
            <w:tcW w:w="560" w:type="dxa"/>
          </w:tcPr>
          <w:p>
            <w:pPr>
              <w:pStyle w:val="IsiTabel"/>
              <w:suppressAutoHyphens/>
              <w:jc w:val="left"/>
            </w:pPr>
            <w:r>
              <w:fldChar w:fldCharType="begin"/>
            </w:r>
            <w:r>
              <w:instrText xml:space="preserve"> REF _Ref0081 \h \* CHARFORMAT </w:instrText>
            </w:r>
            <w:r>
              <w:fldChar w:fldCharType="separate"/>
            </w:r>
            <w:r>
              <w:t xml:space="preserve">33</w:t>
            </w:r>
            <w:r>
              <w:fldChar w:fldCharType="end"/>
            </w:r>
          </w:p>
        </w:tc>
      </w:tr>
      <w:tr>
        <w:trPr>
          <w:cantSplit/>
        </w:trPr>
        <w:tc>
          <w:tcPr>
            <w:tcW w:w="1512" w:type="dxa"/>
          </w:tcPr>
          <w:p>
            <w:pPr>
              <w:pStyle w:val="IsiTabel"/>
              <w:suppressAutoHyphens/>
              <w:jc w:val="left"/>
            </w:pPr>
            <w:r>
              <w:t xml:space="preserve">Renas PB, indikator 1.a</w:t>
            </w:r>
          </w:p>
        </w:tc>
        <w:tc>
          <w:tcPr>
            <w:tcW w:w="3645" w:type="dxa"/>
          </w:tcPr>
          <w:p>
            <w:pPr>
              <w:pStyle w:val="IsiTabel"/>
              <w:suppressAutoHyphens/>
              <w:jc w:val="left"/>
            </w:pPr>
            <w:r>
              <w:t xml:space="preserve">proyeksi 2025 </w:t>
            </w:r>
            <w:r>
              <w:t xml:space="preserve">0,22</w:t>
            </w:r>
            <w:r>
              <w:t xml:space="preserve"> per 100.000 tanpa rumus tertulis</w:t>
            </w:r>
          </w:p>
        </w:tc>
        <w:tc>
          <w:tcPr>
            <w:tcW w:w="1499" w:type="dxa"/>
          </w:tcPr>
          <w:p>
            <w:pPr>
              <w:pStyle w:val="IsiTabel"/>
              <w:suppressAutoHyphens/>
              <w:jc w:val="left"/>
            </w:pPr>
            <w:r>
              <w:t xml:space="preserve">realisasi DIBI bencana alam </w:t>
            </w:r>
            <w:r>
              <w:t xml:space="preserve">0,68</w:t>
            </w:r>
            <w:r>
              <w:t xml:space="preserve"> per 100.000</w:t>
            </w:r>
          </w:p>
        </w:tc>
        <w:tc>
          <w:tcPr>
            <w:tcW w:w="2138" w:type="dxa"/>
          </w:tcPr>
          <w:p>
            <w:pPr>
              <w:pStyle w:val="IsiTabel"/>
              <w:suppressAutoHyphens/>
              <w:jc w:val="left"/>
            </w:pPr>
            <w:r>
              <w:t xml:space="preserve">tulis rumus, penyebut, dan target 2029 berangka</w:t>
            </w:r>
          </w:p>
        </w:tc>
        <w:tc>
          <w:tcPr>
            <w:tcW w:w="560" w:type="dxa"/>
          </w:tcPr>
          <w:p>
            <w:pPr>
              <w:pStyle w:val="IsiTabel"/>
              <w:suppressAutoHyphens/>
              <w:jc w:val="left"/>
            </w:pPr>
            <w:r>
              <w:fldChar w:fldCharType="begin"/>
            </w:r>
            <w:r>
              <w:instrText xml:space="preserve"> REF _Ref0094 \h \* CHARFORMAT </w:instrText>
            </w:r>
            <w:r>
              <w:fldChar w:fldCharType="separate"/>
            </w:r>
            <w:r>
              <w:t xml:space="preserve">21</w:t>
            </w:r>
            <w:r>
              <w:fldChar w:fldCharType="end"/>
            </w:r>
          </w:p>
        </w:tc>
      </w:tr>
      <w:tr>
        <w:trPr>
          <w:cantSplit/>
        </w:trPr>
        <w:tc>
          <w:tcPr>
            <w:tcW w:w="1512" w:type="dxa"/>
          </w:tcPr>
          <w:p>
            <w:pPr>
              <w:pStyle w:val="IsiTabel"/>
              <w:suppressAutoHyphens/>
              <w:jc w:val="left"/>
            </w:pPr>
            <w:r>
              <w:t xml:space="preserve">LKIP BNPB 2025, korban 2025</w:t>
            </w:r>
          </w:p>
        </w:tc>
        <w:tc>
          <w:tcPr>
            <w:tcW w:w="3645" w:type="dxa"/>
          </w:tcPr>
          <w:p>
            <w:pPr>
              <w:pStyle w:val="IsiTabel"/>
              <w:suppressAutoHyphens/>
              <w:jc w:val="left"/>
            </w:pPr>
            <w:r>
              <w:t xml:space="preserve">1.666</w:t>
            </w:r>
            <w:r>
              <w:t xml:space="preserve"> meninggal dan </w:t>
            </w:r>
            <w:r>
              <w:t xml:space="preserve">214</w:t>
            </w:r>
            <w:r>
              <w:t xml:space="preserve"> hilang</w:t>
            </w:r>
          </w:p>
        </w:tc>
        <w:tc>
          <w:tcPr>
            <w:tcW w:w="1499" w:type="dxa"/>
          </w:tcPr>
          <w:p>
            <w:pPr>
              <w:pStyle w:val="IsiTabel"/>
              <w:suppressAutoHyphens/>
              <w:jc w:val="left"/>
            </w:pPr>
            <w:r>
              <w:t xml:space="preserve">DIBI semua klasifikasi </w:t>
            </w:r>
            <w:r>
              <w:t xml:space="preserve">2.030</w:t>
            </w:r>
            <w:r>
              <w:t xml:space="preserve"> meninggal dan </w:t>
            </w:r>
            <w:r>
              <w:t xml:space="preserve">246</w:t>
            </w:r>
            <w:r>
              <w:t xml:space="preserve"> hilang per 23 Oktober 2026</w:t>
            </w:r>
          </w:p>
        </w:tc>
        <w:tc>
          <w:tcPr>
            <w:tcW w:w="2138" w:type="dxa"/>
          </w:tcPr>
          <w:p>
            <w:pPr>
              <w:pStyle w:val="IsiTabel"/>
              <w:suppressAutoHyphens/>
              <w:jc w:val="left"/>
            </w:pPr>
            <w:r>
              <w:t xml:space="preserve">rekonsiliasi angka korban menurut tanggal data</w:t>
            </w:r>
          </w:p>
        </w:tc>
        <w:tc>
          <w:tcPr>
            <w:tcW w:w="560" w:type="dxa"/>
          </w:tcPr>
          <w:p>
            <w:pPr>
              <w:pStyle w:val="IsiTabel"/>
              <w:suppressAutoHyphens/>
              <w:jc w:val="left"/>
            </w:pPr>
            <w:r>
              <w:fldChar w:fldCharType="begin"/>
            </w:r>
            <w:r>
              <w:instrText xml:space="preserve"> REF _Ref0094 \h \* CHARFORMAT </w:instrText>
            </w:r>
            <w:r>
              <w:fldChar w:fldCharType="separate"/>
            </w:r>
            <w:r>
              <w:t xml:space="preserve">21</w:t>
            </w:r>
            <w:r>
              <w:fldChar w:fldCharType="end"/>
            </w:r>
          </w:p>
        </w:tc>
      </w:tr>
      <w:tr>
        <w:trPr>
          <w:cantSplit/>
        </w:trPr>
        <w:tc>
          <w:tcPr>
            <w:tcW w:w="1512" w:type="dxa"/>
          </w:tcPr>
          <w:p>
            <w:pPr>
              <w:pStyle w:val="IsiTabel"/>
              <w:suppressAutoHyphens/>
              <w:jc w:val="left"/>
            </w:pPr>
            <w:r>
              <w:t xml:space="preserve">Renas PB, tiga provinsi berindeks terendah 2023</w:t>
            </w:r>
          </w:p>
        </w:tc>
        <w:tc>
          <w:tcPr>
            <w:tcW w:w="3645" w:type="dxa"/>
          </w:tcPr>
          <w:p>
            <w:pPr>
              <w:pStyle w:val="IsiTabel"/>
              <w:suppressAutoHyphens/>
              <w:jc w:val="left"/>
            </w:pPr>
            <w:r>
              <w:t xml:space="preserve">DKI Jakarta, Papua Pegunungan, DI Yogyakarta</w:t>
            </w:r>
          </w:p>
        </w:tc>
        <w:tc>
          <w:tcPr>
            <w:tcW w:w="1499" w:type="dxa"/>
          </w:tcPr>
          <w:p>
            <w:pPr>
              <w:pStyle w:val="IsiTabel"/>
              <w:suppressAutoHyphens/>
              <w:jc w:val="left"/>
            </w:pPr>
            <w:r>
              <w:t xml:space="preserve">Renstra Tabel 1.1 dan data InaRISK menempatkan Kepulauan Riau di bawah DI Yogyakarta</w:t>
            </w:r>
          </w:p>
        </w:tc>
        <w:tc>
          <w:tcPr>
            <w:tcW w:w="2138" w:type="dxa"/>
          </w:tcPr>
          <w:p>
            <w:pPr>
              <w:pStyle w:val="IsiTabel"/>
              <w:suppressAutoHyphens/>
              <w:jc w:val="left"/>
            </w:pPr>
            <w:r>
              <w:t xml:space="preserve">betulkan urutan pada peninjauan Renas PB</w:t>
            </w:r>
          </w:p>
        </w:tc>
        <w:tc>
          <w:tcPr>
            <w:tcW w:w="560" w:type="dxa"/>
          </w:tcPr>
          <w:p>
            <w:pPr>
              <w:pStyle w:val="IsiTabel"/>
              <w:suppressAutoHyphens/>
              <w:jc w:val="left"/>
            </w:pPr>
            <w:r>
              <w:t xml:space="preserve">–</w:t>
            </w:r>
          </w:p>
        </w:tc>
      </w:tr>
      <w:tr>
        <w:trPr>
          <w:cantSplit/>
        </w:trPr>
        <w:tc>
          <w:tcPr>
            <w:tcW w:w="1512" w:type="dxa"/>
          </w:tcPr>
          <w:p>
            <w:pPr>
              <w:pStyle w:val="IsiTabel"/>
              <w:suppressAutoHyphens/>
              <w:jc w:val="left"/>
            </w:pPr>
            <w:r>
              <w:t xml:space="preserve">Renstra BNPB, banjir Jabodetabek 2020</w:t>
            </w:r>
          </w:p>
        </w:tc>
        <w:tc>
          <w:tcPr>
            <w:tcW w:w="3645" w:type="dxa"/>
          </w:tcPr>
          <w:p>
            <w:pPr>
              <w:pStyle w:val="IsiTabel"/>
              <w:suppressAutoHyphens/>
              <w:jc w:val="left"/>
            </w:pPr>
            <w:r>
              <w:t xml:space="preserve">61</w:t>
            </w:r>
            <w:r>
              <w:t xml:space="preserve"> meninggal</w:t>
            </w:r>
          </w:p>
        </w:tc>
        <w:tc>
          <w:tcPr>
            <w:tcW w:w="1499" w:type="dxa"/>
          </w:tcPr>
          <w:p>
            <w:pPr>
              <w:pStyle w:val="IsiTabel"/>
              <w:suppressAutoHyphens/>
              <w:jc w:val="left"/>
            </w:pPr>
            <w:r>
              <w:t xml:space="preserve">DIBI empat belas kab/kota </w:t>
            </w:r>
            <w:r>
              <w:t xml:space="preserve">51</w:t>
            </w:r>
            <w:r>
              <w:t xml:space="preserve"> meninggal</w:t>
            </w:r>
          </w:p>
        </w:tc>
        <w:tc>
          <w:tcPr>
            <w:tcW w:w="2138" w:type="dxa"/>
          </w:tcPr>
          <w:p>
            <w:pPr>
              <w:pStyle w:val="IsiTabel"/>
              <w:suppressAutoHyphens/>
              <w:jc w:val="left"/>
            </w:pPr>
            <w:r>
              <w:t xml:space="preserve">sebut cakupan wilayah di samping angka</w:t>
            </w:r>
          </w:p>
        </w:tc>
        <w:tc>
          <w:tcPr>
            <w:tcW w:w="560" w:type="dxa"/>
          </w:tcPr>
          <w:p>
            <w:pPr>
              <w:pStyle w:val="IsiTabel"/>
              <w:suppressAutoHyphens/>
              <w:jc w:val="left"/>
            </w:pPr>
            <w:r>
              <w:t xml:space="preserve">–</w:t>
            </w:r>
          </w:p>
        </w:tc>
      </w:tr>
      <w:tr>
        <w:trPr>
          <w:cantSplit/>
        </w:trPr>
        <w:tc>
          <w:tcPr>
            <w:tcW w:w="1512" w:type="dxa"/>
          </w:tcPr>
          <w:p>
            <w:pPr>
              <w:pStyle w:val="IsiTabel"/>
              <w:keepNext/>
              <w:suppressAutoHyphens/>
              <w:jc w:val="left"/>
            </w:pPr>
            <w:bookmarkStart w:id="985" w:name="_Ekor120a"/>
            <w:bookmarkEnd w:id="985"/>
            <w:r>
              <w:t xml:space="preserve">Renstra BNPB, Perban BNPB 2/2024, dan Perban BNPB 5/2018</w:t>
            </w:r>
          </w:p>
        </w:tc>
        <w:tc>
          <w:tcPr>
            <w:tcW w:w="3645" w:type="dxa"/>
          </w:tcPr>
          <w:p>
            <w:pPr>
              <w:pStyle w:val="IsiTabel"/>
              <w:keepNext/>
              <w:suppressAutoHyphens/>
              <w:jc w:val="left"/>
            </w:pPr>
            <w:r>
              <w:t xml:space="preserve">nama unit organisasi lama</w:t>
            </w:r>
          </w:p>
        </w:tc>
        <w:tc>
          <w:tcPr>
            <w:tcW w:w="1499" w:type="dxa"/>
          </w:tcPr>
          <w:p>
            <w:pPr>
              <w:pStyle w:val="IsiTabel"/>
              <w:keepNext/>
              <w:suppressAutoHyphens/>
              <w:jc w:val="left"/>
            </w:pPr>
            <w:r>
              <w:t xml:space="preserve">Perban BNPB 11/2025</w:t>
            </w:r>
          </w:p>
        </w:tc>
        <w:tc>
          <w:tcPr>
            <w:tcW w:w="2138" w:type="dxa"/>
          </w:tcPr>
          <w:p>
            <w:pPr>
              <w:pStyle w:val="IsiTabel"/>
              <w:keepNext/>
              <w:suppressAutoHyphens/>
              <w:jc w:val="left"/>
            </w:pPr>
            <w:r>
              <w:t xml:space="preserve">pakai nama unit berlaku</w:t>
            </w:r>
          </w:p>
        </w:tc>
        <w:tc>
          <w:tcPr>
            <w:tcW w:w="560" w:type="dxa"/>
          </w:tcPr>
          <w:p>
            <w:pPr>
              <w:pStyle w:val="IsiTabel"/>
              <w:keepNext/>
              <w:suppressAutoHyphens/>
              <w:jc w:val="left"/>
            </w:pPr>
            <w:r>
              <w:fldChar w:fldCharType="begin"/>
            </w:r>
            <w:r>
              <w:instrText xml:space="preserve"> REF _Ref0095 \h \* CHARFORMAT </w:instrText>
            </w:r>
            <w:r>
              <w:fldChar w:fldCharType="separate"/>
            </w:r>
            <w:r>
              <w:t xml:space="preserve">22</w:t>
            </w:r>
            <w:r>
              <w:fldChar w:fldCharType="end"/>
            </w:r>
          </w:p>
        </w:tc>
      </w:tr>
      <w:tr>
        <w:trPr>
          <w:cantSplit/>
        </w:trPr>
        <w:tc>
          <w:tcPr>
            <w:tcW w:w="1512" w:type="dxa"/>
          </w:tcPr>
          <w:p>
            <w:pPr>
              <w:pStyle w:val="IsiTabel"/>
              <w:keepNext/>
              <w:suppressAutoHyphens/>
              <w:jc w:val="left"/>
            </w:pPr>
            <w:r>
              <w:t xml:space="preserve">Klaster nasional</w:t>
            </w:r>
          </w:p>
        </w:tc>
        <w:tc>
          <w:tcPr>
            <w:tcW w:w="3645" w:type="dxa"/>
          </w:tcPr>
          <w:p>
            <w:pPr>
              <w:pStyle w:val="IsiTabel"/>
              <w:keepNext/>
              <w:suppressAutoHyphens/>
              <w:jc w:val="left"/>
            </w:pPr>
            <w:r>
              <w:t xml:space="preserve">dua versi susunan klaster, Kepka BNPB 173 dan Kepka BNPB 308/2024</w:t>
            </w:r>
          </w:p>
        </w:tc>
        <w:tc>
          <w:tcPr>
            <w:tcW w:w="1499" w:type="dxa"/>
          </w:tcPr>
          <w:p>
            <w:pPr>
              <w:pStyle w:val="IsiTabel"/>
              <w:keepNext/>
              <w:suppressAutoHyphens/>
              <w:jc w:val="left"/>
            </w:pPr>
            <w:r>
              <w:t xml:space="preserve">teks SK klaster belum terbuka di JDIH</w:t>
            </w:r>
          </w:p>
        </w:tc>
        <w:tc>
          <w:tcPr>
            <w:tcW w:w="2138" w:type="dxa"/>
          </w:tcPr>
          <w:p>
            <w:pPr>
              <w:pStyle w:val="IsiTabel"/>
              <w:keepNext/>
              <w:suppressAutoHyphens/>
              <w:jc w:val="left"/>
            </w:pPr>
            <w:r>
              <w:t xml:space="preserve">buka SK klaster dengan nomenklatur kementerian berlaku</w:t>
            </w:r>
          </w:p>
        </w:tc>
        <w:tc>
          <w:tcPr>
            <w:tcW w:w="560" w:type="dxa"/>
          </w:tcPr>
          <w:p>
            <w:pPr>
              <w:pStyle w:val="IsiTabel"/>
              <w:keepNext/>
              <w:suppressAutoHyphens/>
              <w:jc w:val="left"/>
            </w:pPr>
            <w:r>
              <w:fldChar w:fldCharType="begin"/>
            </w:r>
            <w:r>
              <w:instrText xml:space="preserve"> REF _Ref0095 \h \* CHARFORMAT </w:instrText>
            </w:r>
            <w:r>
              <w:fldChar w:fldCharType="separate"/>
            </w:r>
            <w:r>
              <w:t xml:space="preserve">22</w:t>
            </w:r>
            <w:r>
              <w:fldChar w:fldCharType="end"/>
            </w:r>
          </w:p>
        </w:tc>
      </w:tr>
      <w:tr>
        <w:trPr>
          <w:cantSplit/>
        </w:trPr>
        <w:tc>
          <w:tcPr>
            <w:tcW w:w="1512" w:type="dxa"/>
          </w:tcPr>
          <w:p>
            <w:pPr>
              <w:pStyle w:val="IsiTabel"/>
              <w:keepNext/>
              <w:suppressAutoHyphens/>
              <w:jc w:val="left"/>
            </w:pPr>
            <w:r>
              <w:t xml:space="preserve">Renstra BNPB, Rancangan Perpres peringatan dini</w:t>
            </w:r>
          </w:p>
        </w:tc>
        <w:tc>
          <w:tcPr>
            <w:tcW w:w="3645" w:type="dxa"/>
          </w:tcPr>
          <w:p>
            <w:pPr>
              <w:pStyle w:val="IsiTabel"/>
              <w:keepNext/>
              <w:suppressAutoHyphens/>
              <w:jc w:val="left"/>
            </w:pPr>
            <w:r>
              <w:t xml:space="preserve">target terbit 2025</w:t>
            </w:r>
          </w:p>
        </w:tc>
        <w:tc>
          <w:tcPr>
            <w:tcW w:w="1499" w:type="dxa"/>
          </w:tcPr>
          <w:p>
            <w:pPr>
              <w:pStyle w:val="IsiTabel"/>
              <w:keepNext/>
              <w:suppressAutoHyphens/>
              <w:jc w:val="left"/>
            </w:pPr>
            <w:r>
              <w:t xml:space="preserve">belum terbit per 24 Oktober 2026</w:t>
            </w:r>
          </w:p>
        </w:tc>
        <w:tc>
          <w:tcPr>
            <w:tcW w:w="2138" w:type="dxa"/>
          </w:tcPr>
          <w:p>
            <w:pPr>
              <w:pStyle w:val="IsiTabel"/>
              <w:keepNext/>
              <w:suppressAutoHyphens/>
              <w:jc w:val="left"/>
            </w:pPr>
            <w:r>
              <w:t xml:space="preserve">susun rencana induk peringatan dini multiancaman</w:t>
            </w:r>
          </w:p>
        </w:tc>
        <w:tc>
          <w:tcPr>
            <w:tcW w:w="560" w:type="dxa"/>
          </w:tcPr>
          <w:p>
            <w:pPr>
              <w:pStyle w:val="IsiTabel"/>
              <w:keepNext/>
              <w:suppressAutoHyphens/>
              <w:jc w:val="left"/>
            </w:pPr>
            <w:r>
              <w:fldChar w:fldCharType="begin"/>
            </w:r>
            <w:r>
              <w:instrText xml:space="preserve"> REF _Ref0097 \h \* CHARFORMAT </w:instrText>
            </w:r>
            <w:r>
              <w:fldChar w:fldCharType="separate"/>
            </w:r>
            <w:r>
              <w:t xml:space="preserve">24</w:t>
            </w:r>
            <w:r>
              <w:fldChar w:fldCharType="end"/>
            </w:r>
          </w:p>
        </w:tc>
      </w:tr>
      <w:tr>
        <w:trPr>
          <w:cantSplit/>
        </w:trPr>
        <w:tc>
          <w:tcPr>
            <w:tcW w:w="1512" w:type="dxa"/>
          </w:tcPr>
          <w:p>
            <w:pPr>
              <w:pStyle w:val="IsiTabel"/>
              <w:suppressAutoHyphens/>
              <w:jc w:val="left"/>
            </w:pPr>
            <w:bookmarkStart w:id="986" w:name="_Ekor120z"/>
            <w:bookmarkEnd w:id="986"/>
            <w:r>
              <w:t xml:space="preserve">Perban BNPB 5/2018, keadaan tertentu</w:t>
            </w:r>
          </w:p>
        </w:tc>
        <w:tc>
          <w:tcPr>
            <w:tcW w:w="3645" w:type="dxa"/>
          </w:tcPr>
          <w:p>
            <w:pPr>
              <w:pStyle w:val="IsiTabel"/>
              <w:suppressAutoHyphens/>
              <w:jc w:val="left"/>
            </w:pPr>
            <w:r>
              <w:t xml:space="preserve">10 jenis</w:t>
            </w:r>
            <w:r>
              <w:t xml:space="preserve"> ancaman alam dan nonalam</w:t>
            </w:r>
          </w:p>
        </w:tc>
        <w:tc>
          <w:tcPr>
            <w:tcW w:w="1499" w:type="dxa"/>
          </w:tcPr>
          <w:p>
            <w:pPr>
              <w:pStyle w:val="IsiTabel"/>
              <w:suppressAutoHyphens/>
              <w:jc w:val="left"/>
            </w:pPr>
            <w:r>
              <w:t xml:space="preserve">Perpres 46/2026 memperluas keadaan tertentu ke faktor sosial dan rekonsiliasi pascakonflik</w:t>
            </w:r>
          </w:p>
        </w:tc>
        <w:tc>
          <w:tcPr>
            <w:tcW w:w="2138" w:type="dxa"/>
          </w:tcPr>
          <w:p>
            <w:pPr>
              <w:pStyle w:val="IsiTabel"/>
              <w:suppressAutoHyphens/>
              <w:jc w:val="left"/>
            </w:pPr>
            <w:r>
              <w:t xml:space="preserve">ubah Perban BNPB 5/2018 sebagai pedoman Pasal 3 ayat (4)</w:t>
            </w:r>
          </w:p>
        </w:tc>
        <w:tc>
          <w:tcPr>
            <w:tcW w:w="560" w:type="dxa"/>
          </w:tcPr>
          <w:p>
            <w:pPr>
              <w:pStyle w:val="IsiTabel"/>
              <w:suppressAutoHyphens/>
              <w:jc w:val="left"/>
            </w:pPr>
            <w:r>
              <w:fldChar w:fldCharType="begin"/>
            </w:r>
            <w:r>
              <w:instrText xml:space="preserve"> REF _Ref0088 \h \* CHARFORMAT </w:instrText>
            </w:r>
            <w:r>
              <w:fldChar w:fldCharType="separate"/>
            </w:r>
            <w:r>
              <w:t xml:space="preserve">14</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Renstra BNPB 2025–2029; LKIP BNPB 2025; RPJMN 2025–2029; PuSGeN 2024; DIBI BNPB; Perban BNPB 5/2018, 2/2024, dan 11/2025; Perpres 46/2026;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Angka yang tertulis dan pembandingnya berlabel resmi; usulan penyelarasan adalah usulan penyusun. "–" berarti belum ada rekomendasi khusus.</w:t>
      </w:r>
    </w:p>
    <w:p>
      <w:pPr>
        <w:pStyle w:val="JudulLampiran"/>
      </w:pPr>
      <w:bookmarkStart w:id="988" w:name="_Toc00310"/>
      <w:bookmarkStart w:id="987" w:name="_Ref0063"/>
      <w:r>
        <w:t xml:space="preserve">Lampiran K</w:t>
      </w:r>
      <w:bookmarkEnd w:id="987"/>
      <w:r>
        <w:t xml:space="preserve">. Glosarium</w:t>
      </w:r>
      <w:bookmarkEnd w:id="988"/>
    </w:p>
    <w:p>
      <w:pPr>
        <w:pStyle w:val="Isi"/>
      </w:pPr>
      <w:r>
        <w:t xml:space="preserve">Glosarium memuat istilah yang dipakai di badan teks kajian ini beserta dasar definisinya </w:t>
      </w:r>
      <w:r>
        <w:t xml:space="preserve">(Republik Indonesia, 2007)</w:t>
      </w:r>
      <w:r>
        <w:t xml:space="preserve">. Istilah peraturan dikutip dari pasal yang disebut; istilah kajian ini didefinisikan di bab yang dirujuk dan berlabel Asumsi kebijakan bila menyangkut aturan pilihan penyusun. Singkatan ada di Daftar Singkatan pada bagian depan.</w:t>
      </w:r>
    </w:p>
    <w:p>
      <w:pPr>
        <w:pStyle w:val="Caption"/>
      </w:pPr>
      <w:bookmarkStart w:id="990" w:name="_Toc00311"/>
      <w:bookmarkStart w:id="989" w:name="_Ref0282"/>
      <w:r>
        <w:rPr>
          <w:b/>
          <w:bCs/>
          <w:color w:val="051C2C"/>
        </w:rPr>
        <w:t xml:space="preserve">Tabel</w:t>
      </w:r>
      <w:r>
        <w:rPr>
          <w:b/>
          <w:bCs/>
          <w:color w:val="051C2C"/>
        </w:rPr>
        <w:t xml:space="preserve"> </w:t>
      </w:r>
      <w:r>
        <w:rPr>
          <w:b/>
          <w:bCs/>
          <w:color w:val="051C2C"/>
        </w:rPr>
        <w:t xml:space="preserve">K</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89"/>
      <w:r>
        <w:rPr>
          <w:b/>
          <w:bCs/>
          <w:color w:val="051C2C"/>
        </w:rPr>
        <w:t xml:space="preserve"> </w:t>
      </w:r>
      <w:r>
        <w:t xml:space="preserve">Istilah kajian mitigasi bencana Indonesia dan dasar definisinya, status Oktober 2026</w:t>
      </w:r>
      <w:bookmarkEnd w:id="99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82"/>
        <w:gridCol w:w="3107"/>
        <w:gridCol w:w="3265"/>
      </w:tblGrid>
      <w:tr>
        <w:trPr>
          <w:cantSplit/>
          <w:tblHeader/>
        </w:trPr>
        <w:tc>
          <w:tcPr>
            <w:tcW w:w="2982" w:type="dxa"/>
            <w:tcBorders>
              <w:bottom w:val="single" w:sz="8" w:space="0" w:color="6B7280"/>
            </w:tcBorders>
            <w:vAlign w:val="bottom"/>
          </w:tcPr>
          <w:p>
            <w:pPr>
              <w:pStyle w:val="KepalaTabel"/>
              <w:suppressAutoHyphens/>
            </w:pPr>
            <w:r>
              <w:rPr>
                <w:b/>
                <w:bCs/>
                <w:color w:val="6B7280"/>
                <w:sz w:val="17"/>
                <w:szCs w:val="17"/>
              </w:rPr>
              <w:t xml:space="preserve">ISTILAH</w:t>
            </w:r>
          </w:p>
        </w:tc>
        <w:tc>
          <w:tcPr>
            <w:tcW w:w="3107" w:type="dxa"/>
            <w:tcBorders>
              <w:bottom w:val="single" w:sz="8" w:space="0" w:color="6B7280"/>
            </w:tcBorders>
            <w:vAlign w:val="bottom"/>
          </w:tcPr>
          <w:p>
            <w:pPr>
              <w:pStyle w:val="KepalaTabel"/>
              <w:suppressAutoHyphens/>
            </w:pPr>
            <w:r>
              <w:rPr>
                <w:b/>
                <w:bCs/>
                <w:color w:val="6B7280"/>
                <w:sz w:val="17"/>
                <w:szCs w:val="17"/>
              </w:rPr>
              <w:t xml:space="preserve">DEFINISI</w:t>
            </w:r>
          </w:p>
        </w:tc>
        <w:tc>
          <w:tcPr>
            <w:tcW w:w="3265" w:type="dxa"/>
            <w:tcBorders>
              <w:bottom w:val="single" w:sz="8" w:space="0" w:color="6B7280"/>
            </w:tcBorders>
            <w:vAlign w:val="bottom"/>
          </w:tcPr>
          <w:p>
            <w:pPr>
              <w:pStyle w:val="KepalaTabel"/>
              <w:suppressAutoHyphens/>
            </w:pPr>
            <w:r>
              <w:rPr>
                <w:b/>
                <w:bCs/>
                <w:color w:val="6B7280"/>
                <w:sz w:val="17"/>
                <w:szCs w:val="17"/>
              </w:rPr>
              <w:t xml:space="preserve">DASAR</w:t>
            </w:r>
          </w:p>
        </w:tc>
      </w:tr>
      <w:tr>
        <w:trPr>
          <w:cantSplit/>
        </w:trPr>
        <w:tc>
          <w:tcPr>
            <w:tcW w:w="2982" w:type="dxa"/>
          </w:tcPr>
          <w:p>
            <w:pPr>
              <w:pStyle w:val="IsiTabel"/>
              <w:suppressAutoHyphens/>
              <w:jc w:val="left"/>
            </w:pPr>
            <w:r>
              <w:t xml:space="preserve">bencana nonalam</w:t>
            </w:r>
          </w:p>
        </w:tc>
        <w:tc>
          <w:tcPr>
            <w:tcW w:w="3107" w:type="dxa"/>
          </w:tcPr>
          <w:p>
            <w:pPr>
              <w:pStyle w:val="IsiTabel"/>
              <w:suppressAutoHyphens/>
              <w:jc w:val="left"/>
            </w:pPr>
            <w:r>
              <w:t xml:space="preserve">bencana akibat peristiwa nonalam, antara lain gagal teknologi, gagal modernisasi, epidemi, dan wabah penyakit</w:t>
            </w:r>
          </w:p>
        </w:tc>
        <w:tc>
          <w:tcPr>
            <w:tcW w:w="3265" w:type="dxa"/>
          </w:tcPr>
          <w:p>
            <w:pPr>
              <w:pStyle w:val="IsiTabel"/>
              <w:suppressAutoHyphens/>
              <w:jc w:val="left"/>
            </w:pPr>
            <w:r>
              <w:t xml:space="preserve">UU 24/2007 Pasal 1 angka 3</w:t>
            </w:r>
          </w:p>
        </w:tc>
      </w:tr>
      <w:tr>
        <w:trPr>
          <w:cantSplit/>
        </w:trPr>
        <w:tc>
          <w:tcPr>
            <w:tcW w:w="2982" w:type="dxa"/>
          </w:tcPr>
          <w:p>
            <w:pPr>
              <w:pStyle w:val="IsiTabel"/>
              <w:suppressAutoHyphens/>
              <w:jc w:val="left"/>
            </w:pPr>
            <w:r>
              <w:t xml:space="preserve">bencana sosial</w:t>
            </w:r>
          </w:p>
        </w:tc>
        <w:tc>
          <w:tcPr>
            <w:tcW w:w="3107" w:type="dxa"/>
          </w:tcPr>
          <w:p>
            <w:pPr>
              <w:pStyle w:val="IsiTabel"/>
              <w:suppressAutoHyphens/>
              <w:jc w:val="left"/>
            </w:pPr>
            <w:r>
              <w:t xml:space="preserve">bencana akibat peristiwa yang diakibatkan manusia, meliputi konflik sosial antarkelompok atau antarkomunitas masyarakat, dan teror</w:t>
            </w:r>
          </w:p>
        </w:tc>
        <w:tc>
          <w:tcPr>
            <w:tcW w:w="3265" w:type="dxa"/>
          </w:tcPr>
          <w:p>
            <w:pPr>
              <w:pStyle w:val="IsiTabel"/>
              <w:suppressAutoHyphens/>
              <w:jc w:val="left"/>
            </w:pPr>
            <w:r>
              <w:t xml:space="preserve">UU 24/2007 Pasal 1 angka 4</w:t>
            </w:r>
          </w:p>
        </w:tc>
      </w:tr>
      <w:tr>
        <w:trPr>
          <w:cantSplit/>
        </w:trPr>
        <w:tc>
          <w:tcPr>
            <w:tcW w:w="2982" w:type="dxa"/>
          </w:tcPr>
          <w:p>
            <w:pPr>
              <w:pStyle w:val="IsiTabel"/>
              <w:suppressAutoHyphens/>
              <w:jc w:val="left"/>
            </w:pPr>
            <w:r>
              <w:t xml:space="preserve">daftar perhatian</w:t>
            </w:r>
          </w:p>
        </w:tc>
        <w:tc>
          <w:tcPr>
            <w:tcW w:w="3107" w:type="dxa"/>
          </w:tcPr>
          <w:p>
            <w:pPr>
              <w:pStyle w:val="IsiTabel"/>
              <w:suppressAutoHyphens/>
              <w:jc w:val="left"/>
            </w:pPr>
            <w:r>
              <w:t xml:space="preserve">kab/kota yang memenuhi paling sedikit dua syarat per bahaya; bukan peringkat dan bukan daftar prioritas</w:t>
            </w:r>
          </w:p>
        </w:tc>
        <w:tc>
          <w:tcPr>
            <w:tcW w:w="3265" w:type="dxa"/>
          </w:tcPr>
          <w:p>
            <w:pPr>
              <w:pStyle w:val="IsiTabel"/>
              <w:suppressAutoHyphens/>
              <w:jc w:val="left"/>
            </w:pPr>
            <w:r>
              <w:t xml:space="preserve">definisi kajian ini, </w:t>
            </w:r>
            <w:r>
              <w:t xml:space="preserve">Subbab </w:t>
            </w:r>
            <w:r>
              <w:fldChar w:fldCharType="begin"/>
            </w:r>
            <w:r>
              <w:instrText xml:space="preserve"> REF _Ref0116 \h \* CHARFORMAT </w:instrText>
            </w:r>
            <w:r>
              <w:fldChar w:fldCharType="separate"/>
            </w:r>
            <w:r>
              <w:t xml:space="preserve">3.8</w:t>
            </w:r>
            <w:r>
              <w:fldChar w:fldCharType="end"/>
            </w:r>
          </w:p>
        </w:tc>
      </w:tr>
      <w:tr>
        <w:trPr>
          <w:cantSplit/>
        </w:trPr>
        <w:tc>
          <w:tcPr>
            <w:tcW w:w="2982" w:type="dxa"/>
          </w:tcPr>
          <w:p>
            <w:pPr>
              <w:pStyle w:val="IsiTabel"/>
              <w:suppressAutoHyphens/>
              <w:jc w:val="left"/>
            </w:pPr>
            <w:r>
              <w:t xml:space="preserve">Data Bencana</w:t>
            </w:r>
          </w:p>
        </w:tc>
        <w:tc>
          <w:tcPr>
            <w:tcW w:w="3107" w:type="dxa"/>
          </w:tcPr>
          <w:p>
            <w:pPr>
              <w:pStyle w:val="IsiTabel"/>
              <w:suppressAutoHyphens/>
              <w:jc w:val="left"/>
            </w:pPr>
            <w:r>
              <w:t xml:space="preserve">data yang dihasilkan produsen Data Bencana, yaitu unit kerja di lingkungan BNPB; keluaran simulasi platform bukan Data Bencana</w:t>
            </w:r>
          </w:p>
        </w:tc>
        <w:tc>
          <w:tcPr>
            <w:tcW w:w="3265" w:type="dxa"/>
          </w:tcPr>
          <w:p>
            <w:pPr>
              <w:pStyle w:val="IsiTabel"/>
              <w:suppressAutoHyphens/>
              <w:jc w:val="left"/>
            </w:pPr>
            <w:r>
              <w:t xml:space="preserve">Perban BNPB 1/2023 Pasal 1 angka 6</w:t>
            </w:r>
          </w:p>
        </w:tc>
      </w:tr>
      <w:tr>
        <w:trPr>
          <w:cantSplit/>
        </w:trPr>
        <w:tc>
          <w:tcPr>
            <w:tcW w:w="2982" w:type="dxa"/>
          </w:tcPr>
          <w:p>
            <w:pPr>
              <w:pStyle w:val="IsiTabel"/>
              <w:suppressAutoHyphens/>
              <w:jc w:val="left"/>
            </w:pPr>
            <w:r>
              <w:t xml:space="preserve">hari ke-0</w:t>
            </w:r>
          </w:p>
        </w:tc>
        <w:tc>
          <w:tcPr>
            <w:tcW w:w="3107" w:type="dxa"/>
          </w:tcPr>
          <w:p>
            <w:pPr>
              <w:pStyle w:val="IsiTabel"/>
              <w:suppressAutoHyphens/>
              <w:jc w:val="left"/>
            </w:pPr>
            <w:r>
              <w:t xml:space="preserve">tanggal penetapan kajian dan penugasan unit oleh Kepala BNPB, awal hitungan peta jalan</w:t>
            </w:r>
          </w:p>
        </w:tc>
        <w:tc>
          <w:tcPr>
            <w:tcW w:w="3265" w:type="dxa"/>
          </w:tcPr>
          <w:p>
            <w:pPr>
              <w:pStyle w:val="IsiTabel"/>
              <w:suppressAutoHyphens/>
              <w:jc w:val="left"/>
            </w:pPr>
            <w:r>
              <w:t xml:space="preserve">definisi kajian ini, </w:t>
            </w:r>
            <w:r>
              <w:t xml:space="preserve">Subbab </w:t>
            </w:r>
            <w:r>
              <w:fldChar w:fldCharType="begin"/>
            </w:r>
            <w:r>
              <w:instrText xml:space="preserve"> REF _Ref0188 \h \* CHARFORMAT </w:instrText>
            </w:r>
            <w:r>
              <w:fldChar w:fldCharType="separate"/>
            </w:r>
            <w:r>
              <w:t xml:space="preserve">12.7</w:t>
            </w:r>
            <w:r>
              <w:fldChar w:fldCharType="end"/>
            </w:r>
          </w:p>
        </w:tc>
      </w:tr>
      <w:tr>
        <w:trPr>
          <w:cantSplit/>
        </w:trPr>
        <w:tc>
          <w:tcPr>
            <w:tcW w:w="2982" w:type="dxa"/>
          </w:tcPr>
          <w:p>
            <w:pPr>
              <w:pStyle w:val="IsiTabel"/>
              <w:suppressAutoHyphens/>
              <w:jc w:val="left"/>
            </w:pPr>
            <w:r>
              <w:t xml:space="preserve">jalur berkala</w:t>
            </w:r>
          </w:p>
        </w:tc>
        <w:tc>
          <w:tcPr>
            <w:tcW w:w="3107" w:type="dxa"/>
          </w:tcPr>
          <w:p>
            <w:pPr>
              <w:pStyle w:val="IsiTabel"/>
              <w:suppressAutoHyphens/>
              <w:jc w:val="left"/>
            </w:pPr>
            <w:r>
              <w:t xml:space="preserve">perubahan Renas PB karena peninjauan berkala, paling lambat tahun ketiga</w:t>
            </w:r>
          </w:p>
        </w:tc>
        <w:tc>
          <w:tcPr>
            <w:tcW w:w="3265" w:type="dxa"/>
          </w:tcPr>
          <w:p>
            <w:pPr>
              <w:pStyle w:val="IsiTabel"/>
              <w:suppressAutoHyphens/>
              <w:jc w:val="left"/>
            </w:pPr>
            <w:r>
              <w:t xml:space="preserve">Renas PB 2025–2029 §4.6</w:t>
            </w:r>
          </w:p>
        </w:tc>
      </w:tr>
      <w:tr>
        <w:trPr>
          <w:cantSplit/>
        </w:trPr>
        <w:tc>
          <w:tcPr>
            <w:tcW w:w="2982" w:type="dxa"/>
          </w:tcPr>
          <w:p>
            <w:pPr>
              <w:pStyle w:val="IsiTabel"/>
              <w:suppressAutoHyphens/>
              <w:jc w:val="left"/>
            </w:pPr>
            <w:r>
              <w:t xml:space="preserve">jalur bencana</w:t>
            </w:r>
          </w:p>
        </w:tc>
        <w:tc>
          <w:tcPr>
            <w:tcW w:w="3107" w:type="dxa"/>
          </w:tcPr>
          <w:p>
            <w:pPr>
              <w:pStyle w:val="IsiTabel"/>
              <w:suppressAutoHyphens/>
              <w:jc w:val="left"/>
            </w:pPr>
            <w:r>
              <w:t xml:space="preserve">perubahan Renas PB karena bencana, paling lambat tahun keempat dan terbatas pada program dan kegiatan rencana aksi</w:t>
            </w:r>
          </w:p>
        </w:tc>
        <w:tc>
          <w:tcPr>
            <w:tcW w:w="3265" w:type="dxa"/>
          </w:tcPr>
          <w:p>
            <w:pPr>
              <w:pStyle w:val="IsiTabel"/>
              <w:suppressAutoHyphens/>
              <w:jc w:val="left"/>
            </w:pPr>
            <w:r>
              <w:t xml:space="preserve">Renas PB 2025–2029 §4.6</w:t>
            </w:r>
          </w:p>
        </w:tc>
      </w:tr>
      <w:tr>
        <w:trPr>
          <w:cantSplit/>
        </w:trPr>
        <w:tc>
          <w:tcPr>
            <w:tcW w:w="2982" w:type="dxa"/>
          </w:tcPr>
          <w:p>
            <w:pPr>
              <w:pStyle w:val="IsiTabel"/>
              <w:suppressAutoHyphens/>
              <w:jc w:val="left"/>
            </w:pPr>
            <w:r>
              <w:t xml:space="preserve">karhutla</w:t>
            </w:r>
          </w:p>
        </w:tc>
        <w:tc>
          <w:tcPr>
            <w:tcW w:w="3107" w:type="dxa"/>
          </w:tcPr>
          <w:p>
            <w:pPr>
              <w:pStyle w:val="IsiTabel"/>
              <w:suppressAutoHyphens/>
              <w:jc w:val="left"/>
            </w:pPr>
            <w:r>
              <w:t xml:space="preserve">kebakaran hutan dan lahan; ditulis huruf kecil di tengah kalimat</w:t>
            </w:r>
          </w:p>
        </w:tc>
        <w:tc>
          <w:tcPr>
            <w:tcW w:w="3265" w:type="dxa"/>
          </w:tcPr>
          <w:p>
            <w:pPr>
              <w:pStyle w:val="IsiTabel"/>
              <w:suppressAutoHyphens/>
              <w:jc w:val="left"/>
            </w:pPr>
            <w:r>
              <w:t xml:space="preserve">glosarium kajian</w:t>
            </w:r>
          </w:p>
        </w:tc>
      </w:tr>
      <w:tr>
        <w:trPr>
          <w:cantSplit/>
        </w:trPr>
        <w:tc>
          <w:tcPr>
            <w:tcW w:w="2982" w:type="dxa"/>
          </w:tcPr>
          <w:p>
            <w:pPr>
              <w:pStyle w:val="IsiTabel"/>
              <w:suppressAutoHyphens/>
              <w:jc w:val="left"/>
            </w:pPr>
            <w:r>
              <w:t xml:space="preserve">keadaan tertentu</w:t>
            </w:r>
          </w:p>
        </w:tc>
        <w:tc>
          <w:tcPr>
            <w:tcW w:w="3107" w:type="dxa"/>
          </w:tcPr>
          <w:p>
            <w:pPr>
              <w:pStyle w:val="IsiTabel"/>
              <w:suppressAutoHyphens/>
              <w:jc w:val="left"/>
            </w:pPr>
            <w:r>
              <w:t xml:space="preserve">keadaan saat status keadaan darurat belum ditetapkan atau sudah berakhir tetapi masih diperlukan tindakan; kini mencakup potensi bencana akibat faktor alam, nonalam, dan sosial</w:t>
            </w:r>
          </w:p>
        </w:tc>
        <w:tc>
          <w:tcPr>
            <w:tcW w:w="3265" w:type="dxa"/>
          </w:tcPr>
          <w:p>
            <w:pPr>
              <w:pStyle w:val="IsiTabel"/>
              <w:suppressAutoHyphens/>
              <w:jc w:val="left"/>
            </w:pPr>
            <w:r>
              <w:t xml:space="preserve">Perpres 17/2018 Pasal 1 angka 1 jo. Perpres 46/2026</w:t>
            </w:r>
          </w:p>
        </w:tc>
      </w:tr>
      <w:tr>
        <w:trPr>
          <w:cantSplit/>
        </w:trPr>
        <w:tc>
          <w:tcPr>
            <w:tcW w:w="2982" w:type="dxa"/>
          </w:tcPr>
          <w:p>
            <w:pPr>
              <w:pStyle w:val="IsiTabel"/>
              <w:suppressAutoHyphens/>
              <w:jc w:val="left"/>
            </w:pPr>
            <w:r>
              <w:t xml:space="preserve">kebutuhan respons</w:t>
            </w:r>
          </w:p>
        </w:tc>
        <w:tc>
          <w:tcPr>
            <w:tcW w:w="3107" w:type="dxa"/>
          </w:tcPr>
          <w:p>
            <w:pPr>
              <w:pStyle w:val="IsiTabel"/>
              <w:suppressAutoHyphens/>
              <w:jc w:val="left"/>
            </w:pPr>
            <w:r>
              <w:t xml:space="preserve">kebutuhan minimum logistik dan layanan dari standar Perka BNPB 7/2008 dan Perban BNPB 3/2018</w:t>
            </w:r>
          </w:p>
        </w:tc>
        <w:tc>
          <w:tcPr>
            <w:tcW w:w="3265" w:type="dxa"/>
          </w:tcPr>
          <w:p>
            <w:pPr>
              <w:pStyle w:val="IsiTabel"/>
              <w:suppressAutoHyphens/>
              <w:jc w:val="left"/>
            </w:pPr>
            <w:r>
              <w:t xml:space="preserve">definisi kajian ini, </w:t>
            </w:r>
            <w:r>
              <w:t xml:space="preserve">Subbab </w:t>
            </w:r>
            <w:r>
              <w:fldChar w:fldCharType="begin"/>
            </w:r>
            <w:r>
              <w:instrText xml:space="preserve"> REF _Ref0176 \h \* CHARFORMAT </w:instrText>
            </w:r>
            <w:r>
              <w:fldChar w:fldCharType="separate"/>
            </w:r>
            <w:r>
              <w:t xml:space="preserve">3.6</w:t>
            </w:r>
            <w:r>
              <w:fldChar w:fldCharType="end"/>
            </w:r>
          </w:p>
        </w:tc>
      </w:tr>
      <w:tr>
        <w:trPr>
          <w:cantSplit/>
        </w:trPr>
        <w:tc>
          <w:tcPr>
            <w:tcW w:w="2982" w:type="dxa"/>
          </w:tcPr>
          <w:p>
            <w:pPr>
              <w:pStyle w:val="IsiTabel"/>
              <w:suppressAutoHyphens/>
              <w:jc w:val="left"/>
            </w:pPr>
            <w:r>
              <w:t xml:space="preserve">"kejadian luar biasa"</w:t>
            </w:r>
          </w:p>
        </w:tc>
        <w:tc>
          <w:tcPr>
            <w:tcW w:w="3107" w:type="dxa"/>
          </w:tcPr>
          <w:p>
            <w:pPr>
              <w:pStyle w:val="IsiTabel"/>
              <w:suppressAutoHyphens/>
              <w:jc w:val="left"/>
            </w:pPr>
            <w:r>
              <w:t xml:space="preserve">status kesehatan yang ditetapkan kepala daerah atau Menteri menurut cakupannya, terpisah dari status keadaan darurat bencana</w:t>
            </w:r>
          </w:p>
        </w:tc>
        <w:tc>
          <w:tcPr>
            <w:tcW w:w="3265" w:type="dxa"/>
          </w:tcPr>
          <w:p>
            <w:pPr>
              <w:pStyle w:val="IsiTabel"/>
              <w:suppressAutoHyphens/>
              <w:jc w:val="left"/>
            </w:pPr>
            <w:r>
              <w:t xml:space="preserve">UU 17/2023</w:t>
            </w:r>
          </w:p>
        </w:tc>
      </w:tr>
      <w:tr>
        <w:trPr>
          <w:cantSplit/>
        </w:trPr>
        <w:tc>
          <w:tcPr>
            <w:tcW w:w="2982" w:type="dxa"/>
          </w:tcPr>
          <w:p>
            <w:pPr>
              <w:pStyle w:val="IsiTabel"/>
              <w:suppressAutoHyphens/>
              <w:jc w:val="left"/>
            </w:pPr>
            <w:r>
              <w:t xml:space="preserve">kemungkinan lima tahun</w:t>
            </w:r>
          </w:p>
        </w:tc>
        <w:tc>
          <w:tcPr>
            <w:tcW w:w="3107" w:type="dxa"/>
          </w:tcPr>
          <w:p>
            <w:pPr>
              <w:pStyle w:val="IsiTabel"/>
              <w:suppressAutoHyphens/>
              <w:jc w:val="left"/>
            </w:pPr>
            <w:r>
              <w:t xml:space="preserve">peluang skenario terjadi paling sedikit sekali dalam lima tahun, dipetakan ke lima pita</w:t>
            </w:r>
          </w:p>
        </w:tc>
        <w:tc>
          <w:tcPr>
            <w:tcW w:w="3265" w:type="dxa"/>
          </w:tcPr>
          <w:p>
            <w:pPr>
              <w:pStyle w:val="IsiTabel"/>
              <w:suppressAutoHyphens/>
              <w:jc w:val="left"/>
            </w:pPr>
            <w:r>
              <w:t xml:space="preserve">definisi kajian ini, </w:t>
            </w:r>
            <w:r>
              <w:t xml:space="preserve">Subbab </w:t>
            </w:r>
            <w:r>
              <w:fldChar w:fldCharType="begin"/>
            </w:r>
            <w:r>
              <w:instrText xml:space="preserve"> REF _Ref0158 \h \* CHARFORMAT </w:instrText>
            </w:r>
            <w:r>
              <w:fldChar w:fldCharType="separate"/>
            </w:r>
            <w:r>
              <w:t xml:space="preserve">3.5</w:t>
            </w:r>
            <w:r>
              <w:fldChar w:fldCharType="end"/>
            </w:r>
          </w:p>
        </w:tc>
      </w:tr>
      <w:tr>
        <w:trPr>
          <w:cantSplit/>
        </w:trPr>
        <w:tc>
          <w:tcPr>
            <w:tcW w:w="2982" w:type="dxa"/>
          </w:tcPr>
          <w:p>
            <w:pPr>
              <w:pStyle w:val="IsiTabel"/>
              <w:suppressAutoHyphens/>
              <w:jc w:val="left"/>
            </w:pPr>
            <w:r>
              <w:t xml:space="preserve">kerugian imateriil</w:t>
            </w:r>
          </w:p>
        </w:tc>
        <w:tc>
          <w:tcPr>
            <w:tcW w:w="3107" w:type="dxa"/>
          </w:tcPr>
          <w:p>
            <w:pPr>
              <w:pStyle w:val="IsiTabel"/>
              <w:suppressAutoHyphens/>
              <w:jc w:val="left"/>
            </w:pPr>
            <w:r>
              <w:t xml:space="preserve">meninggal dan hilang, pengungsi dan pengungsi-hari, serta tahun hidup yang hilang, dalam satuan fisik</w:t>
            </w:r>
          </w:p>
        </w:tc>
        <w:tc>
          <w:tcPr>
            <w:tcW w:w="3265" w:type="dxa"/>
          </w:tcPr>
          <w:p>
            <w:pPr>
              <w:pStyle w:val="IsiTabel"/>
              <w:suppressAutoHyphens/>
              <w:jc w:val="left"/>
            </w:pPr>
            <w:r>
              <w:t xml:space="preserve">definisi kajian ini, </w:t>
            </w:r>
            <w:r>
              <w:t xml:space="preserve">Subbab </w:t>
            </w:r>
            <w:r>
              <w:fldChar w:fldCharType="begin"/>
            </w:r>
            <w:r>
              <w:instrText xml:space="preserve"> REF _Ref0160 \h \* CHARFORMAT </w:instrText>
            </w:r>
            <w:r>
              <w:fldChar w:fldCharType="separate"/>
            </w:r>
            <w:r>
              <w:t xml:space="preserve">3.7</w:t>
            </w:r>
            <w:r>
              <w:fldChar w:fldCharType="end"/>
            </w:r>
          </w:p>
        </w:tc>
      </w:tr>
      <w:tr>
        <w:trPr>
          <w:cantSplit/>
        </w:trPr>
        <w:tc>
          <w:tcPr>
            <w:tcW w:w="2982" w:type="dxa"/>
          </w:tcPr>
          <w:p>
            <w:pPr>
              <w:pStyle w:val="IsiTabel"/>
              <w:suppressAutoHyphens/>
              <w:jc w:val="left"/>
            </w:pPr>
            <w:r>
              <w:t xml:space="preserve">kerugian materiil</w:t>
            </w:r>
          </w:p>
        </w:tc>
        <w:tc>
          <w:tcPr>
            <w:tcW w:w="3107" w:type="dxa"/>
          </w:tcPr>
          <w:p>
            <w:pPr>
              <w:pStyle w:val="IsiTabel"/>
              <w:suppressAutoHyphens/>
              <w:jc w:val="left"/>
            </w:pPr>
            <w:r>
              <w:t xml:space="preserve">nilai aset terpapar, kerugian kejadian analog, atau kebutuhan stimulan rumah; berlabel dan tidak dijumlah</w:t>
            </w:r>
          </w:p>
        </w:tc>
        <w:tc>
          <w:tcPr>
            <w:tcW w:w="3265" w:type="dxa"/>
          </w:tcPr>
          <w:p>
            <w:pPr>
              <w:pStyle w:val="IsiTabel"/>
              <w:suppressAutoHyphens/>
              <w:jc w:val="left"/>
            </w:pPr>
            <w:r>
              <w:t xml:space="preserve">definisi kajian ini, </w:t>
            </w:r>
            <w:r>
              <w:t xml:space="preserve">Subbab </w:t>
            </w:r>
            <w:r>
              <w:fldChar w:fldCharType="begin"/>
            </w:r>
            <w:r>
              <w:instrText xml:space="preserve"> REF _Ref0160 \h \* CHARFORMAT </w:instrText>
            </w:r>
            <w:r>
              <w:fldChar w:fldCharType="separate"/>
            </w:r>
            <w:r>
              <w:t xml:space="preserve">3.7</w:t>
            </w:r>
            <w:r>
              <w:fldChar w:fldCharType="end"/>
            </w:r>
          </w:p>
        </w:tc>
      </w:tr>
      <w:tr>
        <w:trPr>
          <w:cantSplit/>
        </w:trPr>
        <w:tc>
          <w:tcPr>
            <w:tcW w:w="2982" w:type="dxa"/>
          </w:tcPr>
          <w:p>
            <w:pPr>
              <w:pStyle w:val="IsiTabel"/>
              <w:suppressAutoHyphens/>
              <w:jc w:val="left"/>
            </w:pPr>
            <w:r>
              <w:t xml:space="preserve">kesiapsiagaan</w:t>
            </w:r>
          </w:p>
        </w:tc>
        <w:tc>
          <w:tcPr>
            <w:tcW w:w="3107" w:type="dxa"/>
          </w:tcPr>
          <w:p>
            <w:pPr>
              <w:pStyle w:val="IsiTabel"/>
              <w:suppressAutoHyphens/>
              <w:jc w:val="left"/>
            </w:pPr>
            <w:r>
              <w:t xml:space="preserve">serangkaian kegiatan untuk mengantisipasi bencana melalui pengorganisasian serta langkah yang tepat guna dan berdaya guna</w:t>
            </w:r>
          </w:p>
        </w:tc>
        <w:tc>
          <w:tcPr>
            <w:tcW w:w="3265" w:type="dxa"/>
          </w:tcPr>
          <w:p>
            <w:pPr>
              <w:pStyle w:val="IsiTabel"/>
              <w:suppressAutoHyphens/>
              <w:jc w:val="left"/>
            </w:pPr>
            <w:r>
              <w:t xml:space="preserve">UU 24/2007 Pasal 1 angka 7</w:t>
            </w:r>
          </w:p>
        </w:tc>
      </w:tr>
      <w:tr>
        <w:trPr>
          <w:cantSplit/>
        </w:trPr>
        <w:tc>
          <w:tcPr>
            <w:tcW w:w="2982" w:type="dxa"/>
          </w:tcPr>
          <w:p>
            <w:pPr>
              <w:pStyle w:val="IsiTabel"/>
              <w:suppressAutoHyphens/>
              <w:jc w:val="left"/>
            </w:pPr>
            <w:r>
              <w:t xml:space="preserve">keterpaparan</w:t>
            </w:r>
          </w:p>
        </w:tc>
        <w:tc>
          <w:tcPr>
            <w:tcW w:w="3107" w:type="dxa"/>
          </w:tcPr>
          <w:p>
            <w:pPr>
              <w:pStyle w:val="IsiTabel"/>
              <w:suppressAutoHyphens/>
              <w:jc w:val="left"/>
            </w:pPr>
            <w:r>
              <w:t xml:space="preserve">jumlah penduduk atau aset di wilayah bahaya</w:t>
            </w:r>
          </w:p>
        </w:tc>
        <w:tc>
          <w:tcPr>
            <w:tcW w:w="3265" w:type="dxa"/>
          </w:tcPr>
          <w:p>
            <w:pPr>
              <w:pStyle w:val="IsiTabel"/>
              <w:suppressAutoHyphens/>
              <w:jc w:val="left"/>
            </w:pPr>
            <w:r>
              <w:t xml:space="preserve">Kajian Risiko Bencana BNPB</w:t>
            </w:r>
          </w:p>
        </w:tc>
      </w:tr>
      <w:tr>
        <w:trPr>
          <w:cantSplit/>
        </w:trPr>
        <w:tc>
          <w:tcPr>
            <w:tcW w:w="2982" w:type="dxa"/>
          </w:tcPr>
          <w:p>
            <w:pPr>
              <w:pStyle w:val="IsiTabel"/>
              <w:suppressAutoHyphens/>
              <w:jc w:val="left"/>
            </w:pPr>
            <w:r>
              <w:t xml:space="preserve">konflik sosial</w:t>
            </w:r>
          </w:p>
        </w:tc>
        <w:tc>
          <w:tcPr>
            <w:tcW w:w="3107" w:type="dxa"/>
          </w:tcPr>
          <w:p>
            <w:pPr>
              <w:pStyle w:val="IsiTabel"/>
              <w:suppressAutoHyphens/>
              <w:jc w:val="left"/>
            </w:pPr>
            <w:r>
              <w:t xml:space="preserve">perseteruan atau benturan fisik dengan kekerasan antara dua kelompok atau lebih yang berdampak luas</w:t>
            </w:r>
          </w:p>
        </w:tc>
        <w:tc>
          <w:tcPr>
            <w:tcW w:w="3265" w:type="dxa"/>
          </w:tcPr>
          <w:p>
            <w:pPr>
              <w:pStyle w:val="IsiTabel"/>
              <w:suppressAutoHyphens/>
              <w:jc w:val="left"/>
            </w:pPr>
            <w:r>
              <w:t xml:space="preserve">UU 7/2012 Pasal 1 angka 1</w:t>
            </w:r>
          </w:p>
        </w:tc>
      </w:tr>
      <w:tr>
        <w:trPr>
          <w:cantSplit/>
        </w:trPr>
        <w:tc>
          <w:tcPr>
            <w:tcW w:w="2982" w:type="dxa"/>
          </w:tcPr>
          <w:p>
            <w:pPr>
              <w:pStyle w:val="IsiTabel"/>
              <w:suppressAutoHyphens/>
              <w:jc w:val="left"/>
            </w:pPr>
            <w:r>
              <w:t xml:space="preserve">lantai skenario</w:t>
            </w:r>
          </w:p>
        </w:tc>
        <w:tc>
          <w:tcPr>
            <w:tcW w:w="3107" w:type="dxa"/>
          </w:tcPr>
          <w:p>
            <w:pPr>
              <w:pStyle w:val="IsiTabel"/>
              <w:suppressAutoHyphens/>
              <w:jc w:val="left"/>
            </w:pPr>
            <w:r>
              <w:t xml:space="preserve">korban atau dampak tercatat terburuk dalam periode acuan untuk jenis dan wilayah yang sama; skenario terburuk tidak boleh lebih ringan</w:t>
            </w:r>
          </w:p>
        </w:tc>
        <w:tc>
          <w:tcPr>
            <w:tcW w:w="3265" w:type="dxa"/>
          </w:tcPr>
          <w:p>
            <w:pPr>
              <w:pStyle w:val="IsiTabel"/>
              <w:suppressAutoHyphens/>
              <w:jc w:val="left"/>
            </w:pPr>
            <w:r>
              <w:t xml:space="preserve">definisi kajian ini, </w:t>
            </w:r>
            <w:r>
              <w:t xml:space="preserve">Subbab </w:t>
            </w:r>
            <w:r>
              <w:fldChar w:fldCharType="begin"/>
            </w:r>
            <w:r>
              <w:instrText xml:space="preserve"> REF _Ref0212 \h \* CHARFORMAT </w:instrText>
            </w:r>
            <w:r>
              <w:fldChar w:fldCharType="separate"/>
            </w:r>
            <w:r>
              <w:t xml:space="preserve">3.4</w:t>
            </w:r>
            <w:r>
              <w:fldChar w:fldCharType="end"/>
            </w:r>
          </w:p>
        </w:tc>
      </w:tr>
      <w:tr>
        <w:trPr>
          <w:cantSplit/>
        </w:trPr>
        <w:tc>
          <w:tcPr>
            <w:tcW w:w="2982" w:type="dxa"/>
          </w:tcPr>
          <w:p>
            <w:pPr>
              <w:pStyle w:val="IsiTabel"/>
              <w:suppressAutoHyphens/>
              <w:jc w:val="left"/>
            </w:pPr>
            <w:r>
              <w:t xml:space="preserve">likuefaksi</w:t>
            </w:r>
          </w:p>
        </w:tc>
        <w:tc>
          <w:tcPr>
            <w:tcW w:w="3107" w:type="dxa"/>
          </w:tcPr>
          <w:p>
            <w:pPr>
              <w:pStyle w:val="IsiTabel"/>
              <w:suppressAutoHyphens/>
              <w:jc w:val="left"/>
            </w:pPr>
            <w:r>
              <w:t xml:space="preserve">hilangnya kekuatan tanah jenuh air akibat guncangan gempa</w:t>
            </w:r>
          </w:p>
        </w:tc>
        <w:tc>
          <w:tcPr>
            <w:tcW w:w="3265" w:type="dxa"/>
          </w:tcPr>
          <w:p>
            <w:pPr>
              <w:pStyle w:val="IsiTabel"/>
              <w:suppressAutoHyphens/>
              <w:jc w:val="left"/>
            </w:pPr>
            <w:r>
              <w:t xml:space="preserve">Kajian Risiko Bencana BNPB</w:t>
            </w:r>
          </w:p>
        </w:tc>
      </w:tr>
      <w:tr>
        <w:trPr>
          <w:cantSplit/>
        </w:trPr>
        <w:tc>
          <w:tcPr>
            <w:tcW w:w="2982" w:type="dxa"/>
          </w:tcPr>
          <w:p>
            <w:pPr>
              <w:pStyle w:val="IsiTabel"/>
              <w:suppressAutoHyphens/>
              <w:jc w:val="left"/>
            </w:pPr>
            <w:r>
              <w:t xml:space="preserve">lokus prioritas</w:t>
            </w:r>
          </w:p>
        </w:tc>
        <w:tc>
          <w:tcPr>
            <w:tcW w:w="3107" w:type="dxa"/>
          </w:tcPr>
          <w:p>
            <w:pPr>
              <w:pStyle w:val="IsiTabel"/>
              <w:suppressAutoHyphens/>
              <w:jc w:val="left"/>
            </w:pPr>
            <w:r>
              <w:t xml:space="preserve">kab/kota yang dipilih Renas PB dengan kriteria histori kejadian dan kajian risiko multibahaya</w:t>
            </w:r>
          </w:p>
        </w:tc>
        <w:tc>
          <w:tcPr>
            <w:tcW w:w="3265" w:type="dxa"/>
          </w:tcPr>
          <w:p>
            <w:pPr>
              <w:pStyle w:val="IsiTabel"/>
              <w:suppressAutoHyphens/>
              <w:jc w:val="left"/>
            </w:pPr>
            <w:r>
              <w:t xml:space="preserve">Renas PB 2025–2029 Tabel 2.3</w:t>
            </w:r>
          </w:p>
        </w:tc>
      </w:tr>
      <w:tr>
        <w:trPr>
          <w:cantSplit/>
        </w:trPr>
        <w:tc>
          <w:tcPr>
            <w:tcW w:w="2982" w:type="dxa"/>
          </w:tcPr>
          <w:p>
            <w:pPr>
              <w:pStyle w:val="IsiTabel"/>
              <w:suppressAutoHyphens/>
              <w:jc w:val="left"/>
            </w:pPr>
            <w:r>
              <w:t xml:space="preserve">magnitudo maksimum</w:t>
            </w:r>
          </w:p>
        </w:tc>
        <w:tc>
          <w:tcPr>
            <w:tcW w:w="3107" w:type="dxa"/>
          </w:tcPr>
          <w:p>
            <w:pPr>
              <w:pStyle w:val="IsiTabel"/>
              <w:suppressAutoHyphens/>
              <w:jc w:val="left"/>
            </w:pPr>
            <w:r>
              <w:t xml:space="preserve">magnitudo terbesar sumber gempa menurut Peta Sumber dan Bahaya Gempa, tanpa skenario korban</w:t>
            </w:r>
          </w:p>
        </w:tc>
        <w:tc>
          <w:tcPr>
            <w:tcW w:w="3265" w:type="dxa"/>
          </w:tcPr>
          <w:p>
            <w:pPr>
              <w:pStyle w:val="IsiTabel"/>
              <w:suppressAutoHyphens/>
              <w:jc w:val="left"/>
            </w:pPr>
            <w:r>
              <w:t xml:space="preserve">PuSGeN 2024</w:t>
            </w:r>
          </w:p>
        </w:tc>
      </w:tr>
      <w:tr>
        <w:trPr>
          <w:cantSplit/>
        </w:trPr>
        <w:tc>
          <w:tcPr>
            <w:tcW w:w="2982" w:type="dxa"/>
          </w:tcPr>
          <w:p>
            <w:pPr>
              <w:pStyle w:val="IsiTabel"/>
              <w:suppressAutoHyphens/>
              <w:jc w:val="left"/>
            </w:pPr>
            <w:r>
              <w:t xml:space="preserve">megathrust</w:t>
            </w:r>
          </w:p>
        </w:tc>
        <w:tc>
          <w:tcPr>
            <w:tcW w:w="3107" w:type="dxa"/>
          </w:tcPr>
          <w:p>
            <w:pPr>
              <w:pStyle w:val="IsiTabel"/>
              <w:suppressAutoHyphens/>
              <w:jc w:val="left"/>
            </w:pPr>
            <w:r>
              <w:t xml:space="preserve">bidang pertemuan lempeng di zona subduksi</w:t>
            </w:r>
          </w:p>
        </w:tc>
        <w:tc>
          <w:tcPr>
            <w:tcW w:w="3265" w:type="dxa"/>
          </w:tcPr>
          <w:p>
            <w:pPr>
              <w:pStyle w:val="IsiTabel"/>
              <w:suppressAutoHyphens/>
              <w:jc w:val="left"/>
            </w:pPr>
            <w:r>
              <w:t xml:space="preserve">glosarium kajian</w:t>
            </w:r>
          </w:p>
        </w:tc>
      </w:tr>
      <w:tr>
        <w:trPr>
          <w:cantSplit/>
        </w:trPr>
        <w:tc>
          <w:tcPr>
            <w:tcW w:w="2982" w:type="dxa"/>
          </w:tcPr>
          <w:p>
            <w:pPr>
              <w:pStyle w:val="IsiTabel"/>
              <w:suppressAutoHyphens/>
              <w:jc w:val="left"/>
            </w:pPr>
            <w:r>
              <w:t xml:space="preserve">pascabencana</w:t>
            </w:r>
          </w:p>
        </w:tc>
        <w:tc>
          <w:tcPr>
            <w:tcW w:w="3107" w:type="dxa"/>
          </w:tcPr>
          <w:p>
            <w:pPr>
              <w:pStyle w:val="IsiTabel"/>
              <w:suppressAutoHyphens/>
              <w:jc w:val="left"/>
            </w:pPr>
            <w:r>
              <w:t xml:space="preserve">tahap rehabilitasi dan rekonstruksi sesudah bencana</w:t>
            </w:r>
          </w:p>
        </w:tc>
        <w:tc>
          <w:tcPr>
            <w:tcW w:w="3265" w:type="dxa"/>
          </w:tcPr>
          <w:p>
            <w:pPr>
              <w:pStyle w:val="IsiTabel"/>
              <w:suppressAutoHyphens/>
              <w:jc w:val="left"/>
            </w:pPr>
            <w:r>
              <w:t xml:space="preserve">UU 24/2007 Pasal 33 dan Pasal 57</w:t>
            </w:r>
          </w:p>
        </w:tc>
      </w:tr>
      <w:tr>
        <w:trPr>
          <w:cantSplit/>
        </w:trPr>
        <w:tc>
          <w:tcPr>
            <w:tcW w:w="2982" w:type="dxa"/>
          </w:tcPr>
          <w:p>
            <w:pPr>
              <w:pStyle w:val="IsiTabel"/>
              <w:suppressAutoHyphens/>
              <w:jc w:val="left"/>
            </w:pPr>
            <w:r>
              <w:t xml:space="preserve">pengungsi-hari</w:t>
            </w:r>
          </w:p>
        </w:tc>
        <w:tc>
          <w:tcPr>
            <w:tcW w:w="3107" w:type="dxa"/>
          </w:tcPr>
          <w:p>
            <w:pPr>
              <w:pStyle w:val="IsiTabel"/>
              <w:suppressAutoHyphens/>
              <w:jc w:val="left"/>
            </w:pPr>
            <w:r>
              <w:t xml:space="preserve">jumlah pengungsi dikali lama mengungsi; satuan kerugian imateriil fisik</w:t>
            </w:r>
          </w:p>
        </w:tc>
        <w:tc>
          <w:tcPr>
            <w:tcW w:w="3265" w:type="dxa"/>
          </w:tcPr>
          <w:p>
            <w:pPr>
              <w:pStyle w:val="IsiTabel"/>
              <w:suppressAutoHyphens/>
              <w:jc w:val="left"/>
            </w:pPr>
            <w:r>
              <w:t xml:space="preserve">definisi kajian ini, </w:t>
            </w:r>
            <w:r>
              <w:t xml:space="preserve">Subbab </w:t>
            </w:r>
            <w:r>
              <w:fldChar w:fldCharType="begin"/>
            </w:r>
            <w:r>
              <w:instrText xml:space="preserve"> REF _Ref0160 \h \* CHARFORMAT </w:instrText>
            </w:r>
            <w:r>
              <w:fldChar w:fldCharType="separate"/>
            </w:r>
            <w:r>
              <w:t xml:space="preserve">3.7</w:t>
            </w:r>
            <w:r>
              <w:fldChar w:fldCharType="end"/>
            </w:r>
          </w:p>
        </w:tc>
      </w:tr>
      <w:tr>
        <w:trPr>
          <w:cantSplit/>
        </w:trPr>
        <w:tc>
          <w:tcPr>
            <w:tcW w:w="2982" w:type="dxa"/>
          </w:tcPr>
          <w:p>
            <w:pPr>
              <w:pStyle w:val="IsiTabel"/>
              <w:suppressAutoHyphens/>
              <w:jc w:val="left"/>
            </w:pPr>
            <w:r>
              <w:t xml:space="preserve">peringatan dini</w:t>
            </w:r>
          </w:p>
        </w:tc>
        <w:tc>
          <w:tcPr>
            <w:tcW w:w="3107" w:type="dxa"/>
          </w:tcPr>
          <w:p>
            <w:pPr>
              <w:pStyle w:val="IsiTabel"/>
              <w:suppressAutoHyphens/>
              <w:jc w:val="left"/>
            </w:pPr>
            <w:r>
              <w:t xml:space="preserve">serangkaian kegiatan pemberian peringatan sesegera mungkin kepada masyarakat</w:t>
            </w:r>
          </w:p>
        </w:tc>
        <w:tc>
          <w:tcPr>
            <w:tcW w:w="3265" w:type="dxa"/>
          </w:tcPr>
          <w:p>
            <w:pPr>
              <w:pStyle w:val="IsiTabel"/>
              <w:suppressAutoHyphens/>
              <w:jc w:val="left"/>
            </w:pPr>
            <w:r>
              <w:t xml:space="preserve">UU 24/2007 Pasal 1 angka 8; Perban BNPB 2/2024</w:t>
            </w:r>
          </w:p>
        </w:tc>
      </w:tr>
      <w:tr>
        <w:trPr>
          <w:cantSplit/>
        </w:trPr>
        <w:tc>
          <w:tcPr>
            <w:tcW w:w="2982" w:type="dxa"/>
          </w:tcPr>
          <w:p>
            <w:pPr>
              <w:pStyle w:val="IsiTabel"/>
              <w:suppressAutoHyphens/>
              <w:jc w:val="left"/>
            </w:pPr>
            <w:r>
              <w:t xml:space="preserve">prabencana</w:t>
            </w:r>
          </w:p>
        </w:tc>
        <w:tc>
          <w:tcPr>
            <w:tcW w:w="3107" w:type="dxa"/>
          </w:tcPr>
          <w:p>
            <w:pPr>
              <w:pStyle w:val="IsiTabel"/>
              <w:suppressAutoHyphens/>
              <w:jc w:val="left"/>
            </w:pPr>
            <w:r>
              <w:t xml:space="preserve">tahap penyelenggaraan penanggulangan bencana dalam situasi tidak terjadi bencana dan terdapat potensi bencana</w:t>
            </w:r>
          </w:p>
        </w:tc>
        <w:tc>
          <w:tcPr>
            <w:tcW w:w="3265" w:type="dxa"/>
          </w:tcPr>
          <w:p>
            <w:pPr>
              <w:pStyle w:val="IsiTabel"/>
              <w:suppressAutoHyphens/>
              <w:jc w:val="left"/>
            </w:pPr>
            <w:r>
              <w:t xml:space="preserve">UU 24/2007 Pasal 33 dan Pasal 34</w:t>
            </w:r>
          </w:p>
        </w:tc>
      </w:tr>
      <w:tr>
        <w:trPr>
          <w:cantSplit/>
        </w:trPr>
        <w:tc>
          <w:tcPr>
            <w:tcW w:w="2982" w:type="dxa"/>
          </w:tcPr>
          <w:p>
            <w:pPr>
              <w:pStyle w:val="IsiTabel"/>
              <w:suppressAutoHyphens/>
              <w:jc w:val="left"/>
            </w:pPr>
            <w:r>
              <w:t xml:space="preserve">provinsi utama</w:t>
            </w:r>
          </w:p>
        </w:tc>
        <w:tc>
          <w:tcPr>
            <w:tcW w:w="3107" w:type="dxa"/>
          </w:tcPr>
          <w:p>
            <w:pPr>
              <w:pStyle w:val="IsiTabel"/>
              <w:suppressAutoHyphens/>
              <w:jc w:val="left"/>
            </w:pPr>
            <w:r>
              <w:t xml:space="preserve">provinsi dengan kab/kota daftar perhatian terbanyak, atau dengan meninggal dan hilang DIBI 2015–2025 tertinggi; kedua kriteria ditulis</w:t>
            </w:r>
          </w:p>
        </w:tc>
        <w:tc>
          <w:tcPr>
            <w:tcW w:w="3265" w:type="dxa"/>
          </w:tcPr>
          <w:p>
            <w:pPr>
              <w:pStyle w:val="IsiTabel"/>
              <w:suppressAutoHyphens/>
              <w:jc w:val="left"/>
            </w:pPr>
            <w:r>
              <w:t xml:space="preserve">definisi kajian ini, </w:t>
            </w:r>
            <w:r>
              <w:t xml:space="preserve">Subbab </w:t>
            </w:r>
            <w:r>
              <w:fldChar w:fldCharType="begin"/>
            </w:r>
            <w:r>
              <w:instrText xml:space="preserve"> REF _Ref0116 \h \* CHARFORMAT </w:instrText>
            </w:r>
            <w:r>
              <w:fldChar w:fldCharType="separate"/>
            </w:r>
            <w:r>
              <w:t xml:space="preserve">3.8</w:t>
            </w:r>
            <w:r>
              <w:fldChar w:fldCharType="end"/>
            </w:r>
          </w:p>
        </w:tc>
      </w:tr>
      <w:tr>
        <w:trPr>
          <w:cantSplit/>
        </w:trPr>
        <w:tc>
          <w:tcPr>
            <w:tcW w:w="2982" w:type="dxa"/>
          </w:tcPr>
          <w:p>
            <w:pPr>
              <w:pStyle w:val="IsiTabel"/>
              <w:suppressAutoHyphens/>
              <w:jc w:val="left"/>
            </w:pPr>
            <w:r>
              <w:t xml:space="preserve">rencana kontinjensi</w:t>
            </w:r>
          </w:p>
        </w:tc>
        <w:tc>
          <w:tcPr>
            <w:tcW w:w="3107" w:type="dxa"/>
          </w:tcPr>
          <w:p>
            <w:pPr>
              <w:pStyle w:val="IsiTabel"/>
              <w:suppressAutoHyphens/>
              <w:jc w:val="left"/>
            </w:pPr>
            <w:r>
              <w:t xml:space="preserve">rencana penanggulangan keadaan darurat untuk ancaman tertentu</w:t>
            </w:r>
          </w:p>
        </w:tc>
        <w:tc>
          <w:tcPr>
            <w:tcW w:w="3265" w:type="dxa"/>
          </w:tcPr>
          <w:p>
            <w:pPr>
              <w:pStyle w:val="IsiTabel"/>
              <w:suppressAutoHyphens/>
              <w:jc w:val="left"/>
            </w:pPr>
            <w:r>
              <w:t xml:space="preserve">Perban BNPB 2/2023</w:t>
            </w:r>
          </w:p>
        </w:tc>
      </w:tr>
      <w:tr>
        <w:trPr>
          <w:cantSplit/>
        </w:trPr>
        <w:tc>
          <w:tcPr>
            <w:tcW w:w="2982" w:type="dxa"/>
          </w:tcPr>
          <w:p>
            <w:pPr>
              <w:pStyle w:val="IsiTabel"/>
              <w:suppressAutoHyphens/>
              <w:jc w:val="left"/>
            </w:pPr>
            <w:r>
              <w:t xml:space="preserve">rob</w:t>
            </w:r>
          </w:p>
        </w:tc>
        <w:tc>
          <w:tcPr>
            <w:tcW w:w="3107" w:type="dxa"/>
          </w:tcPr>
          <w:p>
            <w:pPr>
              <w:pStyle w:val="IsiTabel"/>
              <w:suppressAutoHyphens/>
              <w:jc w:val="left"/>
            </w:pPr>
            <w:r>
              <w:t xml:space="preserve">banjir pasang air laut di pesisir</w:t>
            </w:r>
          </w:p>
        </w:tc>
        <w:tc>
          <w:tcPr>
            <w:tcW w:w="3265" w:type="dxa"/>
          </w:tcPr>
          <w:p>
            <w:pPr>
              <w:pStyle w:val="IsiTabel"/>
              <w:suppressAutoHyphens/>
              <w:jc w:val="left"/>
            </w:pPr>
            <w:r>
              <w:t xml:space="preserve">glosarium kajian</w:t>
            </w:r>
          </w:p>
        </w:tc>
      </w:tr>
      <w:tr>
        <w:trPr>
          <w:cantSplit/>
        </w:trPr>
        <w:tc>
          <w:tcPr>
            <w:tcW w:w="2982" w:type="dxa"/>
          </w:tcPr>
          <w:p>
            <w:pPr>
              <w:pStyle w:val="IsiTabel"/>
              <w:suppressAutoHyphens/>
              <w:jc w:val="left"/>
            </w:pPr>
            <w:r>
              <w:t xml:space="preserve">siaga darurat</w:t>
            </w:r>
          </w:p>
        </w:tc>
        <w:tc>
          <w:tcPr>
            <w:tcW w:w="3107" w:type="dxa"/>
          </w:tcPr>
          <w:p>
            <w:pPr>
              <w:pStyle w:val="IsiTabel"/>
              <w:suppressAutoHyphens/>
              <w:jc w:val="left"/>
            </w:pPr>
            <w:r>
              <w:t xml:space="preserve">status keadaan darurat sebelum bencana terjadi bila ancaman meningkat</w:t>
            </w:r>
          </w:p>
        </w:tc>
        <w:tc>
          <w:tcPr>
            <w:tcW w:w="3265" w:type="dxa"/>
          </w:tcPr>
          <w:p>
            <w:pPr>
              <w:pStyle w:val="IsiTabel"/>
              <w:suppressAutoHyphens/>
              <w:jc w:val="left"/>
            </w:pPr>
            <w:r>
              <w:t xml:space="preserve">Perban BNPB 4/2020</w:t>
            </w:r>
          </w:p>
        </w:tc>
      </w:tr>
      <w:tr>
        <w:trPr>
          <w:cantSplit/>
        </w:trPr>
        <w:tc>
          <w:tcPr>
            <w:tcW w:w="2982" w:type="dxa"/>
          </w:tcPr>
          <w:p>
            <w:pPr>
              <w:pStyle w:val="IsiTabel"/>
              <w:keepNext/>
              <w:suppressAutoHyphens/>
              <w:jc w:val="left"/>
            </w:pPr>
            <w:bookmarkStart w:id="991" w:name="_Ekor121a"/>
            <w:bookmarkEnd w:id="991"/>
            <w:r>
              <w:t xml:space="preserve">skala dampak</w:t>
            </w:r>
          </w:p>
        </w:tc>
        <w:tc>
          <w:tcPr>
            <w:tcW w:w="3107" w:type="dxa"/>
          </w:tcPr>
          <w:p>
            <w:pPr>
              <w:pStyle w:val="IsiTabel"/>
              <w:keepNext/>
              <w:suppressAutoHyphens/>
              <w:jc w:val="left"/>
            </w:pPr>
            <w:r>
              <w:t xml:space="preserve">lima kelas dampak per aspek Perban BNPB 2/2023 Pasal 7 ayat (5); kelas kartu mengikuti aspek terberat</w:t>
            </w:r>
          </w:p>
        </w:tc>
        <w:tc>
          <w:tcPr>
            <w:tcW w:w="3265" w:type="dxa"/>
          </w:tcPr>
          <w:p>
            <w:pPr>
              <w:pStyle w:val="IsiTabel"/>
              <w:keepNext/>
              <w:suppressAutoHyphens/>
              <w:jc w:val="left"/>
            </w:pPr>
            <w:r>
              <w:t xml:space="preserve">definisi kajian ini, </w:t>
            </w:r>
            <w:r>
              <w:t xml:space="preserve">Subbab </w:t>
            </w:r>
            <w:r>
              <w:fldChar w:fldCharType="begin"/>
            </w:r>
            <w:r>
              <w:instrText xml:space="preserve"> REF _Ref0158 \h \* CHARFORMAT </w:instrText>
            </w:r>
            <w:r>
              <w:fldChar w:fldCharType="separate"/>
            </w:r>
            <w:r>
              <w:t xml:space="preserve">3.5</w:t>
            </w:r>
            <w:r>
              <w:fldChar w:fldCharType="end"/>
            </w:r>
          </w:p>
        </w:tc>
      </w:tr>
      <w:tr>
        <w:trPr>
          <w:cantSplit/>
        </w:trPr>
        <w:tc>
          <w:tcPr>
            <w:tcW w:w="2982" w:type="dxa"/>
          </w:tcPr>
          <w:p>
            <w:pPr>
              <w:pStyle w:val="IsiTabel"/>
              <w:keepNext/>
              <w:suppressAutoHyphens/>
              <w:jc w:val="left"/>
            </w:pPr>
            <w:r>
              <w:t xml:space="preserve">skenario terburuk yang masuk akal</w:t>
            </w:r>
          </w:p>
        </w:tc>
        <w:tc>
          <w:tcPr>
            <w:tcW w:w="3107" w:type="dxa"/>
          </w:tcPr>
          <w:p>
            <w:pPr>
              <w:pStyle w:val="IsiTabel"/>
              <w:keepNext/>
              <w:suppressAutoHyphens/>
              <w:jc w:val="left"/>
            </w:pPr>
            <w:r>
              <w:t xml:space="preserve">perwujudan terburuk suatu risiko yang masih masuk akal setelah variasi yang sangat tidak mungkin disisihkan</w:t>
            </w:r>
          </w:p>
        </w:tc>
        <w:tc>
          <w:tcPr>
            <w:tcW w:w="3265" w:type="dxa"/>
          </w:tcPr>
          <w:p>
            <w:pPr>
              <w:pStyle w:val="IsiTabel"/>
              <w:keepNext/>
              <w:suppressAutoHyphens/>
              <w:jc w:val="left"/>
            </w:pPr>
            <w:r>
              <w:t xml:space="preserve">Cabinet Office (2025); </w:t>
            </w:r>
            <w:r>
              <w:t xml:space="preserve">Subbab </w:t>
            </w:r>
            <w:r>
              <w:fldChar w:fldCharType="begin"/>
            </w:r>
            <w:r>
              <w:instrText xml:space="preserve"> REF _Ref0212 \h \* CHARFORMAT </w:instrText>
            </w:r>
            <w:r>
              <w:fldChar w:fldCharType="separate"/>
            </w:r>
            <w:r>
              <w:t xml:space="preserve">3.4</w:t>
            </w:r>
            <w:r>
              <w:fldChar w:fldCharType="end"/>
            </w:r>
          </w:p>
        </w:tc>
      </w:tr>
      <w:tr>
        <w:trPr>
          <w:cantSplit/>
        </w:trPr>
        <w:tc>
          <w:tcPr>
            <w:tcW w:w="2982" w:type="dxa"/>
          </w:tcPr>
          <w:p>
            <w:pPr>
              <w:pStyle w:val="IsiTabel"/>
              <w:keepNext/>
              <w:suppressAutoHyphens/>
              <w:jc w:val="left"/>
            </w:pPr>
            <w:r>
              <w:t xml:space="preserve">tanggap darurat</w:t>
            </w:r>
          </w:p>
        </w:tc>
        <w:tc>
          <w:tcPr>
            <w:tcW w:w="3107" w:type="dxa"/>
          </w:tcPr>
          <w:p>
            <w:pPr>
              <w:pStyle w:val="IsiTabel"/>
              <w:keepNext/>
              <w:suppressAutoHyphens/>
              <w:jc w:val="left"/>
            </w:pPr>
            <w:r>
              <w:t xml:space="preserve">serangkaian kegiatan yang dilakukan segera pada saat kejadian bencana</w:t>
            </w:r>
          </w:p>
        </w:tc>
        <w:tc>
          <w:tcPr>
            <w:tcW w:w="3265" w:type="dxa"/>
          </w:tcPr>
          <w:p>
            <w:pPr>
              <w:pStyle w:val="IsiTabel"/>
              <w:keepNext/>
              <w:suppressAutoHyphens/>
              <w:jc w:val="left"/>
            </w:pPr>
            <w:r>
              <w:t xml:space="preserve">UU 24/2007 Pasal 1 angka 10</w:t>
            </w:r>
          </w:p>
        </w:tc>
      </w:tr>
      <w:tr>
        <w:trPr>
          <w:cantSplit/>
        </w:trPr>
        <w:tc>
          <w:tcPr>
            <w:tcW w:w="2982" w:type="dxa"/>
          </w:tcPr>
          <w:p>
            <w:pPr>
              <w:pStyle w:val="IsiTabel"/>
              <w:suppressAutoHyphens/>
              <w:jc w:val="left"/>
            </w:pPr>
            <w:bookmarkStart w:id="992" w:name="_Ekor121z"/>
            <w:bookmarkEnd w:id="992"/>
            <w:r>
              <w:t xml:space="preserve">transisi darurat ke pemulihan</w:t>
            </w:r>
          </w:p>
        </w:tc>
        <w:tc>
          <w:tcPr>
            <w:tcW w:w="3107" w:type="dxa"/>
          </w:tcPr>
          <w:p>
            <w:pPr>
              <w:pStyle w:val="IsiTabel"/>
              <w:suppressAutoHyphens/>
              <w:jc w:val="left"/>
            </w:pPr>
            <w:r>
              <w:t xml:space="preserve">status keadaan darurat sesudah tanggap darurat sebelum rehabilitasi</w:t>
            </w:r>
          </w:p>
        </w:tc>
        <w:tc>
          <w:tcPr>
            <w:tcW w:w="3265" w:type="dxa"/>
          </w:tcPr>
          <w:p>
            <w:pPr>
              <w:pStyle w:val="IsiTabel"/>
              <w:suppressAutoHyphens/>
              <w:jc w:val="left"/>
            </w:pPr>
            <w:r>
              <w:t xml:space="preserve">Perban BNPB 4/2020</w:t>
            </w:r>
          </w:p>
        </w:tc>
      </w:tr>
    </w:tbl>
    <w:p>
      <w:pPr>
        <w:pStyle w:val="Sumber"/>
        <w:spacing w:after="40"/>
      </w:pPr>
      <w:r>
        <w:rPr>
          <w:b/>
          <w:bCs/>
          <w:color w:val="6B7280"/>
          <w:sz w:val="17"/>
          <w:szCs w:val="17"/>
        </w:rPr>
        <w:t xml:space="preserve">Sumber: </w:t>
      </w:r>
      <w:r>
        <w:rPr>
          <w:color w:val="6B7280"/>
          <w:sz w:val="17"/>
          <w:szCs w:val="17"/>
        </w:rPr>
        <w:t xml:space="preserve">UU 24/2007; UU 7/2012; UU 17/2023; Perpres 17/2018 jo. Perpres 46/2026; Perban BNPB 1/2023, 2/2023, 2/2024, dan 4/2020; Renas PB 2025–2029; definisi kajian ini</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Istilah asing ditulis miring di badan teks dan hanya dipakai bila tidak berpadanan.</w:t>
      </w:r>
    </w:p>
    <w:p>
      <w:pPr>
        <w:pStyle w:val="JudulLampiran"/>
      </w:pPr>
      <w:bookmarkStart w:id="993" w:name="_Toc00312"/>
      <w:r>
        <w:t xml:space="preserve">Lampiran L</w:t>
      </w:r>
      <w:r>
        <w:t xml:space="preserve">. Atribusi Foto</w:t>
      </w:r>
      <w:bookmarkEnd w:id="993"/>
    </w:p>
    <w:p>
      <w:pPr>
        <w:pStyle w:val="Caption"/>
      </w:pPr>
      <w:bookmarkStart w:id="994" w:name="_Toc00313"/>
      <w:r>
        <w:rPr>
          <w:b/>
          <w:bCs/>
          <w:color w:val="051C2C"/>
        </w:rPr>
        <w:t xml:space="preserve">Tabel</w:t>
      </w:r>
      <w:r>
        <w:rPr>
          <w:b/>
          <w:bCs/>
          <w:color w:val="051C2C"/>
        </w:rPr>
        <w:t xml:space="preserve"> </w:t>
      </w:r>
      <w:r>
        <w:rPr>
          <w:b/>
          <w:bCs/>
          <w:color w:val="051C2C"/>
        </w:rPr>
        <w:t xml:space="preserve">L</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r>
        <w:rPr>
          <w:b/>
          <w:bCs/>
          <w:color w:val="051C2C"/>
        </w:rPr>
        <w:t xml:space="preserve"> </w:t>
      </w:r>
      <w:r>
        <w:t xml:space="preserve">Foto Wikimedia Commons yang dipakai dokumen ini, diakses Oktober 2026</w:t>
      </w:r>
      <w:bookmarkEnd w:id="99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81"/>
        <w:gridCol w:w="1989"/>
        <w:gridCol w:w="1258"/>
        <w:gridCol w:w="2955"/>
        <w:gridCol w:w="1571"/>
      </w:tblGrid>
      <w:tr>
        <w:trPr>
          <w:cantSplit/>
          <w:tblHeader/>
        </w:trPr>
        <w:tc>
          <w:tcPr>
            <w:tcW w:w="1581" w:type="dxa"/>
            <w:tcBorders>
              <w:bottom w:val="single" w:sz="8" w:space="0" w:color="6B7280"/>
            </w:tcBorders>
            <w:vAlign w:val="bottom"/>
          </w:tcPr>
          <w:p>
            <w:pPr>
              <w:pStyle w:val="KepalaTabel"/>
              <w:suppressAutoHyphens/>
            </w:pPr>
            <w:r>
              <w:rPr>
                <w:b/>
                <w:bCs/>
                <w:color w:val="6B7280"/>
                <w:sz w:val="17"/>
                <w:szCs w:val="17"/>
              </w:rPr>
              <w:t xml:space="preserve">FOTO</w:t>
            </w:r>
          </w:p>
        </w:tc>
        <w:tc>
          <w:tcPr>
            <w:tcW w:w="1989" w:type="dxa"/>
            <w:tcBorders>
              <w:bottom w:val="single" w:sz="8" w:space="0" w:color="6B7280"/>
            </w:tcBorders>
            <w:vAlign w:val="bottom"/>
          </w:tcPr>
          <w:p>
            <w:pPr>
              <w:pStyle w:val="KepalaTabel"/>
              <w:suppressAutoHyphens/>
            </w:pPr>
            <w:r>
              <w:rPr>
                <w:b/>
                <w:bCs/>
                <w:color w:val="6B7280"/>
                <w:sz w:val="17"/>
                <w:szCs w:val="17"/>
              </w:rPr>
              <w:t xml:space="preserve">PENGARANG</w:t>
            </w:r>
          </w:p>
        </w:tc>
        <w:tc>
          <w:tcPr>
            <w:tcW w:w="1258" w:type="dxa"/>
            <w:tcBorders>
              <w:bottom w:val="single" w:sz="8" w:space="0" w:color="6B7280"/>
            </w:tcBorders>
            <w:vAlign w:val="bottom"/>
          </w:tcPr>
          <w:p>
            <w:pPr>
              <w:pStyle w:val="KepalaTabel"/>
              <w:suppressAutoHyphens/>
            </w:pPr>
            <w:r>
              <w:rPr>
                <w:b/>
                <w:bCs/>
                <w:color w:val="6B7280"/>
                <w:sz w:val="17"/>
                <w:szCs w:val="17"/>
              </w:rPr>
              <w:t xml:space="preserve">LISENSI</w:t>
            </w:r>
          </w:p>
        </w:tc>
        <w:tc>
          <w:tcPr>
            <w:tcW w:w="2955" w:type="dxa"/>
            <w:tcBorders>
              <w:bottom w:val="single" w:sz="8" w:space="0" w:color="6B7280"/>
            </w:tcBorders>
            <w:vAlign w:val="bottom"/>
          </w:tcPr>
          <w:p>
            <w:pPr>
              <w:pStyle w:val="KepalaTabel"/>
              <w:suppressAutoHyphens/>
            </w:pPr>
            <w:r>
              <w:rPr>
                <w:b/>
                <w:bCs/>
                <w:color w:val="6B7280"/>
                <w:sz w:val="17"/>
                <w:szCs w:val="17"/>
              </w:rPr>
              <w:t xml:space="preserve">URL</w:t>
            </w:r>
          </w:p>
        </w:tc>
        <w:tc>
          <w:tcPr>
            <w:tcW w:w="1571" w:type="dxa"/>
            <w:tcBorders>
              <w:bottom w:val="single" w:sz="8" w:space="0" w:color="6B7280"/>
            </w:tcBorders>
            <w:vAlign w:val="bottom"/>
          </w:tcPr>
          <w:p>
            <w:pPr>
              <w:pStyle w:val="KepalaTabel"/>
              <w:suppressAutoHyphens/>
            </w:pPr>
            <w:r>
              <w:rPr>
                <w:b/>
                <w:bCs/>
                <w:color w:val="6B7280"/>
                <w:sz w:val="17"/>
                <w:szCs w:val="17"/>
              </w:rPr>
              <w:t xml:space="preserve">PEMOTONGAN</w:t>
            </w:r>
          </w:p>
        </w:tc>
      </w:tr>
      <w:tr>
        <w:trPr>
          <w:cantSplit/>
        </w:trPr>
        <w:tc>
          <w:tcPr>
            <w:tcW w:w="1581" w:type="dxa"/>
          </w:tcPr>
          <w:p>
            <w:pPr>
              <w:pStyle w:val="IsiTabel"/>
              <w:suppressAutoHyphens/>
              <w:jc w:val="left"/>
            </w:pPr>
            <w:r>
              <w:t xml:space="preserve">Gunung Raung menyemburkan abu, dilihat dari Selat Bali, Banyuwangi, 2015 (sampul)</w:t>
            </w:r>
          </w:p>
        </w:tc>
        <w:tc>
          <w:tcPr>
            <w:tcW w:w="1989" w:type="dxa"/>
          </w:tcPr>
          <w:p>
            <w:pPr>
              <w:pStyle w:val="IsiTabel"/>
              <w:suppressAutoHyphens/>
              <w:jc w:val="left"/>
            </w:pPr>
            <w:r>
              <w:t xml:space="preserve">consigliere ivan from Bontang, Indonesia</w:t>
            </w:r>
          </w:p>
        </w:tc>
        <w:tc>
          <w:tcPr>
            <w:tcW w:w="1258" w:type="dxa"/>
          </w:tcPr>
          <w:p>
            <w:pPr>
              <w:pStyle w:val="IsiTabel"/>
              <w:suppressAutoHyphens/>
              <w:jc w:val="left"/>
            </w:pPr>
            <w:r>
              <w:t xml:space="preserve">CC BY 2.0</w:t>
            </w:r>
          </w:p>
        </w:tc>
        <w:tc>
          <w:tcPr>
            <w:tcW w:w="2955" w:type="dxa"/>
          </w:tcPr>
          <w:p>
            <w:pPr>
              <w:pStyle w:val="IsiTabel"/>
              <w:suppressAutoHyphens/>
              <w:jc w:val="left"/>
            </w:pPr>
            <w:r>
              <w:t xml:space="preserve">https://commons.wikimedia.org/wiki/File:Eruption_of_Raung_Volcano_(2015)_from_Bali_strait_at_dawn.jpg</w:t>
            </w:r>
          </w:p>
        </w:tc>
        <w:tc>
          <w:tcPr>
            <w:tcW w:w="1571" w:type="dxa"/>
          </w:tcPr>
          <w:p>
            <w:pPr>
              <w:pStyle w:val="IsiTabel"/>
              <w:suppressAutoHyphens/>
              <w:jc w:val="left"/>
            </w:pPr>
            <w:r>
              <w:t xml:space="preserve">dipotong selebar halaman dan setinggi 55% halaman</w:t>
            </w:r>
          </w:p>
        </w:tc>
      </w:tr>
      <w:tr>
        <w:trPr>
          <w:cantSplit/>
        </w:trPr>
        <w:tc>
          <w:tcPr>
            <w:tcW w:w="1581" w:type="dxa"/>
          </w:tcPr>
          <w:p>
            <w:pPr>
              <w:pStyle w:val="IsiTabel"/>
              <w:suppressAutoHyphens/>
              <w:jc w:val="left"/>
            </w:pPr>
            <w:r>
              <w:t xml:space="preserve">Longsoran tebing di Kabupaten Agam, dilihat warga dan petugas, Agam, Sumatera Barat, 1 Desember 2025</w:t>
            </w:r>
          </w:p>
        </w:tc>
        <w:tc>
          <w:tcPr>
            <w:tcW w:w="1989" w:type="dxa"/>
          </w:tcPr>
          <w:p>
            <w:pPr>
              <w:pStyle w:val="IsiTabel"/>
              <w:suppressAutoHyphens/>
              <w:jc w:val="left"/>
            </w:pPr>
            <w:r>
              <w:t xml:space="preserve">Badan Nasional Penanggulangan Bencana (BNPB)</w:t>
            </w:r>
          </w:p>
        </w:tc>
        <w:tc>
          <w:tcPr>
            <w:tcW w:w="1258" w:type="dxa"/>
          </w:tcPr>
          <w:p>
            <w:pPr>
              <w:pStyle w:val="IsiTabel"/>
              <w:suppressAutoHyphens/>
              <w:jc w:val="left"/>
            </w:pPr>
            <w:r>
              <w:t xml:space="preserve">PD</w:t>
            </w:r>
          </w:p>
        </w:tc>
        <w:tc>
          <w:tcPr>
            <w:tcW w:w="2955" w:type="dxa"/>
          </w:tcPr>
          <w:p>
            <w:pPr>
              <w:pStyle w:val="IsiTabel"/>
              <w:suppressAutoHyphens/>
              <w:jc w:val="left"/>
            </w:pPr>
            <w:r>
              <w:t xml:space="preserve">https://commons.wikimedia.org/wiki/File:Landslides_in_Agam_Regency,_West_Sumatra.jpg</w:t>
            </w:r>
          </w:p>
        </w:tc>
        <w:tc>
          <w:tcPr>
            <w:tcW w:w="1571" w:type="dxa"/>
          </w:tcPr>
          <w:p>
            <w:pPr>
              <w:pStyle w:val="IsiTabel"/>
              <w:suppressAutoHyphens/>
              <w:jc w:val="left"/>
            </w:pPr>
            <w:r>
              <w:t xml:space="preserve">dipotong tengah ke rasio 2:1</w:t>
            </w:r>
          </w:p>
        </w:tc>
      </w:tr>
      <w:tr>
        <w:trPr>
          <w:cantSplit/>
        </w:trPr>
        <w:tc>
          <w:tcPr>
            <w:tcW w:w="1581" w:type="dxa"/>
          </w:tcPr>
          <w:p>
            <w:pPr>
              <w:pStyle w:val="IsiTabel"/>
              <w:suppressAutoHyphens/>
              <w:jc w:val="left"/>
            </w:pPr>
            <w:r>
              <w:t xml:space="preserve">Rumah warga masih terendam air setelah banjir bandang, Gorontalo, 14 Juli 2024</w:t>
            </w:r>
          </w:p>
        </w:tc>
        <w:tc>
          <w:tcPr>
            <w:tcW w:w="1989" w:type="dxa"/>
          </w:tcPr>
          <w:p>
            <w:pPr>
              <w:pStyle w:val="IsiTabel"/>
              <w:suppressAutoHyphens/>
              <w:jc w:val="left"/>
            </w:pPr>
            <w:r>
              <w:t xml:space="preserve">Sandy Syafrudin Nina</w:t>
            </w:r>
          </w:p>
        </w:tc>
        <w:tc>
          <w:tcPr>
            <w:tcW w:w="1258" w:type="dxa"/>
          </w:tcPr>
          <w:p>
            <w:pPr>
              <w:pStyle w:val="IsiTabel"/>
              <w:suppressAutoHyphens/>
              <w:jc w:val="left"/>
            </w:pPr>
            <w:r>
              <w:t xml:space="preserve">CC BY 4.0</w:t>
            </w:r>
          </w:p>
        </w:tc>
        <w:tc>
          <w:tcPr>
            <w:tcW w:w="2955" w:type="dxa"/>
          </w:tcPr>
          <w:p>
            <w:pPr>
              <w:pStyle w:val="IsiTabel"/>
              <w:suppressAutoHyphens/>
              <w:jc w:val="left"/>
            </w:pPr>
            <w:r>
              <w:t xml:space="preserve">https://commons.wikimedia.org/wiki/File:Rumah-rumah_warga_masih_terendam_air_paska_banjir_bandang_Gorontalo_2024.jpg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Banjir Kanal Timur, Jakarta Timur, 2012</w:t>
            </w:r>
          </w:p>
        </w:tc>
        <w:tc>
          <w:tcPr>
            <w:tcW w:w="1989" w:type="dxa"/>
          </w:tcPr>
          <w:p>
            <w:pPr>
              <w:pStyle w:val="IsiTabel"/>
              <w:suppressAutoHyphens/>
              <w:jc w:val="left"/>
            </w:pPr>
            <w:r>
              <w:t xml:space="preserve">Akhmad Fauzi</w:t>
            </w:r>
          </w:p>
        </w:tc>
        <w:tc>
          <w:tcPr>
            <w:tcW w:w="1258" w:type="dxa"/>
          </w:tcPr>
          <w:p>
            <w:pPr>
              <w:pStyle w:val="IsiTabel"/>
              <w:suppressAutoHyphens/>
              <w:jc w:val="left"/>
            </w:pPr>
            <w:r>
              <w:t xml:space="preserve">CC BY 3.0</w:t>
            </w:r>
          </w:p>
        </w:tc>
        <w:tc>
          <w:tcPr>
            <w:tcW w:w="2955" w:type="dxa"/>
          </w:tcPr>
          <w:p>
            <w:pPr>
              <w:pStyle w:val="IsiTabel"/>
              <w:suppressAutoHyphens/>
              <w:jc w:val="left"/>
            </w:pPr>
            <w:r>
              <w:t xml:space="preserve">https://commons.wikimedia.org/wiki/File:Banjir_Kanal_Timur_BKT_-_panoramio.jpg</w:t>
            </w:r>
          </w:p>
        </w:tc>
        <w:tc>
          <w:tcPr>
            <w:tcW w:w="1571" w:type="dxa"/>
          </w:tcPr>
          <w:p>
            <w:pPr>
              <w:pStyle w:val="IsiTabel"/>
              <w:suppressAutoHyphens/>
              <w:jc w:val="left"/>
            </w:pPr>
            <w:r>
              <w:t xml:space="preserve">dipotong tengah ke rasio 2:1</w:t>
            </w:r>
          </w:p>
        </w:tc>
      </w:tr>
      <w:tr>
        <w:trPr>
          <w:cantSplit/>
        </w:trPr>
        <w:tc>
          <w:tcPr>
            <w:tcW w:w="1581" w:type="dxa"/>
          </w:tcPr>
          <w:p>
            <w:pPr>
              <w:pStyle w:val="IsiTabel"/>
              <w:suppressAutoHyphens/>
              <w:jc w:val="left"/>
            </w:pPr>
            <w:r>
              <w:t xml:space="preserve">Citra satelit asap kebakaran di atas Kalimantan, Kalimantan, 15 September 2019</w:t>
            </w:r>
          </w:p>
        </w:tc>
        <w:tc>
          <w:tcPr>
            <w:tcW w:w="1989" w:type="dxa"/>
          </w:tcPr>
          <w:p>
            <w:pPr>
              <w:pStyle w:val="IsiTabel"/>
              <w:suppressAutoHyphens/>
              <w:jc w:val="left"/>
            </w:pPr>
            <w:r>
              <w:t xml:space="preserve">NASA Earth Observatory, Joshua Stevens (LANCE MODIS Rapid Response)</w:t>
            </w:r>
          </w:p>
        </w:tc>
        <w:tc>
          <w:tcPr>
            <w:tcW w:w="1258" w:type="dxa"/>
          </w:tcPr>
          <w:p>
            <w:pPr>
              <w:pStyle w:val="IsiTabel"/>
              <w:suppressAutoHyphens/>
              <w:jc w:val="left"/>
            </w:pPr>
            <w:r>
              <w:t xml:space="preserve">PD</w:t>
            </w:r>
          </w:p>
        </w:tc>
        <w:tc>
          <w:tcPr>
            <w:tcW w:w="2955" w:type="dxa"/>
          </w:tcPr>
          <w:p>
            <w:pPr>
              <w:pStyle w:val="IsiTabel"/>
              <w:suppressAutoHyphens/>
              <w:jc w:val="left"/>
            </w:pPr>
            <w:r>
              <w:t xml:space="preserve">https://commons.wikimedia.org/wiki/File:Satellite_image_of_2019_Southeast_Asian_haze_in_Borneo_-_20190915.jpg</w:t>
            </w:r>
          </w:p>
        </w:tc>
        <w:tc>
          <w:tcPr>
            <w:tcW w:w="1571" w:type="dxa"/>
          </w:tcPr>
          <w:p>
            <w:pPr>
              <w:pStyle w:val="IsiTabel"/>
              <w:suppressAutoHyphens/>
              <w:jc w:val="left"/>
            </w:pPr>
            <w:r>
              <w:t xml:space="preserve">dipotong tengah ke rasio 2:1</w:t>
            </w:r>
          </w:p>
        </w:tc>
      </w:tr>
      <w:tr>
        <w:trPr>
          <w:cantSplit/>
        </w:trPr>
        <w:tc>
          <w:tcPr>
            <w:tcW w:w="1581" w:type="dxa"/>
          </w:tcPr>
          <w:p>
            <w:pPr>
              <w:pStyle w:val="IsiTabel"/>
              <w:suppressAutoHyphens/>
              <w:jc w:val="left"/>
            </w:pPr>
            <w:r>
              <w:t xml:space="preserve">Banjir di permukiman Tanjung Duren, Jakarta Barat, 1 Januari 2020</w:t>
            </w:r>
          </w:p>
        </w:tc>
        <w:tc>
          <w:tcPr>
            <w:tcW w:w="1989" w:type="dxa"/>
          </w:tcPr>
          <w:p>
            <w:pPr>
              <w:pStyle w:val="IsiTabel"/>
              <w:suppressAutoHyphens/>
              <w:jc w:val="left"/>
            </w:pPr>
            <w:r>
              <w:t xml:space="preserve">Cun Cun</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https://commons.wikimedia.org/wiki/File:Banjir_Jakarta_Perumahan_di_Tanjung_Duren_1_Januari_2020.jpg</w:t>
            </w:r>
          </w:p>
        </w:tc>
        <w:tc>
          <w:tcPr>
            <w:tcW w:w="1571" w:type="dxa"/>
          </w:tcPr>
          <w:p>
            <w:pPr>
              <w:pStyle w:val="IsiTabel"/>
              <w:suppressAutoHyphens/>
              <w:jc w:val="left"/>
            </w:pPr>
            <w:r>
              <w:t xml:space="preserve">dipotong tengah ke rasio 2:1</w:t>
            </w:r>
          </w:p>
        </w:tc>
      </w:tr>
      <w:tr>
        <w:trPr>
          <w:cantSplit/>
        </w:trPr>
        <w:tc>
          <w:tcPr>
            <w:tcW w:w="1581" w:type="dxa"/>
          </w:tcPr>
          <w:p>
            <w:pPr>
              <w:pStyle w:val="IsiTabel"/>
              <w:suppressAutoHyphens/>
              <w:jc w:val="left"/>
            </w:pPr>
            <w:r>
              <w:t xml:space="preserve">Evakuasi korban banjir di Pekalongan, Februari 2023</w:t>
            </w:r>
          </w:p>
        </w:tc>
        <w:tc>
          <w:tcPr>
            <w:tcW w:w="1989" w:type="dxa"/>
          </w:tcPr>
          <w:p>
            <w:pPr>
              <w:pStyle w:val="IsiTabel"/>
              <w:suppressAutoHyphens/>
              <w:jc w:val="left"/>
            </w:pPr>
            <w:r>
              <w:t xml:space="preserve">AntaraTV</w:t>
            </w:r>
          </w:p>
        </w:tc>
        <w:tc>
          <w:tcPr>
            <w:tcW w:w="1258" w:type="dxa"/>
          </w:tcPr>
          <w:p>
            <w:pPr>
              <w:pStyle w:val="IsiTabel"/>
              <w:suppressAutoHyphens/>
              <w:jc w:val="left"/>
            </w:pPr>
            <w:r>
              <w:t xml:space="preserve">CC BY 3.0</w:t>
            </w:r>
          </w:p>
        </w:tc>
        <w:tc>
          <w:tcPr>
            <w:tcW w:w="2955" w:type="dxa"/>
          </w:tcPr>
          <w:p>
            <w:pPr>
              <w:pStyle w:val="IsiTabel"/>
              <w:suppressAutoHyphens/>
              <w:jc w:val="left"/>
            </w:pPr>
            <w:r>
              <w:t xml:space="preserve">https://commons.wikimedia.org/wiki/File:TNI_Mengevakuasi_Korban_Banjir_Pekalongan_2023.jpg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Muara Sungai Citarum di pesisir utara Jawa Barat, Oktober 2021</w:t>
            </w:r>
          </w:p>
        </w:tc>
        <w:tc>
          <w:tcPr>
            <w:tcW w:w="1989" w:type="dxa"/>
          </w:tcPr>
          <w:p>
            <w:pPr>
              <w:pStyle w:val="IsiTabel"/>
              <w:suppressAutoHyphens/>
              <w:jc w:val="left"/>
            </w:pPr>
            <w:r>
              <w:t xml:space="preserve">Dasnusantara</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https://commons.wikimedia.org/wiki/File:Muara_sungai_Citarum.jpg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Tepian Bengawan Solo yang surut pada musim kemarau, Juli 2015</w:t>
            </w:r>
          </w:p>
        </w:tc>
        <w:tc>
          <w:tcPr>
            <w:tcW w:w="1989" w:type="dxa"/>
          </w:tcPr>
          <w:p>
            <w:pPr>
              <w:pStyle w:val="IsiTabel"/>
              <w:suppressAutoHyphens/>
              <w:jc w:val="left"/>
            </w:pPr>
            <w:r>
              <w:t xml:space="preserve">Crisco 1492</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https://commons.wikimedia.org/wiki/File:Bengawan_Solo_River_during_dry_season,_2015-07-31_04.jpg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Puing bangunan setelah gempa dan tsunami Palu, Palu, Sulawesi Tengah, Oktober 2018</w:t>
            </w:r>
          </w:p>
        </w:tc>
        <w:tc>
          <w:tcPr>
            <w:tcW w:w="1989" w:type="dxa"/>
          </w:tcPr>
          <w:p>
            <w:pPr>
              <w:pStyle w:val="IsiTabel"/>
              <w:suppressAutoHyphens/>
              <w:jc w:val="left"/>
            </w:pPr>
            <w:r>
              <w:t xml:space="preserve">Ungkeito</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https://commons.wikimedia.org/wiki/File:Bencana_Tsunami_Palu.jpg</w:t>
            </w:r>
          </w:p>
        </w:tc>
        <w:tc>
          <w:tcPr>
            <w:tcW w:w="1571" w:type="dxa"/>
          </w:tcPr>
          <w:p>
            <w:pPr>
              <w:pStyle w:val="IsiTabel"/>
              <w:suppressAutoHyphens/>
              <w:jc w:val="left"/>
            </w:pPr>
            <w:r>
              <w:t xml:space="preserve">dipotong tengah ke rasio 2:1</w:t>
            </w:r>
          </w:p>
        </w:tc>
      </w:tr>
      <w:tr>
        <w:trPr>
          <w:cantSplit/>
        </w:trPr>
        <w:tc>
          <w:tcPr>
            <w:tcW w:w="1581" w:type="dxa"/>
          </w:tcPr>
          <w:p>
            <w:pPr>
              <w:pStyle w:val="IsiTabel"/>
              <w:suppressAutoHyphens/>
              <w:jc w:val="left"/>
            </w:pPr>
            <w:r>
              <w:t xml:space="preserve">Masjid yang tetap berdiri di antara puing setelah tsunami Aceh, Banda Aceh, Januari 2005</w:t>
            </w:r>
          </w:p>
        </w:tc>
        <w:tc>
          <w:tcPr>
            <w:tcW w:w="1989" w:type="dxa"/>
          </w:tcPr>
          <w:p>
            <w:pPr>
              <w:pStyle w:val="IsiTabel"/>
              <w:suppressAutoHyphens/>
              <w:jc w:val="left"/>
            </w:pPr>
            <w:r>
              <w:t xml:space="preserve">USGS</w:t>
            </w:r>
          </w:p>
        </w:tc>
        <w:tc>
          <w:tcPr>
            <w:tcW w:w="1258" w:type="dxa"/>
          </w:tcPr>
          <w:p>
            <w:pPr>
              <w:pStyle w:val="IsiTabel"/>
              <w:suppressAutoHyphens/>
              <w:jc w:val="left"/>
            </w:pPr>
            <w:r>
              <w:t xml:space="preserve">PD</w:t>
            </w:r>
          </w:p>
        </w:tc>
        <w:tc>
          <w:tcPr>
            <w:tcW w:w="2955" w:type="dxa"/>
          </w:tcPr>
          <w:p>
            <w:pPr>
              <w:pStyle w:val="IsiTabel"/>
              <w:suppressAutoHyphens/>
              <w:jc w:val="left"/>
            </w:pPr>
            <w:r>
              <w:t xml:space="preserve">https://commons.wikimedia.org/wiki/File:Aceh_2004_tsunami_standing_mosque_USGS.jpg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Evakuasi warga terdampak tanah longsor di Kabupaten Pekalongan, Januari 2025</w:t>
            </w:r>
          </w:p>
        </w:tc>
        <w:tc>
          <w:tcPr>
            <w:tcW w:w="1989" w:type="dxa"/>
          </w:tcPr>
          <w:p>
            <w:pPr>
              <w:pStyle w:val="IsiTabel"/>
              <w:suppressAutoHyphens/>
              <w:jc w:val="left"/>
            </w:pPr>
            <w:r>
              <w:t xml:space="preserve">Social Ministry of Indonesia</w:t>
            </w:r>
          </w:p>
        </w:tc>
        <w:tc>
          <w:tcPr>
            <w:tcW w:w="1258" w:type="dxa"/>
          </w:tcPr>
          <w:p>
            <w:pPr>
              <w:pStyle w:val="IsiTabel"/>
              <w:suppressAutoHyphens/>
              <w:jc w:val="left"/>
            </w:pPr>
            <w:r>
              <w:t xml:space="preserve">PD</w:t>
            </w:r>
          </w:p>
        </w:tc>
        <w:tc>
          <w:tcPr>
            <w:tcW w:w="2955" w:type="dxa"/>
          </w:tcPr>
          <w:p>
            <w:pPr>
              <w:pStyle w:val="IsiTabel"/>
              <w:suppressAutoHyphens/>
              <w:jc w:val="left"/>
            </w:pPr>
            <w:r>
              <w:t xml:space="preserve">https://commons.wikimedia.org/wiki/File:Pekalongan_landslide_evacuation.jpg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Siklon Tropis Seroja dari satelit Aqua, Nusa Tenggara Timur, 5 April 2021</w:t>
            </w:r>
          </w:p>
        </w:tc>
        <w:tc>
          <w:tcPr>
            <w:tcW w:w="1989" w:type="dxa"/>
          </w:tcPr>
          <w:p>
            <w:pPr>
              <w:pStyle w:val="IsiTabel"/>
              <w:suppressAutoHyphens/>
              <w:jc w:val="left"/>
            </w:pPr>
            <w:r>
              <w:t xml:space="preserve">NASA, LANCE / MODIS on Aqua</w:t>
            </w:r>
          </w:p>
        </w:tc>
        <w:tc>
          <w:tcPr>
            <w:tcW w:w="1258" w:type="dxa"/>
          </w:tcPr>
          <w:p>
            <w:pPr>
              <w:pStyle w:val="IsiTabel"/>
              <w:suppressAutoHyphens/>
              <w:jc w:val="left"/>
            </w:pPr>
            <w:r>
              <w:t xml:space="preserve">PD</w:t>
            </w:r>
          </w:p>
        </w:tc>
        <w:tc>
          <w:tcPr>
            <w:tcW w:w="2955" w:type="dxa"/>
          </w:tcPr>
          <w:p>
            <w:pPr>
              <w:pStyle w:val="IsiTabel"/>
              <w:suppressAutoHyphens/>
              <w:jc w:val="left"/>
            </w:pPr>
            <w:r>
              <w:t xml:space="preserve">https://commons.wikimedia.org/wiki/File:Seroja_2021-04-05_0545Z.jpg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Bengawan Solo pada musim kemarau, Juli 2015</w:t>
            </w:r>
          </w:p>
        </w:tc>
        <w:tc>
          <w:tcPr>
            <w:tcW w:w="1989" w:type="dxa"/>
          </w:tcPr>
          <w:p>
            <w:pPr>
              <w:pStyle w:val="IsiTabel"/>
              <w:suppressAutoHyphens/>
              <w:jc w:val="left"/>
            </w:pPr>
            <w:r>
              <w:t xml:space="preserve">Crisco 1492</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https://commons.wikimedia.org/wiki/File:Bengawan_Solo_River_during_dry_season,_2015-07-31_01.jpg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Kabut asap menutupi Tugu Talawang di Palangka Raya, Palangka Raya, Kalimantan Tengah, 2026</w:t>
            </w:r>
          </w:p>
        </w:tc>
        <w:tc>
          <w:tcPr>
            <w:tcW w:w="1989" w:type="dxa"/>
          </w:tcPr>
          <w:p>
            <w:pPr>
              <w:pStyle w:val="IsiTabel"/>
              <w:suppressAutoHyphens/>
              <w:jc w:val="left"/>
            </w:pPr>
            <w:r>
              <w:t xml:space="preserve">ParadoxP P</w:t>
            </w:r>
          </w:p>
        </w:tc>
        <w:tc>
          <w:tcPr>
            <w:tcW w:w="1258" w:type="dxa"/>
          </w:tcPr>
          <w:p>
            <w:pPr>
              <w:pStyle w:val="IsiTabel"/>
              <w:suppressAutoHyphens/>
              <w:jc w:val="left"/>
            </w:pPr>
            <w:r>
              <w:t xml:space="preserve">CC BY 4.0</w:t>
            </w:r>
          </w:p>
        </w:tc>
        <w:tc>
          <w:tcPr>
            <w:tcW w:w="2955" w:type="dxa"/>
          </w:tcPr>
          <w:p>
            <w:pPr>
              <w:pStyle w:val="IsiTabel"/>
              <w:suppressAutoHyphens/>
              <w:jc w:val="left"/>
            </w:pPr>
            <w:r>
              <w:t xml:space="preserve">https://commons.wikimedia.org/wiki/File:Talawang_Monumen_Palangka_Raya_Haze.jpg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Petugas menyemprot bara di lahan gambut, Taman Nasional Sebangau, Kalimantan Tengah, 2019</w:t>
            </w:r>
          </w:p>
        </w:tc>
        <w:tc>
          <w:tcPr>
            <w:tcW w:w="1989" w:type="dxa"/>
          </w:tcPr>
          <w:p>
            <w:pPr>
              <w:pStyle w:val="IsiTabel"/>
              <w:suppressAutoHyphens/>
              <w:jc w:val="left"/>
            </w:pPr>
            <w:r>
              <w:t xml:space="preserve">DenY Krisbiyantoro</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https://commons.wikimedia.org/wiki/File:Marking_the_Fire.jpg</w:t>
            </w:r>
          </w:p>
        </w:tc>
        <w:tc>
          <w:tcPr>
            <w:tcW w:w="1571" w:type="dxa"/>
          </w:tcPr>
          <w:p>
            <w:pPr>
              <w:pStyle w:val="IsiTabel"/>
              <w:suppressAutoHyphens/>
              <w:jc w:val="left"/>
            </w:pPr>
            <w:r>
              <w:t xml:space="preserve">dipotong tengah ke rasio 2:1</w:t>
            </w:r>
          </w:p>
        </w:tc>
      </w:tr>
      <w:tr>
        <w:trPr>
          <w:cantSplit/>
        </w:trPr>
        <w:tc>
          <w:tcPr>
            <w:tcW w:w="1581" w:type="dxa"/>
          </w:tcPr>
          <w:p>
            <w:pPr>
              <w:pStyle w:val="IsiTabel"/>
              <w:suppressAutoHyphens/>
              <w:jc w:val="left"/>
            </w:pPr>
            <w:r>
              <w:t xml:space="preserve">Helikopter menjatuhkan air di atas lahan terbakar, Indonesia, 2019</w:t>
            </w:r>
          </w:p>
        </w:tc>
        <w:tc>
          <w:tcPr>
            <w:tcW w:w="1989" w:type="dxa"/>
          </w:tcPr>
          <w:p>
            <w:pPr>
              <w:pStyle w:val="IsiTabel"/>
              <w:suppressAutoHyphens/>
              <w:jc w:val="left"/>
            </w:pPr>
            <w:r>
              <w:t xml:space="preserve">DenY Krisbiyantoro</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https://commons.wikimedia.org/wiki/File:Water_Bombing.jpg</w:t>
            </w:r>
          </w:p>
        </w:tc>
        <w:tc>
          <w:tcPr>
            <w:tcW w:w="1571" w:type="dxa"/>
          </w:tcPr>
          <w:p>
            <w:pPr>
              <w:pStyle w:val="IsiTabel"/>
              <w:suppressAutoHyphens/>
              <w:jc w:val="left"/>
            </w:pPr>
            <w:r>
              <w:t xml:space="preserve">dipotong tengah ke rasio 4:3</w:t>
            </w:r>
          </w:p>
        </w:tc>
      </w:tr>
      <w:tr>
        <w:trPr>
          <w:cantSplit/>
        </w:trPr>
        <w:tc>
          <w:tcPr>
            <w:tcW w:w="1581" w:type="dxa"/>
          </w:tcPr>
          <w:p>
            <w:pPr>
              <w:pStyle w:val="IsiTabel"/>
              <w:suppressAutoHyphens/>
              <w:jc w:val="left"/>
            </w:pPr>
            <w:r>
              <w:t xml:space="preserve">Pengerukan lumpur di Sungai Ciliwung, Jakarta, Maret 2025</w:t>
            </w:r>
          </w:p>
        </w:tc>
        <w:tc>
          <w:tcPr>
            <w:tcW w:w="1989" w:type="dxa"/>
          </w:tcPr>
          <w:p>
            <w:pPr>
              <w:pStyle w:val="IsiTabel"/>
              <w:suppressAutoHyphens/>
              <w:jc w:val="left"/>
            </w:pPr>
            <w:r>
              <w:t xml:space="preserve">Hutomo</w:t>
            </w:r>
          </w:p>
        </w:tc>
        <w:tc>
          <w:tcPr>
            <w:tcW w:w="1258" w:type="dxa"/>
          </w:tcPr>
          <w:p>
            <w:pPr>
              <w:pStyle w:val="IsiTabel"/>
              <w:suppressAutoHyphens/>
              <w:jc w:val="left"/>
            </w:pPr>
            <w:r>
              <w:t xml:space="preserve">CC BY 4.0</w:t>
            </w:r>
          </w:p>
        </w:tc>
        <w:tc>
          <w:tcPr>
            <w:tcW w:w="2955" w:type="dxa"/>
          </w:tcPr>
          <w:p>
            <w:pPr>
              <w:pStyle w:val="IsiTabel"/>
              <w:suppressAutoHyphens/>
              <w:jc w:val="left"/>
            </w:pPr>
            <w:r>
              <w:t xml:space="preserve">https://commons.wikimedia.org/wiki/File:Pengerukan_lumpur_di_Sungai_Ciliwung.jpg</w:t>
            </w:r>
          </w:p>
        </w:tc>
        <w:tc>
          <w:tcPr>
            <w:tcW w:w="1571" w:type="dxa"/>
          </w:tcPr>
          <w:p>
            <w:pPr>
              <w:pStyle w:val="IsiTabel"/>
              <w:suppressAutoHyphens/>
              <w:jc w:val="left"/>
            </w:pPr>
            <w:r>
              <w:t xml:space="preserve">dipotong tengah ke rasio 2:1</w:t>
            </w:r>
          </w:p>
        </w:tc>
      </w:tr>
      <w:tr>
        <w:trPr>
          <w:cantSplit/>
        </w:trPr>
        <w:tc>
          <w:tcPr>
            <w:tcW w:w="1581" w:type="dxa"/>
          </w:tcPr>
          <w:p>
            <w:pPr>
              <w:pStyle w:val="IsiTabel"/>
              <w:keepNext/>
              <w:suppressAutoHyphens/>
              <w:jc w:val="left"/>
            </w:pPr>
            <w:bookmarkStart w:id="995" w:name="_Ekor122a"/>
            <w:bookmarkEnd w:id="995"/>
            <w:r>
              <w:t xml:space="preserve">Sekat kanal dari gambut padat untuk menaikkan muka air, Sumatera Selatan, 2016</w:t>
            </w:r>
          </w:p>
        </w:tc>
        <w:tc>
          <w:tcPr>
            <w:tcW w:w="1989" w:type="dxa"/>
          </w:tcPr>
          <w:p>
            <w:pPr>
              <w:pStyle w:val="IsiTabel"/>
              <w:keepNext/>
              <w:suppressAutoHyphens/>
              <w:jc w:val="left"/>
            </w:pPr>
            <w:r>
              <w:t xml:space="preserve">Forest Carbon</w:t>
            </w:r>
          </w:p>
        </w:tc>
        <w:tc>
          <w:tcPr>
            <w:tcW w:w="1258" w:type="dxa"/>
          </w:tcPr>
          <w:p>
            <w:pPr>
              <w:pStyle w:val="IsiTabel"/>
              <w:keepNext/>
              <w:suppressAutoHyphens/>
              <w:jc w:val="left"/>
            </w:pPr>
            <w:r>
              <w:t xml:space="preserve">CC BY-SA 4.0</w:t>
            </w:r>
          </w:p>
        </w:tc>
        <w:tc>
          <w:tcPr>
            <w:tcW w:w="2955" w:type="dxa"/>
          </w:tcPr>
          <w:p>
            <w:pPr>
              <w:pStyle w:val="IsiTabel"/>
              <w:keepNext/>
              <w:suppressAutoHyphens/>
              <w:jc w:val="left"/>
            </w:pPr>
            <w:r>
              <w:t xml:space="preserve">https://commons.wikimedia.org/wiki/File:Aerial_Canal_Blocking_in_South_Sumatra,_Indonesia.jpg</w:t>
            </w:r>
          </w:p>
        </w:tc>
        <w:tc>
          <w:tcPr>
            <w:tcW w:w="1571" w:type="dxa"/>
          </w:tcPr>
          <w:p>
            <w:pPr>
              <w:pStyle w:val="IsiTabel"/>
              <w:keepNext/>
              <w:suppressAutoHyphens/>
              <w:jc w:val="left"/>
            </w:pPr>
            <w:r>
              <w:t xml:space="preserve">dipotong tengah ke rasio 4:3</w:t>
            </w:r>
          </w:p>
        </w:tc>
      </w:tr>
      <w:tr>
        <w:trPr>
          <w:cantSplit/>
        </w:trPr>
        <w:tc>
          <w:tcPr>
            <w:tcW w:w="1581" w:type="dxa"/>
          </w:tcPr>
          <w:p>
            <w:pPr>
              <w:pStyle w:val="IsiTabel"/>
              <w:keepNext/>
              <w:suppressAutoHyphens/>
              <w:jc w:val="left"/>
            </w:pPr>
            <w:r>
              <w:t xml:space="preserve">Hutan rawa gambut setelah terbakar, Taman Nasional Sebangau, Kalimantan Tengah, 2019</w:t>
            </w:r>
          </w:p>
        </w:tc>
        <w:tc>
          <w:tcPr>
            <w:tcW w:w="1989" w:type="dxa"/>
          </w:tcPr>
          <w:p>
            <w:pPr>
              <w:pStyle w:val="IsiTabel"/>
              <w:keepNext/>
              <w:suppressAutoHyphens/>
              <w:jc w:val="left"/>
            </w:pPr>
            <w:r>
              <w:t xml:space="preserve">DenY Krisbiyantoro</w:t>
            </w:r>
          </w:p>
        </w:tc>
        <w:tc>
          <w:tcPr>
            <w:tcW w:w="1258" w:type="dxa"/>
          </w:tcPr>
          <w:p>
            <w:pPr>
              <w:pStyle w:val="IsiTabel"/>
              <w:keepNext/>
              <w:suppressAutoHyphens/>
              <w:jc w:val="left"/>
            </w:pPr>
            <w:r>
              <w:t xml:space="preserve">CC BY-SA 4.0</w:t>
            </w:r>
          </w:p>
        </w:tc>
        <w:tc>
          <w:tcPr>
            <w:tcW w:w="2955" w:type="dxa"/>
          </w:tcPr>
          <w:p>
            <w:pPr>
              <w:pStyle w:val="IsiTabel"/>
              <w:keepNext/>
              <w:suppressAutoHyphens/>
              <w:jc w:val="left"/>
            </w:pPr>
            <w:r>
              <w:t xml:space="preserve">https://commons.wikimedia.org/wiki/File:Batlefield.jpg</w:t>
            </w:r>
          </w:p>
        </w:tc>
        <w:tc>
          <w:tcPr>
            <w:tcW w:w="1571" w:type="dxa"/>
          </w:tcPr>
          <w:p>
            <w:pPr>
              <w:pStyle w:val="IsiTabel"/>
              <w:keepNext/>
              <w:suppressAutoHyphens/>
              <w:jc w:val="left"/>
            </w:pPr>
            <w:r>
              <w:t xml:space="preserve">dipotong tengah ke rasio 2:1</w:t>
            </w:r>
          </w:p>
        </w:tc>
      </w:tr>
      <w:tr>
        <w:trPr>
          <w:cantSplit/>
        </w:trPr>
        <w:tc>
          <w:tcPr>
            <w:tcW w:w="1581" w:type="dxa"/>
          </w:tcPr>
          <w:p>
            <w:pPr>
              <w:pStyle w:val="IsiTabel"/>
              <w:keepNext/>
              <w:suppressAutoHyphens/>
              <w:jc w:val="left"/>
            </w:pPr>
            <w:r>
              <w:t xml:space="preserve">Banjir Kanal Timur ruas Cipinang Muara, Jakarta Timur, Juni 2024</w:t>
            </w:r>
          </w:p>
        </w:tc>
        <w:tc>
          <w:tcPr>
            <w:tcW w:w="1989" w:type="dxa"/>
          </w:tcPr>
          <w:p>
            <w:pPr>
              <w:pStyle w:val="IsiTabel"/>
              <w:keepNext/>
              <w:suppressAutoHyphens/>
              <w:jc w:val="left"/>
            </w:pPr>
            <w:r>
              <w:t xml:space="preserve">Irvan Ary Maulana</w:t>
            </w:r>
          </w:p>
        </w:tc>
        <w:tc>
          <w:tcPr>
            <w:tcW w:w="1258" w:type="dxa"/>
          </w:tcPr>
          <w:p>
            <w:pPr>
              <w:pStyle w:val="IsiTabel"/>
              <w:keepNext/>
              <w:suppressAutoHyphens/>
              <w:jc w:val="left"/>
            </w:pPr>
            <w:r>
              <w:t xml:space="preserve">CC BY-SA 4.0</w:t>
            </w:r>
          </w:p>
        </w:tc>
        <w:tc>
          <w:tcPr>
            <w:tcW w:w="2955" w:type="dxa"/>
          </w:tcPr>
          <w:p>
            <w:pPr>
              <w:pStyle w:val="IsiTabel"/>
              <w:keepNext/>
              <w:suppressAutoHyphens/>
              <w:jc w:val="left"/>
            </w:pPr>
            <w:r>
              <w:t xml:space="preserve">https://commons.wikimedia.org/wiki/File:Jakarta_East_Flood_Canal,_Cipinang_Muara_Section,_June_2024.jpg</w:t>
            </w:r>
          </w:p>
        </w:tc>
        <w:tc>
          <w:tcPr>
            <w:tcW w:w="1571" w:type="dxa"/>
          </w:tcPr>
          <w:p>
            <w:pPr>
              <w:pStyle w:val="IsiTabel"/>
              <w:keepNext/>
              <w:suppressAutoHyphens/>
              <w:jc w:val="left"/>
            </w:pPr>
            <w:r>
              <w:t xml:space="preserve">dipotong tengah ke rasio 4:3</w:t>
            </w:r>
          </w:p>
        </w:tc>
      </w:tr>
      <w:tr>
        <w:trPr>
          <w:cantSplit/>
        </w:trPr>
        <w:tc>
          <w:tcPr>
            <w:tcW w:w="1581" w:type="dxa"/>
          </w:tcPr>
          <w:p>
            <w:pPr>
              <w:pStyle w:val="IsiTabel"/>
              <w:suppressAutoHyphens/>
              <w:jc w:val="left"/>
            </w:pPr>
            <w:bookmarkStart w:id="996" w:name="_Ekor122z"/>
            <w:bookmarkEnd w:id="996"/>
            <w:r>
              <w:t xml:space="preserve">Asap dari bara di dalam lahan gambut yang terbakar, Taman Nasional Sebangau, Kalimantan Tengah, 2019</w:t>
            </w:r>
          </w:p>
        </w:tc>
        <w:tc>
          <w:tcPr>
            <w:tcW w:w="1989" w:type="dxa"/>
          </w:tcPr>
          <w:p>
            <w:pPr>
              <w:pStyle w:val="IsiTabel"/>
              <w:suppressAutoHyphens/>
              <w:jc w:val="left"/>
            </w:pPr>
            <w:r>
              <w:t xml:space="preserve">DenY Krisbiyantoro</w:t>
            </w:r>
          </w:p>
        </w:tc>
        <w:tc>
          <w:tcPr>
            <w:tcW w:w="1258" w:type="dxa"/>
          </w:tcPr>
          <w:p>
            <w:pPr>
              <w:pStyle w:val="IsiTabel"/>
              <w:suppressAutoHyphens/>
              <w:jc w:val="left"/>
            </w:pPr>
            <w:r>
              <w:t xml:space="preserve">CC BY-SA 4.0</w:t>
            </w:r>
          </w:p>
        </w:tc>
        <w:tc>
          <w:tcPr>
            <w:tcW w:w="2955" w:type="dxa"/>
          </w:tcPr>
          <w:p>
            <w:pPr>
              <w:pStyle w:val="IsiTabel"/>
              <w:suppressAutoHyphens/>
              <w:jc w:val="left"/>
            </w:pPr>
            <w:r>
              <w:t xml:space="preserve">https://commons.wikimedia.org/wiki/File:Out_of_Controls.jpg</w:t>
            </w:r>
          </w:p>
        </w:tc>
        <w:tc>
          <w:tcPr>
            <w:tcW w:w="1571" w:type="dxa"/>
          </w:tcPr>
          <w:p>
            <w:pPr>
              <w:pStyle w:val="IsiTabel"/>
              <w:suppressAutoHyphens/>
              <w:jc w:val="left"/>
            </w:pPr>
            <w:r>
              <w:t xml:space="preserve">dipotong tengah ke rasio 2:1</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Wikimedia Commons; tanggal akses tercatat di metadata berkas foto</w:t>
      </w:r>
      <w:r>
        <w:rPr>
          <w:color w:val="6B7280"/>
          <w:sz w:val="17"/>
          <w:szCs w:val="17"/>
        </w:rPr>
        <w:t xml:space="preserve"> </w:t>
      </w:r>
      <w:r>
        <w:rPr>
          <w:b/>
          <w:bCs/>
          <w:color w:val="1A1A1A"/>
          <w:sz w:val="16"/>
          <w:szCs w:val="16"/>
          <w:bdr w:val="single" w:sz="6" w:space="0" w:color="5B7A99"/>
        </w:rPr>
        <w:t xml:space="preserve">  Terverifikasi  </w:t>
      </w:r>
    </w:p>
    <w:tbl xmlns:a="http://schemas.openxmlformats.org/drawingml/2006/main" xmlns:pic="http://schemas.openxmlformats.org/drawingml/2006/picture">
      <w:tblPr>
        <w:tblW w:w="1264" w:type="dxa"/>
        <w:jc w:val="center"/>
        <w:tblBorders>
          <w:top w:val="nil"/>
          <w:left w:val="nil"/>
          <w:bottom w:val="nil"/>
          <w:right w:val="nil"/>
          <w:insideH w:val="nil"/>
          <w:insideV w:val="nil"/>
        </w:tblBorders>
        <w:tblLayout w:type="fixed"/>
        <w:tblCellMar>
          <w:top w:w="227" w:type="dxa"/>
          <w:left w:w="227" w:type="dxa"/>
          <w:bottom w:w="227" w:type="dxa"/>
          <w:right w:w="227" w:type="dxa"/>
        </w:tblCellMar>
        <w:tblLook w:val="0000" w:firstRow="0" w:lastRow="0" w:firstColumn="0" w:lastColumn="0" w:noHBand="1" w:noVBand="1"/>
      </w:tblPr>
      <w:tblGrid>
        <w:gridCol w:w="1264"/>
      </w:tblGrid>
      <w:tr>
        <w:trPr>
          <w:cantSplit/>
        </w:trPr>
        <w:tc>
          <w:tcPr>
            <w:tcW w:w="1264" w:type="dxa"/>
            <w:shd w:val="clear" w:color="auto" w:fill="FFFFFF"/>
          </w:tcPr>
          <w:p>
            <w:pPr>
              <w:spacing w:after="0" w:line="240" w:lineRule="auto"/>
              <w:jc w:val="center"/>
            </w:pPr>
            <w:r>
              <w:drawing>
                <wp:inline distT="0" distB="0" distL="0" distR="0">
                  <wp:extent cx="514286" cy="648000"/>
                  <wp:effectExtent l="0" t="0" r="0" b="0"/>
                  <wp:docPr id="389" name="Gambar 389"/>
                  <wp:cNvGraphicFramePr>
                    <a:graphicFrameLocks noChangeAspect="1"/>
                  </wp:cNvGraphicFramePr>
                  <a:graphic>
                    <a:graphicData uri="http://schemas.openxmlformats.org/drawingml/2006/picture">
                      <pic:pic>
                        <pic:nvPicPr>
                          <pic:cNvPr id="389" name="sumber-bnpb.png"/>
                          <pic:cNvPicPr/>
                        </pic:nvPicPr>
                        <pic:blipFill>
                          <a:blip r:embed="rId14"/>
                          <a:stretch>
                            <a:fillRect/>
                          </a:stretch>
                        </pic:blipFill>
                        <pic:spPr>
                          <a:xfrm>
                            <a:off x="0" y="0"/>
                            <a:ext cx="514286" cy="648000"/>
                          </a:xfrm>
                          <a:prstGeom prst="rect">
                            <a:avLst/>
                          </a:prstGeom>
                        </pic:spPr>
                      </pic:pic>
                    </a:graphicData>
                  </a:graphic>
                </wp:inline>
              </w:drawing>
            </w:r>
          </w:p>
        </w:tc>
      </w:tr>
    </w:tbl>
    <w:p>
      <w:pPr>
        <w:spacing w:before="240" w:after="40"/>
        <w:jc w:val="center"/>
      </w:pPr>
      <w:r>
        <w:rPr>
          <w:b/>
          <w:bCs/>
          <w:color w:val="FFFFFF"/>
          <w:sz w:val="23"/>
          <w:szCs w:val="23"/>
        </w:rPr>
        <w:t xml:space="preserve">Badan Nasional Penanggulangan Bencana</w:t>
      </w:r>
    </w:p>
    <w:p>
      <w:pPr>
        <w:spacing w:before="0" w:after="40"/>
        <w:jc w:val="center"/>
      </w:pPr>
      <w:r>
        <w:rPr>
          <w:color w:val="FFFFFF"/>
          <w:sz w:val="21"/>
          <w:szCs w:val="21"/>
        </w:rPr>
        <w:t xml:space="preserve">Graha BNPB, Jl. Pramuka Kav. 38, Jakarta Timur 13120</w:t>
      </w:r>
    </w:p>
    <w:p>
      <w:pPr>
        <w:spacing w:before="0" w:after="40"/>
        <w:jc w:val="center"/>
      </w:pPr>
      <w:r>
        <w:rPr>
          <w:color w:val="FFFFFF"/>
          <w:sz w:val="21"/>
          <w:szCs w:val="21"/>
        </w:rPr>
        <w:t xml:space="preserve">Call Center 117</w:t>
      </w:r>
    </w:p>
    <w:p>
      <w:pPr>
        <w:spacing w:before="0" w:after="40"/>
        <w:jc w:val="center"/>
      </w:pPr>
      <w:r>
        <w:rPr>
          <w:color w:val="FFFFFF"/>
          <w:sz w:val="21"/>
          <w:szCs w:val="21"/>
        </w:rPr>
        <w:t xml:space="preserve">www.bnpb.go.id</w:t>
      </w:r>
    </w:p>
    <w:p>
      <w:pPr>
        <w:spacing w:before="0" w:after="40"/>
        <w:jc w:val="center"/>
      </w:pPr>
      <w:r>
        <w:rPr>
          <w:color w:val="FFFFFF"/>
          <w:sz w:val="21"/>
          <w:szCs w:val="21"/>
        </w:rPr>
        <w:t xml:space="preserve">persuratan@bnpb.go.id</w:t>
      </w:r>
    </w:p>
    <w:p>
      <w:pPr>
        <w:spacing w:before="480" w:after="80"/>
        <w:ind w:left="850" w:right="850"/>
        <w:jc w:val="center"/>
      </w:pPr>
      <w:r>
        <w:rPr>
          <w:b/>
          <w:bCs/>
          <w:color w:val="FFFFFF"/>
          <w:sz w:val="19"/>
          <w:szCs w:val="19"/>
        </w:rPr>
        <w:t xml:space="preserve">Grand Design Mitigasi Bencana Indonesia 2026–2030</w:t>
      </w:r>
    </w:p>
    <w:p>
      <w:pPr>
        <w:spacing w:after="0" w:line="276" w:lineRule="auto"/>
        <w:ind w:left="850" w:right="850"/>
        <w:jc w:val="both"/>
      </w:pPr>
      <w:r>
        <w:rPr>
          <w:color w:val="FFFFFF"/>
          <w:sz w:val="19"/>
          <w:szCs w:val="19"/>
        </w:rPr>
        <w:t xml:space="preserve">Pada 2025 DIBI mencatat 2.030 korban meninggal dan 246 hilang dalam kejadian bencana, tertinggi sejak 2018, dengan 1.202 meninggal dan 140 hilang dalam satu rangkaian banjir dan longsor di Aceh, Sumatera Utara, dan Sumatera Barat pada akhir November 2025; Grand Design 2026–2030 menetapkan indikator korban Renas PB 1.a dan 1.b, yang langsung terukur dari DIBI, sebagai sasaran utama sampai baseline IRBI 2025 skala baru diterbitkan. Cakupan: seluruh kabupaten/kota di Indonesia dan seluruh jenis bencana menurut UU 24/2007 pada tiga tahap penanggulangan.</w:t>
      </w:r>
    </w:p>
    <w:sectPr xmlns:a="http://schemas.openxmlformats.org/drawingml/2006/main" xmlns:pic="http://schemas.openxmlformats.org/drawingml/2006/picture">
      <w:headerReference w:type="default" r:id="rId103"/>
      <w:footerReference w:type="default" r:id="rId12"/>
      <w:type w:val="nextPage"/>
      <w:pgSz w:w="11906" w:h="16838"/>
      <w:pgMar w:top="5102" w:right="1134" w:bottom="1134" w:left="1417" w:header="680" w:footer="567" w:gutter="0"/>
      <w:pgNumType w:fmt="decimal"/>
      <w:cols w:space="708"/>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Roboto">
    <w:charset w:val="00"/>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354" w:type="dxa"/>
      <w:tblBorders>
        <w:top w:val="single" w:sz="4" w:space="0" w:color="BFC5CC"/>
        <w:left w:val="nil"/>
        <w:bottom w:val="nil"/>
        <w:right w:val="nil"/>
        <w:insideH w:val="nil"/>
        <w:insideV w:val="nil"/>
      </w:tblBorders>
      <w:tblLayout w:type="fixed"/>
      <w:tblCellMar>
        <w:top w:w="60" w:type="dxa"/>
        <w:left w:w="0" w:type="dxa"/>
        <w:bottom w:w="0" w:type="dxa"/>
        <w:right w:w="0" w:type="dxa"/>
      </w:tblCellMar>
      <w:tblLook w:val="0000" w:firstRow="0" w:lastRow="0" w:firstColumn="0" w:lastColumn="0" w:noHBand="1" w:noVBand="1"/>
    </w:tblPr>
    <w:tblGrid>
      <w:gridCol w:w="1134"/>
      <w:gridCol w:w="7086"/>
      <w:gridCol w:w="1134"/>
    </w:tblGrid>
    <w:tr>
      <w:trPr>
        <w:cantSplit/>
      </w:trPr>
      <w:tc>
        <w:tcPr>
          <w:tcW w:w="1134" w:type="dxa"/>
        </w:tcPr>
        <w:p>
          <w:pPr>
            <w:pStyle w:val="Footer"/>
          </w:pPr>
        </w:p>
      </w:tc>
      <w:tc>
        <w:tcPr>
          <w:tcW w:w="7086" w:type="dxa"/>
          <w:vAlign w:val="center"/>
        </w:tcPr>
        <w:p>
          <w:pPr>
            <w:pStyle w:val="Footer"/>
            <w:jc w:val="center"/>
          </w:pPr>
          <w:r>
            <w:rPr>
              <w:color w:val="6B7280"/>
              <w:sz w:val="16"/>
              <w:szCs w:val="16"/>
            </w:rPr>
            <w:t xml:space="preserve">Badan Nasional Penanggulangan Bencana, Graha BNPB, Jl. Pramuka Kav. 38, Jakarta Timur 13120</w:t>
          </w:r>
        </w:p>
        <w:p>
          <w:pPr>
            <w:pStyle w:val="Footer"/>
            <w:jc w:val="center"/>
          </w:pPr>
          <w:r>
            <w:rPr>
              <w:color w:val="6B7280"/>
              <w:sz w:val="16"/>
              <w:szCs w:val="16"/>
            </w:rPr>
            <w:t xml:space="preserve">Call Center 117, www.bnpb.go.id</w:t>
          </w:r>
        </w:p>
      </w:tc>
      <w:tc>
        <w:tcPr>
          <w:tcW w:w="1134" w:type="dxa"/>
          <w:vAlign w:val="center"/>
        </w:tcPr>
        <w:p>
          <w:pPr>
            <w:pStyle w:val="Footer"/>
            <w:jc w:val="right"/>
          </w:pPr>
          <w:r>
            <w:rPr>
              <w:b/>
              <w:bCs/>
              <w:color w:val="1A1A1A"/>
              <w:sz w:val="18"/>
              <w:szCs w:val="18"/>
            </w:rPr>
            <w:fldChar w:fldCharType="begin"/>
          </w:r>
          <w:r>
            <w:rPr>
              <w:b/>
              <w:bCs/>
              <w:color w:val="1A1A1A"/>
              <w:sz w:val="18"/>
              <w:szCs w:val="18"/>
            </w:rPr>
            <w:instrText xml:space="preserve"> PAGE </w:instrText>
          </w:r>
          <w:r>
            <w:rPr>
              <w:b/>
              <w:bCs/>
              <w:color w:val="1A1A1A"/>
              <w:sz w:val="18"/>
              <w:szCs w:val="18"/>
            </w:rPr>
            <w:fldChar w:fldCharType="separate"/>
          </w:r>
          <w:r>
            <w:rPr>
              <w:b/>
              <w:bCs/>
              <w:color w:val="1A1A1A"/>
              <w:sz w:val="18"/>
              <w:szCs w:val="18"/>
            </w:rPr>
            <w:t xml:space="preserve">1</w:t>
          </w:r>
          <w:r>
            <w:rPr>
              <w:b/>
              <w:bCs/>
              <w:color w:val="1A1A1A"/>
              <w:sz w:val="18"/>
              <w:szCs w:val="18"/>
            </w:rPr>
            <w:fldChar w:fldCharType="end"/>
          </w:r>
        </w:p>
      </w:tc>
    </w:tr>
  </w:tbl>
  <w:p>
    <w:pPr>
      <w:pStyle w:val="Footer"/>
      <w:spacing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 xml:space="preserve">Banjir dan longsor di Aceh, Sumatera Utara, dan Sumatera Barat dalam jendela DIBI 15 November–31 Desember 2025, dengan baris pertama berkorban 22 November; jendela dan wilayah dipilih penyusun. Porsi terhadap versi semua klasifikasi 2025 lebih kecil karena penyebutnya memuat jenis yang baru tercatat sejak 2024.</w:t>
      </w:r>
    </w:p>
  </w:footnote>
  <w:footnote w:id="2">
    <w:p>
      <w:pPr>
        <w:pStyle w:val="FootnoteText"/>
      </w:pPr>
      <w:r>
        <w:rPr>
          <w:rStyle w:val="FootnoteReference"/>
        </w:rPr>
        <w:footnoteRef/>
      </w:r>
      <w:r>
        <w:t xml:space="preserve"> </w:t>
      </w:r>
      <w:r>
        <w:t xml:space="preserve">Hitungan ini mengurangkan angka Sumatra cakupan semua laporan dari angka nasional cakupan kejadian bencana alam; di jendela Sumatra, laporan di bawah ambang kejadian bencana tidak membawa korban meninggal, sehingga selisih kedua cakupan kecil.</w:t>
      </w:r>
    </w:p>
  </w:footnote>
  <w:footnote w:id="3">
    <w:p>
      <w:pPr>
        <w:pStyle w:val="FootnoteText"/>
      </w:pPr>
      <w:r>
        <w:rPr>
          <w:rStyle w:val="FootnoteReference"/>
        </w:rPr>
        <w:footnoteRef/>
      </w:r>
      <w:r>
        <w:t xml:space="preserve"> </w:t>
      </w:r>
      <w:r>
        <w:t xml:space="preserve">Penelusuran memakai salinan UU 17/2023 dari peraturan.go.id dengan lapisan teks hasil pengenalan karakter; kutipan Pasal 353, 368–370, dan 454 belum dicocokkan ke salinan JDIH BPK. Nomor pasal Permenkes 1/2026 tidak dikutip karena teks yang dibuka berlabel rancangan.</w:t>
      </w:r>
    </w:p>
  </w:footnote>
  <w:footnote w:id="4">
    <w:p>
      <w:pPr>
        <w:pStyle w:val="FootnoteText"/>
      </w:pPr>
      <w:r>
        <w:rPr>
          <w:rStyle w:val="FootnoteReference"/>
        </w:rPr>
        <w:footnoteRef/>
      </w:r>
      <w:r>
        <w:t xml:space="preserve"> </w:t>
      </w:r>
      <w:r>
        <w:t xml:space="preserve">Batas bawah dari rilis KLH/BPLH bahwa sekitar tiga puluh persen TPA telah berhenti; batas atas </w:t>
      </w:r>
      <w:r>
        <w:t xml:space="preserve">369</w:t>
      </w:r>
      <w:r>
        <w:t xml:space="preserve"> dibagi </w:t>
      </w:r>
      <w:r>
        <w:t xml:space="preserve">485</w:t>
      </w:r>
      <w:r>
        <w:t xml:space="preserve">, dengan tafsiran kajian ini bahwa TPA yang perlu bertransformasi belum berhenti.</w:t>
      </w:r>
    </w:p>
  </w:footnote>
  <w:footnote w:id="5">
    <w:p>
      <w:pPr>
        <w:pStyle w:val="FootnoteText"/>
      </w:pPr>
      <w:r>
        <w:rPr>
          <w:rStyle w:val="FootnoteReference"/>
        </w:rPr>
        <w:footnoteRef/>
      </w:r>
      <w:r>
        <w:t xml:space="preserve"> </w:t>
      </w:r>
      <w:r>
        <w:t xml:space="preserve">Persen jenis antarkelompok masyarakat dihitung penyusun dari jumlah desa jenis itu dibagi jumlah desa/kelurahan provinsi pada Podes 2024.</w:t>
      </w:r>
    </w:p>
  </w:footnote>
  <w:footnote w:id="6">
    <w:p>
      <w:pPr>
        <w:pStyle w:val="FootnoteText"/>
      </w:pPr>
      <w:r>
        <w:rPr>
          <w:rStyle w:val="FootnoteReference"/>
        </w:rPr>
        <w:footnoteRef/>
      </w:r>
      <w:r>
        <w:t xml:space="preserve"> </w:t>
      </w:r>
      <w:r>
        <w:t xml:space="preserve">Perkiraan korban Sambas 1996–1997 yang dikutip ICG berentang </w:t>
      </w:r>
      <w:r>
        <w:t xml:space="preserve">300–3.000 jiwa</w:t>
      </w:r>
      <w:r>
        <w:t xml:space="preserve">; pita selebar satu orde itu tidak dipakai sebagai angka kartu.</w:t>
      </w:r>
    </w:p>
  </w:footnote>
  <w:footnote w:id="7">
    <w:p>
      <w:pPr>
        <w:pStyle w:val="FootnoteText"/>
      </w:pPr>
      <w:r>
        <w:rPr>
          <w:rStyle w:val="FootnoteReference"/>
        </w:rPr>
        <w:footnoteRef/>
      </w:r>
      <w:r>
        <w:t xml:space="preserve"> </w:t>
      </w:r>
      <w:r>
        <w:t xml:space="preserve">Pemetaan BNPB ke Kemenko PMK lewat Perpres 1/2019 Pasal 6 dan kementerian koordinator yang membidangi penanggulangan bencana dalam Perpres 46/2026 Pasal 3 ayat (1) adalah pemetaan penyusun dari paket data lembaga.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54" w:type="dxa"/>
      <w:tblBorders>
        <w:top w:val="nil"/>
        <w:left w:val="nil"/>
        <w:bottom w:val="single" w:sz="6" w:space="0" w:color="1A1A1A"/>
        <w:right w:val="nil"/>
        <w:insideH w:val="nil"/>
        <w:insideV w:val="nil"/>
      </w:tblBorders>
      <w:tblLayout w:type="fixed"/>
      <w:tblCellMar>
        <w:top w:w="0" w:type="dxa"/>
        <w:left w:w="0" w:type="dxa"/>
        <w:bottom w:w="60" w:type="dxa"/>
        <w:right w:w="0" w:type="dxa"/>
      </w:tblCellMar>
      <w:tblLook w:val="0000" w:firstRow="0" w:lastRow="0" w:firstColumn="0" w:lastColumn="0" w:noHBand="1" w:noVBand="1"/>
    </w:tblPr>
    <w:tblGrid>
      <w:gridCol w:w="8674"/>
      <w:gridCol w:w="680"/>
    </w:tblGrid>
    <w:tr>
      <w:trPr>
        <w:cantSplit/>
      </w:trPr>
      <w:tc>
        <w:tcPr>
          <w:tcW w:w="8674" w:type="dxa"/>
          <w:vAlign w:val="bottom"/>
        </w:tcPr>
        <w:p>
          <w:pPr>
            <w:pStyle w:val="Header"/>
            <w:pBdr>
              <w:left w:val="single" w:sz="16" w:space="4" w:color="D9600B"/>
            </w:pBdr>
            <w:ind w:left="100"/>
          </w:pPr>
          <w:r>
            <w:rPr>
              <w:b/>
              <w:bCs/>
              <w:color w:val="1A1A1A"/>
              <w:sz w:val="16"/>
              <w:szCs w:val="16"/>
            </w:rPr>
            <w:t xml:space="preserve">Kajian Mitigasi Bencana Indonesia</w:t>
          </w:r>
        </w:p>
        <w:p>
          <w:pPr>
            <w:pStyle w:val="Header"/>
            <w:pBdr>
              <w:left w:val="single" w:sz="16" w:space="4" w:color="D9600B"/>
            </w:pBdr>
            <w:ind w:left="100"/>
          </w:pPr>
          <w:r>
            <w:rPr>
              <w:color w:val="1A1A1A"/>
              <w:sz w:val="16"/>
              <w:szCs w:val="16"/>
            </w:rPr>
            <w:t xml:space="preserve">BNPB | Oktober 2026</w:t>
          </w:r>
        </w:p>
      </w:tc>
      <w:tc>
        <w:tcPr>
          <w:tcW w:w="680" w:type="dxa"/>
          <w:vAlign w:val="bottom"/>
        </w:tcPr>
        <w:p>
          <w:pPr>
            <w:pStyle w:val="Header"/>
            <w:jc w:val="right"/>
          </w:pPr>
          <w:r>
            <w:drawing>
              <wp:inline distT="0" distB="0" distL="0" distR="0">
                <wp:extent cx="228571" cy="288000"/>
                <wp:effectExtent l="0" t="0" r="0" b="0"/>
                <wp:docPr id="1" name="Gambar 1"/>
                <wp:cNvGraphicFramePr>
                  <a:graphicFrameLocks noChangeAspect="1"/>
                </wp:cNvGraphicFramePr>
                <a:graphic>
                  <a:graphicData uri="http://schemas.openxmlformats.org/drawingml/2006/picture">
                    <pic:pic>
                      <pic:nvPicPr>
                        <pic:cNvPr id="1" name="sumber-bnpb.png"/>
                        <pic:cNvPicPr/>
                      </pic:nvPicPr>
                      <pic:blipFill>
                        <a:blip r:embed="rId1"/>
                        <a:stretch>
                          <a:fillRect/>
                        </a:stretch>
                      </pic:blipFill>
                      <pic:spPr>
                        <a:xfrm>
                          <a:off x="0" y="0"/>
                          <a:ext cx="228571" cy="288000"/>
                        </a:xfrm>
                        <a:prstGeom prst="rect">
                          <a:avLst/>
                        </a:prstGeom>
                      </pic:spPr>
                    </pic:pic>
                  </a:graphicData>
                </a:graphic>
              </wp:inline>
            </w:drawing>
          </w:r>
        </w:p>
      </w:tc>
    </w:tr>
  </w:tbl>
  <w:p>
    <w:pPr>
      <w:pStyle w:val="Header"/>
      <w:spacing w:line="2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000" cy="5880600"/>
          <wp:effectExtent l="0" t="0" r="0" b="0"/>
          <wp:wrapNone/>
          <wp:docPr id="2" name="Latar 2"/>
          <wp:cNvGraphicFramePr/>
          <a:graphic>
            <a:graphicData uri="http://schemas.openxmlformats.org/drawingml/2006/picture">
              <pic:pic>
                <pic:nvPicPr>
                  <pic:cNvPr id="2" name="sampul-mitigasi-raung.jpg"/>
                  <pic:cNvPicPr/>
                </pic:nvPicPr>
                <pic:blipFill>
                  <a:blip r:embed="rId1"/>
                  <a:srcRect l="7147" r="7147"/>
                  <a:stretch>
                    <a:fillRect/>
                  </a:stretch>
                </pic:blipFill>
                <pic:spPr>
                  <a:xfrm>
                    <a:off x="0" y="0"/>
                    <a:ext cx="7560000" cy="5880600"/>
                  </a:xfrm>
                  <a:prstGeom prst="rect">
                    <a:avLst/>
                  </a:prstGeom>
                </pic:spPr>
              </pic:pic>
            </a:graphicData>
          </a:graphic>
        </wp:anchor>
      </w:drawing>
    </w:r>
    <w:r>
      <w:drawing>
        <wp:anchor distT="0" distB="0" distL="0" distR="0" simplePos="0" relativeHeight="3" behindDoc="1" locked="1" layoutInCell="1" allowOverlap="1">
          <wp:simplePos x="0" y="0"/>
          <wp:positionH relativeFrom="page">
            <wp:posOffset>0</wp:posOffset>
          </wp:positionH>
          <wp:positionV relativeFrom="page">
            <wp:posOffset>5880600</wp:posOffset>
          </wp:positionV>
          <wp:extent cx="7560000" cy="4811400"/>
          <wp:effectExtent l="0" t="0" r="0" b="0"/>
          <wp:wrapNone/>
          <wp:docPr id="3" name="Latar 3"/>
          <wp:cNvGraphicFramePr/>
          <a:graphic>
            <a:graphicData uri="http://schemas.openxmlformats.org/drawingml/2006/picture">
              <pic:pic>
                <pic:nvPicPr>
                  <pic:cNvPr id="3" name="051C2C.png"/>
                  <pic:cNvPicPr/>
                </pic:nvPicPr>
                <pic:blipFill>
                  <a:blip r:embed="rId2"/>
                  <a:stretch>
                    <a:fillRect/>
                  </a:stretch>
                </pic:blipFill>
                <pic:spPr>
                  <a:xfrm>
                    <a:off x="0" y="0"/>
                    <a:ext cx="7560000" cy="4811400"/>
                  </a:xfrm>
                  <a:prstGeom prst="rect">
                    <a:avLst/>
                  </a:prstGeom>
                </pic:spPr>
              </pic:pic>
            </a:graphicData>
          </a:graphic>
        </wp:anchor>
      </w:drawing>
    </w:r>
    <w:r>
      <w:drawing>
        <wp:anchor distT="0" distB="0" distL="0" distR="0" simplePos="0" relativeHeight="4" behindDoc="1" locked="1" layoutInCell="1" allowOverlap="1">
          <wp:simplePos x="0" y="0"/>
          <wp:positionH relativeFrom="page">
            <wp:posOffset>0</wp:posOffset>
          </wp:positionH>
          <wp:positionV relativeFrom="page">
            <wp:posOffset>5861550</wp:posOffset>
          </wp:positionV>
          <wp:extent cx="7560000" cy="38100"/>
          <wp:effectExtent l="0" t="0" r="0" b="0"/>
          <wp:wrapNone/>
          <wp:docPr id="4" name="Latar 4"/>
          <wp:cNvGraphicFramePr/>
          <a:graphic>
            <a:graphicData uri="http://schemas.openxmlformats.org/drawingml/2006/picture">
              <pic:pic>
                <pic:nvPicPr>
                  <pic:cNvPr id="4" name="D9600B.png"/>
                  <pic:cNvPicPr/>
                </pic:nvPicPr>
                <pic:blipFill>
                  <a:blip r:embed="rId3"/>
                  <a:stretch>
                    <a:fillRect/>
                  </a:stretch>
                </pic:blipFill>
                <pic:spPr>
                  <a:xfrm>
                    <a:off x="0" y="0"/>
                    <a:ext cx="7560000" cy="38100"/>
                  </a:xfrm>
                  <a:prstGeom prst="rect">
                    <a:avLst/>
                  </a:prstGeom>
                </pic:spPr>
              </pic:pic>
            </a:graphicData>
          </a:graphic>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388" behindDoc="1" locked="1" layoutInCell="1" allowOverlap="1">
          <wp:simplePos x="0" y="0"/>
          <wp:positionH relativeFrom="page">
            <wp:posOffset>0</wp:posOffset>
          </wp:positionH>
          <wp:positionV relativeFrom="page">
            <wp:posOffset>0</wp:posOffset>
          </wp:positionV>
          <wp:extent cx="7560000" cy="10692000"/>
          <wp:effectExtent l="0" t="0" r="0" b="0"/>
          <wp:wrapNone/>
          <wp:docPr id="388" name="Latar 388"/>
          <wp:cNvGraphicFramePr/>
          <a:graphic>
            <a:graphicData uri="http://schemas.openxmlformats.org/drawingml/2006/picture">
              <pic:pic>
                <pic:nvPicPr>
                  <pic:cNvPr id="388" name="051C2C.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2">
    <w:multiLevelType w:val="hybridMultilevel"/>
    <w:lvl w:ilvl="0">
      <w:start w:val="1"/>
      <w:numFmt w:val="decimal"/>
      <w:lvlText w:val="%1."/>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3">
    <w:multiLevelType w:val="singleLevel"/>
    <w:lvl w:ilvl="0">
      <w:start w:val="1"/>
      <w:numFmt w:val="decimal"/>
      <w:lvlText w:val="BAB %1"/>
      <w:lvlJc w:val="left"/>
      <w:suff w:val="nothing"/>
      <w:pPr>
        <w:ind w:left="0" w:firstLine="0"/>
      </w:pPr>
      <w:rPr>
        <w:rFonts w:ascii="Roboto" w:hAnsi="Roboto" w:cs="Roboto"/>
        <w:b/>
        <w:bCs/>
        <w:color w:val="051C2C"/>
        <w:spacing w:val="20"/>
        <w:sz w:val="18"/>
        <w:szCs w:val="18"/>
      </w:rPr>
    </w:lvl>
  </w:abstractNum>
  <w:num w:numId="1">
    <w:abstractNumId w:val="1"/>
  </w:num>
  <w:num w:numId="2">
    <w:abstractNumId w:val="2"/>
    <w:lvlOverride w:ilvl="0">
      <w:startOverride w:val="1"/>
    </w:lvlOverride>
  </w:num>
  <w:num w:numId="3">
    <w:abstractNumId w:val="2"/>
    <w:lvlOverride w:ilvl="0">
      <w:startOverride w:val="1"/>
    </w:lvlOverride>
  </w:num>
  <w:num w:numId="901">
    <w:abstractNumId w:val="3"/>
    <w:lvlOverride w:ilvl="0">
      <w:startOverride w:val="1"/>
    </w:lvlOverride>
  </w:num>
  <w:num w:numId="902">
    <w:abstractNumId w:val="3"/>
    <w:lvlOverride w:ilvl="0">
      <w:startOverride w:val="2"/>
    </w:lvlOverride>
  </w:num>
  <w:num w:numId="903">
    <w:abstractNumId w:val="3"/>
    <w:lvlOverride w:ilvl="0">
      <w:startOverride w:val="3"/>
    </w:lvlOverride>
  </w:num>
  <w:num w:numId="904">
    <w:abstractNumId w:val="3"/>
    <w:lvlOverride w:ilvl="0">
      <w:startOverride w:val="4"/>
    </w:lvlOverride>
  </w:num>
  <w:num w:numId="905">
    <w:abstractNumId w:val="3"/>
    <w:lvlOverride w:ilvl="0">
      <w:startOverride w:val="5"/>
    </w:lvlOverride>
  </w:num>
  <w:num w:numId="906">
    <w:abstractNumId w:val="3"/>
    <w:lvlOverride w:ilvl="0">
      <w:startOverride w:val="6"/>
    </w:lvlOverride>
  </w:num>
  <w:num w:numId="907">
    <w:abstractNumId w:val="3"/>
    <w:lvlOverride w:ilvl="0">
      <w:startOverride w:val="7"/>
    </w:lvlOverride>
  </w:num>
  <w:num w:numId="908">
    <w:abstractNumId w:val="3"/>
    <w:lvlOverride w:ilvl="0">
      <w:startOverride w:val="8"/>
    </w:lvlOverride>
  </w:num>
  <w:num w:numId="909">
    <w:abstractNumId w:val="3"/>
    <w:lvlOverride w:ilvl="0">
      <w:startOverride w:val="9"/>
    </w:lvlOverride>
  </w:num>
  <w:num w:numId="910">
    <w:abstractNumId w:val="3"/>
    <w:lvlOverride w:ilvl="0">
      <w:startOverride w:val="10"/>
    </w:lvlOverride>
  </w:num>
  <w:num w:numId="911">
    <w:abstractNumId w:val="3"/>
    <w:lvlOverride w:ilvl="0">
      <w:startOverride w:val="11"/>
    </w:lvlOverride>
  </w:num>
  <w:num w:numId="912">
    <w:abstractNumId w:val="3"/>
    <w:lvlOverride w:ilvl="0">
      <w:startOverride w:val="12"/>
    </w:lvlOverride>
  </w:num>
  <w:num w:numId="913">
    <w:abstractNumId w:val="3"/>
    <w:lvlOverride w:ilvl="0">
      <w:startOverride w:val="13"/>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9"/>
  <w:autoHyphenation w:val="true"/>
  <w:consecutiveHyphenLimit w:val="2"/>
  <w:hyphenationZone w:val="357"/>
  <w:characterSpacingControl w:val="doNotCompress"/>
  <w:updateFields w:val="true"/>
  <w:footnotePr>
    <w:numRestart w:val="eachSect"/>
    <w:footnote w:id="-1"/>
    <w:footnote w:id="0"/>
  </w:footnotePr>
  <w:compat>
    <w:compatSetting w:name="compatibilityMode" w:uri="http://schemas.microsoft.com/office/word" w:val="15"/>
  </w:compat>
  <w:themeFontLang w:val="id-ID"/>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Roboto" w:hAnsi="Roboto" w:eastAsia="Roboto" w:cs="Roboto"/>
        <w:color w:val="1A1A1A"/>
        <w:sz w:val="21"/>
        <w:szCs w:val="21"/>
        <w:lang w:val="id-ID" w:eastAsia="id-ID" w:bidi="ar-SA"/>
      </w:rPr>
    </w:rPrDefault>
    <w:pPrDefault>
      <w:pPr>
        <w:spacing w:after="120" w:line="276" w:lineRule="auto"/>
      </w:pPr>
    </w:pPrDefault>
  </w:docDefaults>
  <w:style w:type="paragraph" w:default="1" w:styleId="Normal">
    <w:name w:val="Normal"/>
    <w:qFormat/>
    <w:rPr>
      <w:lang w:val="id-ID" w:eastAsia="id-ID" w:bidi="ar-SA"/>
    </w:rPr>
  </w:style>
  <w:style w:type="character" w:default="1" w:styleId="DefaultParagraphFont">
    <w:name w:val="Default Paragraph Font"/>
    <w:uiPriority w:val="1"/>
    <w:semiHidden/>
    <w:rPr>
      <w:lang w:val="id-ID" w:eastAsia="id-ID" w:bidi="ar-SA"/>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si">
    <w:name w:val="Isi"/>
    <w:basedOn w:val="Normal"/>
    <w:qFormat/>
    <w:pPr>
      <w:jc w:val="both"/>
    </w:pPr>
    <w:rPr>
      <w:lang w:val="id-ID" w:eastAsia="id-ID" w:bidi="ar-SA"/>
    </w:rPr>
  </w:style>
  <w:style w:type="paragraph" w:customStyle="1" w:styleId="IsiTemuan">
    <w:name w:val="Isi Temuan"/>
    <w:basedOn w:val="Isi"/>
    <w:next w:val="IsiTemuan"/>
    <w:qFormat/>
    <w:rPr>
      <w:lang w:val="id-ID" w:eastAsia="id-ID" w:bidi="ar-SA"/>
    </w:rPr>
  </w:style>
  <w:style w:type="paragraph" w:customStyle="0" w:styleId="Heading1">
    <w:name w:val="heading 1"/>
    <w:basedOn w:val="Normal"/>
    <w:next w:val="Pertanyaan"/>
    <w:qFormat/>
    <w:pPr>
      <w:keepNext/>
      <w:keepLines/>
      <w:suppressAutoHyphens/>
      <w:spacing w:before="0" w:after="120" w:line="240" w:lineRule="auto"/>
      <w:outlineLvl w:val="0"/>
    </w:pPr>
    <w:rPr>
      <w:b/>
      <w:bCs/>
      <w:color w:val="051C2C"/>
      <w:sz w:val="40"/>
      <w:szCs w:val="40"/>
      <w:lang w:val="id-ID" w:eastAsia="id-ID" w:bidi="ar-SA"/>
    </w:rPr>
  </w:style>
  <w:style w:type="paragraph" w:customStyle="0" w:styleId="Heading2">
    <w:name w:val="heading 2"/>
    <w:basedOn w:val="Normal"/>
    <w:next w:val="Isi"/>
    <w:qFormat/>
    <w:pPr>
      <w:keepNext/>
      <w:keepLines/>
      <w:tabs>
        <w:tab w:val="left" w:pos="680"/>
      </w:tabs>
      <w:suppressAutoHyphens/>
      <w:spacing w:before="360" w:after="120" w:line="240" w:lineRule="auto"/>
      <w:ind w:left="680" w:hanging="680"/>
      <w:outlineLvl w:val="1"/>
    </w:pPr>
    <w:rPr>
      <w:b/>
      <w:bCs/>
      <w:color w:val="051C2C"/>
      <w:sz w:val="26"/>
      <w:szCs w:val="26"/>
      <w:lang w:val="id-ID" w:eastAsia="id-ID" w:bidi="ar-SA"/>
    </w:rPr>
  </w:style>
  <w:style w:type="paragraph" w:customStyle="0" w:styleId="Heading3">
    <w:name w:val="heading 3"/>
    <w:basedOn w:val="Normal"/>
    <w:next w:val="Isi"/>
    <w:qFormat/>
    <w:pPr>
      <w:keepNext/>
      <w:keepLines/>
      <w:tabs>
        <w:tab w:val="left" w:pos="794"/>
      </w:tabs>
      <w:suppressAutoHyphens/>
      <w:spacing w:before="240" w:after="120" w:line="240" w:lineRule="auto"/>
      <w:ind w:left="794" w:hanging="794"/>
      <w:outlineLvl w:val="2"/>
    </w:pPr>
    <w:rPr>
      <w:b/>
      <w:bCs/>
      <w:color w:val="2E3440"/>
      <w:sz w:val="23"/>
      <w:szCs w:val="23"/>
      <w:lang w:val="id-ID" w:eastAsia="id-ID" w:bidi="ar-SA"/>
    </w:rPr>
  </w:style>
  <w:style w:type="paragraph" w:customStyle="0" w:styleId="Heading4">
    <w:name w:val="heading 4"/>
    <w:basedOn w:val="Normal"/>
    <w:next w:val="Isi"/>
    <w:qFormat/>
    <w:pPr>
      <w:keepNext/>
      <w:suppressAutoHyphens/>
      <w:spacing w:before="120" w:after="60"/>
      <w:outlineLvl w:val="3"/>
    </w:pPr>
    <w:rPr>
      <w:b/>
      <w:bCs/>
      <w:color w:val="1A1A1A"/>
      <w:sz w:val="21"/>
      <w:szCs w:val="21"/>
      <w:lang w:val="id-ID" w:eastAsia="id-ID" w:bidi="ar-SA"/>
    </w:rPr>
  </w:style>
  <w:style w:type="paragraph" w:customStyle="1" w:styleId="Pertanyaan">
    <w:name w:val="Pertanyaan Bab"/>
    <w:basedOn w:val="Normal"/>
    <w:next w:val="Isi"/>
    <w:qFormat/>
    <w:pPr>
      <w:suppressAutoHyphens/>
      <w:spacing w:after="240"/>
    </w:pPr>
    <w:rPr>
      <w:i/>
      <w:iCs/>
      <w:color w:val="2E3440"/>
      <w:sz w:val="21"/>
      <w:szCs w:val="21"/>
      <w:lang w:val="id-ID" w:eastAsia="id-ID" w:bidi="ar-SA"/>
    </w:rPr>
  </w:style>
  <w:style w:type="paragraph" w:customStyle="1" w:styleId="JudulDepan">
    <w:name w:val="Judul Bagian Dep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DaftarIsi">
    <w:name w:val="Judul Daftar Isi"/>
    <w:basedOn w:val="Normal"/>
    <w:qFormat/>
    <w:pPr>
      <w:keepNext/>
      <w:suppressAutoHyphens/>
      <w:spacing w:after="360" w:line="240" w:lineRule="auto"/>
    </w:pPr>
    <w:rPr>
      <w:b/>
      <w:bCs/>
      <w:color w:val="051C2C"/>
      <w:sz w:val="40"/>
      <w:szCs w:val="40"/>
      <w:lang w:val="id-ID" w:eastAsia="id-ID" w:bidi="ar-SA"/>
    </w:rPr>
  </w:style>
  <w:style w:type="paragraph" w:customStyle="1" w:styleId="JudulLampiran">
    <w:name w:val="Judul Lampir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Pembatas">
    <w:name w:val="Judul Pembatas Lampiran"/>
    <w:basedOn w:val="Normal"/>
    <w:qFormat/>
    <w:pPr>
      <w:keepNext/>
      <w:suppressAutoHyphens/>
      <w:spacing w:after="360" w:line="240" w:lineRule="auto"/>
      <w:outlineLvl w:val="0"/>
    </w:pPr>
    <w:rPr>
      <w:b/>
      <w:bCs/>
      <w:color w:val="FFFFFF"/>
      <w:sz w:val="64"/>
      <w:szCs w:val="64"/>
      <w:lang w:val="id-ID" w:eastAsia="id-ID" w:bidi="ar-SA"/>
    </w:rPr>
  </w:style>
  <w:style w:type="paragraph" w:customStyle="0" w:styleId="Caption">
    <w:name w:val="caption"/>
    <w:basedOn w:val="Normal"/>
    <w:qFormat/>
    <w:pPr>
      <w:keepNext/>
      <w:suppressAutoHyphens/>
      <w:spacing w:before="240" w:after="80" w:line="240" w:lineRule="auto"/>
      <w:jc w:val="center"/>
    </w:pPr>
    <w:rPr>
      <w:color w:val="1A1A1A"/>
      <w:sz w:val="18"/>
      <w:szCs w:val="18"/>
      <w:lang w:val="id-ID" w:eastAsia="id-ID" w:bidi="ar-SA"/>
    </w:rPr>
  </w:style>
  <w:style w:type="paragraph" w:customStyle="1" w:styleId="Sumber">
    <w:name w:val="Sumber"/>
    <w:basedOn w:val="Normal"/>
    <w:qFormat/>
    <w:pPr>
      <w:suppressAutoHyphens/>
      <w:spacing w:before="60" w:after="240" w:line="240" w:lineRule="auto"/>
      <w:jc w:val="left"/>
    </w:pPr>
    <w:rPr>
      <w:color w:val="6B7280"/>
      <w:sz w:val="17"/>
      <w:szCs w:val="17"/>
      <w:lang w:val="id-ID" w:eastAsia="id-ID" w:bidi="ar-SA"/>
    </w:rPr>
  </w:style>
  <w:style w:type="paragraph" w:customStyle="1" w:styleId="IsiTabel">
    <w:name w:val="Isi Tabel"/>
    <w:basedOn w:val="Normal"/>
    <w:qFormat/>
    <w:pPr>
      <w:suppressAutoHyphens/>
      <w:spacing w:before="0" w:after="0" w:line="240" w:lineRule="auto"/>
    </w:pPr>
    <w:rPr>
      <w:color w:val="1A1A1A"/>
      <w:sz w:val="18"/>
      <w:szCs w:val="18"/>
      <w:lang w:val="id-ID" w:eastAsia="id-ID" w:bidi="ar-SA"/>
    </w:rPr>
  </w:style>
  <w:style w:type="paragraph" w:customStyle="1" w:styleId="KepalaTabel">
    <w:name w:val="Kepala Tabel"/>
    <w:basedOn w:val="IsiTabel"/>
    <w:qFormat/>
    <w:pPr>
      <w:suppressAutoHyphens/>
      <w:spacing w:before="0" w:after="0" w:line="240" w:lineRule="auto"/>
      <w:jc w:val="center"/>
    </w:pPr>
    <w:rPr>
      <w:b/>
      <w:bCs/>
      <w:color w:val="FFFFFF"/>
      <w:spacing w:val="16"/>
      <w:sz w:val="17"/>
      <w:szCs w:val="17"/>
      <w:lang w:val="id-ID" w:eastAsia="id-ID" w:bidi="ar-SA"/>
    </w:rPr>
  </w:style>
  <w:style w:type="paragraph" w:customStyle="1" w:styleId="DaftarTabel">
    <w:name w:val="Daftar Tabel Isi"/>
    <w:basedOn w:val="IsiTabel"/>
    <w:qFormat/>
    <w:pPr>
      <w:suppressAutoHyphens/>
      <w:spacing w:after="20"/>
    </w:pPr>
    <w:rPr>
      <w:lang w:val="id-ID" w:eastAsia="id-ID" w:bidi="ar-SA"/>
    </w:rPr>
  </w:style>
  <w:style w:type="paragraph" w:customStyle="1" w:styleId="IsiKotak">
    <w:name w:val="Isi Kotak"/>
    <w:basedOn w:val="Normal"/>
    <w:qFormat/>
    <w:pPr>
      <w:spacing w:after="60" w:line="276" w:lineRule="auto"/>
    </w:pPr>
    <w:rPr>
      <w:color w:val="1A1A1A"/>
      <w:sz w:val="19"/>
      <w:szCs w:val="19"/>
      <w:lang w:val="id-ID" w:eastAsia="id-ID" w:bidi="ar-SA"/>
    </w:rPr>
  </w:style>
  <w:style w:type="paragraph" w:customStyle="1" w:styleId="JudulKotak">
    <w:name w:val="Judul Kotak"/>
    <w:basedOn w:val="IsiKotak"/>
    <w:qFormat/>
    <w:pPr>
      <w:keepNext/>
      <w:suppressAutoHyphens/>
      <w:spacing w:after="80" w:line="240" w:lineRule="auto"/>
    </w:pPr>
    <w:rPr>
      <w:b/>
      <w:bCs/>
      <w:color w:val="1A1A1A"/>
      <w:sz w:val="21"/>
      <w:szCs w:val="21"/>
      <w:lang w:val="id-ID" w:eastAsia="id-ID" w:bidi="ar-SA"/>
    </w:rPr>
  </w:style>
  <w:style w:type="paragraph" w:customStyle="1" w:styleId="DaftarKotak">
    <w:name w:val="Daftar Kotak"/>
    <w:basedOn w:val="IsiKotak"/>
    <w:qFormat/>
    <w:pPr>
      <w:spacing w:after="40"/>
    </w:pPr>
    <w:rPr>
      <w:lang w:val="id-ID" w:eastAsia="id-ID" w:bidi="ar-SA"/>
    </w:rPr>
  </w:style>
  <w:style w:type="paragraph" w:customStyle="1" w:styleId="Daftar">
    <w:name w:val="Daftar Butir"/>
    <w:basedOn w:val="Normal"/>
    <w:qFormat/>
    <w:pPr>
      <w:spacing w:after="60"/>
      <w:jc w:val="both"/>
    </w:pPr>
    <w:rPr>
      <w:lang w:val="id-ID" w:eastAsia="id-ID" w:bidi="ar-SA"/>
    </w:rPr>
  </w:style>
  <w:style w:type="paragraph" w:customStyle="1" w:styleId="LabelBagian">
    <w:name w:val="Label Bagian"/>
    <w:basedOn w:val="Normal"/>
    <w:qFormat/>
    <w:pPr>
      <w:keepNext/>
      <w:suppressAutoHyphens/>
      <w:spacing w:before="180" w:after="60" w:line="240" w:lineRule="auto"/>
    </w:pPr>
    <w:rPr>
      <w:b/>
      <w:bCs/>
      <w:color w:val="2E3440"/>
      <w:spacing w:val="16"/>
      <w:sz w:val="16"/>
      <w:szCs w:val="16"/>
      <w:lang w:val="id-ID" w:eastAsia="id-ID" w:bidi="ar-SA"/>
    </w:rPr>
  </w:style>
  <w:style w:type="paragraph" w:customStyle="0" w:styleId="TOC1">
    <w:name w:val="toc 1"/>
    <w:basedOn w:val="Normal"/>
    <w:qFormat/>
    <w:pPr>
      <w:tabs>
        <w:tab w:val="left" w:pos="907"/>
        <w:tab w:val="right" w:pos="9354" w:leader="dot"/>
      </w:tabs>
      <w:suppressAutoHyphens/>
      <w:spacing w:after="60" w:line="240" w:lineRule="auto"/>
      <w:ind w:left="907" w:hanging="907"/>
    </w:pPr>
    <w:rPr>
      <w:b/>
      <w:bCs/>
      <w:color w:val="051C2C"/>
      <w:sz w:val="21"/>
      <w:szCs w:val="21"/>
      <w:lang w:val="id-ID" w:eastAsia="id-ID" w:bidi="ar-SA"/>
    </w:rPr>
  </w:style>
  <w:style w:type="paragraph" w:customStyle="0" w:styleId="TOC2">
    <w:name w:val="toc 2"/>
    <w:basedOn w:val="Normal"/>
    <w:qFormat/>
    <w:pPr>
      <w:tabs>
        <w:tab w:val="left" w:pos="1077"/>
        <w:tab w:val="right" w:pos="9354" w:leader="dot"/>
      </w:tabs>
      <w:suppressAutoHyphens/>
      <w:spacing w:after="60" w:line="240" w:lineRule="auto"/>
      <w:ind w:left="1077" w:hanging="680"/>
    </w:pPr>
    <w:rPr>
      <w:color w:val="1A1A1A"/>
      <w:sz w:val="21"/>
      <w:szCs w:val="21"/>
      <w:lang w:val="id-ID" w:eastAsia="id-ID" w:bidi="ar-SA"/>
    </w:rPr>
  </w:style>
  <w:style w:type="paragraph" w:customStyle="0" w:styleId="TOC3">
    <w:name w:val="toc 3"/>
    <w:basedOn w:val="Normal"/>
    <w:qFormat/>
    <w:pPr>
      <w:tabs>
        <w:tab w:val="left" w:pos="1587"/>
        <w:tab w:val="right" w:pos="9354" w:leader="dot"/>
      </w:tabs>
      <w:suppressAutoHyphens/>
      <w:spacing w:after="60" w:line="240" w:lineRule="auto"/>
      <w:ind w:left="1587" w:hanging="794"/>
    </w:pPr>
    <w:rPr>
      <w:color w:val="2E3440"/>
      <w:sz w:val="21"/>
      <w:szCs w:val="21"/>
      <w:lang w:val="id-ID" w:eastAsia="id-ID" w:bidi="ar-SA"/>
    </w:rPr>
  </w:style>
  <w:style w:type="paragraph" w:customStyle="0" w:styleId="TableofFigures">
    <w:name w:val="table of figures"/>
    <w:basedOn w:val="Normal"/>
    <w:qFormat/>
    <w:pPr>
      <w:tabs>
        <w:tab w:val="right" w:pos="9354" w:leader="dot"/>
      </w:tabs>
      <w:suppressAutoHyphens/>
      <w:spacing w:after="60" w:line="240" w:lineRule="auto"/>
      <w:ind w:left="1191" w:hanging="1191"/>
    </w:pPr>
    <w:rPr>
      <w:color w:val="1A1A1A"/>
      <w:sz w:val="21"/>
      <w:szCs w:val="21"/>
      <w:lang w:val="id-ID" w:eastAsia="id-ID" w:bidi="ar-SA"/>
    </w:rPr>
  </w:style>
  <w:style w:type="paragraph" w:customStyle="0" w:styleId="FootnoteText">
    <w:name w:val="footnote text"/>
    <w:basedOn w:val="Normal"/>
    <w:qFormat/>
    <w:pPr>
      <w:spacing w:after="0" w:line="240" w:lineRule="auto"/>
    </w:pPr>
    <w:rPr>
      <w:color w:val="1A1A1A"/>
      <w:sz w:val="16"/>
      <w:szCs w:val="16"/>
      <w:lang w:val="id-ID" w:eastAsia="id-ID" w:bidi="ar-SA"/>
    </w:rPr>
  </w:style>
  <w:style w:type="character" w:customStyle="0" w:styleId="FootnoteReference">
    <w:name w:val="footnote reference"/>
    <w:basedOn w:val="DefaultParagraphFont"/>
    <w:qFormat/>
    <w:rPr>
      <w:vertAlign w:val="superscript"/>
      <w:lang w:val="id-ID" w:eastAsia="id-ID" w:bidi="ar-SA"/>
    </w:rPr>
  </w:style>
  <w:style w:type="paragraph" w:customStyle="0" w:styleId="Header">
    <w:name w:val="header"/>
    <w:basedOn w:val="Normal"/>
    <w:qFormat/>
    <w:pPr>
      <w:suppressAutoHyphens/>
      <w:spacing w:after="0" w:line="240" w:lineRule="auto"/>
    </w:pPr>
    <w:rPr>
      <w:color w:val="1A1A1A"/>
      <w:sz w:val="16"/>
      <w:szCs w:val="16"/>
      <w:lang w:val="id-ID" w:eastAsia="id-ID" w:bidi="ar-SA"/>
    </w:rPr>
  </w:style>
  <w:style w:type="paragraph" w:customStyle="0" w:styleId="Footer">
    <w:name w:val="footer"/>
    <w:basedOn w:val="Normal"/>
    <w:qFormat/>
    <w:pPr>
      <w:suppressAutoHyphens/>
      <w:spacing w:after="0" w:line="240" w:lineRule="auto"/>
    </w:pPr>
    <w:rPr>
      <w:color w:val="6B7280"/>
      <w:sz w:val="16"/>
      <w:szCs w:val="16"/>
      <w:lang w:val="id-ID" w:eastAsia="id-ID" w:bidi="ar-SA"/>
    </w:rPr>
  </w:style>
  <w:style w:type="paragraph" w:customStyle="1" w:styleId="Pustaka">
    <w:name w:val="Pustaka"/>
    <w:basedOn w:val="Normal"/>
    <w:qFormat/>
    <w:pPr>
      <w:spacing w:after="120"/>
      <w:ind w:left="709" w:hanging="709"/>
    </w:pPr>
    <w:rPr>
      <w:color w:val="1A1A1A"/>
      <w:sz w:val="20"/>
      <w:szCs w:val="20"/>
      <w:lang w:val="id-ID" w:eastAsia="id-ID" w:bidi="ar-SA"/>
    </w:rPr>
  </w:style>
  <w:style w:type="paragraph" w:customStyle="1" w:styleId="Jarak">
    <w:name w:val="Jarak Objek"/>
    <w:basedOn w:val="Normal"/>
    <w:qFormat/>
    <w:pPr>
      <w:suppressAutoHyphens/>
      <w:spacing w:before="0" w:after="0" w:line="120" w:lineRule="exact"/>
    </w:pPr>
    <w:rPr>
      <w:lang w:val="id-ID" w:eastAsia="id-ID" w:bidi="ar-SA"/>
    </w:rPr>
  </w:style>
  <w:style w:type="paragraph" w:customStyle="1" w:styleId="Sampul">
    <w:name w:val="Sampul"/>
    <w:basedOn w:val="Normal"/>
    <w:qFormat/>
    <w:pPr>
      <w:suppressAutoHyphens/>
    </w:pPr>
    <w:rPr>
      <w:lang w:val="id-ID" w:eastAsia="id-ID" w:bidi="ar-SA"/>
    </w:rPr>
  </w:style>
  <w:style w:type="paragraph" w:customStyle="1" w:styleId="Chip">
    <w:name w:val="Chip Lembaga"/>
    <w:basedOn w:val="IsiKotak"/>
    <w:qFormat/>
    <w:pPr>
      <w:suppressAutoHyphens/>
    </w:pPr>
    <w:rPr>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jp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jp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jp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jp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jp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jp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jp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pn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jpg"/><Relationship Id="rId102" Type="http://schemas.openxmlformats.org/officeDocument/2006/relationships/image" Target="media/image92.png"/><Relationship Id="rId103" Type="http://schemas.openxmlformats.org/officeDocument/2006/relationships/header" Target="header4.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BNPB">
      <a:dk1>
        <a:srgbClr val="1A1A1A"/>
      </a:dk1>
      <a:lt1>
        <a:srgbClr val="FFFFFF"/>
      </a:lt1>
      <a:dk2>
        <a:srgbClr val="051C2C"/>
      </a:dk2>
      <a:lt2>
        <a:srgbClr val="F3F5F8"/>
      </a:lt2>
      <a:accent1>
        <a:srgbClr val="051C2C"/>
      </a:accent1>
      <a:accent2>
        <a:srgbClr val="D9600B"/>
      </a:accent2>
      <a:accent3>
        <a:srgbClr val="2F86D1"/>
      </a:accent3>
      <a:accent4>
        <a:srgbClr val="3F5F80"/>
      </a:accent4>
      <a:accent5>
        <a:srgbClr val="5B7A99"/>
      </a:accent5>
      <a:accent6>
        <a:srgbClr val="2E3440"/>
      </a:accent6>
      <a:hlink>
        <a:srgbClr val="051C2C"/>
      </a:hlink>
      <a:folHlink>
        <a:srgbClr val="2E3440"/>
      </a:folHlink>
    </a:clrScheme>
    <a:fontScheme name="Offic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chemeClr val="tx1">
                <a:alpha val="38000"/>
              </a:schemeClr>
            </a:outerShdw>
          </a:effectLst>
        </a:effectStyle>
        <a:effectStyle>
          <a:effectLst>
            <a:outerShdw blurRad="40000" dist="23000" dir="5400000" rotWithShape="0">
              <a:schemeClr val="tx1">
                <a:alpha val="35000"/>
              </a:schemeClr>
            </a:outerShdw>
          </a:effectLst>
        </a:effectStyle>
        <a:effectStyle>
          <a:effectLst>
            <a:outerShdw blurRad="40000" dist="23000" dir="5400000" rotWithShape="0">
              <a:schemeClr val="tx1">
                <a:alpha val="35000"/>
              </a:scheme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393</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AppVersion>14.0000</AppVersion>
  <Company>Badan Nasional Penanggulangan Bencana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Design Mitigasi Bencana Indonesia 2026–2030</dc:title>
  <dc:subject>Strategi Prabencana, Tanggap Darurat, dan Pascabencana</dc:subject>
  <dc:creator>Badan Nasional Penanggulangan Bencana</dc:creator>
  <cp:keywords>BNPB; penanggulangan bencana; mitigasi bencana; Indonesia; grand design; skenario terburuk; prabencana</cp:keywords>
  <dc:description/>
  <cp:lastModifiedBy>Badan Nasional Penanggulangan Bencana</cp:lastModifiedBy>
  <cp:revision>1</cp:revision>
  <dcterms:created xsi:type="dcterms:W3CDTF">2026-10-25T12:48:45Z</dcterms:created>
  <dcterms:modified xsi:type="dcterms:W3CDTF">2026-10-25T12:48:45Z</dcterms:modified>
  <cp:category>Kajian kebijakan</cp:category>
  <dc:language>id-ID</dc:language>
</cp:coreProperties>
</file>