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440"/>
            <w:shd w:val="clear" w:color="auto" w:fill="2D9B6F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i w:val="0"/>
                <w:color w:val="FFFFFF"/>
                <w:sz w:val="40"/>
              </w:rPr>
              <w:t>♥  KidWell</w:t>
            </w:r>
          </w:p>
        </w:tc>
      </w:tr>
    </w:tbl>
    <w:p/>
    <w:p>
      <w:pPr>
        <w:spacing w:before="0" w:after="40"/>
        <w:jc w:val="center"/>
      </w:pPr>
      <w:r>
        <w:rPr>
          <w:rFonts w:ascii="Segoe UI" w:hAnsi="Segoe UI"/>
          <w:b/>
          <w:i w:val="0"/>
          <w:color w:val="1F6F50"/>
          <w:sz w:val="88"/>
        </w:rPr>
        <w:t>KidWell</w:t>
      </w:r>
    </w:p>
    <w:p>
      <w:pPr>
        <w:spacing w:before="0" w:after="360"/>
        <w:jc w:val="center"/>
      </w:pPr>
      <w:r>
        <w:rPr>
          <w:rFonts w:ascii="Segoe UI" w:hAnsi="Segoe UI"/>
          <w:b w:val="0"/>
          <w:i w:val="0"/>
          <w:color w:val="5A6F65"/>
          <w:sz w:val="32"/>
        </w:rPr>
        <w:t>AI-Powered School Wellbeing Platform</w:t>
      </w:r>
    </w:p>
    <w:p>
      <w:pPr>
        <w:spacing w:before="0" w:after="80"/>
        <w:jc w:val="center"/>
      </w:pPr>
      <w:r>
        <w:rPr>
          <w:rFonts w:ascii="Segoe UI" w:hAnsi="Segoe UI"/>
          <w:b w:val="0"/>
          <w:i/>
          <w:color w:val="1A2E24"/>
          <w:sz w:val="26"/>
        </w:rPr>
        <w:t>Helping schools catch student wellbeing issues early —</w:t>
      </w:r>
    </w:p>
    <w:p>
      <w:pPr>
        <w:spacing w:before="0" w:after="600"/>
        <w:jc w:val="center"/>
      </w:pPr>
      <w:r>
        <w:rPr>
          <w:rFonts w:ascii="Segoe UI" w:hAnsi="Segoe UI"/>
          <w:b w:val="0"/>
          <w:i/>
          <w:color w:val="1A2E24"/>
          <w:sz w:val="26"/>
        </w:rPr>
        <w:t>before they become a crisis.</w:t>
      </w:r>
    </w:p>
    <w:p/>
    <w:p/>
    <w:p/>
    <w:p/>
    <w:p>
      <w:pPr>
        <w:spacing w:before="0" w:after="0"/>
        <w:jc w:val="center"/>
      </w:pPr>
      <w:r>
        <w:rPr>
          <w:rFonts w:ascii="Segoe UI" w:hAnsi="Segoe UI"/>
          <w:b/>
          <w:i w:val="0"/>
          <w:color w:val="2D9B6F"/>
          <w:sz w:val="22"/>
        </w:rPr>
        <w:t>Wellness Hackathon 2026  ·  Heal. Build. Thrive.</w:t>
      </w:r>
    </w:p>
    <w:p>
      <w:pPr>
        <w:jc w:val="center"/>
      </w:pPr>
      <w:r>
        <w:rPr>
          <w:rFonts w:ascii="Segoe UI" w:hAnsi="Segoe UI"/>
          <w:b w:val="0"/>
          <w:i w:val="0"/>
          <w:color w:val="5A6F65"/>
          <w:sz w:val="20"/>
        </w:rPr>
        <w:t>Pitch Deck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01 · THE PROBLEM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Schools find out too late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4"/>
        </w:rPr>
        <w:t>Student wellbeing is the foundation of learning — yet most schools have no systematic way to monitor it. Stress, anxiety, poor sleep, and low mood usually go unnoticed until they erupt into a crisis.</w:t>
      </w:r>
    </w:p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Who feels the pain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Students: </w:t>
      </w:r>
      <w:r>
        <w:rPr>
          <w:rFonts w:ascii="Segoe UI" w:hAnsi="Segoe UI"/>
          <w:b w:val="0"/>
          <w:i w:val="0"/>
          <w:color w:val="1A2E24"/>
          <w:sz w:val="22"/>
        </w:rPr>
        <w:t>struggle silently; many appear fine externally while declining internally.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Counsellors: </w:t>
      </w:r>
      <w:r>
        <w:rPr>
          <w:rFonts w:ascii="Segoe UI" w:hAnsi="Segoe UI"/>
          <w:b w:val="0"/>
          <w:i w:val="0"/>
          <w:color w:val="1A2E24"/>
          <w:sz w:val="22"/>
        </w:rPr>
        <w:t>are responsible for hundreds of students with no early-warning signal.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Parents: </w:t>
      </w:r>
      <w:r>
        <w:rPr>
          <w:rFonts w:ascii="Segoe UI" w:hAnsi="Segoe UI"/>
          <w:b w:val="0"/>
          <w:i w:val="0"/>
          <w:color w:val="1A2E24"/>
          <w:sz w:val="22"/>
        </w:rPr>
        <w:t>are often the last to know something is wrong.</w:t>
      </w:r>
    </w:p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Why it happens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No early signal — support is reactive, triggered only after a crisis.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Counsellors are stretched thin and can't manually track every student.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Existing tools are expensive, Western, and feel like surveillance.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E8F5EF"/>
            <w:tcMar>
              <w:top w:w="150" w:type="dxa"/>
              <w:bottom w:w="150" w:type="dxa"/>
              <w:start w:w="200" w:type="dxa"/>
              <w:end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i w:val="0"/>
                <w:color w:val="1F6F50"/>
                <w:sz w:val="24"/>
              </w:rPr>
              <w:t>By the time a student's struggle is visible, it is often already a crisis.</w:t>
            </w:r>
          </w:p>
        </w:tc>
      </w:tr>
    </w:tbl>
    <w:p/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02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02 · WHY IT MATTERS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A large, urgent, preventable problem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4"/>
        </w:rPr>
        <w:t>Mental wellbeing among young people is one of the defining challenges of our time — and the evidence shows early, preventive support works.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3264"/>
            <w:shd w:val="clear" w:color="auto" w:fill="F0FAF5"/>
            <w:tcMar>
              <w:top w:w="180" w:type="dxa"/>
              <w:bottom w:w="1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i w:val="0"/>
                <w:color w:val="2D9B6F"/>
                <w:sz w:val="48"/>
              </w:rPr>
              <w:t>1 in 7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/>
                <w:b w:val="0"/>
                <w:i w:val="0"/>
                <w:color w:val="5A6F65"/>
                <w:sz w:val="19"/>
              </w:rPr>
              <w:t>adolescents (10–19) experience a mental disorder — WHO</w:t>
            </w:r>
          </w:p>
        </w:tc>
        <w:tc>
          <w:tcPr>
            <w:tcW w:type="dxa" w:w="3264"/>
            <w:shd w:val="clear" w:color="auto" w:fill="F0FAF5"/>
            <w:tcMar>
              <w:top w:w="180" w:type="dxa"/>
              <w:bottom w:w="1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i w:val="0"/>
                <w:color w:val="2D9B6F"/>
                <w:sz w:val="48"/>
              </w:rPr>
              <w:t>75%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/>
                <w:b w:val="0"/>
                <w:i w:val="0"/>
                <w:color w:val="5A6F65"/>
                <w:sz w:val="19"/>
              </w:rPr>
              <w:t>of mental-health conditions emerge before age 24</w:t>
            </w:r>
          </w:p>
        </w:tc>
        <w:tc>
          <w:tcPr>
            <w:tcW w:type="dxa" w:w="3264"/>
            <w:shd w:val="clear" w:color="auto" w:fill="F0FAF5"/>
            <w:tcMar>
              <w:top w:w="180" w:type="dxa"/>
              <w:bottom w:w="180" w:type="dxa"/>
              <w:start w:w="120" w:type="dxa"/>
              <w:end w:w="1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Segoe UI" w:hAnsi="Segoe UI"/>
                <w:b/>
                <w:i w:val="0"/>
                <w:color w:val="2D9B6F"/>
                <w:sz w:val="48"/>
              </w:rPr>
              <w:t>Prevention</w:t>
            </w:r>
          </w:p>
          <w:p>
            <w:pPr>
              <w:spacing w:before="0" w:after="0"/>
              <w:jc w:val="center"/>
            </w:pPr>
            <w:r>
              <w:rPr>
                <w:rFonts w:ascii="Segoe UI" w:hAnsi="Segoe UI"/>
                <w:b w:val="0"/>
                <w:i w:val="0"/>
                <w:color w:val="5A6F65"/>
                <w:sz w:val="19"/>
              </w:rPr>
              <w:t>early intervention beats crisis response</w:t>
            </w:r>
          </w:p>
        </w:tc>
      </w:tr>
    </w:tbl>
    <w:p/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The opportunity in Ethiopia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School counsellors are scarce — most students have no structured wellbeing support.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Private urban schools have budgets, devices, and engaged parents — a ready beachhead.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AI can extend one counsellor's reach across an entire school, affordably.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AF5"/>
            <w:tcMar>
              <w:top w:w="150" w:type="dxa"/>
              <w:bottom w:w="150" w:type="dxa"/>
              <w:start w:w="200" w:type="dxa"/>
              <w:end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 w:val="0"/>
                <w:i/>
                <w:color w:val="1F6F50"/>
                <w:sz w:val="24"/>
              </w:rPr>
              <w:t>“The best solutions focus on prevention, not just crisis intervention.”</w:t>
            </w:r>
          </w:p>
        </w:tc>
      </w:tr>
    </w:tbl>
    <w:p/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03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03 · THE SOLUTION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Meet KidWell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4"/>
        </w:rPr>
        <w:t>KidWell is an AI-powered school wellbeing platform that turns lightweight student check-ins into early, supportive action — connecting students, parents, and counsellors on one safe interface.</w:t>
      </w:r>
    </w:p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One simple loop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2D9B6F"/>
            <w:tcMar>
              <w:top w:w="150" w:type="dxa"/>
              <w:bottom w:w="150" w:type="dxa"/>
              <w:start w:w="200" w:type="dxa"/>
              <w:end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i w:val="0"/>
                <w:color w:val="FFFFFF"/>
                <w:sz w:val="25"/>
              </w:rPr>
              <w:t>Student checks in   →   AI spots patterns   →   Counsellor has a caring conversation</w:t>
            </w:r>
          </w:p>
        </w:tc>
      </w:tr>
    </w:tbl>
    <w:p/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Three connected experiences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Role</w:t>
            </w:r>
          </w:p>
        </w:tc>
        <w:tc>
          <w:tcPr>
            <w:tcW w:type="dxa" w:w="8064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What they get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Student</w:t>
            </w:r>
          </w:p>
        </w:tc>
        <w:tc>
          <w:tcPr>
            <w:tcW w:type="dxa" w:w="8064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A 30-second daily check-in + an instant, encouraging wellbeing score and a personalised nutrition plan.</w:t>
            </w:r>
          </w:p>
        </w:tc>
      </w:tr>
      <w:tr>
        <w:tc>
          <w:tcPr>
            <w:tcW w:type="dxa" w:w="2016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Parent</w:t>
            </w:r>
          </w:p>
        </w:tc>
        <w:tc>
          <w:tcPr>
            <w:tcW w:type="dxa" w:w="8064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A clear dashboard of their child's wellbeing trend and AI summaries — positive, never alarming.</w:t>
            </w:r>
          </w:p>
        </w:tc>
      </w:tr>
      <w:tr>
        <w:tc>
          <w:tcPr>
            <w:tcW w:type="dxa" w:w="2016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Counsellor</w:t>
            </w:r>
          </w:p>
        </w:tc>
        <w:tc>
          <w:tcPr>
            <w:tcW w:type="dxa" w:w="8064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A prioritised list of students who may need support, plus an AI brief for each conversation.</w:t>
            </w:r>
          </w:p>
        </w:tc>
      </w:tr>
    </w:tbl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04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04 · HOW IT WORKS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Three load-bearing AI features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4"/>
        </w:rPr>
        <w:t>AI is the engine, not a gimmick. Each feature does real work the product could not deliver without 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AI Feature</w:t>
            </w:r>
          </w:p>
        </w:tc>
        <w:tc>
          <w:tcPr>
            <w:tcW w:type="dxa" w:w="3312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Input</w:t>
            </w:r>
          </w:p>
        </w:tc>
        <w:tc>
          <w:tcPr>
            <w:tcW w:type="dxa" w:w="4320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Output</w:t>
            </w:r>
          </w:p>
        </w:tc>
      </w:tr>
      <w:tr>
        <w:tc>
          <w:tcPr>
            <w:tcW w:type="dxa" w:w="244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Wellbeing Score</w:t>
            </w:r>
          </w:p>
        </w:tc>
        <w:tc>
          <w:tcPr>
            <w:tcW w:type="dxa" w:w="3312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Mood, energy, sleep, pain</w:t>
            </w:r>
          </w:p>
        </w:tc>
        <w:tc>
          <w:tcPr>
            <w:tcW w:type="dxa" w:w="432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A 0–100 score + one encouraging, age-appropriate summary</w:t>
            </w:r>
          </w:p>
        </w:tc>
      </w:tr>
      <w:tr>
        <w:tc>
          <w:tcPr>
            <w:tcW w:type="dxa" w:w="2448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Nutrition Plan</w:t>
            </w:r>
          </w:p>
        </w:tc>
        <w:tc>
          <w:tcPr>
            <w:tcW w:type="dxa" w:w="3312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Student profile + local context</w:t>
            </w:r>
          </w:p>
        </w:tc>
        <w:tc>
          <w:tcPr>
            <w:tcW w:type="dxa" w:w="4320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A 3-day Ethiopian meal plan with rationale</w:t>
            </w:r>
          </w:p>
        </w:tc>
      </w:tr>
      <w:tr>
        <w:tc>
          <w:tcPr>
            <w:tcW w:type="dxa" w:w="244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Counsellor Brief</w:t>
            </w:r>
          </w:p>
        </w:tc>
        <w:tc>
          <w:tcPr>
            <w:tcW w:type="dxa" w:w="3312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Recent check-in patterns</w:t>
            </w:r>
          </w:p>
        </w:tc>
        <w:tc>
          <w:tcPr>
            <w:tcW w:type="dxa" w:w="432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Neutral summary, key concerns, and conversation starters</w:t>
            </w:r>
          </w:p>
        </w:tc>
      </w:tr>
    </w:tbl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Built on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AI: </w:t>
      </w:r>
      <w:r>
        <w:rPr>
          <w:rFonts w:ascii="Segoe UI" w:hAnsi="Segoe UI"/>
          <w:b w:val="0"/>
          <w:i w:val="0"/>
          <w:color w:val="1A2E24"/>
          <w:sz w:val="22"/>
        </w:rPr>
        <w:t>Large language model via API, called securely server-side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App: </w:t>
      </w:r>
      <w:r>
        <w:rPr>
          <w:rFonts w:ascii="Segoe UI" w:hAnsi="Segoe UI"/>
          <w:b w:val="0"/>
          <w:i w:val="0"/>
          <w:color w:val="1A2E24"/>
          <w:sz w:val="22"/>
        </w:rPr>
        <w:t>Next.js + React dashboard, clean and mobile-friendly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Privacy: </w:t>
      </w:r>
      <w:r>
        <w:rPr>
          <w:rFonts w:ascii="Segoe UI" w:hAnsi="Segoe UI"/>
          <w:b w:val="0"/>
          <w:i w:val="0"/>
          <w:color w:val="1A2E24"/>
          <w:sz w:val="22"/>
        </w:rPr>
        <w:t>Personal data is never exposed to the client or the model</w:t>
      </w:r>
    </w:p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05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05 · SAFETY &amp; ETHICS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Trust is the product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4"/>
        </w:rPr>
        <w:t>Children's mental-health data is the most sensitive data there is. KidWell is designed safe-by-default — and we make that our headline, not a disclaimer.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Never diagnoses: </w:t>
      </w:r>
      <w:r>
        <w:rPr>
          <w:rFonts w:ascii="Segoe UI" w:hAnsi="Segoe UI"/>
          <w:b w:val="0"/>
          <w:i w:val="0"/>
          <w:color w:val="1A2E24"/>
          <w:sz w:val="22"/>
        </w:rPr>
        <w:t>the AI describes patterns only — no labels, no clinical conditions.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Human-in-the-loop: </w:t>
      </w:r>
      <w:r>
        <w:rPr>
          <w:rFonts w:ascii="Segoe UI" w:hAnsi="Segoe UI"/>
          <w:b w:val="0"/>
          <w:i w:val="0"/>
          <w:color w:val="1A2E24"/>
          <w:sz w:val="22"/>
        </w:rPr>
        <w:t>every insight is a suggestion; a trained counsellor always decides.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Consent-first: </w:t>
      </w:r>
      <w:r>
        <w:rPr>
          <w:rFonts w:ascii="Segoe UI" w:hAnsi="Segoe UI"/>
          <w:b w:val="0"/>
          <w:i w:val="0"/>
          <w:color w:val="1A2E24"/>
          <w:sz w:val="22"/>
        </w:rPr>
        <w:t>parental consent and student assent before any check-in.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Non-punitive: </w:t>
      </w:r>
      <w:r>
        <w:rPr>
          <w:rFonts w:ascii="Segoe UI" w:hAnsi="Segoe UI"/>
          <w:b w:val="0"/>
          <w:i w:val="0"/>
          <w:color w:val="1A2E24"/>
          <w:sz w:val="22"/>
        </w:rPr>
        <w:t>wellbeing data is private to the support person, never used for discipline.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No overreaction: </w:t>
      </w:r>
      <w:r>
        <w:rPr>
          <w:rFonts w:ascii="Segoe UI" w:hAnsi="Segoe UI"/>
          <w:b w:val="0"/>
          <w:i w:val="0"/>
          <w:color w:val="1A2E24"/>
          <w:sz w:val="22"/>
        </w:rPr>
        <w:t>a flag appears only after multiple signals over time, never one bad day.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E8F5EF"/>
            <w:tcMar>
              <w:top w:w="150" w:type="dxa"/>
              <w:bottom w:w="150" w:type="dxa"/>
              <w:start w:w="200" w:type="dxa"/>
              <w:end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i w:val="0"/>
                <w:color w:val="1F6F50"/>
                <w:sz w:val="24"/>
              </w:rPr>
              <w:t>Not a diagnostic tool — KidWell helps humans help students, sooner.</w:t>
            </w:r>
          </w:p>
        </w:tc>
      </w:tr>
    </w:tbl>
    <w:p/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06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06 · BUSINESS MODEL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A clear, sustainable revenue model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4"/>
        </w:rPr>
        <w:t>KidWell is B2B: schools pay because it saves counsellor time and gives them a duty-of-care story for parents.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160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Stream</w:t>
            </w:r>
          </w:p>
        </w:tc>
        <w:tc>
          <w:tcPr>
            <w:tcW w:type="dxa" w:w="2736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Customer</w:t>
            </w:r>
          </w:p>
        </w:tc>
        <w:tc>
          <w:tcPr>
            <w:tcW w:type="dxa" w:w="3168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Model</w:t>
            </w:r>
          </w:p>
        </w:tc>
        <w:tc>
          <w:tcPr>
            <w:tcW w:type="dxa" w:w="2016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Pricing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Core SaaS</w:t>
            </w:r>
          </w:p>
        </w:tc>
        <w:tc>
          <w:tcPr>
            <w:tcW w:type="dxa" w:w="2736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Private schools</w:t>
            </w:r>
          </w:p>
        </w:tc>
        <w:tc>
          <w:tcPr>
            <w:tcW w:type="dxa" w:w="316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Per-student / year</w:t>
            </w:r>
          </w:p>
        </w:tc>
        <w:tc>
          <w:tcPr>
            <w:tcW w:type="dxa" w:w="2016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~120–200 birr / student</w:t>
            </w:r>
          </w:p>
        </w:tc>
      </w:tr>
      <w:tr>
        <w:tc>
          <w:tcPr>
            <w:tcW w:type="dxa" w:w="2160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Premium</w:t>
            </w:r>
          </w:p>
        </w:tc>
        <w:tc>
          <w:tcPr>
            <w:tcW w:type="dxa" w:w="2736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Schools</w:t>
            </w:r>
          </w:p>
        </w:tc>
        <w:tc>
          <w:tcPr>
            <w:tcW w:type="dxa" w:w="3168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Advanced analytics add-on</w:t>
            </w:r>
          </w:p>
        </w:tc>
        <w:tc>
          <w:tcPr>
            <w:tcW w:type="dxa" w:w="2016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Tiered upgrade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Expansion</w:t>
            </w:r>
          </w:p>
        </w:tc>
        <w:tc>
          <w:tcPr>
            <w:tcW w:type="dxa" w:w="2736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NGOs / donors</w:t>
            </w:r>
          </w:p>
        </w:tc>
        <w:tc>
          <w:tcPr>
            <w:tcW w:type="dxa" w:w="3168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Funded public-school rollouts</w:t>
            </w:r>
          </w:p>
        </w:tc>
        <w:tc>
          <w:tcPr>
            <w:tcW w:type="dxa" w:w="2016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Grant-based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AF5"/>
            <w:tcMar>
              <w:top w:w="150" w:type="dxa"/>
              <w:bottom w:w="150" w:type="dxa"/>
              <w:start w:w="200" w:type="dxa"/>
              <w:end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i w:val="0"/>
                <w:color w:val="1F6F50"/>
                <w:sz w:val="24"/>
              </w:rPr>
              <w:t>A 500-student school ≈ 60,000–100,000 birr / year in recurring revenue.</w:t>
            </w:r>
          </w:p>
        </w:tc>
      </w:tr>
    </w:tbl>
    <w:p/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Land &amp; expand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3"/>
        </w:rPr>
        <w:t>Private urban schools  →  private-school networks  →  NGO-funded public schools  →  district &amp; government.</w:t>
      </w:r>
    </w:p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07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07 · LOCALIZATION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Built for Ethiopia — in local languages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4"/>
        </w:rPr>
        <w:t>Most wellness tools are English-only and feel foreign. KidWell is designed for Ethiopian schools, families, and counsellors from day one.</w:t>
      </w:r>
    </w:p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Supported languages (MVP)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Language</w:t>
            </w:r>
          </w:p>
        </w:tc>
        <w:tc>
          <w:tcPr>
            <w:tcW w:type="dxa" w:w="2160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Script</w:t>
            </w:r>
          </w:p>
        </w:tc>
        <w:tc>
          <w:tcPr>
            <w:tcW w:type="dxa" w:w="5040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Who it serves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English</w:t>
            </w:r>
          </w:p>
        </w:tc>
        <w:tc>
          <w:tcPr>
            <w:tcW w:type="dxa" w:w="21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Latin</w:t>
            </w:r>
          </w:p>
        </w:tc>
        <w:tc>
          <w:tcPr>
            <w:tcW w:type="dxa" w:w="504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International schools, demos, judges</w:t>
            </w:r>
          </w:p>
        </w:tc>
      </w:tr>
      <w:tr>
        <w:tc>
          <w:tcPr>
            <w:tcW w:type="dxa" w:w="2880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Amharic (አማርኛ)</w:t>
            </w:r>
          </w:p>
        </w:tc>
        <w:tc>
          <w:tcPr>
            <w:tcW w:type="dxa" w:w="2160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Ge'ez script</w:t>
            </w:r>
          </w:p>
        </w:tc>
        <w:tc>
          <w:tcPr>
            <w:tcW w:type="dxa" w:w="5040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Urban schools and families across Ethiopia</w:t>
            </w:r>
          </w:p>
        </w:tc>
      </w:tr>
      <w:tr>
        <w:tc>
          <w:tcPr>
            <w:tcW w:type="dxa" w:w="288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Afaan Oromo</w:t>
            </w:r>
          </w:p>
        </w:tc>
        <w:tc>
          <w:tcPr>
            <w:tcW w:type="dxa" w:w="21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Latin</w:t>
            </w:r>
          </w:p>
        </w:tc>
        <w:tc>
          <w:tcPr>
            <w:tcW w:type="dxa" w:w="504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Oromia region — Ethiopia's largest language group</w:t>
            </w:r>
          </w:p>
        </w:tc>
      </w:tr>
    </w:tbl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What is localized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Full UI: </w:t>
      </w:r>
      <w:r>
        <w:rPr>
          <w:rFonts w:ascii="Segoe UI" w:hAnsi="Segoe UI"/>
          <w:b w:val="0"/>
          <w:i w:val="0"/>
          <w:color w:val="1A2E24"/>
          <w:sz w:val="22"/>
        </w:rPr>
        <w:t>login, dashboards, check-in forms, counsellor tools — switch language instantly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AI responses: </w:t>
      </w:r>
      <w:r>
        <w:rPr>
          <w:rFonts w:ascii="Segoe UI" w:hAnsi="Segoe UI"/>
          <w:b w:val="0"/>
          <w:i w:val="0"/>
          <w:color w:val="1A2E24"/>
          <w:sz w:val="22"/>
        </w:rPr>
        <w:t>wellbeing summaries, nutrition plans, and counsellor briefs generated in the selected language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Cultural context: </w:t>
      </w:r>
      <w:r>
        <w:rPr>
          <w:rFonts w:ascii="Segoe UI" w:hAnsi="Segoe UI"/>
          <w:b w:val="0"/>
          <w:i w:val="0"/>
          <w:color w:val="1A2E24"/>
          <w:sz w:val="22"/>
        </w:rPr>
        <w:t>Ethiopian foods, local diet, and school realities baked into AI prompts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AF5"/>
            <w:tcMar>
              <w:top w:w="150" w:type="dxa"/>
              <w:bottom w:w="150" w:type="dxa"/>
              <w:start w:w="200" w:type="dxa"/>
              <w:end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i w:val="0"/>
                <w:color w:val="1F6F50"/>
                <w:sz w:val="24"/>
              </w:rPr>
              <w:t>One tap to switch: English · አማርኛ · Afaan Oromoo — UI and AI follow together.</w:t>
            </w:r>
          </w:p>
        </w:tc>
      </w:tr>
    </w:tbl>
    <w:p/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08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08 · MARKET &amp; EDGE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Why KidWell wins</w:t>
            </w:r>
          </w:p>
        </w:tc>
      </w:tr>
    </w:tbl>
    <w:p/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Our differentiation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Local-first: </w:t>
      </w:r>
      <w:r>
        <w:rPr>
          <w:rFonts w:ascii="Segoe UI" w:hAnsi="Segoe UI"/>
          <w:b w:val="0"/>
          <w:i w:val="0"/>
          <w:color w:val="1A2E24"/>
          <w:sz w:val="22"/>
        </w:rPr>
        <w:t>Amharic-ready, affordable, designed for Ethiopian schools.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Teacher-mediated: </w:t>
      </w:r>
      <w:r>
        <w:rPr>
          <w:rFonts w:ascii="Segoe UI" w:hAnsi="Segoe UI"/>
          <w:b w:val="0"/>
          <w:i w:val="0"/>
          <w:color w:val="1A2E24"/>
          <w:sz w:val="22"/>
        </w:rPr>
        <w:t>works even where no professional counsellor exists.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Privacy-by-design: </w:t>
      </w:r>
      <w:r>
        <w:rPr>
          <w:rFonts w:ascii="Segoe UI" w:hAnsi="Segoe UI"/>
          <w:b w:val="0"/>
          <w:i w:val="0"/>
          <w:color w:val="1A2E24"/>
          <w:sz w:val="22"/>
        </w:rPr>
        <w:t>a trust advantage Western surveillance tools lack.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Prevention-focused: </w:t>
      </w:r>
      <w:r>
        <w:rPr>
          <w:rFonts w:ascii="Segoe UI" w:hAnsi="Segoe UI"/>
          <w:b w:val="0"/>
          <w:i w:val="0"/>
          <w:color w:val="1A2E24"/>
          <w:sz w:val="22"/>
        </w:rPr>
        <w:t>catches the decline early, not at crisis point.</w:t>
      </w:r>
    </w:p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vs. existing tools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</w:r>
          </w:p>
        </w:tc>
        <w:tc>
          <w:tcPr>
            <w:tcW w:type="dxa" w:w="4032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Western platforms</w:t>
            </w:r>
          </w:p>
        </w:tc>
        <w:tc>
          <w:tcPr>
            <w:tcW w:type="dxa" w:w="4176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KidWell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Cost</w:t>
            </w:r>
          </w:p>
        </w:tc>
        <w:tc>
          <w:tcPr>
            <w:tcW w:type="dxa" w:w="4032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Expensive, enterprise</w:t>
            </w:r>
          </w:p>
        </w:tc>
        <w:tc>
          <w:tcPr>
            <w:tcW w:type="dxa" w:w="4176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Affordable per-student</w:t>
            </w:r>
          </w:p>
        </w:tc>
      </w:tr>
      <w:tr>
        <w:tc>
          <w:tcPr>
            <w:tcW w:type="dxa" w:w="1872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Context</w:t>
            </w:r>
          </w:p>
        </w:tc>
        <w:tc>
          <w:tcPr>
            <w:tcW w:type="dxa" w:w="4032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US/Europe-centric</w:t>
            </w:r>
          </w:p>
        </w:tc>
        <w:tc>
          <w:tcPr>
            <w:tcW w:type="dxa" w:w="4176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Ethiopian, local foods &amp; language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Stance</w:t>
            </w:r>
          </w:p>
        </w:tc>
        <w:tc>
          <w:tcPr>
            <w:tcW w:type="dxa" w:w="4032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Monitoring / surveillance</w:t>
            </w:r>
          </w:p>
        </w:tc>
        <w:tc>
          <w:tcPr>
            <w:tcW w:type="dxa" w:w="4176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Supportive, human-in-the-loop</w:t>
            </w:r>
          </w:p>
        </w:tc>
      </w:tr>
      <w:tr>
        <w:tc>
          <w:tcPr>
            <w:tcW w:type="dxa" w:w="1872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Counsellor</w:t>
            </w:r>
          </w:p>
        </w:tc>
        <w:tc>
          <w:tcPr>
            <w:tcW w:type="dxa" w:w="4032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Assumes one exists</w:t>
            </w:r>
          </w:p>
        </w:tc>
        <w:tc>
          <w:tcPr>
            <w:tcW w:type="dxa" w:w="4176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Works teacher-mediated too</w:t>
            </w:r>
          </w:p>
        </w:tc>
      </w:tr>
    </w:tbl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09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09 · THE PRODUCT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A working product, today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4"/>
        </w:rPr>
        <w:t>KidWell is not a mockup — it is a functioning web app with three live, role-based dashboards and real AI.</w:t>
      </w:r>
    </w:p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What's built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Secure role-based login: </w:t>
      </w:r>
      <w:r>
        <w:rPr>
          <w:rFonts w:ascii="Segoe UI" w:hAnsi="Segoe UI"/>
          <w:b w:val="0"/>
          <w:i w:val="0"/>
          <w:color w:val="1A2E24"/>
          <w:sz w:val="22"/>
        </w:rPr>
        <w:t>for students, parents, and counsellors.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Student: </w:t>
      </w:r>
      <w:r>
        <w:rPr>
          <w:rFonts w:ascii="Segoe UI" w:hAnsi="Segoe UI"/>
          <w:b w:val="0"/>
          <w:i w:val="0"/>
          <w:color w:val="1A2E24"/>
          <w:sz w:val="22"/>
        </w:rPr>
        <w:t>daily check-in + instant AI wellbeing score; AI nutrition plan generator.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Parent: </w:t>
      </w:r>
      <w:r>
        <w:rPr>
          <w:rFonts w:ascii="Segoe UI" w:hAnsi="Segoe UI"/>
          <w:b w:val="0"/>
          <w:i w:val="0"/>
          <w:color w:val="1A2E24"/>
          <w:sz w:val="22"/>
        </w:rPr>
        <w:t>wellbeing overview with score trend and history.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Counsellor: </w:t>
      </w:r>
      <w:r>
        <w:rPr>
          <w:rFonts w:ascii="Segoe UI" w:hAnsi="Segoe UI"/>
          <w:b w:val="0"/>
          <w:i w:val="0"/>
          <w:color w:val="1A2E24"/>
          <w:sz w:val="22"/>
        </w:rPr>
        <w:t>student dashboard with risk indicators + one-click AI brief.</w:t>
      </w:r>
    </w:p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Demo flow (3 minutes)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1. Student: </w:t>
      </w:r>
      <w:r>
        <w:rPr>
          <w:rFonts w:ascii="Segoe UI" w:hAnsi="Segoe UI"/>
          <w:b w:val="0"/>
          <w:i w:val="0"/>
          <w:color w:val="1A2E24"/>
          <w:sz w:val="22"/>
        </w:rPr>
        <w:t>Sara checks in (low mood, poor sleep) → AI returns a score + encouragement.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2. Counsellor: </w:t>
      </w:r>
      <w:r>
        <w:rPr>
          <w:rFonts w:ascii="Segoe UI" w:hAnsi="Segoe UI"/>
          <w:b w:val="0"/>
          <w:i w:val="0"/>
          <w:color w:val="1A2E24"/>
          <w:sz w:val="22"/>
        </w:rPr>
        <w:t>opens the dashboard → Sara is flagged → generate AI brief with talking points.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/>
          <w:i w:val="0"/>
          <w:color w:val="1F6F50"/>
          <w:sz w:val="22"/>
        </w:rPr>
        <w:t xml:space="preserve">3. Close: </w:t>
      </w:r>
      <w:r>
        <w:rPr>
          <w:rFonts w:ascii="Segoe UI" w:hAnsi="Segoe UI"/>
          <w:b w:val="0"/>
          <w:i w:val="0"/>
          <w:color w:val="1A2E24"/>
          <w:sz w:val="22"/>
        </w:rPr>
        <w:t>privacy-by-design + the business model.</w:t>
      </w:r>
    </w:p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10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10 · ROADMAP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From hackathon to venture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Phase</w:t>
            </w:r>
          </w:p>
        </w:tc>
        <w:tc>
          <w:tcPr>
            <w:tcW w:type="dxa" w:w="7920"/>
            <w:shd w:val="clear" w:color="auto" w:fill="2D9B6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21"/>
              </w:rPr>
              <w:t>Focus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Now (MVP)</w:t>
            </w:r>
          </w:p>
        </w:tc>
        <w:tc>
          <w:tcPr>
            <w:tcW w:type="dxa" w:w="792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Working 3-role app, AI check-in score, nutrition plan, counsellor brief</w:t>
            </w:r>
          </w:p>
        </w:tc>
      </w:tr>
      <w:tr>
        <w:tc>
          <w:tcPr>
            <w:tcW w:type="dxa" w:w="2160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Next 1–3 mo</w:t>
            </w:r>
          </w:p>
        </w:tc>
        <w:tc>
          <w:tcPr>
            <w:tcW w:type="dxa" w:w="7920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Pilot with 1 private school, parental consent flow, Amharic UI</w:t>
            </w:r>
          </w:p>
        </w:tc>
      </w:tr>
      <w:tr>
        <w:tc>
          <w:tcPr>
            <w:tcW w:type="dxa" w:w="21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3–6 mo</w:t>
            </w:r>
          </w:p>
        </w:tc>
        <w:tc>
          <w:tcPr>
            <w:tcW w:type="dxa" w:w="792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Trend analytics, email alerts, multi-school admin, paid subscriptions</w:t>
            </w:r>
          </w:p>
        </w:tc>
      </w:tr>
      <w:tr>
        <w:tc>
          <w:tcPr>
            <w:tcW w:type="dxa" w:w="2160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/>
                <w:i w:val="0"/>
                <w:color w:val="1A2E24"/>
                <w:sz w:val="20"/>
              </w:rPr>
              <w:t>6–12 mo</w:t>
            </w:r>
          </w:p>
        </w:tc>
        <w:tc>
          <w:tcPr>
            <w:tcW w:type="dxa" w:w="7920"/>
            <w:shd w:val="clear" w:color="auto" w:fill="F0FAF5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Segoe UI" w:hAnsi="Segoe UI"/>
                <w:b w:val="0"/>
                <w:i w:val="0"/>
                <w:color w:val="1A2E24"/>
                <w:sz w:val="20"/>
              </w:rPr>
              <w:t>NGO-funded public-school rollouts, teletherapy escalation partners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2D9B6F"/>
            <w:tcMar>
              <w:top w:w="150" w:type="dxa"/>
              <w:bottom w:w="150" w:type="dxa"/>
              <w:start w:w="200" w:type="dxa"/>
              <w:end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i w:val="0"/>
                <w:color w:val="FFFFFF"/>
                <w:sz w:val="24"/>
              </w:rPr>
              <w:t>This hackathon's goal: a working product + one validated school pilot.</w:t>
            </w:r>
          </w:p>
        </w:tc>
      </w:tr>
    </w:tbl>
    <w:p/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11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10080"/>
            <w:shd w:val="clear" w:color="auto" w:fill="2D9B6F"/>
            <w:tcMar>
              <w:top w:w="160" w:type="dxa"/>
              <w:bottom w:w="160" w:type="dxa"/>
              <w:start w:w="220" w:type="dxa"/>
              <w:end w:w="220" w:type="dxa"/>
            </w:tcMar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11 · THE ASK</w:t>
            </w:r>
          </w:p>
          <w:p>
            <w:pPr>
              <w:spacing w:before="0" w:after="0"/>
            </w:pPr>
            <w:r>
              <w:rPr>
                <w:rFonts w:ascii="Segoe UI" w:hAnsi="Segoe UI"/>
                <w:b/>
                <w:i w:val="0"/>
                <w:color w:val="FFFFFF"/>
                <w:sz w:val="44"/>
              </w:rPr>
              <w:t>Let's build healthier schools</w:t>
            </w:r>
          </w:p>
        </w:tc>
      </w:tr>
    </w:tbl>
    <w:p/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1A2E24"/>
          <w:sz w:val="24"/>
        </w:rPr>
        <w:t>KidWell turns wellbeing from something schools react to into something they can support early, affordably, and safely.</w:t>
      </w:r>
    </w:p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The one-liner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0FAF5"/>
            <w:tcMar>
              <w:top w:w="150" w:type="dxa"/>
              <w:bottom w:w="150" w:type="dxa"/>
              <w:start w:w="200" w:type="dxa"/>
              <w:end w:w="200" w:type="dxa"/>
            </w:tcMar>
          </w:tcPr>
          <w:p>
            <w:pPr>
              <w:spacing w:before="0" w:after="0" w:line="276" w:lineRule="auto"/>
            </w:pPr>
            <w:r>
              <w:rPr>
                <w:rFonts w:ascii="Segoe UI" w:hAnsi="Segoe UI"/>
                <w:b/>
                <w:i w:val="0"/>
                <w:color w:val="1F6F50"/>
                <w:sz w:val="25"/>
              </w:rPr>
              <w:t>We help schools support students before problems escalate — with an AI early-warning copilot that keeps humans in charge.</w:t>
            </w:r>
          </w:p>
        </w:tc>
      </w:tr>
    </w:tbl>
    <w:p/>
    <w:p>
      <w:pPr>
        <w:spacing w:before="120" w:after="80"/>
      </w:pPr>
      <w:r>
        <w:rPr>
          <w:rFonts w:ascii="Segoe UI" w:hAnsi="Segoe UI"/>
          <w:b/>
          <w:i w:val="0"/>
          <w:color w:val="1F6F50"/>
          <w:sz w:val="28"/>
        </w:rPr>
        <w:t>Why we win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Real working AI product (not a slide).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Clear, sustainable B2B revenue model.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Safe-by-design — credible with educators and clinicians.</w:t>
      </w:r>
    </w:p>
    <w:p>
      <w:pPr>
        <w:pStyle w:val="ListBullet"/>
        <w:spacing w:before="0" w:after="80" w:line="264" w:lineRule="auto"/>
      </w:pPr>
      <w:r>
        <w:rPr>
          <w:rFonts w:ascii="Segoe UI" w:hAnsi="Segoe UI"/>
          <w:b w:val="0"/>
          <w:i w:val="0"/>
          <w:color w:val="1A2E24"/>
          <w:sz w:val="22"/>
        </w:rPr>
        <w:t>Local-first — English, Amharic, and Afaan Oromo built in.</w:t>
      </w:r>
    </w:p>
    <w:p/>
    <w:p>
      <w:pPr>
        <w:jc w:val="center"/>
      </w:pPr>
      <w:r>
        <w:rPr>
          <w:rFonts w:ascii="Segoe UI" w:hAnsi="Segoe UI"/>
          <w:b/>
          <w:i w:val="0"/>
          <w:color w:val="1F6F50"/>
          <w:sz w:val="40"/>
        </w:rPr>
        <w:t>Thank you.</w:t>
      </w:r>
    </w:p>
    <w:p>
      <w:pPr>
        <w:jc w:val="center"/>
      </w:pPr>
      <w:r>
        <w:rPr>
          <w:rFonts w:ascii="Segoe UI" w:hAnsi="Segoe UI"/>
          <w:b/>
          <w:i w:val="0"/>
          <w:color w:val="2D9B6F"/>
          <w:sz w:val="22"/>
        </w:rPr>
        <w:t>KidWell  ·  Heal. Build. Thrive.</w:t>
      </w:r>
    </w:p>
    <w:p>
      <w:pPr>
        <w:spacing w:before="200" w:after="0"/>
        <w:jc w:val="right"/>
      </w:pPr>
      <w:r>
        <w:rPr>
          <w:rFonts w:ascii="Segoe UI" w:hAnsi="Segoe UI"/>
          <w:b w:val="0"/>
          <w:i w:val="0"/>
          <w:color w:val="5A6F65"/>
          <w:sz w:val="16"/>
        </w:rPr>
        <w:t>KidWell  ·  Wellness Hackathon 2026  ·  11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A2E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