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420"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GuitarZero to BandRock  ·  GZBR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BFEA"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  PROPUESTA DE COLABORACIÓN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22CC" w:val="clear"/>
            <w:tcMar>
              <w:top w:type="dxa" w:w="160"/>
              <w:left w:type="dxa" w:w="240"/>
              <w:bottom w:type="dxa" w:w="160"/>
              <w:right w:type="dxa" w:w="240"/>
            </w:tcMar>
          </w:tcPr>
          <w:p>
            <w:pPr>
              <w:jc w:val="center"/>
            </w:pPr>
            <w:r>
              <w:rPr>
                <w:rFonts w:ascii="Arial" w:cs="Arial" w:eastAsia="Arial" w:hAnsi="Arial"/>
                <w:b/>
                <w:bCs/>
                <w:color w:val="FFFFFF"/>
                <w:sz w:val="20"/>
                <w:szCs w:val="20"/>
              </w:rPr>
              <w:t xml:space="preserve">Evento de Lanzamiento — Formato Showcase + Clínica BandLoop™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center"/>
            </w:pPr>
            <w:r>
              <w:rPr>
                <w:rFonts w:ascii="Arial" w:cs="Arial" w:eastAsia="Arial" w:hAnsi="Arial"/>
                <w:b/>
                <w:bCs/>
                <w:color w:val="0D1420"/>
                <w:sz w:val="20"/>
                <w:szCs w:val="20"/>
              </w:rPr>
              <w:t xml:space="preserve">📍 Tijuana, B.C.</w:t>
            </w:r>
          </w:p>
        </w:tc>
        <w:tc>
          <w:tcPr>
            <w:tcW w:type="dxa" w:w="312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center"/>
            </w:pPr>
            <w:r>
              <w:rPr>
                <w:rFonts w:ascii="Arial" w:cs="Arial" w:eastAsia="Arial" w:hAnsi="Arial"/>
                <w:b/>
                <w:bCs/>
                <w:color w:val="0D1420"/>
                <w:sz w:val="20"/>
                <w:szCs w:val="20"/>
              </w:rPr>
              <w:t xml:space="preserve">📅 Mayo 2026</w:t>
            </w:r>
          </w:p>
        </w:tc>
        <w:tc>
          <w:tcPr>
            <w:tcW w:type="dxa" w:w="312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center"/>
            </w:pPr>
            <w:r>
              <w:rPr>
                <w:rFonts w:ascii="Arial" w:cs="Arial" w:eastAsia="Arial" w:hAnsi="Arial"/>
                <w:b/>
                <w:bCs/>
                <w:color w:val="C8960C"/>
                <w:sz w:val="20"/>
                <w:szCs w:val="20"/>
              </w:rPr>
              <w:t xml:space="preserve">🤝 Propuesta Win-Win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FEA" w:sz="8"/>
              <w:left w:val="single" w:color="00BFEA" w:sz="16"/>
              <w:bottom w:val="single" w:color="CCCCCC" w:sz="1"/>
              <w:right w:val="single" w:color="CCCCCC" w:sz="1"/>
            </w:tcBorders>
            <w:shd w:fill="E8F9FE" w:val="clear"/>
            <w:tcMar>
              <w:top w:type="dxa" w:w="120"/>
              <w:left w:type="dxa" w:w="200"/>
              <w:bottom w:type="dxa" w:w="120"/>
              <w:right w:type="dxa" w:w="140"/>
            </w:tcMar>
          </w:tcPr>
          <w:p>
            <w:r>
              <w:rPr>
                <w:rFonts w:ascii="Arial" w:cs="Arial" w:eastAsia="Arial" w:hAnsi="Arial"/>
                <w:b/>
                <w:bCs/>
                <w:color w:val="00BFEA"/>
                <w:sz w:val="20"/>
                <w:szCs w:val="20"/>
              </w:rPr>
              <w:t xml:space="preserve">Para el venue / espacio colaborador:</w:t>
            </w:r>
          </w:p>
          <w:p>
            <w:pPr>
              <w:spacing w:before="60"/>
            </w:pPr>
            <w:r>
              <w:rPr>
                <w:rFonts w:ascii="Arial" w:cs="Arial" w:eastAsia="Arial" w:hAnsi="Arial"/>
                <w:color w:val="0D1420"/>
                <w:sz w:val="20"/>
                <w:szCs w:val="20"/>
              </w:rPr>
              <w:t xml:space="preserve">Esta propuesta busca establecer una alianza de beneficio mutuo entre GZBR y tu espacio. No pedimos patrocinio económico — pedimos tu espacio y tu alcance en la escena musical de Tijuana. A cambio, tu venue aparece frente a una audiencia global a través de nuestra plataforma Skool, en contenido que producen músicos locales con seguidores reales.</w:t>
            </w:r>
          </w:p>
        </w:tc>
      </w:tr>
    </w:tbl>
    <w:p>
      <w:pPr>
        <w:spacing w:after="0" w:before="0"/>
      </w:pPr>
      <w:r>
        <w:t xml:space="preserve"/>
      </w:r>
    </w:p>
    <w:p>
      <w:pPr>
        <w:spacing w:after="0" w:before="0"/>
      </w:pPr>
      <w:r>
        <w:t xml:space="preserve"/>
      </w:r>
    </w:p>
    <w:p>
      <w:pPr>
        <w:pBdr>
          <w:bottom w:val="single" w:color="00BFEA" w:sz="6" w:space="1"/>
        </w:pBdr>
        <w:spacing w:after="140" w:before="340"/>
      </w:pPr>
      <w:r>
        <w:rPr>
          <w:rFonts w:ascii="Arial" w:cs="Arial" w:eastAsia="Arial" w:hAnsi="Arial"/>
          <w:b/>
          <w:bCs/>
          <w:color w:val="00BFEA"/>
          <w:sz w:val="28"/>
          <w:szCs w:val="28"/>
        </w:rPr>
        <w:t xml:space="preserve">1.  ¿Qué es GuitarZero to BandRock?</w:t>
      </w:r>
    </w:p>
    <w:p>
      <w:pPr>
        <w:spacing w:after="80" w:before="80"/>
      </w:pPr>
      <w:r>
        <w:rPr>
          <w:rFonts w:ascii="Arial" w:cs="Arial" w:eastAsia="Arial" w:hAnsi="Arial"/>
          <w:b w:val="false"/>
          <w:bCs w:val="false"/>
          <w:color w:val="0D1420"/>
          <w:sz w:val="20"/>
          <w:szCs w:val="20"/>
        </w:rPr>
        <w:t xml:space="preserve">GZBR es una plataforma EdTech musical bilingüe (español/inglés) que enseña a tocar instrumentos dentro de una banda real, desde el primer día. No es una escuela de música tradicional — es una comunidad donde el miembro aprende haciendo, tocando con otros, con tecnología de estudio profesional accesible desde $14 USD/mes.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BFE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Metodología</w:t>
            </w:r>
          </w:p>
        </w:tc>
        <w:tc>
          <w:tcPr>
            <w:tcW w:type="dxa" w:w="2340"/>
            <w:tcBorders>
              <w:top w:val="single" w:color="CCCCCC" w:sz="1"/>
              <w:left w:val="single" w:color="CCCCCC" w:sz="1"/>
              <w:bottom w:val="single" w:color="CCCCCC" w:sz="1"/>
              <w:right w:val="single" w:color="CCCCCC" w:sz="1"/>
            </w:tcBorders>
            <w:shd w:fill="5522C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Tecnología</w:t>
            </w:r>
          </w:p>
        </w:tc>
        <w:tc>
          <w:tcPr>
            <w:tcW w:type="dxa" w:w="2340"/>
            <w:tcBorders>
              <w:top w:val="single" w:color="CCCCCC" w:sz="1"/>
              <w:left w:val="single" w:color="CCCCCC" w:sz="1"/>
              <w:bottom w:val="single" w:color="CCCCCC" w:sz="1"/>
              <w:right w:val="single" w:color="CCCCCC" w:sz="1"/>
            </w:tcBorders>
            <w:shd w:fill="AA00DD"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Comunidad</w:t>
            </w:r>
          </w:p>
        </w:tc>
        <w:tc>
          <w:tcPr>
            <w:tcW w:type="dxa" w:w="2340"/>
            <w:tcBorders>
              <w:top w:val="single" w:color="CCCCCC" w:sz="1"/>
              <w:left w:val="single" w:color="CCCCCC" w:sz="1"/>
              <w:bottom w:val="single" w:color="CCCCCC" w:sz="1"/>
              <w:right w:val="single" w:color="CCCCCC" w:sz="1"/>
            </w:tcBorders>
            <w:shd w:fill="0D142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Mercado</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BandLoop™ — aprendes tocando en banda desde el Día 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JackTrip &lt;25ms — latencia ultra-baja para tocar en banda remota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Skool — plataforma de membresía global con gamificación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Lanzamiento 1 Julio 2026 · Meta: 50 miembros en 30 días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FEA" w:sz="8"/>
              <w:left w:val="single" w:color="00BFEA" w:sz="16"/>
              <w:bottom w:val="single" w:color="CCCCCC" w:sz="1"/>
              <w:right w:val="single" w:color="CCCCCC" w:sz="1"/>
            </w:tcBorders>
            <w:shd w:fill="E8F9FE" w:val="clear"/>
            <w:tcMar>
              <w:top w:type="dxa" w:w="120"/>
              <w:left w:type="dxa" w:w="200"/>
              <w:bottom w:type="dxa" w:w="120"/>
              <w:right w:type="dxa" w:w="140"/>
            </w:tcMar>
          </w:tcPr>
          <w:p>
            <w:r>
              <w:rPr>
                <w:rFonts w:ascii="Arial" w:cs="Arial" w:eastAsia="Arial" w:hAnsi="Arial"/>
                <w:b/>
                <w:bCs/>
                <w:color w:val="00BFEA"/>
                <w:sz w:val="20"/>
                <w:szCs w:val="20"/>
              </w:rPr>
              <w:t xml:space="preserve">Origen: Tijuana → Global</w:t>
            </w:r>
          </w:p>
          <w:p>
            <w:pPr>
              <w:spacing w:before="60"/>
            </w:pPr>
            <w:r>
              <w:rPr>
                <w:rFonts w:ascii="Arial" w:cs="Arial" w:eastAsia="Arial" w:hAnsi="Arial"/>
                <w:color w:val="0D1420"/>
                <w:sz w:val="20"/>
                <w:szCs w:val="20"/>
              </w:rPr>
              <w:t xml:space="preserve">GZBR nace en el corredor Tijuana–San Diego con músicos locales como instructores (ICAs). El contenido que producen estos músicos — con su nombre, su instrumento y su historia — se publica en plataformas globales con audiencia en LATAM, EUA y España. Tu espacio forma parte de ese origen.</w:t>
            </w:r>
          </w:p>
        </w:tc>
      </w:tr>
    </w:tbl>
    <w:p>
      <w:pPr>
        <w:spacing w:after="0" w:before="0"/>
      </w:pPr>
      <w:r>
        <w:t xml:space="preserve"/>
      </w:r>
    </w:p>
    <w:p>
      <w:pPr>
        <w:spacing w:after="0" w:before="0"/>
      </w:pPr>
      <w:r>
        <w:t xml:space="preserve"/>
      </w:r>
    </w:p>
    <w:p>
      <w:r>
        <w:br w:type="page"/>
      </w:r>
    </w:p>
    <w:p>
      <w:pPr>
        <w:pBdr>
          <w:bottom w:val="single" w:color="5522CC" w:sz="6" w:space="1"/>
        </w:pBdr>
        <w:spacing w:after="140" w:before="340"/>
      </w:pPr>
      <w:r>
        <w:rPr>
          <w:rFonts w:ascii="Arial" w:cs="Arial" w:eastAsia="Arial" w:hAnsi="Arial"/>
          <w:b/>
          <w:bCs/>
          <w:color w:val="5522CC"/>
          <w:sz w:val="28"/>
          <w:szCs w:val="28"/>
        </w:rPr>
        <w:t xml:space="preserve">2.  El Evento — Showcase + Clínica BandLoop™</w:t>
      </w:r>
    </w:p>
    <w:p>
      <w:pPr>
        <w:spacing w:after="80" w:before="80"/>
      </w:pPr>
      <w:r>
        <w:rPr>
          <w:rFonts w:ascii="Arial" w:cs="Arial" w:eastAsia="Arial" w:hAnsi="Arial"/>
          <w:b w:val="false"/>
          <w:bCs w:val="false"/>
          <w:color w:val="0D1420"/>
          <w:sz w:val="20"/>
          <w:szCs w:val="20"/>
        </w:rPr>
        <w:t xml:space="preserve">Un evento de 2 horas que combina concierto en vivo con una experiencia educativa interactiva. El público no solo escucha — aprende algo real en vivo usando el método GZBR.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CCCCCC" w:sz="1"/>
              <w:left w:val="single" w:color="CCCCCC" w:sz="1"/>
              <w:bottom w:val="single" w:color="CCCCCC" w:sz="1"/>
              <w:right w:val="single" w:color="CCCCCC" w:sz="1"/>
            </w:tcBorders>
            <w:shd w:fill="5522C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Bloque</w:t>
            </w:r>
          </w:p>
        </w:tc>
        <w:tc>
          <w:tcPr>
            <w:tcW w:type="dxa" w:w="1440"/>
            <w:tcBorders>
              <w:top w:val="single" w:color="CCCCCC" w:sz="1"/>
              <w:left w:val="single" w:color="CCCCCC" w:sz="1"/>
              <w:bottom w:val="single" w:color="CCCCCC" w:sz="1"/>
              <w:right w:val="single" w:color="CCCCCC" w:sz="1"/>
            </w:tcBorders>
            <w:shd w:fill="5522C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Tiempo</w:t>
            </w:r>
          </w:p>
        </w:tc>
        <w:tc>
          <w:tcPr>
            <w:tcW w:type="dxa" w:w="6480"/>
            <w:tcBorders>
              <w:top w:val="single" w:color="CCCCCC" w:sz="1"/>
              <w:left w:val="single" w:color="CCCCCC" w:sz="1"/>
              <w:bottom w:val="single" w:color="CCCCCC" w:sz="1"/>
              <w:right w:val="single" w:color="CCCCCC" w:sz="1"/>
            </w:tcBorders>
            <w:shd w:fill="5522C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Qué pasa en el escenario</w:t>
            </w:r>
          </w:p>
        </w:tc>
      </w:tr>
      <w:tr>
        <w:tc>
          <w:tcPr>
            <w:tcW w:type="dxa" w:w="144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Apertura</w:t>
            </w:r>
          </w:p>
        </w:tc>
        <w:tc>
          <w:tcPr>
            <w:tcW w:type="dxa" w:w="144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center"/>
            </w:pPr>
            <w:r>
              <w:rPr>
                <w:rFonts w:ascii="Arial" w:cs="Arial" w:eastAsia="Arial" w:hAnsi="Arial"/>
                <w:b w:val="false"/>
                <w:bCs w:val="false"/>
                <w:color w:val="0D1420"/>
                <w:sz w:val="20"/>
                <w:szCs w:val="20"/>
              </w:rPr>
              <w:t xml:space="preserve">0–15 min</w:t>
            </w:r>
          </w:p>
        </w:tc>
        <w:tc>
          <w:tcPr>
            <w:tcW w:type="dxa" w:w="648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Bienvenida. Presentación de GZBR y el venue. Contexto del proyecto — de dónde viene, a dónde va.</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Showcase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D1420"/>
                <w:sz w:val="20"/>
                <w:szCs w:val="20"/>
              </w:rPr>
              <w:t xml:space="preserve">15–75 min</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Cada ICA sube al escenario y toca 1 canción del repertorio GZBR. Presentación breve de su instrumento y su historia. El público ve a músicos reales — no actores, no tutoriales: gente de Tijuana que toca en banda.</w:t>
            </w:r>
          </w:p>
        </w:tc>
      </w:tr>
      <w:tr>
        <w:tc>
          <w:tcPr>
            <w:tcW w:type="dxa" w:w="144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Clínica</w:t>
            </w:r>
          </w:p>
        </w:tc>
        <w:tc>
          <w:tcPr>
            <w:tcW w:type="dxa" w:w="144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center"/>
            </w:pPr>
            <w:r>
              <w:rPr>
                <w:rFonts w:ascii="Arial" w:cs="Arial" w:eastAsia="Arial" w:hAnsi="Arial"/>
                <w:b w:val="false"/>
                <w:bCs w:val="false"/>
                <w:color w:val="0D1420"/>
                <w:sz w:val="20"/>
                <w:szCs w:val="20"/>
              </w:rPr>
              <w:t xml:space="preserve">75–105 min</w:t>
            </w:r>
          </w:p>
        </w:tc>
        <w:tc>
          <w:tcPr>
            <w:tcW w:type="dxa" w:w="648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Javier (Director Artístico) dirige una clínica abierta de 30 min con el método BandLoop™. El público aprende una frase musical real en vivo — no como clase formal, sino como experiencia. El momento de "yo también puedo".</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Cierre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D1420"/>
                <w:sz w:val="20"/>
                <w:szCs w:val="20"/>
              </w:rPr>
              <w:t xml:space="preserve">105–120 min</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Pitch de 5 min: oferta de membresía de lanzamiento ($14 USD). Registro en el momento vía WhatsApp o link directo. Foto grupal ICAs + venue + asistentes para contenido.</w:t>
            </w:r>
          </w:p>
        </w:tc>
      </w:tr>
    </w:tbl>
    <w:p>
      <w:pPr>
        <w:spacing w:after="0" w:before="0"/>
      </w:pPr>
      <w:r>
        <w:t xml:space="preserve"/>
      </w:r>
    </w:p>
    <w:p>
      <w:pPr>
        <w:spacing w:after="100" w:before="240"/>
      </w:pPr>
      <w:r>
        <w:rPr>
          <w:rFonts w:ascii="Arial" w:cs="Arial" w:eastAsia="Arial" w:hAnsi="Arial"/>
          <w:b/>
          <w:bCs/>
          <w:color w:val="0D1420"/>
          <w:sz w:val="22"/>
          <w:szCs w:val="22"/>
        </w:rPr>
        <w:t xml:space="preserve">Logística del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42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Variable</w:t>
            </w:r>
          </w:p>
        </w:tc>
        <w:tc>
          <w:tcPr>
            <w:tcW w:type="dxa" w:w="6560"/>
            <w:tcBorders>
              <w:top w:val="single" w:color="CCCCCC" w:sz="1"/>
              <w:left w:val="single" w:color="CCCCCC" w:sz="1"/>
              <w:bottom w:val="single" w:color="CCCCCC" w:sz="1"/>
              <w:right w:val="single" w:color="CCCCCC" w:sz="1"/>
            </w:tcBorders>
            <w:shd w:fill="0D142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Detalle</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Duración total</w:t>
            </w:r>
          </w:p>
        </w:tc>
        <w:tc>
          <w:tcPr>
            <w:tcW w:type="dxa" w:w="65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2 horas (7:00 PM – 9:00 PM sugerido)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ICAs en escenario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5 músicos: Guitarra · Bajo · Armónica · Teclado · + Director Artístico (Javier)</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Aforo objetivo</w:t>
            </w:r>
          </w:p>
        </w:tc>
        <w:tc>
          <w:tcPr>
            <w:tcW w:type="dxa" w:w="65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50 personas mínimo · Sin límite máximo según capacidad del venue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Entrada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$150–200 MXN por persona (~$8–10 USD)</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Recaudación estimada</w:t>
            </w:r>
          </w:p>
        </w:tc>
        <w:tc>
          <w:tcPr>
            <w:tcW w:type="dxa" w:w="656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$7,500–10,000 MXN (~$375–500 USD) con 50 asistentes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Equipo de sonido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PA system básico (voz + instrumentos). GZBR lleva sus propios instrumentos.</w:t>
            </w:r>
          </w:p>
        </w:tc>
      </w:tr>
      <w:tr>
        <w:tc>
          <w:tcPr>
            <w:tcW w:type="dxa" w:w="280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Fecha objetivo</w:t>
            </w:r>
          </w:p>
        </w:tc>
        <w:tc>
          <w:tcPr>
            <w:tcW w:type="dxa" w:w="656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Semana del 5 o 12 de Mayo 2026 (primer evento de 3 en Mayo)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Grabación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El evento se graba para producción de contenido GZBR. El venue aparece en cada pieza de contenido.</w:t>
            </w:r>
          </w:p>
        </w:tc>
      </w:tr>
    </w:tbl>
    <w:p>
      <w:pPr>
        <w:spacing w:after="0" w:before="0"/>
      </w:pPr>
      <w:r>
        <w:t xml:space="preserve"/>
      </w:r>
    </w:p>
    <w:p>
      <w:pPr>
        <w:spacing w:after="0" w:before="0"/>
      </w:pPr>
      <w:r>
        <w:t xml:space="preserve"/>
      </w:r>
    </w:p>
    <w:p>
      <w:r>
        <w:br w:type="page"/>
      </w:r>
    </w:p>
    <w:p>
      <w:pPr>
        <w:pBdr>
          <w:bottom w:val="single" w:color="C8960C" w:sz="6" w:space="1"/>
        </w:pBdr>
        <w:spacing w:after="140" w:before="340"/>
      </w:pPr>
      <w:r>
        <w:rPr>
          <w:rFonts w:ascii="Arial" w:cs="Arial" w:eastAsia="Arial" w:hAnsi="Arial"/>
          <w:b/>
          <w:bCs/>
          <w:color w:val="C8960C"/>
          <w:sz w:val="28"/>
          <w:szCs w:val="28"/>
        </w:rPr>
        <w:t xml:space="preserve">3.  ¿Qué gana el 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8"/>
              <w:left w:val="single" w:color="C8960C" w:sz="16"/>
              <w:bottom w:val="single" w:color="CCCCCC" w:sz="1"/>
              <w:right w:val="single" w:color="CCCCCC" w:sz="1"/>
            </w:tcBorders>
            <w:shd w:fill="FEF9E7" w:val="clear"/>
            <w:tcMar>
              <w:top w:type="dxa" w:w="120"/>
              <w:left w:type="dxa" w:w="200"/>
              <w:bottom w:type="dxa" w:w="120"/>
              <w:right w:type="dxa" w:w="140"/>
            </w:tcMar>
          </w:tcPr>
          <w:p>
            <w:r>
              <w:rPr>
                <w:rFonts w:ascii="Arial" w:cs="Arial" w:eastAsia="Arial" w:hAnsi="Arial"/>
                <w:b/>
                <w:bCs/>
                <w:color w:val="C8960C"/>
                <w:sz w:val="20"/>
                <w:szCs w:val="20"/>
              </w:rPr>
              <w:t xml:space="preserve">Exposición global, no solo local</w:t>
            </w:r>
          </w:p>
          <w:p>
            <w:pPr>
              <w:spacing w:before="60"/>
            </w:pPr>
            <w:r>
              <w:rPr>
                <w:rFonts w:ascii="Arial" w:cs="Arial" w:eastAsia="Arial" w:hAnsi="Arial"/>
                <w:color w:val="0D1420"/>
                <w:sz w:val="20"/>
                <w:szCs w:val="20"/>
              </w:rPr>
              <w:t xml:space="preserve">El contenido grabado en tu espacio no queda en TikTok de Tijuana — se publica en la plataforma Skool GZBR con miembros en LATAM, EUA y España. Tu venue aparece en el background de videos de instructores que tienen seguidores reales. Cada video que produce un ICA menciona y agradece al espacio colaborador.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80"/>
        <w:gridCol w:w="5880"/>
      </w:tblGrid>
      <w:tr>
        <w:tc>
          <w:tcPr>
            <w:tcW w:type="dxa" w:w="400"/>
            <w:tcBorders>
              <w:top w:val="single" w:color="CCCCCC" w:sz="1"/>
              <w:left w:val="single" w:color="CCCCCC" w:sz="1"/>
              <w:bottom w:val="single" w:color="CCCCCC" w:sz="1"/>
              <w:right w:val="single" w:color="CCCCCC" w:sz="1"/>
            </w:tcBorders>
            <w:shd w:fill="C8960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3080"/>
            <w:tcBorders>
              <w:top w:val="single" w:color="CCCCCC" w:sz="1"/>
              <w:left w:val="single" w:color="CCCCCC" w:sz="1"/>
              <w:bottom w:val="single" w:color="CCCCCC" w:sz="1"/>
              <w:right w:val="single" w:color="CCCCCC" w:sz="1"/>
            </w:tcBorders>
            <w:shd w:fill="C8960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Beneficio concreto</w:t>
            </w:r>
          </w:p>
        </w:tc>
        <w:tc>
          <w:tcPr>
            <w:tcW w:type="dxa" w:w="5880"/>
            <w:tcBorders>
              <w:top w:val="single" w:color="CCCCCC" w:sz="1"/>
              <w:left w:val="single" w:color="CCCCCC" w:sz="1"/>
              <w:bottom w:val="single" w:color="CCCCCC" w:sz="1"/>
              <w:right w:val="single" w:color="CCCCCC" w:sz="1"/>
            </w:tcBorders>
            <w:shd w:fill="C8960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Cómo se materializa</w:t>
            </w:r>
          </w:p>
        </w:tc>
      </w:tr>
      <w:tr>
        <w:tc>
          <w:tcPr>
            <w:tcW w:type="dxa" w:w="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center"/>
            </w:pPr>
            <w:r>
              <w:rPr>
                <w:rFonts w:ascii="Arial" w:cs="Arial" w:eastAsia="Arial" w:hAnsi="Arial"/>
                <w:b w:val="false"/>
                <w:bCs w:val="false"/>
                <w:color w:val="0D1420"/>
                <w:sz w:val="20"/>
                <w:szCs w:val="20"/>
              </w:rPr>
              <w:t xml:space="preserve">1</w:t>
            </w:r>
          </w:p>
        </w:tc>
        <w:tc>
          <w:tcPr>
            <w:tcW w:type="dxa" w:w="308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Mención en plataforma Skool global</w:t>
            </w:r>
          </w:p>
        </w:tc>
        <w:tc>
          <w:tcPr>
            <w:tcW w:type="dxa" w:w="588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El nombre y logo del venue aparece en la sección de aliados dentro de la plataforma GZBR, visible para todos los miembros activos — desde el Día 1 del lanzamiento.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D1420"/>
                <w:sz w:val="20"/>
                <w:szCs w:val="20"/>
              </w:rPr>
              <w:t xml:space="preserve">2</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Aparición en contenido de ICAs</w:t>
            </w:r>
          </w:p>
        </w:tc>
        <w:tc>
          <w:tcPr>
            <w:tcW w:type="dxa" w:w="5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Tu venue es el backdrop de la 5ta grabación de cada ICA (la clase en vivo con banda). Son 5 videos publicados en Skool, TikTok, Instagram y YouTube Shorts con mención explícita del lugar.</w:t>
            </w:r>
          </w:p>
        </w:tc>
      </w:tr>
      <w:tr>
        <w:tc>
          <w:tcPr>
            <w:tcW w:type="dxa" w:w="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center"/>
            </w:pPr>
            <w:r>
              <w:rPr>
                <w:rFonts w:ascii="Arial" w:cs="Arial" w:eastAsia="Arial" w:hAnsi="Arial"/>
                <w:b w:val="false"/>
                <w:bCs w:val="false"/>
                <w:color w:val="0D1420"/>
                <w:sz w:val="20"/>
                <w:szCs w:val="20"/>
              </w:rPr>
              <w:t xml:space="preserve">3</w:t>
            </w:r>
          </w:p>
        </w:tc>
        <w:tc>
          <w:tcPr>
            <w:tcW w:type="dxa" w:w="308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Clientela nueva esa noche</w:t>
            </w:r>
          </w:p>
        </w:tc>
        <w:tc>
          <w:tcPr>
            <w:tcW w:type="dxa" w:w="588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50+ personas que posiblemente nunca han visitado tu espacio — músicos, entusiastas, fans de los ICAs. El evento actúa como descubrimiento orgánico de tu lugar.</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D1420"/>
                <w:sz w:val="20"/>
                <w:szCs w:val="20"/>
              </w:rPr>
              <w:t xml:space="preserve">4</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Posicionamiento cultural</w:t>
            </w:r>
          </w:p>
        </w:tc>
        <w:tc>
          <w:tcPr>
            <w:tcW w:type="dxa" w:w="5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Tu espacio queda asociado al nacimiento de una plataforma musical que apunta a mercado global. En los siguientes eventos y contenido, seguirás siendo el venue de referencia de GZBR en Tijuana.</w:t>
            </w:r>
          </w:p>
        </w:tc>
      </w:tr>
      <w:tr>
        <w:tc>
          <w:tcPr>
            <w:tcW w:type="dxa" w:w="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center"/>
            </w:pPr>
            <w:r>
              <w:rPr>
                <w:rFonts w:ascii="Arial" w:cs="Arial" w:eastAsia="Arial" w:hAnsi="Arial"/>
                <w:b w:val="false"/>
                <w:bCs w:val="false"/>
                <w:color w:val="0D1420"/>
                <w:sz w:val="20"/>
                <w:szCs w:val="20"/>
              </w:rPr>
              <w:t xml:space="preserve">5</w:t>
            </w:r>
          </w:p>
        </w:tc>
        <w:tc>
          <w:tcPr>
            <w:tcW w:type="dxa" w:w="308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Sin costo ni riesgo económico</w:t>
            </w:r>
          </w:p>
        </w:tc>
        <w:tc>
          <w:tcPr>
            <w:tcW w:type="dxa" w:w="588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No pedimos aportación económica. Solo tu espacio esa noche y apoyo en difusión con tu red. La operación del evento (producción, músicos, logística, boletos) corre 100% por cuenta de GZBR.</w:t>
            </w:r>
          </w:p>
        </w:tc>
      </w:tr>
    </w:tbl>
    <w:p>
      <w:pPr>
        <w:spacing w:after="0" w:before="0"/>
      </w:pPr>
      <w:r>
        <w:t xml:space="preserve"/>
      </w:r>
    </w:p>
    <w:p>
      <w:pPr>
        <w:spacing w:after="0" w:before="0"/>
      </w:pPr>
      <w:r>
        <w:t xml:space="preserve"/>
      </w:r>
    </w:p>
    <w:p>
      <w:pPr>
        <w:pBdr>
          <w:bottom w:val="single" w:color="AA00DD" w:sz="6" w:space="1"/>
        </w:pBdr>
        <w:spacing w:after="140" w:before="340"/>
      </w:pPr>
      <w:r>
        <w:rPr>
          <w:rFonts w:ascii="Arial" w:cs="Arial" w:eastAsia="Arial" w:hAnsi="Arial"/>
          <w:b/>
          <w:bCs/>
          <w:color w:val="AA00DD"/>
          <w:sz w:val="28"/>
          <w:szCs w:val="28"/>
        </w:rPr>
        <w:t xml:space="preserve">4.  Lo que necesitamos del venue</w:t>
      </w:r>
    </w:p>
    <w:p>
      <w:pPr>
        <w:spacing w:after="80" w:before="80"/>
      </w:pPr>
      <w:r>
        <w:rPr>
          <w:rFonts w:ascii="Arial" w:cs="Arial" w:eastAsia="Arial" w:hAnsi="Arial"/>
          <w:b w:val="false"/>
          <w:bCs w:val="false"/>
          <w:color w:val="0D1420"/>
          <w:sz w:val="20"/>
          <w:szCs w:val="20"/>
        </w:rPr>
        <w:t xml:space="preserve">Nuestra solicitud es simple y sin costo económico para el espacio colaborador: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AA00DD"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AA00DD"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Solicitud</w:t>
            </w:r>
          </w:p>
        </w:tc>
        <w:tc>
          <w:tcPr>
            <w:tcW w:type="dxa" w:w="6160"/>
            <w:tcBorders>
              <w:top w:val="single" w:color="CCCCCC" w:sz="1"/>
              <w:left w:val="single" w:color="CCCCCC" w:sz="1"/>
              <w:bottom w:val="single" w:color="CCCCCC" w:sz="1"/>
              <w:right w:val="single" w:color="CCCCCC" w:sz="1"/>
            </w:tcBorders>
            <w:shd w:fill="AA00DD"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Detalle</w:t>
            </w:r>
          </w:p>
        </w:tc>
      </w:tr>
      <w:tr>
        <w:tc>
          <w:tcPr>
            <w:tcW w:type="dxa" w:w="40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center"/>
            </w:pPr>
            <w:r>
              <w:rPr>
                <w:rFonts w:ascii="Arial" w:cs="Arial" w:eastAsia="Arial" w:hAnsi="Arial"/>
                <w:b w:val="false"/>
                <w:bCs w:val="false"/>
                <w:color w:val="0D1420"/>
                <w:sz w:val="20"/>
                <w:szCs w:val="20"/>
              </w:rPr>
              <w:t xml:space="preserve">1</w:t>
            </w:r>
          </w:p>
        </w:tc>
        <w:tc>
          <w:tcPr>
            <w:tcW w:type="dxa" w:w="280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Espacio gratuito por 2 horas</w:t>
            </w:r>
          </w:p>
        </w:tc>
        <w:tc>
          <w:tcPr>
            <w:tcW w:type="dxa" w:w="616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Una noche de Mayo (semana del 5 o 12). El horario lo acordamos juntos. El espacio regresa a su operación normal al terminar.</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D142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Sistema de sonido básico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PA con suficiente potencia para voz + instrumentos acústicos/eléctricos. Si el venue no cuenta con él, lo coordinamos por nuestra cuenta.</w:t>
            </w:r>
          </w:p>
        </w:tc>
      </w:tr>
      <w:tr>
        <w:tc>
          <w:tcPr>
            <w:tcW w:type="dxa" w:w="40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center"/>
            </w:pPr>
            <w:r>
              <w:rPr>
                <w:rFonts w:ascii="Arial" w:cs="Arial" w:eastAsia="Arial" w:hAnsi="Arial"/>
                <w:b w:val="false"/>
                <w:bCs w:val="false"/>
                <w:color w:val="0D1420"/>
                <w:sz w:val="20"/>
                <w:szCs w:val="20"/>
              </w:rPr>
              <w:t xml:space="preserve">3</w:t>
            </w:r>
          </w:p>
        </w:tc>
        <w:tc>
          <w:tcPr>
            <w:tcW w:type="dxa" w:w="280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Difusión en sus redes sociales</w:t>
            </w:r>
          </w:p>
        </w:tc>
        <w:tc>
          <w:tcPr>
            <w:tcW w:type="dxa" w:w="616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3–5 publicaciones en Instagram/Facebook del venue invitando a su comunidad al evento. Les proveemos arte gráfico listo para publicar (sin trabajo de diseño para ellos).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D142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Permiso de grabación en el espacio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Para producción de contenido GZBR el día del evento. El venue aparece en pantalla — nunca de forma negativa.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420" w:sz="8"/>
              <w:left w:val="single" w:color="0D1420" w:sz="16"/>
              <w:bottom w:val="single" w:color="CCCCCC" w:sz="1"/>
              <w:right w:val="single" w:color="CCCCCC" w:sz="1"/>
            </w:tcBorders>
            <w:shd w:fill="F4F4F4" w:val="clear"/>
            <w:tcMar>
              <w:top w:type="dxa" w:w="120"/>
              <w:left w:type="dxa" w:w="200"/>
              <w:bottom w:type="dxa" w:w="120"/>
              <w:right w:type="dxa" w:w="140"/>
            </w:tcMar>
          </w:tcPr>
          <w:p>
            <w:r>
              <w:rPr>
                <w:rFonts w:ascii="Arial" w:cs="Arial" w:eastAsia="Arial" w:hAnsi="Arial"/>
                <w:b/>
                <w:bCs/>
                <w:color w:val="0D1420"/>
                <w:sz w:val="20"/>
                <w:szCs w:val="20"/>
              </w:rPr>
              <w:t xml:space="preserve">Lo que NO pedimos:</w:t>
            </w:r>
          </w:p>
          <w:p>
            <w:pPr>
              <w:spacing w:before="60"/>
            </w:pPr>
            <w:r>
              <w:rPr>
                <w:rFonts w:ascii="Arial" w:cs="Arial" w:eastAsia="Arial" w:hAnsi="Arial"/>
                <w:color w:val="0D1420"/>
                <w:sz w:val="20"/>
                <w:szCs w:val="20"/>
              </w:rPr>
              <w:t xml:space="preserve">No solicitamos dinero, patrocinio económico, exclusividad futura, ni cambios en la operación del venue. El espacio puede seguir vendiendo lo que normalmente vende esa noche (bebidas, alimentos, etc.) — los ingresos de consumo son 100% del venue.</w:t>
            </w:r>
          </w:p>
        </w:tc>
      </w:tr>
    </w:tbl>
    <w:p>
      <w:pPr>
        <w:spacing w:after="0" w:before="0"/>
      </w:pPr>
      <w:r>
        <w:t xml:space="preserve"/>
      </w:r>
    </w:p>
    <w:p>
      <w:pPr>
        <w:spacing w:after="0" w:before="0"/>
      </w:pPr>
      <w:r>
        <w:t xml:space="preserve"/>
      </w:r>
    </w:p>
    <w:p>
      <w:r>
        <w:br w:type="page"/>
      </w:r>
    </w:p>
    <w:p>
      <w:pPr>
        <w:pBdr>
          <w:bottom w:val="single" w:color="00BFEA" w:sz="6" w:space="1"/>
        </w:pBdr>
        <w:spacing w:after="140" w:before="340"/>
      </w:pPr>
      <w:r>
        <w:rPr>
          <w:rFonts w:ascii="Arial" w:cs="Arial" w:eastAsia="Arial" w:hAnsi="Arial"/>
          <w:b/>
          <w:bCs/>
          <w:color w:val="00BFEA"/>
          <w:sz w:val="28"/>
          <w:szCs w:val="28"/>
        </w:rPr>
        <w:t xml:space="preserve">5.  El Win-Win en números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BFE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GZBR obtiene</w:t>
            </w:r>
          </w:p>
        </w:tc>
        <w:tc>
          <w:tcPr>
            <w:tcW w:type="dxa" w:w="4680"/>
            <w:tcBorders>
              <w:top w:val="single" w:color="CCCCCC" w:sz="1"/>
              <w:left w:val="single" w:color="CCCCCC" w:sz="1"/>
              <w:bottom w:val="single" w:color="CCCCCC" w:sz="1"/>
              <w:right w:val="single" w:color="CCCCCC" w:sz="1"/>
            </w:tcBorders>
            <w:shd w:fill="5522C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Venue obtiene</w:t>
            </w:r>
          </w:p>
        </w:tc>
      </w:tr>
      <w:tr>
        <w:tc>
          <w:tcPr>
            <w:tcW w:type="dxa" w:w="468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Espacio para evento de lanzamiento sin costo de renta</w:t>
            </w:r>
          </w:p>
        </w:tc>
        <w:tc>
          <w:tcPr>
            <w:tcW w:type="dxa" w:w="468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50+ personas nuevas en su espacio esa noche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Difusión con la red del venue en la escena musical TJ</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Mención permanente en plataforma Skool global desde Día 1</w:t>
            </w:r>
          </w:p>
        </w:tc>
      </w:tr>
      <w:tr>
        <w:tc>
          <w:tcPr>
            <w:tcW w:type="dxa" w:w="468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$375–500 USD de recaudación para operación de la plataforma</w:t>
            </w:r>
          </w:p>
        </w:tc>
        <w:tc>
          <w:tcPr>
            <w:tcW w:type="dxa" w:w="468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Aparición en 5+ videos de ICAs publicados en redes globales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Primeros prospectos de membresía Skool convertidos en el evento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Posicionamiento como espacio cultural de referencia en Tijuana</w:t>
            </w:r>
          </w:p>
        </w:tc>
      </w:tr>
      <w:tr>
        <w:tc>
          <w:tcPr>
            <w:tcW w:type="dxa" w:w="468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Contenido grabado en escenario real para plataforma y redes</w:t>
            </w:r>
          </w:p>
        </w:tc>
        <w:tc>
          <w:tcPr>
            <w:tcW w:type="dxa" w:w="468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Ingresos de consumo esa noche (bebidas/alimentos) 100% del venue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FEA" w:sz="8"/>
              <w:left w:val="single" w:color="00BFEA" w:sz="16"/>
              <w:bottom w:val="single" w:color="CCCCCC" w:sz="1"/>
              <w:right w:val="single" w:color="CCCCCC" w:sz="1"/>
            </w:tcBorders>
            <w:shd w:fill="E8F9FE" w:val="clear"/>
            <w:tcMar>
              <w:top w:type="dxa" w:w="120"/>
              <w:left w:type="dxa" w:w="200"/>
              <w:bottom w:type="dxa" w:w="120"/>
              <w:right w:type="dxa" w:w="140"/>
            </w:tcMar>
          </w:tcPr>
          <w:p>
            <w:r>
              <w:rPr>
                <w:rFonts w:ascii="Arial" w:cs="Arial" w:eastAsia="Arial" w:hAnsi="Arial"/>
                <w:b/>
                <w:bCs/>
                <w:color w:val="00BFEA"/>
                <w:sz w:val="20"/>
                <w:szCs w:val="20"/>
              </w:rPr>
              <w:t xml:space="preserve">La apuesta de largo plazo para el venue:</w:t>
            </w:r>
          </w:p>
          <w:p>
            <w:pPr>
              <w:spacing w:before="60"/>
            </w:pPr>
            <w:r>
              <w:rPr>
                <w:rFonts w:ascii="Arial" w:cs="Arial" w:eastAsia="Arial" w:hAnsi="Arial"/>
                <w:color w:val="0D1420"/>
                <w:sz w:val="20"/>
                <w:szCs w:val="20"/>
              </w:rPr>
              <w:t>GZBR planea 3 eventos en Mayo antes del lanzamiento oficial del 1 de julio, y eventos recurrentes una vez activa la plataforma. El venue que entra primero queda posicionado como el espacio fundador de GZBR en Tijuana — una ciudad que el proyecto menciona explícitamente como su origen en todo su contenido global.</w:t>
            </w:r>
          </w:p>
        </w:tc>
      </w:tr>
    </w:tbl>
    <w:p>
      <w:pPr>
        <w:spacing w:after="0" w:before="0"/>
      </w:pPr>
      <w:r>
        <w:t xml:space="preserve"/>
      </w:r>
    </w:p>
    <w:p>
      <w:pPr>
        <w:spacing w:after="0" w:before="0"/>
      </w:pPr>
      <w:r>
        <w:t xml:space="preserve"/>
      </w:r>
    </w:p>
    <w:p>
      <w:pPr>
        <w:pBdr>
          <w:bottom w:val="single" w:color="5522CC" w:sz="6" w:space="1"/>
        </w:pBdr>
        <w:spacing w:after="140" w:before="340"/>
      </w:pPr>
      <w:r>
        <w:rPr>
          <w:rFonts w:ascii="Arial" w:cs="Arial" w:eastAsia="Arial" w:hAnsi="Arial"/>
          <w:b/>
          <w:bCs/>
          <w:color w:val="5522CC"/>
          <w:sz w:val="28"/>
          <w:szCs w:val="28"/>
        </w:rPr>
        <w:t xml:space="preserve">6.  Escenarios de venues potenciales en Tijuana</w:t>
      </w:r>
    </w:p>
    <w:p>
      <w:pPr>
        <w:spacing w:after="80" w:before="80"/>
      </w:pPr>
      <w:r>
        <w:rPr>
          <w:rFonts w:ascii="Arial" w:cs="Arial" w:eastAsia="Arial" w:hAnsi="Arial"/>
          <w:b w:val="false"/>
          <w:bCs w:val="false"/>
          <w:color w:val="0D1420"/>
          <w:sz w:val="20"/>
          <w:szCs w:val="20"/>
        </w:rPr>
        <w:t xml:space="preserve">GZBR es flexible en el tipo de espacio. El criterio principal es que tenga capacidad para 50+ personas y afinidad con la escena musical o cultural. Estos son los perfiles de espacio que funcionan para el Formato 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5522C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Tipo de venue</w:t>
            </w:r>
          </w:p>
        </w:tc>
        <w:tc>
          <w:tcPr>
            <w:tcW w:type="dxa" w:w="3680"/>
            <w:tcBorders>
              <w:top w:val="single" w:color="CCCCCC" w:sz="1"/>
              <w:left w:val="single" w:color="CCCCCC" w:sz="1"/>
              <w:bottom w:val="single" w:color="CCCCCC" w:sz="1"/>
              <w:right w:val="single" w:color="CCCCCC" w:sz="1"/>
            </w:tcBorders>
            <w:shd w:fill="5522C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Por qué funciona</w:t>
            </w:r>
          </w:p>
        </w:tc>
        <w:tc>
          <w:tcPr>
            <w:tcW w:type="dxa" w:w="3680"/>
            <w:tcBorders>
              <w:top w:val="single" w:color="CCCCCC" w:sz="1"/>
              <w:left w:val="single" w:color="CCCCCC" w:sz="1"/>
              <w:bottom w:val="single" w:color="CCCCCC" w:sz="1"/>
              <w:right w:val="single" w:color="CCCCCC" w:sz="1"/>
            </w:tcBorders>
            <w:shd w:fill="5522C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Propuesta específica al acercarse</w:t>
            </w:r>
          </w:p>
        </w:tc>
      </w:tr>
      <w:tr>
        <w:tc>
          <w:tcPr>
            <w:tcW w:type="dxa" w:w="200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Bar con música en vivo</w:t>
            </w:r>
          </w:p>
        </w:tc>
        <w:tc>
          <w:tcPr>
            <w:tcW w:type="dxa" w:w="368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Ya tiene PA, staff de eventos, y audiencia acostumbrada a shows nocturnos.</w:t>
            </w:r>
          </w:p>
        </w:tc>
        <w:tc>
          <w:tcPr>
            <w:tcW w:type="dxa" w:w="368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"Agregamos una noche de formato diferente que trae público nuevo y les genera consumo adicional."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Café cultural</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Espacio con identidad artística — el showcase + clínica encaja perfectamente con su brand.</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"Tu espacio queda en el mapa global de GZBR como el espacio cultural donde nació el proyecto."</w:t>
            </w:r>
          </w:p>
        </w:tc>
      </w:tr>
      <w:tr>
        <w:tc>
          <w:tcPr>
            <w:tcW w:type="dxa" w:w="200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Escuela o estudio de música</w:t>
            </w:r>
          </w:p>
        </w:tc>
        <w:tc>
          <w:tcPr>
            <w:tcW w:type="dxa" w:w="368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Audiencia ya interesada en música. Potenciales miembros Skool naturales.</w:t>
            </w:r>
          </w:p>
        </w:tc>
        <w:tc>
          <w:tcPr>
            <w:tcW w:type="dxa" w:w="368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"El evento puede ser co-branding: tus alumnos ven lo que pueden lograr y GZBR les da acceso especial."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Espacio de coworking / startup</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Audiencia emprendedora + tech-friendly — afinidad natural con el pitch EdTech de GZBR.</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"GZBR es una startup musical de Tijuana que lanza globalmente — el evento es parte de nuestra historia fundacional."</w:t>
            </w:r>
          </w:p>
        </w:tc>
      </w:tr>
      <w:tr>
        <w:tc>
          <w:tcPr>
            <w:tcW w:type="dxa" w:w="200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Galería de arte o espacio cultural</w:t>
            </w:r>
          </w:p>
        </w:tc>
        <w:tc>
          <w:tcPr>
            <w:tcW w:type="dxa" w:w="368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Ambiente íntimo ideal para el formato Showcase. Audiencia con sensibilidad artística alta.</w:t>
            </w:r>
          </w:p>
        </w:tc>
        <w:tc>
          <w:tcPr>
            <w:tcW w:type="dxa" w:w="368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"Tu espacio como telón de fondo visual de los videos GZBR — estética que complementa el contenido musical."</w:t>
            </w:r>
          </w:p>
        </w:tc>
      </w:tr>
    </w:tbl>
    <w:p>
      <w:pPr>
        <w:spacing w:after="0" w:before="0"/>
      </w:pPr>
      <w:r>
        <w:t xml:space="preserve"/>
      </w:r>
    </w:p>
    <w:p>
      <w:pPr>
        <w:spacing w:after="0" w:before="0"/>
      </w:pPr>
      <w:r>
        <w:t xml:space="preserve"/>
      </w:r>
    </w:p>
    <w:p>
      <w:r>
        <w:br w:type="page"/>
      </w:r>
    </w:p>
    <w:p>
      <w:pPr>
        <w:pBdr>
          <w:bottom w:val="single" w:color="0D1420" w:sz="6" w:space="1"/>
        </w:pBdr>
        <w:spacing w:after="140" w:before="340"/>
      </w:pPr>
      <w:r>
        <w:rPr>
          <w:rFonts w:ascii="Arial" w:cs="Arial" w:eastAsia="Arial" w:hAnsi="Arial"/>
          <w:b/>
          <w:bCs/>
          <w:color w:val="0D1420"/>
          <w:sz w:val="28"/>
          <w:szCs w:val="28"/>
        </w:rPr>
        <w:t xml:space="preserve">7.  Calendario propuesto y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0D142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Fecha</w:t>
            </w:r>
          </w:p>
        </w:tc>
        <w:tc>
          <w:tcPr>
            <w:tcW w:type="dxa" w:w="2000"/>
            <w:tcBorders>
              <w:top w:val="single" w:color="CCCCCC" w:sz="1"/>
              <w:left w:val="single" w:color="CCCCCC" w:sz="1"/>
              <w:bottom w:val="single" w:color="CCCCCC" w:sz="1"/>
              <w:right w:val="single" w:color="CCCCCC" w:sz="1"/>
            </w:tcBorders>
            <w:shd w:fill="0D142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Hito</w:t>
            </w:r>
          </w:p>
        </w:tc>
        <w:tc>
          <w:tcPr>
            <w:tcW w:type="dxa" w:w="5360"/>
            <w:tcBorders>
              <w:top w:val="single" w:color="CCCCCC" w:sz="1"/>
              <w:left w:val="single" w:color="CCCCCC" w:sz="1"/>
              <w:bottom w:val="single" w:color="CCCCCC" w:sz="1"/>
              <w:right w:val="single" w:color="CCCCCC" w:sz="1"/>
            </w:tcBorders>
            <w:shd w:fill="0D142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Responsable / Detalle</w:t>
            </w:r>
          </w:p>
        </w:tc>
      </w:tr>
      <w:tr>
        <w:tc>
          <w:tcPr>
            <w:tcW w:type="dxa" w:w="200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Sem. 5–12 Mayo</w:t>
            </w:r>
          </w:p>
        </w:tc>
        <w:tc>
          <w:tcPr>
            <w:tcW w:type="dxa" w:w="200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Evento 1 — Lanzamiento</w:t>
            </w:r>
          </w:p>
        </w:tc>
        <w:tc>
          <w:tcPr>
            <w:tcW w:type="dxa" w:w="536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Primer Showcase + Clínica. Venue fundador. Meta: $375–500 USD + 15 prospectos Skool.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Sem. 13–19 Mayo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Evento 2</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Mismo formato, venue diferente. Escala con aprendizajes del Evento 1.</w:t>
            </w:r>
          </w:p>
        </w:tc>
      </w:tr>
      <w:tr>
        <w:tc>
          <w:tcPr>
            <w:tcW w:type="dxa" w:w="200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Sem. 20–28 Mayo</w:t>
            </w:r>
          </w:p>
        </w:tc>
        <w:tc>
          <w:tcPr>
            <w:tcW w:type="dxa" w:w="200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Evento 3</w:t>
            </w:r>
          </w:p>
        </w:tc>
        <w:tc>
          <w:tcPr>
            <w:tcW w:type="dxa" w:w="536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Evento de cierre pre-lanzamiento. Pitch más fuerte — la plataforma abre en 3 días.</w:t>
            </w:r>
          </w:p>
        </w:tc>
      </w:tr>
      <w:tr>
        <w:tc>
          <w:tcPr>
            <w:tcW w:type="dxa" w:w="200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1 Julio 2026</w:t>
            </w:r>
          </w:p>
        </w:tc>
        <w:tc>
          <w:tcPr>
            <w:tcW w:type="dxa" w:w="200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bCs/>
                <w:color w:val="0D1420"/>
                <w:sz w:val="20"/>
                <w:szCs w:val="20"/>
              </w:rPr>
              <w:t xml:space="preserve">🚀 Lanzamiento oficial Skool</w:t>
            </w:r>
          </w:p>
        </w:tc>
        <w:tc>
          <w:tcPr>
            <w:tcW w:type="dxa" w:w="536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Plataforma GZBR activa. El venue fundador queda mencionado desde el primer día.</w:t>
            </w:r>
          </w:p>
        </w:tc>
      </w:tr>
    </w:tbl>
    <w:p>
      <w:pPr>
        <w:spacing w:after="0" w:before="0"/>
      </w:pPr>
      <w:r>
        <w:t xml:space="preserve"/>
      </w:r>
    </w:p>
    <w:p>
      <w:pPr>
        <w:spacing w:after="100" w:before="240"/>
      </w:pPr>
      <w:r>
        <w:rPr>
          <w:rFonts w:ascii="Arial" w:cs="Arial" w:eastAsia="Arial" w:hAnsi="Arial"/>
          <w:b/>
          <w:bCs/>
          <w:color w:val="0D1420"/>
          <w:sz w:val="22"/>
          <w:szCs w:val="22"/>
        </w:rPr>
        <w:t xml:space="preserve">Próximos pasos — para confirmar con el venue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00BFE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w:r>
          </w:p>
        </w:tc>
        <w:tc>
          <w:tcPr>
            <w:tcW w:type="dxa" w:w="8960"/>
            <w:tcBorders>
              <w:top w:val="single" w:color="CCCCCC" w:sz="1"/>
              <w:left w:val="single" w:color="CCCCCC" w:sz="1"/>
              <w:bottom w:val="single" w:color="CCCCCC" w:sz="1"/>
              <w:right w:val="single" w:color="CCCCCC" w:sz="1"/>
            </w:tcBorders>
            <w:shd w:fill="00BFE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Acción</w:t>
            </w:r>
          </w:p>
        </w:tc>
      </w:tr>
      <w:tr>
        <w:tc>
          <w:tcPr>
            <w:tcW w:type="dxa" w:w="400"/>
            <w:tcBorders>
              <w:top w:val="single" w:color="CCCCCC" w:sz="1"/>
              <w:left w:val="single" w:color="CCCCCC" w:sz="1"/>
              <w:bottom w:val="single" w:color="CCCCCC" w:sz="1"/>
              <w:right w:val="single" w:color="CCCCCC" w:sz="1"/>
            </w:tcBorders>
            <w:shd w:fill="E8F9FE" w:val="clear"/>
            <w:tcMar>
              <w:top w:type="dxa" w:w="80"/>
              <w:left w:type="dxa" w:w="140"/>
              <w:bottom w:type="dxa" w:w="80"/>
              <w:right w:type="dxa" w:w="140"/>
            </w:tcMar>
            <w:vAlign w:val="center"/>
          </w:tcPr>
          <w:p>
            <w:pPr>
              <w:jc w:val="center"/>
            </w:pPr>
            <w:r>
              <w:rPr>
                <w:rFonts w:ascii="Arial" w:cs="Arial" w:eastAsia="Arial" w:hAnsi="Arial"/>
                <w:color w:val="00BFEA"/>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Revisar esta propuesta y confirmar interés de participar.</w:t>
            </w:r>
          </w:p>
        </w:tc>
      </w:tr>
      <w:tr>
        <w:tc>
          <w:tcPr>
            <w:tcW w:type="dxa" w:w="400"/>
            <w:tcBorders>
              <w:top w:val="single" w:color="CCCCCC" w:sz="1"/>
              <w:left w:val="single" w:color="CCCCCC" w:sz="1"/>
              <w:bottom w:val="single" w:color="CCCCCC" w:sz="1"/>
              <w:right w:val="single" w:color="CCCCCC" w:sz="1"/>
            </w:tcBorders>
            <w:shd w:fill="E8F9FE" w:val="clear"/>
            <w:tcMar>
              <w:top w:type="dxa" w:w="80"/>
              <w:left w:type="dxa" w:w="140"/>
              <w:bottom w:type="dxa" w:w="80"/>
              <w:right w:type="dxa" w:w="140"/>
            </w:tcMar>
            <w:vAlign w:val="center"/>
          </w:tcPr>
          <w:p>
            <w:pPr>
              <w:jc w:val="center"/>
            </w:pPr>
            <w:r>
              <w:rPr>
                <w:rFonts w:ascii="Arial" w:cs="Arial" w:eastAsia="Arial" w:hAnsi="Arial"/>
                <w:color w:val="00BFEA"/>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Proponer 2 fechas disponibles en Mayo para el evento (semana del 5 o 12 preferentemente).</w:t>
            </w:r>
          </w:p>
        </w:tc>
      </w:tr>
      <w:tr>
        <w:tc>
          <w:tcPr>
            <w:tcW w:type="dxa" w:w="400"/>
            <w:tcBorders>
              <w:top w:val="single" w:color="CCCCCC" w:sz="1"/>
              <w:left w:val="single" w:color="CCCCCC" w:sz="1"/>
              <w:bottom w:val="single" w:color="CCCCCC" w:sz="1"/>
              <w:right w:val="single" w:color="CCCCCC" w:sz="1"/>
            </w:tcBorders>
            <w:shd w:fill="E8F9FE" w:val="clear"/>
            <w:tcMar>
              <w:top w:type="dxa" w:w="80"/>
              <w:left w:type="dxa" w:w="140"/>
              <w:bottom w:type="dxa" w:w="80"/>
              <w:right w:type="dxa" w:w="140"/>
            </w:tcMar>
            <w:vAlign w:val="center"/>
          </w:tcPr>
          <w:p>
            <w:pPr>
              <w:jc w:val="center"/>
            </w:pPr>
            <w:r>
              <w:rPr>
                <w:rFonts w:ascii="Arial" w:cs="Arial" w:eastAsia="Arial" w:hAnsi="Arial"/>
                <w:color w:val="00BFEA"/>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Confirmar capacidad del espacio (aforo) y disponibilidad de equipo de sonido.</w:t>
            </w:r>
          </w:p>
        </w:tc>
      </w:tr>
      <w:tr>
        <w:tc>
          <w:tcPr>
            <w:tcW w:type="dxa" w:w="400"/>
            <w:tcBorders>
              <w:top w:val="single" w:color="CCCCCC" w:sz="1"/>
              <w:left w:val="single" w:color="CCCCCC" w:sz="1"/>
              <w:bottom w:val="single" w:color="CCCCCC" w:sz="1"/>
              <w:right w:val="single" w:color="CCCCCC" w:sz="1"/>
            </w:tcBorders>
            <w:shd w:fill="E8F9FE" w:val="clear"/>
            <w:tcMar>
              <w:top w:type="dxa" w:w="80"/>
              <w:left w:type="dxa" w:w="140"/>
              <w:bottom w:type="dxa" w:w="80"/>
              <w:right w:type="dxa" w:w="140"/>
            </w:tcMar>
            <w:vAlign w:val="center"/>
          </w:tcPr>
          <w:p>
            <w:pPr>
              <w:jc w:val="center"/>
            </w:pPr>
            <w:r>
              <w:rPr>
                <w:rFonts w:ascii="Arial" w:cs="Arial" w:eastAsia="Arial" w:hAnsi="Arial"/>
                <w:color w:val="00BFEA"/>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Firmar carta de intención de colaboración (1 página, sin compromisos económicos).</w:t>
            </w:r>
          </w:p>
        </w:tc>
      </w:tr>
      <w:tr>
        <w:tc>
          <w:tcPr>
            <w:tcW w:type="dxa" w:w="400"/>
            <w:tcBorders>
              <w:top w:val="single" w:color="CCCCCC" w:sz="1"/>
              <w:left w:val="single" w:color="CCCCCC" w:sz="1"/>
              <w:bottom w:val="single" w:color="CCCCCC" w:sz="1"/>
              <w:right w:val="single" w:color="CCCCCC" w:sz="1"/>
            </w:tcBorders>
            <w:shd w:fill="E8F9FE" w:val="clear"/>
            <w:tcMar>
              <w:top w:type="dxa" w:w="80"/>
              <w:left w:type="dxa" w:w="140"/>
              <w:bottom w:type="dxa" w:w="80"/>
              <w:right w:type="dxa" w:w="140"/>
            </w:tcMar>
            <w:vAlign w:val="center"/>
          </w:tcPr>
          <w:p>
            <w:pPr>
              <w:jc w:val="center"/>
            </w:pPr>
            <w:r>
              <w:rPr>
                <w:rFonts w:ascii="Arial" w:cs="Arial" w:eastAsia="Arial" w:hAnsi="Arial"/>
                <w:color w:val="00BFEA"/>
                <w:sz w:val="20"/>
                <w:szCs w:val="20"/>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D1420"/>
                <w:sz w:val="20"/>
                <w:szCs w:val="20"/>
              </w:rPr>
              <w:t xml:space="preserve">Comenzar difusión conjunta en redes sociales — 2 semanas antes del evento.</w:t>
            </w:r>
          </w:p>
        </w:tc>
      </w:tr>
    </w:tbl>
    <w:p>
      <w:pPr>
        <w:spacing w:after="0" w:before="0"/>
      </w:pPr>
      <w:r>
        <w:t xml:space="preserve"/>
      </w:r>
    </w:p>
    <w:p>
      <w:pPr>
        <w:spacing w:after="0" w:before="0"/>
      </w:pPr>
      <w:r>
        <w:t xml:space="preserve"/>
      </w:r>
    </w:p>
    <w:p>
      <w:pPr>
        <w:pBdr>
          <w:bottom w:val="single" w:color="00BFEA" w:sz="6" w:space="1"/>
        </w:pBdr>
        <w:spacing w:after="140" w:before="340"/>
      </w:pPr>
      <w:r>
        <w:rPr>
          <w:rFonts w:ascii="Arial" w:cs="Arial" w:eastAsia="Arial" w:hAnsi="Arial"/>
          <w:b/>
          <w:bCs/>
          <w:color w:val="00BFEA"/>
          <w:sz w:val="28"/>
          <w:szCs w:val="28"/>
        </w:rPr>
        <w:t xml:space="preserve">8.  Sobre GZBR — Quiénes somos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BFE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El equipo fundador</w:t>
            </w:r>
          </w:p>
        </w:tc>
        <w:tc>
          <w:tcPr>
            <w:tcW w:type="dxa" w:w="4680"/>
            <w:tcBorders>
              <w:top w:val="single" w:color="CCCCCC" w:sz="1"/>
              <w:left w:val="single" w:color="CCCCCC" w:sz="1"/>
              <w:bottom w:val="single" w:color="CCCCCC" w:sz="1"/>
              <w:right w:val="single" w:color="CCCCCC" w:sz="1"/>
            </w:tcBorders>
            <w:shd w:fill="5522C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 plataforma</w:t>
            </w:r>
          </w:p>
        </w:tc>
      </w:tr>
      <w:tr>
        <w:tc>
          <w:tcPr>
            <w:tcW w:type="dxa" w:w="4680"/>
            <w:tcBorders>
              <w:top w:val="single" w:color="CCCCCC" w:sz="1"/>
              <w:left w:val="single" w:color="CCCCCC" w:sz="1"/>
              <w:bottom w:val="single" w:color="CCCCCC" w:sz="1"/>
              <w:right w:val="single" w:color="CCCCCC" w:sz="1"/>
            </w:tcBorders>
            <w:shd w:fill="E8F9FE" w:val="clear"/>
            <w:tcMar>
              <w:top w:type="dxa" w:w="100"/>
              <w:left w:type="dxa" w:w="140"/>
              <w:bottom w:type="dxa" w:w="100"/>
              <w:right w:type="dxa" w:w="140"/>
            </w:tcMar>
          </w:tcPr>
          <w:p>
            <w:r>
              <w:rPr>
                <w:rFonts w:ascii="Arial" w:cs="Arial" w:eastAsia="Arial" w:hAnsi="Arial"/>
                <w:b/>
                <w:bCs/>
                <w:color w:val="0D1420"/>
                <w:sz w:val="20"/>
                <w:szCs w:val="20"/>
              </w:rPr>
              <w:t xml:space="preserve">José Luis Valenzuela — CEO &amp; Co-fundador</w:t>
            </w:r>
          </w:p>
          <w:p>
            <w:pPr>
              <w:spacing w:before="60"/>
            </w:pPr>
            <w:r>
              <w:rPr>
                <w:rFonts w:ascii="Arial" w:cs="Arial" w:eastAsia="Arial" w:hAnsi="Arial"/>
                <w:color w:val="0D1420"/>
                <w:sz w:val="18"/>
                <w:szCs w:val="18"/>
              </w:rPr>
              <w:t xml:space="preserve">30+ años en operaciones y manufactura en el corredor TJ–SD. Emprendedor serial, profesor universitario (UABC, CESUN, UVA, UNEA).</w:t>
            </w:r>
          </w:p>
          <w:p>
            <w:pPr>
              <w:spacing w:before="120"/>
            </w:pPr>
            <w:r>
              <w:rPr>
                <w:rFonts w:ascii="Arial" w:cs="Arial" w:eastAsia="Arial" w:hAnsi="Arial"/>
                <w:b/>
                <w:bCs/>
                <w:color w:val="0D1420"/>
                <w:sz w:val="20"/>
                <w:szCs w:val="20"/>
              </w:rPr>
              <w:t xml:space="preserve">Javier Pérez — Director Artístico &amp; Co-fundador</w:t>
            </w:r>
          </w:p>
          <w:p>
            <w:pPr>
              <w:spacing w:before="60"/>
            </w:pPr>
            <w:r>
              <w:rPr>
                <w:rFonts w:ascii="Arial" w:cs="Arial" w:eastAsia="Arial" w:hAnsi="Arial"/>
                <w:color w:val="0D1420"/>
                <w:sz w:val="18"/>
                <w:szCs w:val="18"/>
              </w:rPr>
              <w:t xml:space="preserve">Músico profesional de Tijuana. Responsable del método pedagógico BandLoop™ y de la dirección musical de todos los ICAs.</w:t>
            </w:r>
          </w:p>
        </w:tc>
        <w:tc>
          <w:tcPr>
            <w:tcW w:type="dxa" w:w="4680"/>
            <w:tcBorders>
              <w:top w:val="single" w:color="CCCCCC" w:sz="1"/>
              <w:left w:val="single" w:color="CCCCCC" w:sz="1"/>
              <w:bottom w:val="single" w:color="CCCCCC" w:sz="1"/>
              <w:right w:val="single" w:color="CCCCCC" w:sz="1"/>
            </w:tcBorders>
            <w:shd w:fill="F5E8FE" w:val="clear"/>
            <w:tcMar>
              <w:top w:type="dxa" w:w="100"/>
              <w:left w:type="dxa" w:w="140"/>
              <w:bottom w:type="dxa" w:w="100"/>
              <w:right w:type="dxa" w:w="140"/>
            </w:tcMar>
          </w:tcPr>
          <w:p>
            <w:pPr>
              <w:pStyle w:val="ListParagraph"/>
              <w:numPr>
                <w:ilvl w:val="0"/>
                <w:numId w:val="2"/>
              </w:numPr>
              <w:spacing w:after="60" w:before="60"/>
            </w:pPr>
            <w:r>
              <w:rPr>
                <w:rFonts w:ascii="Arial" w:cs="Arial" w:eastAsia="Arial" w:hAnsi="Arial"/>
                <w:color w:val="0D1420"/>
                <w:sz w:val="18"/>
                <w:szCs w:val="18"/>
              </w:rPr>
              <w:t xml:space="preserve">Plataforma EdTech bilingüe (ES/EN) — audiencia global</w:t>
            </w:r>
          </w:p>
          <w:p>
            <w:pPr>
              <w:pStyle w:val="ListParagraph"/>
              <w:numPr>
                <w:ilvl w:val="0"/>
                <w:numId w:val="2"/>
              </w:numPr>
              <w:spacing w:after="60" w:before="60"/>
            </w:pPr>
            <w:r>
              <w:rPr>
                <w:rFonts w:ascii="Arial" w:cs="Arial" w:eastAsia="Arial" w:hAnsi="Arial"/>
                <w:color w:val="0D1420"/>
                <w:sz w:val="18"/>
                <w:szCs w:val="18"/>
              </w:rPr>
              <w:t xml:space="preserve">Metodología BandLoop™ — método pedagógico propietario</w:t>
            </w:r>
          </w:p>
          <w:p>
            <w:pPr>
              <w:pStyle w:val="ListParagraph"/>
              <w:numPr>
                <w:ilvl w:val="0"/>
                <w:numId w:val="2"/>
              </w:numPr>
              <w:spacing w:after="60" w:before="60"/>
            </w:pPr>
            <w:r>
              <w:rPr>
                <w:rFonts w:ascii="Arial" w:cs="Arial" w:eastAsia="Arial" w:hAnsi="Arial"/>
                <w:color w:val="0D1420"/>
                <w:sz w:val="18"/>
                <w:szCs w:val="18"/>
              </w:rPr>
              <w:t xml:space="preserve">6 ICAs certificados firmados — músicos locales de Tijuana</w:t>
            </w:r>
          </w:p>
          <w:p>
            <w:pPr>
              <w:pStyle w:val="ListParagraph"/>
              <w:numPr>
                <w:ilvl w:val="0"/>
                <w:numId w:val="2"/>
              </w:numPr>
              <w:spacing w:after="60" w:before="60"/>
            </w:pPr>
            <w:r>
              <w:rPr>
                <w:rFonts w:ascii="Arial" w:cs="Arial" w:eastAsia="Arial" w:hAnsi="Arial"/>
                <w:color w:val="0D1420"/>
                <w:sz w:val="18"/>
                <w:szCs w:val="18"/>
              </w:rPr>
              <w:t xml:space="preserve">JackTrip &lt;25ms — tecnología de jam session remota</w:t>
            </w:r>
          </w:p>
          <w:p>
            <w:pPr>
              <w:pStyle w:val="ListParagraph"/>
              <w:numPr>
                <w:ilvl w:val="0"/>
                <w:numId w:val="2"/>
              </w:numPr>
              <w:spacing w:after="60" w:before="60"/>
            </w:pPr>
            <w:r>
              <w:rPr>
                <w:rFonts w:ascii="Arial" w:cs="Arial" w:eastAsia="Arial" w:hAnsi="Arial"/>
                <w:color w:val="0D1420"/>
                <w:sz w:val="18"/>
                <w:szCs w:val="18"/>
              </w:rPr>
              <w:t xml:space="preserve">Skool — plataforma de membresía con miembros en LATAM, EUA y España</w:t>
            </w:r>
          </w:p>
          <w:p>
            <w:pPr>
              <w:pStyle w:val="ListParagraph"/>
              <w:numPr>
                <w:ilvl w:val="0"/>
                <w:numId w:val="2"/>
              </w:numPr>
              <w:spacing w:after="60" w:before="60"/>
            </w:pPr>
            <w:r>
              <w:rPr>
                <w:rFonts w:ascii="Arial" w:cs="Arial" w:eastAsia="Arial" w:hAnsi="Arial"/>
                <w:color w:val="0D1420"/>
                <w:sz w:val="18"/>
                <w:szCs w:val="18"/>
              </w:rPr>
              <w:t>Lanzamiento oficial: 1 Julio 2026</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8"/>
              <w:left w:val="single" w:color="C8960C" w:sz="16"/>
              <w:bottom w:val="single" w:color="CCCCCC" w:sz="1"/>
              <w:right w:val="single" w:color="CCCCCC" w:sz="1"/>
            </w:tcBorders>
            <w:shd w:fill="FEF9E7" w:val="clear"/>
            <w:tcMar>
              <w:top w:type="dxa" w:w="120"/>
              <w:left w:type="dxa" w:w="200"/>
              <w:bottom w:type="dxa" w:w="120"/>
              <w:right w:type="dxa" w:w="140"/>
            </w:tcMar>
          </w:tcPr>
          <w:p>
            <w:r>
              <w:rPr>
                <w:rFonts w:ascii="Arial" w:cs="Arial" w:eastAsia="Arial" w:hAnsi="Arial"/>
                <w:b/>
                <w:bCs/>
                <w:color w:val="C8960C"/>
                <w:sz w:val="20"/>
                <w:szCs w:val="20"/>
              </w:rPr>
              <w:t xml:space="preserve">¿Listo para ser parte del origen de GZBR en Tijuana?</w:t>
            </w:r>
          </w:p>
          <w:p>
            <w:pPr>
              <w:spacing w:before="60"/>
            </w:pPr>
            <w:r>
              <w:rPr>
                <w:rFonts w:ascii="Arial" w:cs="Arial" w:eastAsia="Arial" w:hAnsi="Arial"/>
                <w:color w:val="0D1420"/>
                <w:sz w:val="20"/>
                <w:szCs w:val="20"/>
              </w:rPr>
              <w:t xml:space="preserve">Esta es una invitación a entrar desde el Día 0 — antes de que el proyecto sea conocido globalmente. Los venues que colaboren en el lanzamiento quedan documentados como parte de la historia fundacional de GZBR. El mundo verá dónde nació esto.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9FE" w:val="clear"/>
            <w:tcMar>
              <w:top w:type="dxa" w:w="140"/>
              <w:left w:type="dxa" w:w="200"/>
              <w:bottom w:type="dxa" w:w="140"/>
              <w:right w:type="dxa" w:w="140"/>
            </w:tcMar>
          </w:tcPr>
          <w:p>
            <w:r>
              <w:rPr>
                <w:rFonts w:ascii="Arial" w:cs="Arial" w:eastAsia="Arial" w:hAnsi="Arial"/>
                <w:b/>
                <w:bCs/>
                <w:color w:val="00BFEA"/>
                <w:sz w:val="20"/>
                <w:szCs w:val="20"/>
              </w:rPr>
              <w:t xml:space="preserve">Contacto directo:</w:t>
            </w:r>
          </w:p>
          <w:p>
            <w:pPr>
              <w:spacing w:before="80"/>
            </w:pPr>
            <w:r>
              <w:rPr>
                <w:rFonts w:ascii="Arial" w:cs="Arial" w:eastAsia="Arial" w:hAnsi="Arial"/>
                <w:color w:val="0D1420"/>
                <w:sz w:val="20"/>
                <w:szCs w:val="20"/>
              </w:rPr>
              <w:t xml:space="preserve">José Luis Valenzuela — CEO, GZBR</w:t>
            </w:r>
          </w:p>
          <w:p>
            <w:pPr>
              <w:spacing w:before="60"/>
            </w:pPr>
            <w:r>
              <w:rPr>
                <w:rFonts w:ascii="Arial" w:cs="Arial" w:eastAsia="Arial" w:hAnsi="Arial"/>
                <w:color w:val="0D1420"/>
                <w:sz w:val="20"/>
                <w:szCs w:val="20"/>
              </w:rPr>
              <w:t xml:space="preserve">WhatsApp: +52 663 324 3845</w:t>
            </w:r>
          </w:p>
          <w:p>
            <w:pPr>
              <w:spacing w:before="60"/>
            </w:pPr>
            <w:r>
              <w:rPr>
                <w:rFonts w:ascii="Arial" w:cs="Arial" w:eastAsia="Arial" w:hAnsi="Arial"/>
                <w:color w:val="00BFEA"/>
                <w:sz w:val="20"/>
                <w:szCs w:val="20"/>
              </w:rPr>
              <w:t xml:space="preserve">wa.me/526633243845</w:t>
            </w:r>
          </w:p>
          <w:p>
            <w:pPr>
              <w:spacing w:before="60"/>
            </w:pPr>
            <w:r>
              <w:rPr>
                <w:rFonts w:ascii="Arial" w:cs="Arial" w:eastAsia="Arial" w:hAnsi="Arial"/>
                <w:color w:val="0D1420"/>
                <w:sz w:val="20"/>
                <w:szCs w:val="20"/>
              </w:rPr>
              <w:t xml:space="preserve">jose.valenzuela.tij@gmail.com</w:t>
            </w:r>
          </w:p>
        </w:tc>
        <w:tc>
          <w:tcPr>
            <w:tcW w:type="dxa" w:w="4680"/>
            <w:tcBorders>
              <w:top w:val="none" w:color="FFFFFF" w:sz="0"/>
              <w:left w:val="none" w:color="FFFFFF" w:sz="0"/>
              <w:bottom w:val="none" w:color="FFFFFF" w:sz="0"/>
              <w:right w:val="none" w:color="FFFFFF" w:sz="0"/>
            </w:tcBorders>
            <w:shd w:fill="F5E8FE" w:val="clear"/>
            <w:tcMar>
              <w:top w:type="dxa" w:w="140"/>
              <w:left w:type="dxa" w:w="200"/>
              <w:bottom w:type="dxa" w:w="140"/>
              <w:right w:type="dxa" w:w="140"/>
            </w:tcMar>
          </w:tcPr>
          <w:p>
            <w:r>
              <w:rPr>
                <w:rFonts w:ascii="Arial" w:cs="Arial" w:eastAsia="Arial" w:hAnsi="Arial"/>
                <w:b/>
                <w:bCs/>
                <w:color w:val="5522CC"/>
                <w:sz w:val="20"/>
                <w:szCs w:val="20"/>
              </w:rPr>
              <w:t xml:space="preserve">El proyecto:</w:t>
            </w:r>
          </w:p>
          <w:p>
            <w:pPr>
              <w:spacing w:before="80"/>
            </w:pPr>
            <w:r>
              <w:rPr>
                <w:rFonts w:ascii="Arial" w:cs="Arial" w:eastAsia="Arial" w:hAnsi="Arial"/>
                <w:color w:val="5522CC"/>
                <w:sz w:val="20"/>
                <w:szCs w:val="20"/>
              </w:rPr>
              <w:t xml:space="preserve">teraxio.github.io/guitarzero</w:t>
            </w:r>
          </w:p>
          <w:p>
            <w:pPr>
              <w:spacing w:before="60"/>
            </w:pPr>
            <w:r>
              <w:rPr>
                <w:rFonts w:ascii="Arial" w:cs="Arial" w:eastAsia="Arial" w:hAnsi="Arial"/>
                <w:color w:val="0D1420"/>
                <w:sz w:val="20"/>
                <w:szCs w:val="20"/>
              </w:rPr>
              <w:t xml:space="preserve">Tijuana, Baja California · Mayo 2026</w:t>
            </w:r>
          </w:p>
          <w:p>
            <w:pPr>
              <w:spacing w:before="60"/>
            </w:pPr>
            <w:r>
              <w:rPr>
                <w:rFonts w:ascii="Arial" w:cs="Arial" w:eastAsia="Arial" w:hAnsi="Arial"/>
                <w:color w:val="888888"/>
                <w:sz w:val="18"/>
                <w:szCs w:val="18"/>
              </w:rPr>
              <w:t xml:space="preserve">CONFIDENCIAL — Para uso exclusivo del receptor</w:t>
            </w:r>
          </w:p>
        </w:tc>
      </w:tr>
    </w:tbl>
    <w:p>
      <w:pPr>
        <w:spacing w:after="0" w:before="0"/>
      </w:pPr>
      <w:r>
        <w:t xml:space="preserve"/>
      </w:r>
    </w:p>
    <w:p>
      <w:pPr>
        <w:spacing w:after="0" w:before="300"/>
      </w:pPr>
      <w:r>
        <w:rPr>
          <w:rFonts w:ascii="Arial" w:cs="Arial" w:eastAsia="Arial" w:hAnsi="Arial"/>
          <w:b w:val="false"/>
          <w:bCs w:val="false"/>
          <w:color w:val="888888"/>
          <w:sz w:val="16"/>
          <w:szCs w:val="16"/>
        </w:rPr>
        <w:t xml:space="preserve">GuitarZero to BandRock  ·  Tijuana → Global  ·  Abril 2026</w:t>
      </w:r>
    </w:p>
    <w:sectPr>
      <w:headerReference w:type="default" r:id="rId8"/>
      <w:footerReference w:type="default" r:id="rId9"/>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2026-04-22T03:58:29.310Z</dcterms:created>
  <dcterms:modified xsi:type="dcterms:W3CDTF">2026-04-22T03:58:29.311Z</dcterms:modified>
</cp:coreProperties>
</file>

<file path=docProps/custom.xml><?xml version="1.0" encoding="utf-8"?>
<Properties xmlns="http://schemas.openxmlformats.org/officeDocument/2006/custom-properties" xmlns:vt="http://schemas.openxmlformats.org/officeDocument/2006/docPropsVTypes"/>
</file>