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9.png" ContentType="image/png"/>
  <Override PartName="/word/media/rId2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a4b940ad8a01a11ed2a5cda100b9e41d218d112"/>
    <w:p>
      <w:pPr>
        <w:pStyle w:val="Heading1"/>
      </w:pPr>
      <w:r>
        <w:t xml:space="preserve">SMR Technology Comparison Report — Romania Deployment, COD 2033</w:t>
      </w:r>
    </w:p>
    <w:p>
      <w:pPr>
        <w:pStyle w:val="FirstParagraph"/>
      </w:pPr>
      <w:r>
        <w:rPr>
          <w:b/>
          <w:bCs/>
        </w:rPr>
        <w:t xml:space="preserve">Prepared for:</w:t>
      </w:r>
      <w:r>
        <w:t xml:space="preserve"> </w:t>
      </w:r>
      <w:r>
        <w:t xml:space="preserve">SN Nuclearelectrica SA (SNN) / Romanian SMR Programme</w:t>
      </w:r>
      <w:r>
        <w:t xml:space="preserve"> </w:t>
      </w:r>
      <w:r>
        <w:rPr>
          <w:b/>
          <w:bCs/>
        </w:rPr>
        <w:t xml:space="preserve">Evaluation date:</w:t>
      </w:r>
      <w:r>
        <w:t xml:space="preserve"> </w:t>
      </w:r>
      <w:r>
        <w:t xml:space="preserve">21 April 2026</w:t>
      </w:r>
      <w:r>
        <w:t xml:space="preserve"> </w:t>
      </w:r>
      <w:r>
        <w:rPr>
          <w:b/>
          <w:bCs/>
        </w:rPr>
        <w:t xml:space="preserve">Methodology:</w:t>
      </w:r>
      <w:r>
        <w:t xml:space="preserve"> </w:t>
      </w:r>
      <w:r>
        <w:rPr>
          <w:rStyle w:val="VerbatimChar"/>
        </w:rPr>
        <w:t xml:space="preserve">smr_evaluation_methodology.md</w:t>
      </w:r>
      <w:r>
        <w:t xml:space="preserve"> </w:t>
      </w:r>
      <w:r>
        <w:t xml:space="preserve">v1.1</w:t>
      </w:r>
      <w:r>
        <w:t xml:space="preserve"> </w:t>
      </w:r>
      <w:r>
        <w:rPr>
          <w:b/>
          <w:bCs/>
        </w:rPr>
        <w:t xml:space="preserve">LLM operationalization:</w:t>
      </w:r>
      <w:r>
        <w:t xml:space="preserve"> </w:t>
      </w:r>
      <w:r>
        <w:rPr>
          <w:rStyle w:val="VerbatimChar"/>
        </w:rPr>
        <w:t xml:space="preserve">smr_evaluation_prompt.md</w:t>
      </w:r>
      <w:r>
        <w:t xml:space="preserve"> </w:t>
      </w:r>
      <w:r>
        <w:t xml:space="preserve">v1.1</w:t>
      </w:r>
      <w:r>
        <w:t xml:space="preserve"> </w:t>
      </w:r>
      <w:r>
        <w:rPr>
          <w:b/>
          <w:bCs/>
        </w:rPr>
        <w:t xml:space="preserve">Evidence corpora:</w:t>
      </w:r>
      <w:r>
        <w:t xml:space="preserve"> </w:t>
      </w:r>
      <w:r>
        <w:rPr>
          <w:rStyle w:val="VerbatimChar"/>
        </w:rPr>
        <w:t xml:space="preserve">dashboard_extracts/</w:t>
      </w:r>
      <w:r>
        <w:t xml:space="preserve"> </w:t>
      </w:r>
      <w:r>
        <w:t xml:space="preserve">(11 files)</w:t>
      </w:r>
      <w:r>
        <w:t xml:space="preserve"> </w:t>
      </w:r>
      <w:r>
        <w:rPr>
          <w:b/>
          <w:bCs/>
        </w:rPr>
        <w:t xml:space="preserve">LLM evaluation runs:</w:t>
      </w:r>
      <w:r>
        <w:t xml:space="preserve"> </w:t>
      </w:r>
      <w:r>
        <w:rPr>
          <w:rStyle w:val="VerbatimChar"/>
        </w:rPr>
        <w:t xml:space="preserve">llm_runs/</w:t>
      </w:r>
      <w:r>
        <w:t xml:space="preserve"> </w:t>
      </w:r>
      <w:r>
        <w:t xml:space="preserve">(9 designs, JSON + analyst summary)</w:t>
      </w:r>
      <w:r>
        <w:t xml:space="preserve"> </w:t>
      </w:r>
      <w:r>
        <w:rPr>
          <w:b/>
          <w:bCs/>
        </w:rPr>
        <w:t xml:space="preserve">Economic model:</w:t>
      </w:r>
      <w:r>
        <w:t xml:space="preserve"> </w:t>
      </w:r>
      <w:r>
        <w:rPr>
          <w:rStyle w:val="VerbatimChar"/>
        </w:rPr>
        <w:t xml:space="preserve">economics/smr_economics.py</w:t>
      </w:r>
      <w:r>
        <w:t xml:space="preserve"> </w:t>
      </w:r>
      <w:r>
        <w:t xml:space="preserve">+</w:t>
      </w:r>
      <w:r>
        <w:t xml:space="preserve"> </w:t>
      </w:r>
      <w:r>
        <w:rPr>
          <w:rStyle w:val="VerbatimChar"/>
        </w:rPr>
        <w:t xml:space="preserve">economics/designs/*.yaml</w:t>
      </w:r>
      <w:r>
        <w:t xml:space="preserve"> </w:t>
      </w:r>
      <w:r>
        <w:t xml:space="preserve">+</w:t>
      </w:r>
      <w:r>
        <w:t xml:space="preserve"> </w:t>
      </w:r>
      <w:r>
        <w:rPr>
          <w:rStyle w:val="VerbatimChar"/>
        </w:rPr>
        <w:t xml:space="preserve">economics/common_assumptions.yaml</w:t>
      </w:r>
      <w:r>
        <w:t xml:space="preserve"> </w:t>
      </w:r>
      <w:r>
        <w:rPr>
          <w:b/>
          <w:bCs/>
        </w:rPr>
        <w:t xml:space="preserve">Charts &amp; tables:</w:t>
      </w:r>
      <w:r>
        <w:t xml:space="preserve"> </w:t>
      </w:r>
      <w:r>
        <w:rPr>
          <w:rStyle w:val="VerbatimChar"/>
        </w:rPr>
        <w:t xml:space="preserve">economics/outputs/</w:t>
      </w:r>
    </w:p>
    <w:p>
      <w:r>
        <w:pict>
          <v:rect style="width:0;height:1.5pt" o:hralign="center" o:hrstd="t" o:hr="t"/>
        </w:pict>
      </w:r>
    </w:p>
    <w:bookmarkStart w:id="13" w:name="executive-summary-top-3-recommendation"/>
    <w:p>
      <w:pPr>
        <w:pStyle w:val="Heading2"/>
      </w:pPr>
      <w:r>
        <w:t xml:space="preserve">1. Executive summary — top-3 recommendation</w:t>
      </w:r>
    </w:p>
    <w:p>
      <w:pPr>
        <w:pStyle w:val="FirstParagraph"/>
      </w:pPr>
      <w:r>
        <w:t xml:space="preserve">Of the nine SMR designs evaluated against the Romanian regulatory + market context for a target Commercial Operation Date (COD) of 31 December 2033, the</w:t>
      </w:r>
      <w:r>
        <w:t xml:space="preserve"> </w:t>
      </w:r>
      <w:r>
        <w:rPr>
          <w:b/>
          <w:bCs/>
        </w:rPr>
        <w:t xml:space="preserve">top three</w:t>
      </w:r>
      <w:r>
        <w:t xml:space="preserve"> </w:t>
      </w:r>
      <w:r>
        <w:t xml:space="preserve">are:</w:t>
      </w:r>
    </w:p>
    <w:tbl>
      <w:tblPr>
        <w:tblStyle w:val="Table"/>
        <w:tblW w:type="pct" w:w="5000"/>
        <w:tblLayout w:type="fixed"/>
        <w:tblLook w:firstRow="1" w:lastRow="0" w:firstColumn="0" w:lastColumn="0" w:noHBand="0" w:noVBand="0" w:val="0020"/>
      </w:tblPr>
      <w:tblGrid>
        <w:gridCol w:w="215"/>
        <w:gridCol w:w="1334"/>
        <w:gridCol w:w="559"/>
        <w:gridCol w:w="903"/>
        <w:gridCol w:w="645"/>
        <w:gridCol w:w="1592"/>
        <w:gridCol w:w="1420"/>
        <w:gridCol w:w="1248"/>
      </w:tblGrid>
      <w:tr>
        <w:trPr>
          <w:tblHeader w:val="on"/>
        </w:trPr>
        <w:tc>
          <w:tcPr/>
          <w:p>
            <w:pPr>
              <w:pStyle w:val="Compact"/>
            </w:pPr>
            <w:r>
              <w:t xml:space="preserve">Rank</w:t>
            </w:r>
          </w:p>
        </w:tc>
        <w:tc>
          <w:tcPr/>
          <w:p>
            <w:pPr>
              <w:pStyle w:val="Compact"/>
            </w:pPr>
            <w:r>
              <w:t xml:space="preserve">Design</w:t>
            </w:r>
          </w:p>
        </w:tc>
        <w:tc>
          <w:tcPr/>
          <w:p>
            <w:pPr>
              <w:pStyle w:val="Compact"/>
              <w:jc w:val="right"/>
            </w:pPr>
            <w:r>
              <w:t xml:space="preserve">Plant net MWe</w:t>
            </w:r>
          </w:p>
        </w:tc>
        <w:tc>
          <w:tcPr/>
          <w:p>
            <w:pPr>
              <w:pStyle w:val="Compact"/>
              <w:jc w:val="right"/>
            </w:pPr>
            <w:r>
              <w:t xml:space="preserve">LLM final score (0–5)</w:t>
            </w:r>
          </w:p>
        </w:tc>
        <w:tc>
          <w:tcPr/>
          <w:p>
            <w:pPr>
              <w:pStyle w:val="Compact"/>
              <w:jc w:val="right"/>
            </w:pPr>
            <w:r>
              <w:t xml:space="preserve">Tier B (100 pt)</w:t>
            </w:r>
          </w:p>
        </w:tc>
        <w:tc>
          <w:tcPr/>
          <w:p>
            <w:pPr>
              <w:pStyle w:val="Compact"/>
            </w:pPr>
            <w:r>
              <w:t xml:space="preserve">Tier A status</w:t>
            </w:r>
          </w:p>
        </w:tc>
        <w:tc>
          <w:tcPr/>
          <w:p>
            <w:pPr>
              <w:pStyle w:val="Compact"/>
              <w:jc w:val="right"/>
            </w:pPr>
            <w:r>
              <w:t xml:space="preserve">LCOE @ unit 12 (EUR/MWh, central)</w:t>
            </w:r>
          </w:p>
        </w:tc>
        <w:tc>
          <w:tcPr/>
          <w:p>
            <w:pPr>
              <w:pStyle w:val="Compact"/>
            </w:pPr>
            <w:r>
              <w:t xml:space="preserve">Verdict</w:t>
            </w:r>
          </w:p>
        </w:tc>
      </w:tr>
      <w:tr>
        <w:tc>
          <w:tcPr/>
          <w:p>
            <w:pPr>
              <w:pStyle w:val="Compact"/>
            </w:pPr>
            <w:r>
              <w:rPr>
                <w:b/>
                <w:bCs/>
              </w:rPr>
              <w:t xml:space="preserve">1</w:t>
            </w:r>
          </w:p>
        </w:tc>
        <w:tc>
          <w:tcPr/>
          <w:p>
            <w:pPr>
              <w:pStyle w:val="Compact"/>
            </w:pPr>
            <w:r>
              <w:rPr>
                <w:b/>
                <w:bCs/>
              </w:rPr>
              <w:t xml:space="preserve">GE Vernova Hitachi BWRX-300</w:t>
            </w:r>
          </w:p>
        </w:tc>
        <w:tc>
          <w:tcPr/>
          <w:p>
            <w:pPr>
              <w:pStyle w:val="Compact"/>
              <w:jc w:val="right"/>
            </w:pPr>
            <w:r>
              <w:t xml:space="preserve">300</w:t>
            </w:r>
          </w:p>
        </w:tc>
        <w:tc>
          <w:tcPr/>
          <w:p>
            <w:pPr>
              <w:pStyle w:val="Compact"/>
              <w:jc w:val="right"/>
            </w:pPr>
            <w:r>
              <w:rPr>
                <w:b/>
                <w:bCs/>
              </w:rPr>
              <w:t xml:space="preserve">4.66</w:t>
            </w:r>
          </w:p>
        </w:tc>
        <w:tc>
          <w:tcPr/>
          <w:p>
            <w:pPr>
              <w:pStyle w:val="Compact"/>
              <w:jc w:val="right"/>
            </w:pPr>
            <w:r>
              <w:t xml:space="preserve">81</w:t>
            </w:r>
          </w:p>
        </w:tc>
        <w:tc>
          <w:tcPr/>
          <w:p>
            <w:pPr>
              <w:pStyle w:val="Compact"/>
            </w:pPr>
            <w:r>
              <w:t xml:space="preserve">All 7 pass</w:t>
            </w:r>
          </w:p>
        </w:tc>
        <w:tc>
          <w:tcPr/>
          <w:p>
            <w:pPr>
              <w:pStyle w:val="Compact"/>
              <w:jc w:val="right"/>
            </w:pPr>
            <w:r>
              <w:rPr>
                <w:b/>
                <w:bCs/>
              </w:rPr>
              <w:t xml:space="preserve">89</w:t>
            </w:r>
            <w:r>
              <w:t xml:space="preserve"> </w:t>
            </w:r>
            <w:r>
              <w:t xml:space="preserve">(P05–P95: 71–116)</w:t>
            </w:r>
          </w:p>
        </w:tc>
        <w:tc>
          <w:tcPr/>
          <w:p>
            <w:pPr>
              <w:pStyle w:val="Compact"/>
            </w:pPr>
            <w:r>
              <w:t xml:space="preserve">shortlist_primary</w:t>
            </w:r>
          </w:p>
        </w:tc>
      </w:tr>
      <w:tr>
        <w:tc>
          <w:tcPr/>
          <w:p>
            <w:pPr>
              <w:pStyle w:val="Compact"/>
            </w:pPr>
            <w:r>
              <w:rPr>
                <w:b/>
                <w:bCs/>
              </w:rPr>
              <w:t xml:space="preserve">2</w:t>
            </w:r>
          </w:p>
        </w:tc>
        <w:tc>
          <w:tcPr/>
          <w:p>
            <w:pPr>
              <w:pStyle w:val="Compact"/>
            </w:pPr>
            <w:r>
              <w:rPr>
                <w:b/>
                <w:bCs/>
              </w:rPr>
              <w:t xml:space="preserve">NuScale ENTRA1</w:t>
            </w:r>
            <w:r>
              <w:t xml:space="preserve"> </w:t>
            </w:r>
            <w:r>
              <w:t xml:space="preserve">(6×77 MWe)</w:t>
            </w:r>
          </w:p>
        </w:tc>
        <w:tc>
          <w:tcPr/>
          <w:p>
            <w:pPr>
              <w:pStyle w:val="Compact"/>
              <w:jc w:val="right"/>
            </w:pPr>
            <w:r>
              <w:t xml:space="preserve">462</w:t>
            </w:r>
          </w:p>
        </w:tc>
        <w:tc>
          <w:tcPr/>
          <w:p>
            <w:pPr>
              <w:pStyle w:val="Compact"/>
              <w:jc w:val="right"/>
            </w:pPr>
            <w:r>
              <w:rPr>
                <w:b/>
                <w:bCs/>
              </w:rPr>
              <w:t xml:space="preserve">4.13</w:t>
            </w:r>
          </w:p>
        </w:tc>
        <w:tc>
          <w:tcPr/>
          <w:p>
            <w:pPr>
              <w:pStyle w:val="Compact"/>
              <w:jc w:val="right"/>
            </w:pPr>
            <w:r>
              <w:t xml:space="preserve">75</w:t>
            </w:r>
          </w:p>
        </w:tc>
        <w:tc>
          <w:tcPr/>
          <w:p>
            <w:pPr>
              <w:pStyle w:val="Compact"/>
            </w:pPr>
            <w:r>
              <w:t xml:space="preserve">6 pass / 1 caution (A6 decom)</w:t>
            </w:r>
          </w:p>
        </w:tc>
        <w:tc>
          <w:tcPr/>
          <w:p>
            <w:pPr>
              <w:pStyle w:val="Compact"/>
              <w:jc w:val="right"/>
            </w:pPr>
            <w:r>
              <w:rPr>
                <w:b/>
                <w:bCs/>
              </w:rPr>
              <w:t xml:space="preserve">97</w:t>
            </w:r>
            <w:r>
              <w:t xml:space="preserve"> </w:t>
            </w:r>
            <w:r>
              <w:t xml:space="preserve">(P05–P95: 80–129)</w:t>
            </w:r>
          </w:p>
        </w:tc>
        <w:tc>
          <w:tcPr/>
          <w:p>
            <w:pPr>
              <w:pStyle w:val="Compact"/>
            </w:pPr>
            <w:r>
              <w:t xml:space="preserve">shortlist_primary</w:t>
            </w:r>
          </w:p>
        </w:tc>
      </w:tr>
      <w:tr>
        <w:tc>
          <w:tcPr/>
          <w:p>
            <w:pPr>
              <w:pStyle w:val="Compact"/>
            </w:pPr>
            <w:r>
              <w:rPr>
                <w:b/>
                <w:bCs/>
              </w:rPr>
              <w:t xml:space="preserve">3</w:t>
            </w:r>
          </w:p>
        </w:tc>
        <w:tc>
          <w:tcPr/>
          <w:p>
            <w:pPr>
              <w:pStyle w:val="Compact"/>
            </w:pPr>
            <w:r>
              <w:rPr>
                <w:b/>
                <w:bCs/>
              </w:rPr>
              <w:t xml:space="preserve">Rolls-Royce SMR</w:t>
            </w:r>
          </w:p>
        </w:tc>
        <w:tc>
          <w:tcPr/>
          <w:p>
            <w:pPr>
              <w:pStyle w:val="Compact"/>
              <w:jc w:val="right"/>
            </w:pPr>
            <w:r>
              <w:t xml:space="preserve">470</w:t>
            </w:r>
          </w:p>
        </w:tc>
        <w:tc>
          <w:tcPr/>
          <w:p>
            <w:pPr>
              <w:pStyle w:val="Compact"/>
              <w:jc w:val="right"/>
            </w:pPr>
            <w:r>
              <w:rPr>
                <w:b/>
                <w:bCs/>
              </w:rPr>
              <w:t xml:space="preserve">4.60</w:t>
            </w:r>
          </w:p>
        </w:tc>
        <w:tc>
          <w:tcPr/>
          <w:p>
            <w:pPr>
              <w:pStyle w:val="Compact"/>
              <w:jc w:val="right"/>
            </w:pPr>
            <w:r>
              <w:t xml:space="preserve">80</w:t>
            </w:r>
          </w:p>
        </w:tc>
        <w:tc>
          <w:tcPr/>
          <w:p>
            <w:pPr>
              <w:pStyle w:val="Compact"/>
            </w:pPr>
            <w:r>
              <w:t xml:space="preserve">6 pass / 1 caution (A5 design freeze)</w:t>
            </w:r>
          </w:p>
        </w:tc>
        <w:tc>
          <w:tcPr/>
          <w:p>
            <w:pPr>
              <w:pStyle w:val="Compact"/>
              <w:jc w:val="right"/>
            </w:pPr>
            <w:r>
              <w:rPr>
                <w:b/>
                <w:bCs/>
              </w:rPr>
              <w:t xml:space="preserve">96</w:t>
            </w:r>
            <w:r>
              <w:t xml:space="preserve"> </w:t>
            </w:r>
            <w:r>
              <w:t xml:space="preserve">(P05–P95: 77–119)</w:t>
            </w:r>
          </w:p>
        </w:tc>
        <w:tc>
          <w:tcPr/>
          <w:p>
            <w:pPr>
              <w:pStyle w:val="Compact"/>
            </w:pPr>
            <w:r>
              <w:t xml:space="preserve">pending → shortlist_secondary</w:t>
            </w:r>
          </w:p>
        </w:tc>
      </w:tr>
    </w:tbl>
    <w:p>
      <w:pPr>
        <w:pStyle w:val="BodyText"/>
      </w:pPr>
      <w:r>
        <w:rPr>
          <w:b/>
          <w:bCs/>
        </w:rPr>
        <w:t xml:space="preserve">Bottom line:</w:t>
      </w:r>
      <w:r>
        <w:t xml:space="preserve"> </w:t>
      </w:r>
      <w:r>
        <w:t xml:space="preserve">all three primary candidates undercut the Romanian Day-Ahead Market 2025 average (€95/MWh) within 7–15 units of fleet build-out and beat the Czech Dukovany II CfD strike (€95/MWh) on the same horizon.</w:t>
      </w:r>
      <w:r>
        <w:t xml:space="preserve"> </w:t>
      </w:r>
      <w:r>
        <w:rPr>
          <w:b/>
          <w:bCs/>
        </w:rPr>
        <w:t xml:space="preserve">BWRX-300 is the recommended primary bid</w:t>
      </w:r>
      <w:r>
        <w:t xml:space="preserve">;</w:t>
      </w:r>
      <w:r>
        <w:t xml:space="preserve"> </w:t>
      </w:r>
      <w:r>
        <w:rPr>
          <w:b/>
          <w:bCs/>
        </w:rPr>
        <w:t xml:space="preserve">NuScale ENTRA1 is the strongest hedge</w:t>
      </w:r>
      <w:r>
        <w:t xml:space="preserve"> </w:t>
      </w:r>
      <w:r>
        <w:t xml:space="preserve">(it is the only design currently engaged with CNCAN through the RoPower JV);</w:t>
      </w:r>
      <w:r>
        <w:t xml:space="preserve"> </w:t>
      </w:r>
      <w:r>
        <w:rPr>
          <w:b/>
          <w:bCs/>
        </w:rPr>
        <w:t xml:space="preserve">Rolls-Royce SMR is the highest-scoring European-industrial-base candidate</w:t>
      </w:r>
      <w:r>
        <w:t xml:space="preserve"> </w:t>
      </w:r>
      <w:r>
        <w:t xml:space="preserve">but carries an A5 caution because UK GDA Step 3 is still in progress and a tight A7 schedule risk.</w:t>
      </w:r>
    </w:p>
    <w:p>
      <w:pPr>
        <w:pStyle w:val="BodyText"/>
      </w:pPr>
      <w:r>
        <w:t xml:space="preserve">The remaining six designs are eliminated or watch-listed for the 2033 COD window:</w:t>
      </w:r>
    </w:p>
    <w:p>
      <w:pPr>
        <w:pStyle w:val="Compact"/>
        <w:numPr>
          <w:ilvl w:val="0"/>
          <w:numId w:val="1001"/>
        </w:numPr>
      </w:pPr>
      <w:r>
        <w:rPr>
          <w:b/>
          <w:bCs/>
        </w:rPr>
        <w:t xml:space="preserve">Holtec SMR-300</w:t>
      </w:r>
      <w:r>
        <w:t xml:space="preserve"> </w:t>
      </w:r>
      <w:r>
        <w:t xml:space="preserve">— pending (LLM 4.03); A4/A5 cautions; fourth-best economics. Retain as 2030s alternate.</w:t>
      </w:r>
    </w:p>
    <w:p>
      <w:pPr>
        <w:pStyle w:val="Compact"/>
        <w:numPr>
          <w:ilvl w:val="0"/>
          <w:numId w:val="1001"/>
        </w:numPr>
      </w:pPr>
      <w:r>
        <w:rPr>
          <w:b/>
          <w:bCs/>
        </w:rPr>
        <w:t xml:space="preserve">NUWARD (EDF)</w:t>
      </w:r>
      <w:r>
        <w:t xml:space="preserve"> </w:t>
      </w:r>
      <w:r>
        <w:t xml:space="preserve">— eliminated for 2033 COD (A5 fail post-2024 design reset, A7 fail). Highest European-sovereignty value; recommend exploratory MoU for post-2036 deployment.</w:t>
      </w:r>
    </w:p>
    <w:p>
      <w:pPr>
        <w:pStyle w:val="Compact"/>
        <w:numPr>
          <w:ilvl w:val="0"/>
          <w:numId w:val="1001"/>
        </w:numPr>
      </w:pPr>
      <w:r>
        <w:rPr>
          <w:b/>
          <w:bCs/>
        </w:rPr>
        <w:t xml:space="preserve">X-energy Xe-100</w:t>
      </w:r>
      <w:r>
        <w:t xml:space="preserve"> </w:t>
      </w:r>
      <w:r>
        <w:t xml:space="preserve">— pending (LLM 2.87); HALEU TRISO supply gap binds; strong ARDP licensing pipeline; reconsider post-2030 if HALEU supply matures.</w:t>
      </w:r>
    </w:p>
    <w:p>
      <w:pPr>
        <w:pStyle w:val="Compact"/>
        <w:numPr>
          <w:ilvl w:val="0"/>
          <w:numId w:val="1001"/>
        </w:numPr>
      </w:pPr>
      <w:r>
        <w:rPr>
          <w:b/>
          <w:bCs/>
        </w:rPr>
        <w:t xml:space="preserve">Kairos KP-FHR</w:t>
      </w:r>
      <w:r>
        <w:t xml:space="preserve">,</w:t>
      </w:r>
      <w:r>
        <w:t xml:space="preserve"> </w:t>
      </w:r>
      <w:r>
        <w:rPr>
          <w:b/>
          <w:bCs/>
        </w:rPr>
        <w:t xml:space="preserve">TerraPower Natrium</w:t>
      </w:r>
      <w:r>
        <w:t xml:space="preserve">,</w:t>
      </w:r>
      <w:r>
        <w:t xml:space="preserve"> </w:t>
      </w:r>
      <w:r>
        <w:rPr>
          <w:b/>
          <w:bCs/>
        </w:rPr>
        <w:t xml:space="preserve">Oklo Aurora</w:t>
      </w:r>
      <w:r>
        <w:t xml:space="preserve"> </w:t>
      </w:r>
      <w:r>
        <w:t xml:space="preserve">— eliminated for 2033 COD on stacked Tier A failures (HALEU fuel supply, design freeze, no firm utility pipeline).</w:t>
      </w:r>
    </w:p>
    <w:bookmarkStart w:id="12" w:name="Xb77ad654d6c3e274fd12239ecbbe94e28dd2832"/>
    <w:p>
      <w:pPr>
        <w:pStyle w:val="Heading3"/>
      </w:pPr>
      <w:r>
        <w:t xml:space="preserve">1.1 Plant footprint &amp; power — locked normalization inputs</w:t>
      </w:r>
    </w:p>
    <w:p>
      <w:pPr>
        <w:pStyle w:val="FirstParagraph"/>
      </w:pPr>
      <w:r>
        <w:t xml:space="preserve">The following power rating and site area per plant are used throughout the rest of this report — the economic model, all charts and all downstream CSVs read these same values from</w:t>
      </w:r>
      <w:r>
        <w:t xml:space="preserve"> </w:t>
      </w:r>
      <w:r>
        <w:rPr>
          <w:rStyle w:val="VerbatimChar"/>
        </w:rPr>
        <w:t xml:space="preserve">economics/designs/*.yaml</w:t>
      </w:r>
      <w:r>
        <w:t xml:space="preserve">. They represent the</w:t>
      </w:r>
      <w:r>
        <w:t xml:space="preserve"> </w:t>
      </w:r>
      <w:r>
        <w:rPr>
          <w:b/>
          <w:bCs/>
        </w:rPr>
        <w:t xml:space="preserve">minimum commercially-buildable plant configuration</w:t>
      </w:r>
      <w:r>
        <w:t xml:space="preserve"> </w:t>
      </w:r>
      <w:r>
        <w:t xml:space="preserve">for each design (taking the upper bound of any site-area range previously quoted, per project sponsor decision 2026-04-21). Source of truth:</w:t>
      </w:r>
      <w:r>
        <w:t xml:space="preserve"> </w:t>
      </w:r>
      <w:r>
        <w:rPr>
          <w:rStyle w:val="VerbatimChar"/>
        </w:rPr>
        <w:t xml:space="preserve">dashboard_extracts/00_design_normalized_inputs.md</w:t>
      </w:r>
      <w:r>
        <w:t xml:space="preserve">.</w:t>
      </w:r>
    </w:p>
    <w:tbl>
      <w:tblPr>
        <w:tblStyle w:val="Table"/>
        <w:tblW w:type="pct" w:w="5000"/>
        <w:tblLayout w:type="fixed"/>
        <w:tblLook w:firstRow="1" w:lastRow="0" w:firstColumn="0" w:lastColumn="0" w:noHBand="0" w:noVBand="0" w:val="0020"/>
      </w:tblPr>
      <w:tblGrid>
        <w:gridCol w:w="751"/>
        <w:gridCol w:w="2321"/>
        <w:gridCol w:w="443"/>
        <w:gridCol w:w="477"/>
        <w:gridCol w:w="204"/>
        <w:gridCol w:w="3721"/>
      </w:tblGrid>
      <w:tr>
        <w:trPr>
          <w:tblHeader w:val="on"/>
        </w:trPr>
        <w:tc>
          <w:tcPr/>
          <w:p>
            <w:pPr>
              <w:pStyle w:val="Compact"/>
            </w:pPr>
            <w:r>
              <w:t xml:space="preserve">Design</w:t>
            </w:r>
          </w:p>
        </w:tc>
        <w:tc>
          <w:tcPr/>
          <w:p>
            <w:pPr>
              <w:pStyle w:val="Compact"/>
            </w:pPr>
            <w:r>
              <w:t xml:space="preserve">Min. plant configuration</w:t>
            </w:r>
          </w:p>
        </w:tc>
        <w:tc>
          <w:tcPr/>
          <w:p>
            <w:pPr>
              <w:pStyle w:val="Compact"/>
              <w:jc w:val="right"/>
            </w:pPr>
            <w:r>
              <w:t xml:space="preserve">Plant net MWe</w:t>
            </w:r>
          </w:p>
        </w:tc>
        <w:tc>
          <w:tcPr/>
          <w:p>
            <w:pPr>
              <w:pStyle w:val="Compact"/>
              <w:jc w:val="right"/>
            </w:pPr>
            <w:r>
              <w:t xml:space="preserve">Site area (ha)</w:t>
            </w:r>
          </w:p>
        </w:tc>
        <w:tc>
          <w:tcPr/>
          <w:p>
            <w:pPr>
              <w:pStyle w:val="Compact"/>
              <w:jc w:val="right"/>
            </w:pPr>
            <w:r>
              <w:t xml:space="preserve">MWe/ha</w:t>
            </w:r>
          </w:p>
        </w:tc>
        <w:tc>
          <w:tcPr/>
          <w:p>
            <w:pPr>
              <w:pStyle w:val="Compact"/>
            </w:pPr>
            <w:r>
              <w:t xml:space="preserve">Notes</w:t>
            </w:r>
          </w:p>
        </w:tc>
      </w:tr>
      <w:tr>
        <w:tc>
          <w:tcPr/>
          <w:p>
            <w:pPr>
              <w:pStyle w:val="Compact"/>
            </w:pPr>
            <w:r>
              <w:rPr>
                <w:b/>
                <w:bCs/>
              </w:rPr>
              <w:t xml:space="preserve">NuScale ENTRA1</w:t>
            </w:r>
          </w:p>
        </w:tc>
        <w:tc>
          <w:tcPr/>
          <w:p>
            <w:pPr>
              <w:pStyle w:val="Compact"/>
            </w:pPr>
            <w:r>
              <w:t xml:space="preserve">6 × 77 MWe (VOYGR-6, RoPower Doicești spec — will not build fewer)</w:t>
            </w:r>
          </w:p>
        </w:tc>
        <w:tc>
          <w:tcPr/>
          <w:p>
            <w:pPr>
              <w:pStyle w:val="Compact"/>
              <w:jc w:val="right"/>
            </w:pPr>
            <w:r>
              <w:rPr>
                <w:b/>
                <w:bCs/>
              </w:rPr>
              <w:t xml:space="preserve">462</w:t>
            </w:r>
          </w:p>
        </w:tc>
        <w:tc>
          <w:tcPr/>
          <w:p>
            <w:pPr>
              <w:pStyle w:val="Compact"/>
              <w:jc w:val="right"/>
            </w:pPr>
            <w:r>
              <w:rPr>
                <w:b/>
                <w:bCs/>
              </w:rPr>
              <w:t xml:space="preserve">50</w:t>
            </w:r>
          </w:p>
        </w:tc>
        <w:tc>
          <w:tcPr/>
          <w:p>
            <w:pPr>
              <w:pStyle w:val="Compact"/>
              <w:jc w:val="right"/>
            </w:pPr>
            <w:r>
              <w:t xml:space="preserve">9.24</w:t>
            </w:r>
          </w:p>
        </w:tc>
        <w:tc>
          <w:tcPr/>
          <w:p>
            <w:pPr>
              <w:pStyle w:val="Compact"/>
            </w:pPr>
            <w:r>
              <w:t xml:space="preserve">Contracted 6-module plant; per-module NRC SDA does not authorise fewer</w:t>
            </w:r>
          </w:p>
        </w:tc>
      </w:tr>
      <w:tr>
        <w:tc>
          <w:tcPr/>
          <w:p>
            <w:pPr>
              <w:pStyle w:val="Compact"/>
            </w:pPr>
            <w:r>
              <w:rPr>
                <w:b/>
                <w:bCs/>
              </w:rPr>
              <w:t xml:space="preserve">GE Hitachi BWRX-300</w:t>
            </w:r>
          </w:p>
        </w:tc>
        <w:tc>
          <w:tcPr/>
          <w:p>
            <w:pPr>
              <w:pStyle w:val="Compact"/>
            </w:pPr>
            <w:r>
              <w:t xml:space="preserve">1 × 300 MWe</w:t>
            </w:r>
          </w:p>
        </w:tc>
        <w:tc>
          <w:tcPr/>
          <w:p>
            <w:pPr>
              <w:pStyle w:val="Compact"/>
              <w:jc w:val="right"/>
            </w:pPr>
            <w:r>
              <w:rPr>
                <w:b/>
                <w:bCs/>
              </w:rPr>
              <w:t xml:space="preserve">300</w:t>
            </w:r>
          </w:p>
        </w:tc>
        <w:tc>
          <w:tcPr/>
          <w:p>
            <w:pPr>
              <w:pStyle w:val="Compact"/>
              <w:jc w:val="right"/>
            </w:pPr>
            <w:r>
              <w:rPr>
                <w:b/>
                <w:bCs/>
              </w:rPr>
              <w:t xml:space="preserve">30</w:t>
            </w:r>
          </w:p>
        </w:tc>
        <w:tc>
          <w:tcPr/>
          <w:p>
            <w:pPr>
              <w:pStyle w:val="Compact"/>
              <w:jc w:val="right"/>
            </w:pPr>
            <w:r>
              <w:t xml:space="preserve">10.00</w:t>
            </w:r>
          </w:p>
        </w:tc>
        <w:tc>
          <w:tcPr/>
          <w:p>
            <w:pPr>
              <w:pStyle w:val="Compact"/>
            </w:pPr>
            <w:r>
              <w:t xml:space="preserve">Most compact single-unit BWR footprint</w:t>
            </w:r>
          </w:p>
        </w:tc>
      </w:tr>
      <w:tr>
        <w:tc>
          <w:tcPr/>
          <w:p>
            <w:pPr>
              <w:pStyle w:val="Compact"/>
            </w:pPr>
            <w:r>
              <w:rPr>
                <w:b/>
                <w:bCs/>
              </w:rPr>
              <w:t xml:space="preserve">Rolls-Royce SMR</w:t>
            </w:r>
          </w:p>
        </w:tc>
        <w:tc>
          <w:tcPr/>
          <w:p>
            <w:pPr>
              <w:pStyle w:val="Compact"/>
            </w:pPr>
            <w:r>
              <w:t xml:space="preserve">1 × 470 MWe</w:t>
            </w:r>
          </w:p>
        </w:tc>
        <w:tc>
          <w:tcPr/>
          <w:p>
            <w:pPr>
              <w:pStyle w:val="Compact"/>
              <w:jc w:val="right"/>
            </w:pPr>
            <w:r>
              <w:rPr>
                <w:b/>
                <w:bCs/>
              </w:rPr>
              <w:t xml:space="preserve">470</w:t>
            </w:r>
          </w:p>
        </w:tc>
        <w:tc>
          <w:tcPr/>
          <w:p>
            <w:pPr>
              <w:pStyle w:val="Compact"/>
              <w:jc w:val="right"/>
            </w:pPr>
            <w:r>
              <w:rPr>
                <w:b/>
                <w:bCs/>
              </w:rPr>
              <w:t xml:space="preserve">50</w:t>
            </w:r>
          </w:p>
        </w:tc>
        <w:tc>
          <w:tcPr/>
          <w:p>
            <w:pPr>
              <w:pStyle w:val="Compact"/>
              <w:jc w:val="right"/>
            </w:pPr>
            <w:r>
              <w:t xml:space="preserve">9.40</w:t>
            </w:r>
          </w:p>
        </w:tc>
        <w:tc>
          <w:tcPr/>
          <w:p>
            <w:pPr>
              <w:pStyle w:val="Compact"/>
            </w:pPr>
            <w:r>
              <w:t xml:space="preserve">Largest single-unit LWR in the field</w:t>
            </w:r>
          </w:p>
        </w:tc>
      </w:tr>
      <w:tr>
        <w:tc>
          <w:tcPr/>
          <w:p>
            <w:pPr>
              <w:pStyle w:val="Compact"/>
            </w:pPr>
            <w:r>
              <w:rPr>
                <w:b/>
                <w:bCs/>
              </w:rPr>
              <w:t xml:space="preserve">Holtec SMR-300</w:t>
            </w:r>
          </w:p>
        </w:tc>
        <w:tc>
          <w:tcPr/>
          <w:p>
            <w:pPr>
              <w:pStyle w:val="Compact"/>
            </w:pPr>
            <w:r>
              <w:t xml:space="preserve">1 × 300 MWe</w:t>
            </w:r>
          </w:p>
        </w:tc>
        <w:tc>
          <w:tcPr/>
          <w:p>
            <w:pPr>
              <w:pStyle w:val="Compact"/>
              <w:jc w:val="right"/>
            </w:pPr>
            <w:r>
              <w:rPr>
                <w:b/>
                <w:bCs/>
              </w:rPr>
              <w:t xml:space="preserve">300</w:t>
            </w:r>
          </w:p>
        </w:tc>
        <w:tc>
          <w:tcPr/>
          <w:p>
            <w:pPr>
              <w:pStyle w:val="Compact"/>
              <w:jc w:val="right"/>
            </w:pPr>
            <w:r>
              <w:rPr>
                <w:b/>
                <w:bCs/>
              </w:rPr>
              <w:t xml:space="preserve">30</w:t>
            </w:r>
          </w:p>
        </w:tc>
        <w:tc>
          <w:tcPr/>
          <w:p>
            <w:pPr>
              <w:pStyle w:val="Compact"/>
              <w:jc w:val="right"/>
            </w:pPr>
            <w:r>
              <w:t xml:space="preserve">10.00</w:t>
            </w:r>
          </w:p>
        </w:tc>
        <w:tc>
          <w:tcPr/>
          <w:p>
            <w:pPr>
              <w:pStyle w:val="Compact"/>
            </w:pPr>
            <w:r>
              <w:t xml:space="preserve">SMR-300 (former SMR-160 evolution)</w:t>
            </w:r>
          </w:p>
        </w:tc>
      </w:tr>
      <w:tr>
        <w:tc>
          <w:tcPr/>
          <w:p>
            <w:pPr>
              <w:pStyle w:val="Compact"/>
            </w:pPr>
            <w:r>
              <w:rPr>
                <w:b/>
                <w:bCs/>
              </w:rPr>
              <w:t xml:space="preserve">Kairos KP-FHR</w:t>
            </w:r>
          </w:p>
        </w:tc>
        <w:tc>
          <w:tcPr/>
          <w:p>
            <w:pPr>
              <w:pStyle w:val="Compact"/>
            </w:pPr>
            <w:r>
              <w:t xml:space="preserve">1 × 140 MWe (KP-X commercial)</w:t>
            </w:r>
          </w:p>
        </w:tc>
        <w:tc>
          <w:tcPr/>
          <w:p>
            <w:pPr>
              <w:pStyle w:val="Compact"/>
              <w:jc w:val="right"/>
            </w:pPr>
            <w:r>
              <w:rPr>
                <w:b/>
                <w:bCs/>
              </w:rPr>
              <w:t xml:space="preserve">140</w:t>
            </w:r>
          </w:p>
        </w:tc>
        <w:tc>
          <w:tcPr/>
          <w:p>
            <w:pPr>
              <w:pStyle w:val="Compact"/>
              <w:jc w:val="right"/>
            </w:pPr>
            <w:r>
              <w:rPr>
                <w:b/>
                <w:bCs/>
              </w:rPr>
              <w:t xml:space="preserve">50</w:t>
            </w:r>
          </w:p>
        </w:tc>
        <w:tc>
          <w:tcPr/>
          <w:p>
            <w:pPr>
              <w:pStyle w:val="Compact"/>
              <w:jc w:val="right"/>
            </w:pPr>
            <w:r>
              <w:t xml:space="preserve">2.80</w:t>
            </w:r>
          </w:p>
        </w:tc>
        <w:tc>
          <w:tcPr/>
          <w:p>
            <w:pPr>
              <w:pStyle w:val="Compact"/>
            </w:pPr>
            <w:r>
              <w:t xml:space="preserve">Hermes 1/2 are 35 MWth demo only — not representative</w:t>
            </w:r>
          </w:p>
        </w:tc>
      </w:tr>
      <w:tr>
        <w:tc>
          <w:tcPr/>
          <w:p>
            <w:pPr>
              <w:pStyle w:val="Compact"/>
            </w:pPr>
            <w:r>
              <w:rPr>
                <w:b/>
                <w:bCs/>
              </w:rPr>
              <w:t xml:space="preserve">X-energy Xe-100</w:t>
            </w:r>
          </w:p>
        </w:tc>
        <w:tc>
          <w:tcPr/>
          <w:p>
            <w:pPr>
              <w:pStyle w:val="Compact"/>
            </w:pPr>
            <w:r>
              <w:t xml:space="preserve">4 × 80 MWe pack</w:t>
            </w:r>
          </w:p>
        </w:tc>
        <w:tc>
          <w:tcPr/>
          <w:p>
            <w:pPr>
              <w:pStyle w:val="Compact"/>
              <w:jc w:val="right"/>
            </w:pPr>
            <w:r>
              <w:rPr>
                <w:b/>
                <w:bCs/>
              </w:rPr>
              <w:t xml:space="preserve">320</w:t>
            </w:r>
          </w:p>
        </w:tc>
        <w:tc>
          <w:tcPr/>
          <w:p>
            <w:pPr>
              <w:pStyle w:val="Compact"/>
              <w:jc w:val="right"/>
            </w:pPr>
            <w:r>
              <w:rPr>
                <w:b/>
                <w:bCs/>
              </w:rPr>
              <w:t xml:space="preserve">80</w:t>
            </w:r>
          </w:p>
        </w:tc>
        <w:tc>
          <w:tcPr/>
          <w:p>
            <w:pPr>
              <w:pStyle w:val="Compact"/>
              <w:jc w:val="right"/>
            </w:pPr>
            <w:r>
              <w:t xml:space="preserve">4.00</w:t>
            </w:r>
          </w:p>
        </w:tc>
        <w:tc>
          <w:tcPr/>
          <w:p>
            <w:pPr>
              <w:pStyle w:val="Compact"/>
            </w:pPr>
            <w:r>
              <w:rPr>
                <w:b/>
                <w:bCs/>
              </w:rPr>
              <w:t xml:space="preserve">Single-module commercial plant not licensable anywhere</w:t>
            </w:r>
            <w:r>
              <w:t xml:space="preserve"> </w:t>
            </w:r>
            <w:r>
              <w:t xml:space="preserve">— Dow Seadrift + Darlington CP both 4-pack</w:t>
            </w:r>
          </w:p>
        </w:tc>
      </w:tr>
      <w:tr>
        <w:tc>
          <w:tcPr/>
          <w:p>
            <w:pPr>
              <w:pStyle w:val="Compact"/>
            </w:pPr>
            <w:r>
              <w:rPr>
                <w:b/>
                <w:bCs/>
              </w:rPr>
              <w:t xml:space="preserve">Oklo Aurora</w:t>
            </w:r>
          </w:p>
        </w:tc>
        <w:tc>
          <w:tcPr/>
          <w:p>
            <w:pPr>
              <w:pStyle w:val="Compact"/>
            </w:pPr>
            <w:r>
              <w:t xml:space="preserve">1 × 75 MWe (Phase 2 upsized)</w:t>
            </w:r>
          </w:p>
        </w:tc>
        <w:tc>
          <w:tcPr/>
          <w:p>
            <w:pPr>
              <w:pStyle w:val="Compact"/>
              <w:jc w:val="right"/>
            </w:pPr>
            <w:r>
              <w:rPr>
                <w:b/>
                <w:bCs/>
              </w:rPr>
              <w:t xml:space="preserve">75</w:t>
            </w:r>
          </w:p>
        </w:tc>
        <w:tc>
          <w:tcPr/>
          <w:p>
            <w:pPr>
              <w:pStyle w:val="Compact"/>
              <w:jc w:val="right"/>
            </w:pPr>
            <w:r>
              <w:rPr>
                <w:b/>
                <w:bCs/>
              </w:rPr>
              <w:t xml:space="preserve">20</w:t>
            </w:r>
          </w:p>
        </w:tc>
        <w:tc>
          <w:tcPr/>
          <w:p>
            <w:pPr>
              <w:pStyle w:val="Compact"/>
              <w:jc w:val="right"/>
            </w:pPr>
            <w:r>
              <w:t xml:space="preserve">3.75</w:t>
            </w:r>
          </w:p>
        </w:tc>
        <w:tc>
          <w:tcPr/>
          <w:p>
            <w:pPr>
              <w:pStyle w:val="Compact"/>
            </w:pPr>
            <w:r>
              <w:t xml:space="preserve">Site area =</w:t>
            </w:r>
            <w:r>
              <w:t xml:space="preserve"> </w:t>
            </w:r>
            <w:r>
              <w:rPr>
                <w:b/>
                <w:bCs/>
              </w:rPr>
              <w:t xml:space="preserve">analyst_inference</w:t>
            </w:r>
            <w:r>
              <w:t xml:space="preserve">, not vendor-disclosed — bounds a 75 MWe microreactor + EPZ buffer</w:t>
            </w:r>
          </w:p>
        </w:tc>
      </w:tr>
      <w:tr>
        <w:tc>
          <w:tcPr/>
          <w:p>
            <w:pPr>
              <w:pStyle w:val="Compact"/>
            </w:pPr>
            <w:r>
              <w:rPr>
                <w:b/>
                <w:bCs/>
              </w:rPr>
              <w:t xml:space="preserve">TerraPower Natrium</w:t>
            </w:r>
          </w:p>
        </w:tc>
        <w:tc>
          <w:tcPr/>
          <w:p>
            <w:pPr>
              <w:pStyle w:val="Compact"/>
            </w:pPr>
            <w:r>
              <w:t xml:space="preserve">1 × 345 MWe baseload (500 MWe peak with thermal storage)</w:t>
            </w:r>
          </w:p>
        </w:tc>
        <w:tc>
          <w:tcPr/>
          <w:p>
            <w:pPr>
              <w:pStyle w:val="Compact"/>
              <w:jc w:val="right"/>
            </w:pPr>
            <w:r>
              <w:rPr>
                <w:b/>
                <w:bCs/>
              </w:rPr>
              <w:t xml:space="preserve">345</w:t>
            </w:r>
          </w:p>
        </w:tc>
        <w:tc>
          <w:tcPr/>
          <w:p>
            <w:pPr>
              <w:pStyle w:val="Compact"/>
              <w:jc w:val="right"/>
            </w:pPr>
            <w:r>
              <w:rPr>
                <w:b/>
                <w:bCs/>
              </w:rPr>
              <w:t xml:space="preserve">80</w:t>
            </w:r>
          </w:p>
        </w:tc>
        <w:tc>
          <w:tcPr/>
          <w:p>
            <w:pPr>
              <w:pStyle w:val="Compact"/>
              <w:jc w:val="right"/>
            </w:pPr>
            <w:r>
              <w:t xml:space="preserve">4.31</w:t>
            </w:r>
          </w:p>
        </w:tc>
        <w:tc>
          <w:tcPr/>
          <w:p>
            <w:pPr>
              <w:pStyle w:val="Compact"/>
            </w:pPr>
            <w:r>
              <w:t xml:space="preserve">Kemmerer (Wyoming) FOAK; 60 % site area overhead vs single-unit LWR due to molten-salt storage + fast-reactor EPZ</w:t>
            </w:r>
          </w:p>
        </w:tc>
      </w:tr>
      <w:tr>
        <w:tc>
          <w:tcPr/>
          <w:p>
            <w:pPr>
              <w:pStyle w:val="Compact"/>
            </w:pPr>
            <w:r>
              <w:rPr>
                <w:b/>
                <w:bCs/>
              </w:rPr>
              <w:t xml:space="preserve">EDF NUWARD</w:t>
            </w:r>
          </w:p>
        </w:tc>
        <w:tc>
          <w:tcPr/>
          <w:p>
            <w:pPr>
              <w:pStyle w:val="Compact"/>
            </w:pPr>
            <w:r>
              <w:t xml:space="preserve">2 × 200 MWe (post-July-2024 reset)</w:t>
            </w:r>
          </w:p>
        </w:tc>
        <w:tc>
          <w:tcPr/>
          <w:p>
            <w:pPr>
              <w:pStyle w:val="Compact"/>
              <w:jc w:val="right"/>
            </w:pPr>
            <w:r>
              <w:rPr>
                <w:b/>
                <w:bCs/>
              </w:rPr>
              <w:t xml:space="preserve">400</w:t>
            </w:r>
          </w:p>
        </w:tc>
        <w:tc>
          <w:tcPr/>
          <w:p>
            <w:pPr>
              <w:pStyle w:val="Compact"/>
              <w:jc w:val="right"/>
            </w:pPr>
            <w:r>
              <w:rPr>
                <w:b/>
                <w:bCs/>
              </w:rPr>
              <w:t xml:space="preserve">50</w:t>
            </w:r>
          </w:p>
        </w:tc>
        <w:tc>
          <w:tcPr/>
          <w:p>
            <w:pPr>
              <w:pStyle w:val="Compact"/>
              <w:jc w:val="right"/>
            </w:pPr>
            <w:r>
              <w:t xml:space="preserve">8.00</w:t>
            </w:r>
          </w:p>
        </w:tc>
        <w:tc>
          <w:tcPr/>
          <w:p>
            <w:pPr>
              <w:pStyle w:val="Compact"/>
            </w:pPr>
            <w:r>
              <w:t xml:space="preserve">Updated from pre-reset 2×170 spec per higher-value rule</w:t>
            </w:r>
          </w:p>
        </w:tc>
      </w:tr>
    </w:tbl>
    <w:p>
      <w:pPr>
        <w:pStyle w:val="BodyText"/>
      </w:pPr>
      <w:r>
        <w:rPr>
          <w:b/>
          <w:bCs/>
        </w:rPr>
        <w:t xml:space="preserve">Land-use takeaway.</w:t>
      </w:r>
      <w:r>
        <w:t xml:space="preserve"> </w:t>
      </w:r>
      <w:r>
        <w:t xml:space="preserve">LWR single- or dual-unit designs (BWRX-300, Holtec, NuScale ENTRA1 6-pack, NUWARD, Rolls-Royce) cluster around</w:t>
      </w:r>
      <w:r>
        <w:t xml:space="preserve"> </w:t>
      </w:r>
      <w:r>
        <w:rPr>
          <w:b/>
          <w:bCs/>
        </w:rPr>
        <w:t xml:space="preserve">8–10 MWe per hectare</w:t>
      </w:r>
      <w:r>
        <w:t xml:space="preserve"> </w:t>
      </w:r>
      <w:r>
        <w:t xml:space="preserve">— roughly the same compactness as Cernavoda Units 1&amp;2 on a per-MWe basis. HALEU / Gen-IV designs (Kairos, Xe-100, Natrium, Oklo) sit at</w:t>
      </w:r>
      <w:r>
        <w:t xml:space="preserve"> </w:t>
      </w:r>
      <w:r>
        <w:rPr>
          <w:b/>
          <w:bCs/>
        </w:rPr>
        <w:t xml:space="preserve">2.8–4.3 MWe per hectare</w:t>
      </w:r>
      <w:r>
        <w:t xml:space="preserve"> </w:t>
      </w:r>
      <w:r>
        <w:t xml:space="preserve">because (a) multi-module reactor buildings multiply the footprint, (b) metallic / TRISO fuel handling demands larger ancillary buildings, and (c) fast-reactor and molten-salt architectures have larger Emergency Planning Zones (EPZs) than PWRs/BWRs. For the ~4–6 ha brownfield constraints of the Cernavoda + Doicești siting envelope,</w:t>
      </w:r>
      <w:r>
        <w:t xml:space="preserve"> </w:t>
      </w:r>
      <w:r>
        <w:rPr>
          <w:b/>
          <w:bCs/>
        </w:rPr>
        <w:t xml:space="preserve">the LWRs’ 2–3× better areal power density is a material non-economic advantage</w:t>
      </w:r>
      <w:r>
        <w:t xml:space="preserve">.</w:t>
      </w:r>
    </w:p>
    <w:p>
      <w:pPr>
        <w:pStyle w:val="CaptionedFigure"/>
      </w:pPr>
      <w:r>
        <w:drawing>
          <wp:inline>
            <wp:extent cx="5334000" cy="2681917"/>
            <wp:effectExtent b="0" l="0" r="0" t="0"/>
            <wp:docPr descr="Headline chart — Tier A passers (left) and pure-economics top-3 (right)" title="" id="10" name="Picture"/>
            <a:graphic>
              <a:graphicData uri="http://schemas.openxmlformats.org/drawingml/2006/picture">
                <pic:pic>
                  <pic:nvPicPr>
                    <pic:cNvPr descr="economics/outputs/headline_panel_a_b.png" id="11" name="Picture"/>
                    <pic:cNvPicPr>
                      <a:picLocks noChangeArrowheads="1" noChangeAspect="1"/>
                    </pic:cNvPicPr>
                  </pic:nvPicPr>
                  <pic:blipFill>
                    <a:blip r:embed="rId9"/>
                    <a:stretch>
                      <a:fillRect/>
                    </a:stretch>
                  </pic:blipFill>
                  <pic:spPr bwMode="auto">
                    <a:xfrm>
                      <a:off x="0" y="0"/>
                      <a:ext cx="5334000" cy="2681917"/>
                    </a:xfrm>
                    <a:prstGeom prst="rect">
                      <a:avLst/>
                    </a:prstGeom>
                    <a:noFill/>
                    <a:ln w="9525">
                      <a:noFill/>
                      <a:headEnd/>
                      <a:tailEnd/>
                    </a:ln>
                  </pic:spPr>
                </pic:pic>
              </a:graphicData>
            </a:graphic>
          </wp:inline>
        </w:drawing>
      </w:r>
    </w:p>
    <w:p>
      <w:pPr>
        <w:pStyle w:val="ImageCaption"/>
      </w:pPr>
      <w:r>
        <w:t xml:space="preserve">Headline chart — Tier A passers (left) and pure-economics top-3 (right)</w:t>
      </w:r>
    </w:p>
    <w:p>
      <w:pPr>
        <w:pStyle w:val="BodyText"/>
      </w:pPr>
      <w:r>
        <w:rPr>
          <w:i/>
          <w:iCs/>
        </w:rPr>
        <w:t xml:space="preserve">Figure 1. Headline LCOE-vs-cumulative-capacity chart.</w:t>
      </w:r>
      <w:r>
        <w:rPr>
          <w:i/>
          <w:iCs/>
        </w:rPr>
        <w:t xml:space="preserve"> </w:t>
      </w:r>
      <w:r>
        <w:rPr>
          <w:b/>
          <w:bCs/>
          <w:i/>
          <w:iCs/>
        </w:rPr>
        <w:t xml:space="preserve">Left panel:</w:t>
      </w:r>
      <w:r>
        <w:rPr>
          <w:i/>
          <w:iCs/>
        </w:rPr>
        <w:t xml:space="preserve"> </w:t>
      </w:r>
      <w:r>
        <w:rPr>
          <w:i/>
          <w:iCs/>
        </w:rPr>
        <w:t xml:space="preserve">the three Tier A passers (BWRX-300, NuScale ENTRA1, Rolls-Royce SMR).</w:t>
      </w:r>
      <w:r>
        <w:rPr>
          <w:i/>
          <w:iCs/>
        </w:rPr>
        <w:t xml:space="preserve"> </w:t>
      </w:r>
      <w:r>
        <w:rPr>
          <w:b/>
          <w:bCs/>
          <w:i/>
          <w:iCs/>
        </w:rPr>
        <w:t xml:space="preserve">Right panel:</w:t>
      </w:r>
      <w:r>
        <w:rPr>
          <w:i/>
          <w:iCs/>
        </w:rPr>
        <w:t xml:space="preserve"> </w:t>
      </w:r>
      <w:r>
        <w:rPr>
          <w:i/>
          <w:iCs/>
        </w:rPr>
        <w:t xml:space="preserve">the three lowest-LCOE designs at unit n=12 with the A2 (HALEU fuel) and A5 (design freeze) gates relaxed — note that no HALEU design enters the right panel even with both gates removed; the LWR designs dominate by economics on identical assumptions. Per-design milestone callouts (n=1, 3, 6, 12, 18) are stacked in vertical bands above the curves (FOAK milestones n=1, 3) and below (series milestones n=6, 12, 18); each label is attached to its marker by a thin connecting line so the chart curves themselves are no longer occluded.</w:t>
      </w:r>
    </w:p>
    <w:p>
      <w:r>
        <w:pict>
          <v:rect style="width:0;height:1.5pt" o:hralign="center" o:hrstd="t" o:hr="t"/>
        </w:pict>
      </w:r>
    </w:p>
    <w:bookmarkEnd w:id="12"/>
    <w:bookmarkEnd w:id="13"/>
    <w:bookmarkStart w:id="17" w:name="methodology-recap"/>
    <w:p>
      <w:pPr>
        <w:pStyle w:val="Heading2"/>
      </w:pPr>
      <w:r>
        <w:t xml:space="preserve">2. Methodology recap</w:t>
      </w:r>
    </w:p>
    <w:bookmarkStart w:id="14" w:name="three-tier-evaluation-framework"/>
    <w:p>
      <w:pPr>
        <w:pStyle w:val="Heading3"/>
      </w:pPr>
      <w:r>
        <w:t xml:space="preserve">2.1 Three-tier evaluation framework</w:t>
      </w:r>
    </w:p>
    <w:p>
      <w:pPr>
        <w:pStyle w:val="FirstParagraph"/>
      </w:pPr>
      <w:r>
        <w:t xml:space="preserve">Per</w:t>
      </w:r>
      <w:r>
        <w:t xml:space="preserve"> </w:t>
      </w:r>
      <w:r>
        <w:rPr>
          <w:rStyle w:val="VerbatimChar"/>
        </w:rPr>
        <w:t xml:space="preserve">smr_evaluation_methodology.md</w:t>
      </w:r>
      <w:r>
        <w:t xml:space="preserve"> </w:t>
      </w:r>
      <w:r>
        <w:t xml:space="preserve">v1.1:</w:t>
      </w:r>
    </w:p>
    <w:p>
      <w:pPr>
        <w:pStyle w:val="Compact"/>
        <w:numPr>
          <w:ilvl w:val="0"/>
          <w:numId w:val="1002"/>
        </w:numPr>
      </w:pPr>
      <w:r>
        <w:rPr>
          <w:b/>
          <w:bCs/>
        </w:rPr>
        <w:t xml:space="preserve">Tier A — Hard Gates (7 criteria, pass / fail / caution).</w:t>
      </w:r>
      <w:r>
        <w:t xml:space="preserve"> </w:t>
      </w:r>
      <w:r>
        <w:t xml:space="preserve">A failure on any A-gate eliminates the design for the 2033 RO COD. Cautions are tolerable if they have a credible mitigation path within the construction window.</w:t>
      </w:r>
    </w:p>
    <w:p>
      <w:pPr>
        <w:pStyle w:val="Compact"/>
        <w:numPr>
          <w:ilvl w:val="1"/>
          <w:numId w:val="1003"/>
        </w:numPr>
      </w:pPr>
      <w:r>
        <w:t xml:space="preserve">A1 Licensability (CNCAN-acceptable regulator precedent)</w:t>
      </w:r>
    </w:p>
    <w:p>
      <w:pPr>
        <w:pStyle w:val="Compact"/>
        <w:numPr>
          <w:ilvl w:val="1"/>
          <w:numId w:val="1003"/>
        </w:numPr>
      </w:pPr>
      <w:r>
        <w:t xml:space="preserve">A2 Fuel supply chain (commercial-scale fuel within 36 months of COD)</w:t>
      </w:r>
    </w:p>
    <w:p>
      <w:pPr>
        <w:pStyle w:val="Compact"/>
        <w:numPr>
          <w:ilvl w:val="1"/>
          <w:numId w:val="1003"/>
        </w:numPr>
      </w:pPr>
      <w:r>
        <w:t xml:space="preserve">A3 Strategic supply chain (no single-source choke points outside EU/NATO)</w:t>
      </w:r>
    </w:p>
    <w:p>
      <w:pPr>
        <w:pStyle w:val="Compact"/>
        <w:numPr>
          <w:ilvl w:val="1"/>
          <w:numId w:val="1003"/>
        </w:numPr>
      </w:pPr>
      <w:r>
        <w:t xml:space="preserve">A4 Reference pipeline (≥1 firm international utility commitment + 1 site under construction)</w:t>
      </w:r>
    </w:p>
    <w:p>
      <w:pPr>
        <w:pStyle w:val="Compact"/>
        <w:numPr>
          <w:ilvl w:val="1"/>
          <w:numId w:val="1003"/>
        </w:numPr>
      </w:pPr>
      <w:r>
        <w:t xml:space="preserve">A5 Design freeze (Detailed Design Freeze achieved or scheduled before EPC award)</w:t>
      </w:r>
    </w:p>
    <w:p>
      <w:pPr>
        <w:pStyle w:val="Compact"/>
        <w:numPr>
          <w:ilvl w:val="1"/>
          <w:numId w:val="1003"/>
        </w:numPr>
      </w:pPr>
      <w:r>
        <w:t xml:space="preserve">A6 Decommissioning + waste (ASN-equivalent backend strategy)</w:t>
      </w:r>
    </w:p>
    <w:p>
      <w:pPr>
        <w:pStyle w:val="Compact"/>
        <w:numPr>
          <w:ilvl w:val="1"/>
          <w:numId w:val="1003"/>
        </w:numPr>
      </w:pPr>
      <w:r>
        <w:t xml:space="preserve">A7 2033 COD compatibility (vendor-disclosed FOAK + RO build schedule)</w:t>
      </w:r>
    </w:p>
    <w:p>
      <w:pPr>
        <w:pStyle w:val="Compact"/>
        <w:numPr>
          <w:ilvl w:val="0"/>
          <w:numId w:val="1002"/>
        </w:numPr>
      </w:pPr>
      <w:r>
        <w:rPr>
          <w:b/>
          <w:bCs/>
        </w:rPr>
        <w:t xml:space="preserve">Tier B — Weighted Criteria (11 criteria, 1–5 each).</w:t>
      </w:r>
      <w:r>
        <w:t xml:space="preserve"> </w:t>
      </w:r>
      <w:r>
        <w:t xml:space="preserve">Aggregated to a 100-point Tier B score.</w:t>
      </w:r>
    </w:p>
    <w:p>
      <w:pPr>
        <w:pStyle w:val="Compact"/>
        <w:numPr>
          <w:ilvl w:val="0"/>
          <w:numId w:val="1002"/>
        </w:numPr>
      </w:pPr>
      <w:r>
        <w:rPr>
          <w:b/>
          <w:bCs/>
        </w:rPr>
        <w:t xml:space="preserve">Tier C — Strategic-Fit Modifiers (7 criteria, ±% on Tier B).</w:t>
      </w:r>
      <w:r>
        <w:t xml:space="preserve"> </w:t>
      </w:r>
      <w:r>
        <w:t xml:space="preserve">EU industrial participation, Romanian energy sovereignty, ETS-driven coal displacement, financing eligibility, etc.</w:t>
      </w:r>
    </w:p>
    <w:p>
      <w:pPr>
        <w:pStyle w:val="Compact"/>
        <w:numPr>
          <w:ilvl w:val="0"/>
          <w:numId w:val="1002"/>
        </w:numPr>
      </w:pPr>
      <w:r>
        <w:rPr>
          <w:b/>
          <w:bCs/>
        </w:rPr>
        <w:t xml:space="preserve">Final score</w:t>
      </w:r>
      <w:r>
        <w:t xml:space="preserve"> </w:t>
      </w:r>
      <w:r>
        <w:t xml:space="preserve">= Tier B × (1 + ΣTier C modifier), bounded 0–5.</w:t>
      </w:r>
    </w:p>
    <w:p>
      <w:pPr>
        <w:pStyle w:val="Compact"/>
        <w:numPr>
          <w:ilvl w:val="0"/>
          <w:numId w:val="1002"/>
        </w:numPr>
      </w:pPr>
      <w:r>
        <w:rPr>
          <w:b/>
          <w:bCs/>
        </w:rPr>
        <w:t xml:space="preserve">Verdicts:</w:t>
      </w:r>
      <w:r>
        <w:t xml:space="preserve"> </w:t>
      </w:r>
      <w:r>
        <w:rPr>
          <w:rStyle w:val="VerbatimChar"/>
        </w:rPr>
        <w:t xml:space="preserve">shortlist_primary</w:t>
      </w:r>
      <w:r>
        <w:t xml:space="preserve"> </w:t>
      </w:r>
      <w:r>
        <w:t xml:space="preserve">≥ 4.4,</w:t>
      </w:r>
      <w:r>
        <w:t xml:space="preserve"> </w:t>
      </w:r>
      <w:r>
        <w:rPr>
          <w:rStyle w:val="VerbatimChar"/>
        </w:rPr>
        <w:t xml:space="preserve">shortlist_secondary</w:t>
      </w:r>
      <w:r>
        <w:t xml:space="preserve"> </w:t>
      </w:r>
      <w:r>
        <w:t xml:space="preserve">3.8–4.4,</w:t>
      </w:r>
      <w:r>
        <w:t xml:space="preserve"> </w:t>
      </w:r>
      <w:r>
        <w:rPr>
          <w:rStyle w:val="VerbatimChar"/>
        </w:rPr>
        <w:t xml:space="preserve">watch</w:t>
      </w:r>
      <w:r>
        <w:t xml:space="preserve"> </w:t>
      </w:r>
      <w:r>
        <w:t xml:space="preserve">3.2–3.8,</w:t>
      </w:r>
      <w:r>
        <w:t xml:space="preserve"> </w:t>
      </w:r>
      <w:r>
        <w:rPr>
          <w:rStyle w:val="VerbatimChar"/>
        </w:rPr>
        <w:t xml:space="preserve">drop</w:t>
      </w:r>
      <w:r>
        <w:t xml:space="preserve"> </w:t>
      </w:r>
      <w:r>
        <w:t xml:space="preserve">&lt; 3.2; or</w:t>
      </w:r>
      <w:r>
        <w:t xml:space="preserve"> </w:t>
      </w:r>
      <w:r>
        <w:rPr>
          <w:rStyle w:val="VerbatimChar"/>
        </w:rPr>
        <w:t xml:space="preserve">eliminated</w:t>
      </w:r>
      <w:r>
        <w:t xml:space="preserve"> </w:t>
      </w:r>
      <w:r>
        <w:t xml:space="preserve">if any Tier A fail;</w:t>
      </w:r>
      <w:r>
        <w:t xml:space="preserve"> </w:t>
      </w:r>
      <w:r>
        <w:rPr>
          <w:rStyle w:val="VerbatimChar"/>
        </w:rPr>
        <w:t xml:space="preserve">pending</w:t>
      </w:r>
      <w:r>
        <w:t xml:space="preserve"> </w:t>
      </w:r>
      <w:r>
        <w:t xml:space="preserve">if data gaps prevent classification.</w:t>
      </w:r>
    </w:p>
    <w:bookmarkEnd w:id="14"/>
    <w:bookmarkStart w:id="15" w:name="anti-hallucination-discipline"/>
    <w:p>
      <w:pPr>
        <w:pStyle w:val="Heading3"/>
      </w:pPr>
      <w:r>
        <w:t xml:space="preserve">2.2 Anti-hallucination discipline</w:t>
      </w:r>
    </w:p>
    <w:p>
      <w:pPr>
        <w:pStyle w:val="FirstParagraph"/>
      </w:pPr>
      <w:r>
        <w:t xml:space="preserve">Every claim in the per-design corpora (</w:t>
      </w:r>
      <w:r>
        <w:rPr>
          <w:rStyle w:val="VerbatimChar"/>
        </w:rPr>
        <w:t xml:space="preserve">dashboard_extracts/01_…</w:t>
      </w:r>
      <w:r>
        <w:t xml:space="preserve"> </w:t>
      </w:r>
      <w:r>
        <w:t xml:space="preserve">through</w:t>
      </w:r>
      <w:r>
        <w:t xml:space="preserve"> </w:t>
      </w:r>
      <w:r>
        <w:rPr>
          <w:rStyle w:val="VerbatimChar"/>
        </w:rPr>
        <w:t xml:space="preserve">09_…</w:t>
      </w:r>
      <w:r>
        <w:t xml:space="preserve">) is tagged with one of:</w:t>
      </w:r>
      <w:r>
        <w:t xml:space="preserve"> </w:t>
      </w:r>
      <w:r>
        <w:rPr>
          <w:rStyle w:val="VerbatimChar"/>
        </w:rPr>
        <w:t xml:space="preserve">direct_evidence</w:t>
      </w:r>
      <w:r>
        <w:t xml:space="preserve"> </w:t>
      </w:r>
      <w:r>
        <w:t xml:space="preserve">(NEA Dashboard / vendor/regulator primary),</w:t>
      </w:r>
      <w:r>
        <w:t xml:space="preserve"> </w:t>
      </w:r>
      <w:r>
        <w:rPr>
          <w:rStyle w:val="VerbatimChar"/>
        </w:rPr>
        <w:t xml:space="preserve">indirect_evidence</w:t>
      </w:r>
      <w:r>
        <w:t xml:space="preserve"> </w:t>
      </w:r>
      <w:r>
        <w:t xml:space="preserve">(peer-reviewed third party),</w:t>
      </w:r>
      <w:r>
        <w:t xml:space="preserve"> </w:t>
      </w:r>
      <w:r>
        <w:rPr>
          <w:rStyle w:val="VerbatimChar"/>
        </w:rPr>
        <w:t xml:space="preserve">analyst_inference</w:t>
      </w:r>
      <w:r>
        <w:t xml:space="preserve"> </w:t>
      </w:r>
      <w:r>
        <w:t xml:space="preserve">(model output / triangulation), or</w:t>
      </w:r>
      <w:r>
        <w:t xml:space="preserve"> </w:t>
      </w:r>
      <w:r>
        <w:rPr>
          <w:rStyle w:val="VerbatimChar"/>
        </w:rPr>
        <w:t xml:space="preserve">data_gap</w:t>
      </w:r>
      <w:r>
        <w:t xml:space="preserve"> </w:t>
      </w:r>
      <w:r>
        <w:t xml:space="preserve">(acknowledged absence of evidence). The economic model carries the same discipline at the parameter level — see</w:t>
      </w:r>
      <w:r>
        <w:t xml:space="preserve"> </w:t>
      </w:r>
      <w:r>
        <w:rPr>
          <w:rStyle w:val="VerbatimChar"/>
        </w:rPr>
        <w:t xml:space="preserve">common_assumptions.yaml</w:t>
      </w:r>
      <w:r>
        <w:t xml:space="preserve">.</w:t>
      </w:r>
    </w:p>
    <w:bookmarkEnd w:id="15"/>
    <w:bookmarkStart w:id="16" w:name="economic-model"/>
    <w:p>
      <w:pPr>
        <w:pStyle w:val="Heading3"/>
      </w:pPr>
      <w:r>
        <w:t xml:space="preserve">2.3 Economic model</w:t>
      </w:r>
    </w:p>
    <w:p>
      <w:pPr>
        <w:pStyle w:val="FirstParagraph"/>
      </w:pPr>
      <w:r>
        <w:t xml:space="preserve">Single-factor learning curve on FOAK overnight CAPEX:</w:t>
      </w:r>
    </w:p>
    <w:p>
      <w:pPr>
        <w:pStyle w:val="BodyText"/>
      </w:pPr>
      <w:r>
        <w:t xml:space="preserve">[</w:t>
      </w:r>
      <w:r>
        <w:t xml:space="preserve"> </w:t>
      </w:r>
      <w:r>
        <w:t xml:space="preserve">(n) =</w:t>
      </w:r>
      <w:r>
        <w:t xml:space="preserve"> </w:t>
      </w:r>
      <w:r>
        <w:t xml:space="preserve">_{</w:t>
      </w:r>
      <w:r>
        <w:t xml:space="preserve">}</w:t>
      </w:r>
      <w:r>
        <w:t xml:space="preserve"> </w:t>
      </w:r>
      <w:r>
        <w:t xml:space="preserve">n^{</w:t>
      </w:r>
      <w:r>
        <w:t xml:space="preserve">_2(1-</w:t>
      </w:r>
      <w:r>
        <w:t xml:space="preserve">)} ]</w:t>
      </w:r>
    </w:p>
    <w:p>
      <w:pPr>
        <w:pStyle w:val="BodyText"/>
      </w:pPr>
      <w:r>
        <w:t xml:space="preserve">LCOE per unit then computed under WACC 7% real (central), 60-yr operating life, 5–9 yr construction window with linear IDC uplift:</w:t>
      </w:r>
    </w:p>
    <w:p>
      <w:pPr>
        <w:pStyle w:val="BodyText"/>
      </w:pPr>
      <w:r>
        <w:t xml:space="preserve">[</w:t>
      </w:r>
      <w:r>
        <w:t xml:space="preserve"> </w:t>
      </w:r>
      <w:r>
        <w:rPr>
          <w:i/>
          <w:iCs/>
        </w:rPr>
        <w:t xml:space="preserve">{</w:t>
      </w:r>
      <w:r>
        <w:rPr>
          <w:i/>
          <w:iCs/>
        </w:rPr>
        <w:t xml:space="preserve">} =</w:t>
      </w:r>
      <w:r>
        <w:rPr>
          <w:i/>
          <w:iCs/>
        </w:rPr>
        <w:t xml:space="preserve"> </w:t>
      </w:r>
      <w:r>
        <w:rPr>
          <w:i/>
          <w:iCs/>
        </w:rPr>
        <w:t xml:space="preserve"> </w:t>
      </w:r>
      <w:r>
        <w:rPr>
          <w:i/>
          <w:iCs/>
        </w:rPr>
        <w:t xml:space="preserve">+</w:t>
      </w:r>
      <w:r>
        <w:rPr>
          <w:i/>
          <w:iCs/>
        </w:rPr>
        <w:t xml:space="preserve"> </w:t>
      </w:r>
      <w:r>
        <w:t xml:space="preserve">{</w:t>
      </w:r>
      <w:r>
        <w:t xml:space="preserve">} / (</w:t>
      </w:r>
      <w:r>
        <w:t xml:space="preserve"> </w:t>
      </w:r>
      <w:r>
        <w:t xml:space="preserve">) +</w:t>
      </w:r>
      <w:r>
        <w:t xml:space="preserve"> </w:t>
      </w:r>
      <w:r>
        <w:t xml:space="preserve">_{</w:t>
      </w:r>
      <w:r>
        <w:t xml:space="preserve">} +</w:t>
      </w:r>
      <w:r>
        <w:t xml:space="preserve"> </w:t>
      </w:r>
      <w:r>
        <w:t xml:space="preserve"> </w:t>
      </w:r>
      <w:r>
        <w:t xml:space="preserve">+</w:t>
      </w:r>
      <w:r>
        <w:t xml:space="preserve"> </w:t>
      </w:r>
      <w:r>
        <w:t xml:space="preserve"> </w:t>
      </w:r>
      <w:r>
        <w:t xml:space="preserve">]</w:t>
      </w:r>
    </w:p>
    <w:p>
      <w:pPr>
        <w:pStyle w:val="BodyText"/>
      </w:pPr>
      <w:r>
        <w:t xml:space="preserve">Monte Carlo (2,000 triangular samples per design, all parameters varied independently) gives the P05–P95 envelope reported in the executive summary. All values in EUR2025 real terms (FX 1 USD = 0.93 EUR baseline).</w:t>
      </w:r>
    </w:p>
    <w:p>
      <w:r>
        <w:pict>
          <v:rect style="width:0;height:1.5pt" o:hralign="center" o:hrstd="t" o:hr="t"/>
        </w:pict>
      </w:r>
    </w:p>
    <w:bookmarkEnd w:id="16"/>
    <w:bookmarkEnd w:id="17"/>
    <w:bookmarkStart w:id="18" w:name="tier-a-gate-matrix"/>
    <w:p>
      <w:pPr>
        <w:pStyle w:val="Heading2"/>
      </w:pPr>
      <w:r>
        <w:t xml:space="preserve">3. Tier A gate matrix</w:t>
      </w:r>
    </w:p>
    <w:p>
      <w:pPr>
        <w:pStyle w:val="FirstParagraph"/>
      </w:pPr>
      <w:r>
        <w:t xml:space="preserve">Source:</w:t>
      </w:r>
      <w:r>
        <w:t xml:space="preserve"> </w:t>
      </w:r>
      <w:r>
        <w:rPr>
          <w:rStyle w:val="VerbatimChar"/>
        </w:rPr>
        <w:t xml:space="preserve">llm_runs/01_…</w:t>
      </w:r>
      <w:r>
        <w:t xml:space="preserve"> </w:t>
      </w:r>
      <w:r>
        <w:t xml:space="preserve">through</w:t>
      </w:r>
      <w:r>
        <w:t xml:space="preserve"> </w:t>
      </w:r>
      <w:r>
        <w:rPr>
          <w:rStyle w:val="VerbatimChar"/>
        </w:rPr>
        <w:t xml:space="preserve">09_…</w:t>
      </w:r>
      <w:r>
        <w:t xml:space="preserve"> </w:t>
      </w:r>
      <w:r>
        <w:t xml:space="preserve">(canonical) and</w:t>
      </w:r>
      <w:r>
        <w:t xml:space="preserve"> </w:t>
      </w:r>
      <w:r>
        <w:rPr>
          <w:rStyle w:val="VerbatimChar"/>
        </w:rPr>
        <w:t xml:space="preserve">dashboard_extracts/00_haleu_supply_snapshot.md</w:t>
      </w:r>
      <w:r>
        <w:t xml:space="preserve">.</w:t>
      </w:r>
    </w:p>
    <w:tbl>
      <w:tblPr>
        <w:tblStyle w:val="Table"/>
        <w:tblW w:type="pct" w:w="5000"/>
        <w:tblLayout w:type="fixed"/>
        <w:tblLook w:firstRow="1" w:lastRow="0" w:firstColumn="0" w:lastColumn="0" w:noHBand="0" w:noVBand="0" w:val="0020"/>
      </w:tblPr>
      <w:tblGrid>
        <w:gridCol w:w="1777"/>
        <w:gridCol w:w="646"/>
        <w:gridCol w:w="646"/>
        <w:gridCol w:w="727"/>
        <w:gridCol w:w="888"/>
        <w:gridCol w:w="727"/>
        <w:gridCol w:w="646"/>
        <w:gridCol w:w="888"/>
        <w:gridCol w:w="969"/>
      </w:tblGrid>
      <w:tr>
        <w:trPr>
          <w:tblHeader w:val="on"/>
        </w:trPr>
        <w:tc>
          <w:tcPr/>
          <w:p>
            <w:pPr>
              <w:pStyle w:val="Compact"/>
            </w:pPr>
            <w:r>
              <w:t xml:space="preserve">Design</w:t>
            </w:r>
          </w:p>
        </w:tc>
        <w:tc>
          <w:tcPr/>
          <w:p>
            <w:pPr>
              <w:pStyle w:val="Compact"/>
              <w:jc w:val="center"/>
            </w:pPr>
            <w:r>
              <w:t xml:space="preserve">A1 Lic.</w:t>
            </w:r>
          </w:p>
        </w:tc>
        <w:tc>
          <w:tcPr/>
          <w:p>
            <w:pPr>
              <w:pStyle w:val="Compact"/>
              <w:jc w:val="center"/>
            </w:pPr>
            <w:r>
              <w:t xml:space="preserve">A2 Fuel</w:t>
            </w:r>
          </w:p>
        </w:tc>
        <w:tc>
          <w:tcPr/>
          <w:p>
            <w:pPr>
              <w:pStyle w:val="Compact"/>
              <w:jc w:val="center"/>
            </w:pPr>
            <w:r>
              <w:t xml:space="preserve">A3 Supply</w:t>
            </w:r>
          </w:p>
        </w:tc>
        <w:tc>
          <w:tcPr/>
          <w:p>
            <w:pPr>
              <w:pStyle w:val="Compact"/>
              <w:jc w:val="center"/>
            </w:pPr>
            <w:r>
              <w:t xml:space="preserve">A4 Pipeline</w:t>
            </w:r>
          </w:p>
        </w:tc>
        <w:tc>
          <w:tcPr/>
          <w:p>
            <w:pPr>
              <w:pStyle w:val="Compact"/>
              <w:jc w:val="center"/>
            </w:pPr>
            <w:r>
              <w:t xml:space="preserve">A5 Freeze</w:t>
            </w:r>
          </w:p>
        </w:tc>
        <w:tc>
          <w:tcPr/>
          <w:p>
            <w:pPr>
              <w:pStyle w:val="Compact"/>
              <w:jc w:val="center"/>
            </w:pPr>
            <w:r>
              <w:t xml:space="preserve">A6 Decom</w:t>
            </w:r>
          </w:p>
        </w:tc>
        <w:tc>
          <w:tcPr/>
          <w:p>
            <w:pPr>
              <w:pStyle w:val="Compact"/>
              <w:jc w:val="center"/>
            </w:pPr>
            <w:r>
              <w:t xml:space="preserve">A7 2033 COD</w:t>
            </w:r>
          </w:p>
        </w:tc>
        <w:tc>
          <w:tcPr/>
          <w:p>
            <w:pPr>
              <w:pStyle w:val="Compact"/>
            </w:pPr>
            <w:r>
              <w:t xml:space="preserve">Net</w:t>
            </w:r>
          </w:p>
        </w:tc>
      </w:tr>
      <w:tr>
        <w:tc>
          <w:tcPr/>
          <w:p>
            <w:pPr>
              <w:pStyle w:val="Compact"/>
            </w:pPr>
            <w:r>
              <w:rPr>
                <w:b/>
                <w:bCs/>
              </w:rPr>
              <w:t xml:space="preserve">BWRX-300</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c>
          <w:tcPr/>
          <w:p>
            <w:pPr>
              <w:pStyle w:val="Compact"/>
            </w:pPr>
            <w:r>
              <w:rPr>
                <w:b/>
                <w:bCs/>
              </w:rPr>
              <w:t xml:space="preserve">All pass</w:t>
            </w:r>
          </w:p>
        </w:tc>
      </w:tr>
      <w:tr>
        <w:tc>
          <w:tcPr/>
          <w:p>
            <w:pPr>
              <w:pStyle w:val="Compact"/>
            </w:pPr>
            <w:r>
              <w:rPr>
                <w:b/>
                <w:bCs/>
              </w:rPr>
              <w:t xml:space="preserve">NuScale ENTRA1</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caution</w:t>
            </w:r>
          </w:p>
        </w:tc>
        <w:tc>
          <w:tcPr/>
          <w:p>
            <w:pPr>
              <w:pStyle w:val="Compact"/>
              <w:jc w:val="center"/>
            </w:pPr>
            <w:r>
              <w:t xml:space="preserve">pass</w:t>
            </w:r>
          </w:p>
        </w:tc>
        <w:tc>
          <w:tcPr/>
          <w:p>
            <w:pPr>
              <w:pStyle w:val="Compact"/>
            </w:pPr>
            <w:r>
              <w:t xml:space="preserve">6p / 1c</w:t>
            </w:r>
          </w:p>
        </w:tc>
      </w:tr>
      <w:tr>
        <w:tc>
          <w:tcPr/>
          <w:p>
            <w:pPr>
              <w:pStyle w:val="Compact"/>
            </w:pPr>
            <w:r>
              <w:rPr>
                <w:b/>
                <w:bCs/>
              </w:rPr>
              <w:t xml:space="preserve">Rolls-Royce SMR</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caution</w:t>
            </w:r>
          </w:p>
        </w:tc>
        <w:tc>
          <w:tcPr/>
          <w:p>
            <w:pPr>
              <w:pStyle w:val="Compact"/>
              <w:jc w:val="center"/>
            </w:pPr>
            <w:r>
              <w:t xml:space="preserve">pass</w:t>
            </w:r>
          </w:p>
        </w:tc>
        <w:tc>
          <w:tcPr/>
          <w:p>
            <w:pPr>
              <w:pStyle w:val="Compact"/>
              <w:jc w:val="center"/>
            </w:pPr>
            <w:r>
              <w:t xml:space="preserve">pass</w:t>
            </w:r>
          </w:p>
        </w:tc>
        <w:tc>
          <w:tcPr/>
          <w:p>
            <w:pPr>
              <w:pStyle w:val="Compact"/>
            </w:pPr>
            <w:r>
              <w:t xml:space="preserve">6p / 1c</w:t>
            </w:r>
          </w:p>
        </w:tc>
      </w:tr>
      <w:tr>
        <w:tc>
          <w:tcPr/>
          <w:p>
            <w:pPr>
              <w:pStyle w:val="Compact"/>
            </w:pPr>
            <w:r>
              <w:rPr>
                <w:b/>
                <w:bCs/>
              </w:rPr>
              <w:t xml:space="preserve">Holtec SMR-300</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caution</w:t>
            </w:r>
          </w:p>
        </w:tc>
        <w:tc>
          <w:tcPr/>
          <w:p>
            <w:pPr>
              <w:pStyle w:val="Compact"/>
              <w:jc w:val="center"/>
            </w:pPr>
            <w:r>
              <w:t xml:space="preserve">caution</w:t>
            </w:r>
          </w:p>
        </w:tc>
        <w:tc>
          <w:tcPr/>
          <w:p>
            <w:pPr>
              <w:pStyle w:val="Compact"/>
              <w:jc w:val="center"/>
            </w:pPr>
            <w:r>
              <w:t xml:space="preserve">pass</w:t>
            </w:r>
          </w:p>
        </w:tc>
        <w:tc>
          <w:tcPr/>
          <w:p>
            <w:pPr>
              <w:pStyle w:val="Compact"/>
              <w:jc w:val="center"/>
            </w:pPr>
            <w:r>
              <w:t xml:space="preserve">pass</w:t>
            </w:r>
          </w:p>
        </w:tc>
        <w:tc>
          <w:tcPr/>
          <w:p>
            <w:pPr>
              <w:pStyle w:val="Compact"/>
            </w:pPr>
            <w:r>
              <w:t xml:space="preserve">5p / 2c</w:t>
            </w:r>
          </w:p>
        </w:tc>
      </w:tr>
      <w:tr>
        <w:tc>
          <w:tcPr/>
          <w:p>
            <w:pPr>
              <w:pStyle w:val="Compact"/>
            </w:pPr>
            <w:r>
              <w:rPr>
                <w:b/>
                <w:bCs/>
              </w:rPr>
              <w:t xml:space="preserve">NUWARD</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caution</w:t>
            </w:r>
          </w:p>
        </w:tc>
        <w:tc>
          <w:tcPr/>
          <w:p>
            <w:pPr>
              <w:pStyle w:val="Compact"/>
              <w:jc w:val="center"/>
            </w:pPr>
            <w:r>
              <w:rPr>
                <w:b/>
                <w:bCs/>
              </w:rPr>
              <w:t xml:space="preserve">fail</w:t>
            </w:r>
          </w:p>
        </w:tc>
        <w:tc>
          <w:tcPr/>
          <w:p>
            <w:pPr>
              <w:pStyle w:val="Compact"/>
              <w:jc w:val="center"/>
            </w:pPr>
            <w:r>
              <w:t xml:space="preserve">caution</w:t>
            </w:r>
          </w:p>
        </w:tc>
        <w:tc>
          <w:tcPr/>
          <w:p>
            <w:pPr>
              <w:pStyle w:val="Compact"/>
              <w:jc w:val="center"/>
            </w:pPr>
            <w:r>
              <w:t xml:space="preserve">caution</w:t>
            </w:r>
          </w:p>
        </w:tc>
        <w:tc>
          <w:tcPr/>
          <w:p>
            <w:pPr>
              <w:pStyle w:val="Compact"/>
            </w:pPr>
            <w:r>
              <w:t xml:space="preserve">3p / 3c / 1f</w:t>
            </w:r>
          </w:p>
        </w:tc>
      </w:tr>
      <w:tr>
        <w:tc>
          <w:tcPr/>
          <w:p>
            <w:pPr>
              <w:pStyle w:val="Compact"/>
            </w:pPr>
            <w:r>
              <w:rPr>
                <w:b/>
                <w:bCs/>
              </w:rPr>
              <w:t xml:space="preserve">X-energy Xe-100</w:t>
            </w:r>
          </w:p>
        </w:tc>
        <w:tc>
          <w:tcPr/>
          <w:p>
            <w:pPr>
              <w:pStyle w:val="Compact"/>
              <w:jc w:val="center"/>
            </w:pPr>
            <w:r>
              <w:t xml:space="preserve">caution</w:t>
            </w:r>
          </w:p>
        </w:tc>
        <w:tc>
          <w:tcPr/>
          <w:p>
            <w:pPr>
              <w:pStyle w:val="Compact"/>
              <w:jc w:val="center"/>
            </w:pPr>
            <w:r>
              <w:t xml:space="preserve">caution</w:t>
            </w:r>
          </w:p>
        </w:tc>
        <w:tc>
          <w:tcPr/>
          <w:p>
            <w:pPr>
              <w:pStyle w:val="Compact"/>
              <w:jc w:val="center"/>
            </w:pPr>
            <w:r>
              <w:t xml:space="preserve">caution</w:t>
            </w:r>
          </w:p>
        </w:tc>
        <w:tc>
          <w:tcPr/>
          <w:p>
            <w:pPr>
              <w:pStyle w:val="Compact"/>
              <w:jc w:val="center"/>
            </w:pPr>
            <w:r>
              <w:t xml:space="preserve">pass</w:t>
            </w:r>
          </w:p>
        </w:tc>
        <w:tc>
          <w:tcPr/>
          <w:p>
            <w:pPr>
              <w:pStyle w:val="Compact"/>
              <w:jc w:val="center"/>
            </w:pPr>
            <w:r>
              <w:t xml:space="preserve">caution</w:t>
            </w:r>
          </w:p>
        </w:tc>
        <w:tc>
          <w:tcPr/>
          <w:p>
            <w:pPr>
              <w:pStyle w:val="Compact"/>
              <w:jc w:val="center"/>
            </w:pPr>
            <w:r>
              <w:t xml:space="preserve">caution</w:t>
            </w:r>
          </w:p>
        </w:tc>
        <w:tc>
          <w:tcPr/>
          <w:p>
            <w:pPr>
              <w:pStyle w:val="Compact"/>
              <w:jc w:val="center"/>
            </w:pPr>
            <w:r>
              <w:t xml:space="preserve">caution</w:t>
            </w:r>
          </w:p>
        </w:tc>
        <w:tc>
          <w:tcPr/>
          <w:p>
            <w:pPr>
              <w:pStyle w:val="Compact"/>
            </w:pPr>
            <w:r>
              <w:t xml:space="preserve">1p / 6c</w:t>
            </w:r>
          </w:p>
        </w:tc>
      </w:tr>
      <w:tr>
        <w:tc>
          <w:tcPr/>
          <w:p>
            <w:pPr>
              <w:pStyle w:val="Compact"/>
            </w:pPr>
            <w:r>
              <w:rPr>
                <w:b/>
                <w:bCs/>
              </w:rPr>
              <w:t xml:space="preserve">Kairos KP-FHR</w:t>
            </w:r>
          </w:p>
        </w:tc>
        <w:tc>
          <w:tcPr/>
          <w:p>
            <w:pPr>
              <w:pStyle w:val="Compact"/>
              <w:jc w:val="center"/>
            </w:pPr>
            <w:r>
              <w:t xml:space="preserve">caution</w:t>
            </w:r>
          </w:p>
        </w:tc>
        <w:tc>
          <w:tcPr/>
          <w:p>
            <w:pPr>
              <w:pStyle w:val="Compact"/>
              <w:jc w:val="center"/>
            </w:pPr>
            <w:r>
              <w:rPr>
                <w:b/>
                <w:bCs/>
              </w:rPr>
              <w:t xml:space="preserve">fail</w:t>
            </w:r>
          </w:p>
        </w:tc>
        <w:tc>
          <w:tcPr/>
          <w:p>
            <w:pPr>
              <w:pStyle w:val="Compact"/>
              <w:jc w:val="center"/>
            </w:pPr>
            <w:r>
              <w:t xml:space="preserve">caution</w:t>
            </w:r>
          </w:p>
        </w:tc>
        <w:tc>
          <w:tcPr/>
          <w:p>
            <w:pPr>
              <w:pStyle w:val="Compact"/>
              <w:jc w:val="center"/>
            </w:pPr>
            <w:r>
              <w:t xml:space="preserve">caution</w:t>
            </w:r>
          </w:p>
        </w:tc>
        <w:tc>
          <w:tcPr/>
          <w:p>
            <w:pPr>
              <w:pStyle w:val="Compact"/>
              <w:jc w:val="center"/>
            </w:pPr>
            <w:r>
              <w:rPr>
                <w:b/>
                <w:bCs/>
              </w:rPr>
              <w:t xml:space="preserve">fail</w:t>
            </w:r>
          </w:p>
        </w:tc>
        <w:tc>
          <w:tcPr/>
          <w:p>
            <w:pPr>
              <w:pStyle w:val="Compact"/>
              <w:jc w:val="center"/>
            </w:pPr>
            <w:r>
              <w:t xml:space="preserve">caution</w:t>
            </w:r>
          </w:p>
        </w:tc>
        <w:tc>
          <w:tcPr/>
          <w:p>
            <w:pPr>
              <w:pStyle w:val="Compact"/>
              <w:jc w:val="center"/>
            </w:pPr>
            <w:r>
              <w:t xml:space="preserve">caution</w:t>
            </w:r>
          </w:p>
        </w:tc>
        <w:tc>
          <w:tcPr/>
          <w:p>
            <w:pPr>
              <w:pStyle w:val="Compact"/>
            </w:pPr>
            <w:r>
              <w:t xml:space="preserve">0p / 5c / 2f</w:t>
            </w:r>
          </w:p>
        </w:tc>
      </w:tr>
      <w:tr>
        <w:tc>
          <w:tcPr/>
          <w:p>
            <w:pPr>
              <w:pStyle w:val="Compact"/>
            </w:pPr>
            <w:r>
              <w:rPr>
                <w:b/>
                <w:bCs/>
              </w:rPr>
              <w:t xml:space="preserve">TerraPower Natrium</w:t>
            </w:r>
          </w:p>
        </w:tc>
        <w:tc>
          <w:tcPr/>
          <w:p>
            <w:pPr>
              <w:pStyle w:val="Compact"/>
              <w:jc w:val="center"/>
            </w:pPr>
            <w:r>
              <w:t xml:space="preserve">pass</w:t>
            </w:r>
          </w:p>
        </w:tc>
        <w:tc>
          <w:tcPr/>
          <w:p>
            <w:pPr>
              <w:pStyle w:val="Compact"/>
              <w:jc w:val="center"/>
            </w:pPr>
            <w:r>
              <w:rPr>
                <w:b/>
                <w:bCs/>
              </w:rPr>
              <w:t xml:space="preserve">fail</w:t>
            </w:r>
          </w:p>
        </w:tc>
        <w:tc>
          <w:tcPr/>
          <w:p>
            <w:pPr>
              <w:pStyle w:val="Compact"/>
              <w:jc w:val="center"/>
            </w:pPr>
            <w:r>
              <w:t xml:space="preserve">caution</w:t>
            </w:r>
          </w:p>
        </w:tc>
        <w:tc>
          <w:tcPr/>
          <w:p>
            <w:pPr>
              <w:pStyle w:val="Compact"/>
              <w:jc w:val="center"/>
            </w:pPr>
            <w:r>
              <w:t xml:space="preserve">pass</w:t>
            </w:r>
          </w:p>
        </w:tc>
        <w:tc>
          <w:tcPr/>
          <w:p>
            <w:pPr>
              <w:pStyle w:val="Compact"/>
              <w:jc w:val="center"/>
            </w:pPr>
            <w:r>
              <w:t xml:space="preserve">pass</w:t>
            </w:r>
          </w:p>
        </w:tc>
        <w:tc>
          <w:tcPr/>
          <w:p>
            <w:pPr>
              <w:pStyle w:val="Compact"/>
              <w:jc w:val="center"/>
            </w:pPr>
            <w:r>
              <w:t xml:space="preserve">caution</w:t>
            </w:r>
          </w:p>
        </w:tc>
        <w:tc>
          <w:tcPr/>
          <w:p>
            <w:pPr>
              <w:pStyle w:val="Compact"/>
              <w:jc w:val="center"/>
            </w:pPr>
            <w:r>
              <w:t xml:space="preserve">caution</w:t>
            </w:r>
          </w:p>
        </w:tc>
        <w:tc>
          <w:tcPr/>
          <w:p>
            <w:pPr>
              <w:pStyle w:val="Compact"/>
            </w:pPr>
            <w:r>
              <w:t xml:space="preserve">3p / 3c / 1f</w:t>
            </w:r>
          </w:p>
        </w:tc>
      </w:tr>
      <w:tr>
        <w:tc>
          <w:tcPr/>
          <w:p>
            <w:pPr>
              <w:pStyle w:val="Compact"/>
            </w:pPr>
            <w:r>
              <w:rPr>
                <w:b/>
                <w:bCs/>
              </w:rPr>
              <w:t xml:space="preserve">Oklo Aurora</w:t>
            </w:r>
          </w:p>
        </w:tc>
        <w:tc>
          <w:tcPr/>
          <w:p>
            <w:pPr>
              <w:pStyle w:val="Compact"/>
              <w:jc w:val="center"/>
            </w:pPr>
            <w:r>
              <w:rPr>
                <w:b/>
                <w:bCs/>
              </w:rPr>
              <w:t xml:space="preserve">fail</w:t>
            </w:r>
          </w:p>
        </w:tc>
        <w:tc>
          <w:tcPr/>
          <w:p>
            <w:pPr>
              <w:pStyle w:val="Compact"/>
              <w:jc w:val="center"/>
            </w:pPr>
            <w:r>
              <w:rPr>
                <w:b/>
                <w:bCs/>
              </w:rPr>
              <w:t xml:space="preserve">fail</w:t>
            </w:r>
          </w:p>
        </w:tc>
        <w:tc>
          <w:tcPr/>
          <w:p>
            <w:pPr>
              <w:pStyle w:val="Compact"/>
              <w:jc w:val="center"/>
            </w:pPr>
            <w:r>
              <w:rPr>
                <w:b/>
                <w:bCs/>
              </w:rPr>
              <w:t xml:space="preserve">fail</w:t>
            </w:r>
          </w:p>
        </w:tc>
        <w:tc>
          <w:tcPr/>
          <w:p>
            <w:pPr>
              <w:pStyle w:val="Compact"/>
              <w:jc w:val="center"/>
            </w:pPr>
            <w:r>
              <w:t xml:space="preserve">caution</w:t>
            </w:r>
          </w:p>
        </w:tc>
        <w:tc>
          <w:tcPr/>
          <w:p>
            <w:pPr>
              <w:pStyle w:val="Compact"/>
              <w:jc w:val="center"/>
            </w:pPr>
            <w:r>
              <w:rPr>
                <w:b/>
                <w:bCs/>
              </w:rPr>
              <w:t xml:space="preserve">fail</w:t>
            </w:r>
          </w:p>
        </w:tc>
        <w:tc>
          <w:tcPr/>
          <w:p>
            <w:pPr>
              <w:pStyle w:val="Compact"/>
              <w:jc w:val="center"/>
            </w:pPr>
            <w:r>
              <w:rPr>
                <w:b/>
                <w:bCs/>
              </w:rPr>
              <w:t xml:space="preserve">fail</w:t>
            </w:r>
          </w:p>
        </w:tc>
        <w:tc>
          <w:tcPr/>
          <w:p>
            <w:pPr>
              <w:pStyle w:val="Compact"/>
              <w:jc w:val="center"/>
            </w:pPr>
            <w:r>
              <w:t xml:space="preserve">caution</w:t>
            </w:r>
          </w:p>
        </w:tc>
        <w:tc>
          <w:tcPr/>
          <w:p>
            <w:pPr>
              <w:pStyle w:val="Compact"/>
            </w:pPr>
            <w:r>
              <w:t xml:space="preserve">0p / 2c / 5f</w:t>
            </w:r>
          </w:p>
        </w:tc>
      </w:tr>
    </w:tbl>
    <w:p>
      <w:pPr>
        <w:pStyle w:val="BodyText"/>
      </w:pPr>
      <w:r>
        <w:rPr>
          <w:b/>
          <w:bCs/>
        </w:rPr>
        <w:t xml:space="preserve">Key observations:</w:t>
      </w:r>
    </w:p>
    <w:p>
      <w:pPr>
        <w:pStyle w:val="Compact"/>
        <w:numPr>
          <w:ilvl w:val="0"/>
          <w:numId w:val="1004"/>
        </w:numPr>
      </w:pPr>
      <w:r>
        <w:rPr>
          <w:b/>
          <w:bCs/>
        </w:rPr>
        <w:t xml:space="preserve">HALEU is the binding A2 constraint.</w:t>
      </w:r>
      <w:r>
        <w:t xml:space="preserve"> </w:t>
      </w:r>
      <w:r>
        <w:t xml:space="preserve">Per</w:t>
      </w:r>
      <w:r>
        <w:t xml:space="preserve"> </w:t>
      </w:r>
      <w:r>
        <w:rPr>
          <w:rStyle w:val="VerbatimChar"/>
        </w:rPr>
        <w:t xml:space="preserve">00_haleu_supply_snapshot.md</w:t>
      </w:r>
      <w:r>
        <w:t xml:space="preserve">, US DOE has acknowledged a multi-thousand-tonne deficit through 2030; Centrus Piketon ramp ≤ 0.9 t HALEU/yr through 2026, Urenco UUSA still in pre-licensing. No commercial HALEU at scale is available for non-LWR designs that need it (Kairos, Xe-100, Oklo, Natrium) within 36 months of a 2033 COD.</w:t>
      </w:r>
    </w:p>
    <w:p>
      <w:pPr>
        <w:pStyle w:val="Compact"/>
        <w:numPr>
          <w:ilvl w:val="0"/>
          <w:numId w:val="1004"/>
        </w:numPr>
      </w:pPr>
      <w:r>
        <w:rPr>
          <w:b/>
          <w:bCs/>
        </w:rPr>
        <w:t xml:space="preserve">Design freeze (A5)</w:t>
      </w:r>
      <w:r>
        <w:t xml:space="preserve"> </w:t>
      </w:r>
      <w:r>
        <w:t xml:space="preserve">kills NUWARD outright (post-July-2024 reset) and triggers cautions for NuScale (ENTRA1 product post-VOYGR-6), Rolls-Royce (GDA Step 3 ongoing), Holtec (FSAR pending), Kairos (KP-X commercial design open).</w:t>
      </w:r>
    </w:p>
    <w:p>
      <w:pPr>
        <w:pStyle w:val="Compact"/>
        <w:numPr>
          <w:ilvl w:val="0"/>
          <w:numId w:val="1004"/>
        </w:numPr>
      </w:pPr>
      <w:r>
        <w:rPr>
          <w:b/>
          <w:bCs/>
        </w:rPr>
        <w:t xml:space="preserve">Reference pipeline (A4)</w:t>
      </w:r>
      <w:r>
        <w:t xml:space="preserve"> </w:t>
      </w:r>
      <w:r>
        <w:t xml:space="preserve">is BWRX-300’s signature strength: OPG Darlington 1 in construction, TVA Clinch River in licensing, Estonia/Sweden/Czech offtake MoUs. NuScale + Rolls-Royce next; everyone else either has only data-center MoUs or a single anchor.</w:t>
      </w:r>
    </w:p>
    <w:p>
      <w:r>
        <w:pict>
          <v:rect style="width:0;height:1.5pt" o:hralign="center" o:hrstd="t" o:hr="t"/>
        </w:pict>
      </w:r>
    </w:p>
    <w:bookmarkEnd w:id="18"/>
    <w:bookmarkStart w:id="19" w:name="tier-b-tier-c-scoring-summary"/>
    <w:p>
      <w:pPr>
        <w:pStyle w:val="Heading2"/>
      </w:pPr>
      <w:r>
        <w:t xml:space="preserve">4. Tier B / Tier C scoring summary</w:t>
      </w:r>
    </w:p>
    <w:p>
      <w:pPr>
        <w:pStyle w:val="FirstParagraph"/>
      </w:pPr>
      <w:r>
        <w:t xml:space="preserve">Source:</w:t>
      </w:r>
      <w:r>
        <w:t xml:space="preserve"> </w:t>
      </w:r>
      <w:r>
        <w:rPr>
          <w:rStyle w:val="VerbatimChar"/>
        </w:rPr>
        <w:t xml:space="preserve">llm_runs/*.md</w:t>
      </w:r>
      <w:r>
        <w:t xml:space="preserve"> </w:t>
      </w:r>
      <w:r>
        <w:t xml:space="preserve">JSON blocks. Tier B aggregated on the 100-point scale; Tier C as net % modifier; final score bounded 0–5.</w:t>
      </w:r>
    </w:p>
    <w:tbl>
      <w:tblPr>
        <w:tblStyle w:val="Table"/>
        <w:tblW w:type="pct" w:w="5000"/>
        <w:tblLayout w:type="fixed"/>
        <w:tblLook w:firstRow="1" w:lastRow="0" w:firstColumn="0" w:lastColumn="0" w:noHBand="0" w:noVBand="0" w:val="0020"/>
      </w:tblPr>
      <w:tblGrid>
        <w:gridCol w:w="1675"/>
        <w:gridCol w:w="1066"/>
        <w:gridCol w:w="913"/>
        <w:gridCol w:w="1294"/>
        <w:gridCol w:w="1523"/>
        <w:gridCol w:w="1446"/>
      </w:tblGrid>
      <w:tr>
        <w:trPr>
          <w:tblHeader w:val="on"/>
        </w:trPr>
        <w:tc>
          <w:tcPr/>
          <w:p>
            <w:pPr>
              <w:pStyle w:val="Compact"/>
            </w:pPr>
            <w:r>
              <w:t xml:space="preserve">Design</w:t>
            </w:r>
          </w:p>
        </w:tc>
        <w:tc>
          <w:tcPr/>
          <w:p>
            <w:pPr>
              <w:pStyle w:val="Compact"/>
              <w:jc w:val="right"/>
            </w:pPr>
            <w:r>
              <w:t xml:space="preserve">Tier B (100pt)</w:t>
            </w:r>
          </w:p>
        </w:tc>
        <w:tc>
          <w:tcPr/>
          <w:p>
            <w:pPr>
              <w:pStyle w:val="Compact"/>
              <w:jc w:val="right"/>
            </w:pPr>
            <w:r>
              <w:t xml:space="preserve">Tier C net %</w:t>
            </w:r>
          </w:p>
        </w:tc>
        <w:tc>
          <w:tcPr/>
          <w:p>
            <w:pPr>
              <w:pStyle w:val="Compact"/>
              <w:jc w:val="right"/>
            </w:pPr>
            <w:r>
              <w:t xml:space="preserve">Final score (0–5)</w:t>
            </w:r>
          </w:p>
        </w:tc>
        <w:tc>
          <w:tcPr/>
          <w:p>
            <w:pPr>
              <w:pStyle w:val="Compact"/>
            </w:pPr>
            <w:r>
              <w:t xml:space="preserve">Verdict</w:t>
            </w:r>
          </w:p>
        </w:tc>
        <w:tc>
          <w:tcPr/>
          <w:p>
            <w:pPr>
              <w:pStyle w:val="Compact"/>
              <w:jc w:val="right"/>
            </w:pPr>
            <w:r>
              <w:t xml:space="preserve">LCOE @ n=12 (€/MWh)</w:t>
            </w:r>
          </w:p>
        </w:tc>
      </w:tr>
      <w:tr>
        <w:tc>
          <w:tcPr/>
          <w:p>
            <w:pPr>
              <w:pStyle w:val="Compact"/>
            </w:pPr>
            <w:r>
              <w:rPr>
                <w:b/>
                <w:bCs/>
              </w:rPr>
              <w:t xml:space="preserve">BWRX-300</w:t>
            </w:r>
          </w:p>
        </w:tc>
        <w:tc>
          <w:tcPr/>
          <w:p>
            <w:pPr>
              <w:pStyle w:val="Compact"/>
              <w:jc w:val="right"/>
            </w:pPr>
            <w:r>
              <w:t xml:space="preserve">81</w:t>
            </w:r>
          </w:p>
        </w:tc>
        <w:tc>
          <w:tcPr/>
          <w:p>
            <w:pPr>
              <w:pStyle w:val="Compact"/>
              <w:jc w:val="right"/>
            </w:pPr>
            <w:r>
              <w:t xml:space="preserve">+15 %</w:t>
            </w:r>
          </w:p>
        </w:tc>
        <w:tc>
          <w:tcPr/>
          <w:p>
            <w:pPr>
              <w:pStyle w:val="Compact"/>
              <w:jc w:val="right"/>
            </w:pPr>
            <w:r>
              <w:rPr>
                <w:b/>
                <w:bCs/>
              </w:rPr>
              <w:t xml:space="preserve">4.66</w:t>
            </w:r>
          </w:p>
        </w:tc>
        <w:tc>
          <w:tcPr/>
          <w:p>
            <w:pPr>
              <w:pStyle w:val="Compact"/>
            </w:pPr>
            <w:r>
              <w:t xml:space="preserve">shortlist_primary</w:t>
            </w:r>
          </w:p>
        </w:tc>
        <w:tc>
          <w:tcPr/>
          <w:p>
            <w:pPr>
              <w:pStyle w:val="Compact"/>
              <w:jc w:val="right"/>
            </w:pPr>
            <w:r>
              <w:t xml:space="preserve">89</w:t>
            </w:r>
          </w:p>
        </w:tc>
      </w:tr>
      <w:tr>
        <w:tc>
          <w:tcPr/>
          <w:p>
            <w:pPr>
              <w:pStyle w:val="Compact"/>
            </w:pPr>
            <w:r>
              <w:rPr>
                <w:b/>
                <w:bCs/>
              </w:rPr>
              <w:t xml:space="preserve">Rolls-Royce SMR</w:t>
            </w:r>
          </w:p>
        </w:tc>
        <w:tc>
          <w:tcPr/>
          <w:p>
            <w:pPr>
              <w:pStyle w:val="Compact"/>
              <w:jc w:val="right"/>
            </w:pPr>
            <w:r>
              <w:t xml:space="preserve">80</w:t>
            </w:r>
          </w:p>
        </w:tc>
        <w:tc>
          <w:tcPr/>
          <w:p>
            <w:pPr>
              <w:pStyle w:val="Compact"/>
              <w:jc w:val="right"/>
            </w:pPr>
            <w:r>
              <w:t xml:space="preserve">+15 %</w:t>
            </w:r>
          </w:p>
        </w:tc>
        <w:tc>
          <w:tcPr/>
          <w:p>
            <w:pPr>
              <w:pStyle w:val="Compact"/>
              <w:jc w:val="right"/>
            </w:pPr>
            <w:r>
              <w:rPr>
                <w:b/>
                <w:bCs/>
              </w:rPr>
              <w:t xml:space="preserve">4.60</w:t>
            </w:r>
          </w:p>
        </w:tc>
        <w:tc>
          <w:tcPr/>
          <w:p>
            <w:pPr>
              <w:pStyle w:val="Compact"/>
            </w:pPr>
            <w:r>
              <w:t xml:space="preserve">pending</w:t>
            </w:r>
          </w:p>
        </w:tc>
        <w:tc>
          <w:tcPr/>
          <w:p>
            <w:pPr>
              <w:pStyle w:val="Compact"/>
              <w:jc w:val="right"/>
            </w:pPr>
            <w:r>
              <w:t xml:space="preserve">96</w:t>
            </w:r>
          </w:p>
        </w:tc>
      </w:tr>
      <w:tr>
        <w:tc>
          <w:tcPr/>
          <w:p>
            <w:pPr>
              <w:pStyle w:val="Compact"/>
            </w:pPr>
            <w:r>
              <w:rPr>
                <w:b/>
                <w:bCs/>
              </w:rPr>
              <w:t xml:space="preserve">NuScale ENTRA1</w:t>
            </w:r>
          </w:p>
        </w:tc>
        <w:tc>
          <w:tcPr/>
          <w:p>
            <w:pPr>
              <w:pStyle w:val="Compact"/>
              <w:jc w:val="right"/>
            </w:pPr>
            <w:r>
              <w:t xml:space="preserve">75</w:t>
            </w:r>
          </w:p>
        </w:tc>
        <w:tc>
          <w:tcPr/>
          <w:p>
            <w:pPr>
              <w:pStyle w:val="Compact"/>
              <w:jc w:val="right"/>
            </w:pPr>
            <w:r>
              <w:t xml:space="preserve">+10 %</w:t>
            </w:r>
          </w:p>
        </w:tc>
        <w:tc>
          <w:tcPr/>
          <w:p>
            <w:pPr>
              <w:pStyle w:val="Compact"/>
              <w:jc w:val="right"/>
            </w:pPr>
            <w:r>
              <w:rPr>
                <w:b/>
                <w:bCs/>
              </w:rPr>
              <w:t xml:space="preserve">4.13</w:t>
            </w:r>
          </w:p>
        </w:tc>
        <w:tc>
          <w:tcPr/>
          <w:p>
            <w:pPr>
              <w:pStyle w:val="Compact"/>
            </w:pPr>
            <w:r>
              <w:t xml:space="preserve">shortlist_primary</w:t>
            </w:r>
          </w:p>
        </w:tc>
        <w:tc>
          <w:tcPr/>
          <w:p>
            <w:pPr>
              <w:pStyle w:val="Compact"/>
              <w:jc w:val="right"/>
            </w:pPr>
            <w:r>
              <w:t xml:space="preserve">97</w:t>
            </w:r>
          </w:p>
        </w:tc>
      </w:tr>
      <w:tr>
        <w:tc>
          <w:tcPr/>
          <w:p>
            <w:pPr>
              <w:pStyle w:val="Compact"/>
            </w:pPr>
            <w:r>
              <w:rPr>
                <w:b/>
                <w:bCs/>
              </w:rPr>
              <w:t xml:space="preserve">Holtec SMR-300</w:t>
            </w:r>
          </w:p>
        </w:tc>
        <w:tc>
          <w:tcPr/>
          <w:p>
            <w:pPr>
              <w:pStyle w:val="Compact"/>
              <w:jc w:val="right"/>
            </w:pPr>
            <w:r>
              <w:t xml:space="preserve">74</w:t>
            </w:r>
          </w:p>
        </w:tc>
        <w:tc>
          <w:tcPr/>
          <w:p>
            <w:pPr>
              <w:pStyle w:val="Compact"/>
              <w:jc w:val="right"/>
            </w:pPr>
            <w:r>
              <w:t xml:space="preserve">+9 %</w:t>
            </w:r>
          </w:p>
        </w:tc>
        <w:tc>
          <w:tcPr/>
          <w:p>
            <w:pPr>
              <w:pStyle w:val="Compact"/>
              <w:jc w:val="right"/>
            </w:pPr>
            <w:r>
              <w:t xml:space="preserve">4.03</w:t>
            </w:r>
          </w:p>
        </w:tc>
        <w:tc>
          <w:tcPr/>
          <w:p>
            <w:pPr>
              <w:pStyle w:val="Compact"/>
            </w:pPr>
            <w:r>
              <w:t xml:space="preserve">pending</w:t>
            </w:r>
          </w:p>
        </w:tc>
        <w:tc>
          <w:tcPr/>
          <w:p>
            <w:pPr>
              <w:pStyle w:val="Compact"/>
              <w:jc w:val="right"/>
            </w:pPr>
            <w:r>
              <w:t xml:space="preserve">97</w:t>
            </w:r>
          </w:p>
        </w:tc>
      </w:tr>
      <w:tr>
        <w:tc>
          <w:tcPr/>
          <w:p>
            <w:pPr>
              <w:pStyle w:val="Compact"/>
            </w:pPr>
            <w:r>
              <w:rPr>
                <w:b/>
                <w:bCs/>
              </w:rPr>
              <w:t xml:space="preserve">NUWARD</w:t>
            </w:r>
          </w:p>
        </w:tc>
        <w:tc>
          <w:tcPr/>
          <w:p>
            <w:pPr>
              <w:pStyle w:val="Compact"/>
              <w:jc w:val="right"/>
            </w:pPr>
            <w:r>
              <w:t xml:space="preserve">66</w:t>
            </w:r>
          </w:p>
        </w:tc>
        <w:tc>
          <w:tcPr/>
          <w:p>
            <w:pPr>
              <w:pStyle w:val="Compact"/>
              <w:jc w:val="right"/>
            </w:pPr>
            <w:r>
              <w:t xml:space="preserve">+19 %</w:t>
            </w:r>
          </w:p>
        </w:tc>
        <w:tc>
          <w:tcPr/>
          <w:p>
            <w:pPr>
              <w:pStyle w:val="Compact"/>
              <w:jc w:val="right"/>
            </w:pPr>
            <w:r>
              <w:t xml:space="preserve">3.93</w:t>
            </w:r>
          </w:p>
        </w:tc>
        <w:tc>
          <w:tcPr/>
          <w:p>
            <w:pPr>
              <w:pStyle w:val="Compact"/>
            </w:pPr>
            <w:r>
              <w:t xml:space="preserve">eliminated (A5/A7)</w:t>
            </w:r>
          </w:p>
        </w:tc>
        <w:tc>
          <w:tcPr/>
          <w:p>
            <w:pPr>
              <w:pStyle w:val="Compact"/>
              <w:jc w:val="right"/>
            </w:pPr>
            <w:r>
              <w:t xml:space="preserve">111</w:t>
            </w:r>
          </w:p>
        </w:tc>
      </w:tr>
      <w:tr>
        <w:tc>
          <w:tcPr/>
          <w:p>
            <w:pPr>
              <w:pStyle w:val="Compact"/>
            </w:pPr>
            <w:r>
              <w:rPr>
                <w:b/>
                <w:bCs/>
              </w:rPr>
              <w:t xml:space="preserve">X-energy Xe-100</w:t>
            </w:r>
          </w:p>
        </w:tc>
        <w:tc>
          <w:tcPr/>
          <w:p>
            <w:pPr>
              <w:pStyle w:val="Compact"/>
              <w:jc w:val="right"/>
            </w:pPr>
            <w:r>
              <w:t xml:space="preserve">58</w:t>
            </w:r>
          </w:p>
        </w:tc>
        <w:tc>
          <w:tcPr/>
          <w:p>
            <w:pPr>
              <w:pStyle w:val="Compact"/>
              <w:jc w:val="right"/>
            </w:pPr>
            <w:r>
              <w:t xml:space="preserve">−1 %</w:t>
            </w:r>
          </w:p>
        </w:tc>
        <w:tc>
          <w:tcPr/>
          <w:p>
            <w:pPr>
              <w:pStyle w:val="Compact"/>
              <w:jc w:val="right"/>
            </w:pPr>
            <w:r>
              <w:t xml:space="preserve">2.87</w:t>
            </w:r>
          </w:p>
        </w:tc>
        <w:tc>
          <w:tcPr/>
          <w:p>
            <w:pPr>
              <w:pStyle w:val="Compact"/>
            </w:pPr>
            <w:r>
              <w:t xml:space="preserve">pending</w:t>
            </w:r>
          </w:p>
        </w:tc>
        <w:tc>
          <w:tcPr/>
          <w:p>
            <w:pPr>
              <w:pStyle w:val="Compact"/>
              <w:jc w:val="right"/>
            </w:pPr>
            <w:r>
              <w:t xml:space="preserve">121</w:t>
            </w:r>
          </w:p>
        </w:tc>
      </w:tr>
      <w:tr>
        <w:tc>
          <w:tcPr/>
          <w:p>
            <w:pPr>
              <w:pStyle w:val="Compact"/>
            </w:pPr>
            <w:r>
              <w:rPr>
                <w:b/>
                <w:bCs/>
              </w:rPr>
              <w:t xml:space="preserve">TerraPower Natrium</w:t>
            </w:r>
          </w:p>
        </w:tc>
        <w:tc>
          <w:tcPr/>
          <w:p>
            <w:pPr>
              <w:pStyle w:val="Compact"/>
              <w:jc w:val="right"/>
            </w:pPr>
            <w:r>
              <w:t xml:space="preserve">60</w:t>
            </w:r>
          </w:p>
        </w:tc>
        <w:tc>
          <w:tcPr/>
          <w:p>
            <w:pPr>
              <w:pStyle w:val="Compact"/>
              <w:jc w:val="right"/>
            </w:pPr>
            <w:r>
              <w:t xml:space="preserve">−5 %</w:t>
            </w:r>
          </w:p>
        </w:tc>
        <w:tc>
          <w:tcPr/>
          <w:p>
            <w:pPr>
              <w:pStyle w:val="Compact"/>
              <w:jc w:val="right"/>
            </w:pPr>
            <w:r>
              <w:t xml:space="preserve">2.85</w:t>
            </w:r>
          </w:p>
        </w:tc>
        <w:tc>
          <w:tcPr/>
          <w:p>
            <w:pPr>
              <w:pStyle w:val="Compact"/>
            </w:pPr>
            <w:r>
              <w:t xml:space="preserve">eliminated (A2)</w:t>
            </w:r>
          </w:p>
        </w:tc>
        <w:tc>
          <w:tcPr/>
          <w:p>
            <w:pPr>
              <w:pStyle w:val="Compact"/>
              <w:jc w:val="right"/>
            </w:pPr>
            <w:r>
              <w:t xml:space="preserve">148</w:t>
            </w:r>
          </w:p>
        </w:tc>
      </w:tr>
      <w:tr>
        <w:tc>
          <w:tcPr/>
          <w:p>
            <w:pPr>
              <w:pStyle w:val="Compact"/>
            </w:pPr>
            <w:r>
              <w:rPr>
                <w:b/>
                <w:bCs/>
              </w:rPr>
              <w:t xml:space="preserve">Kairos KP-FHR</w:t>
            </w:r>
          </w:p>
        </w:tc>
        <w:tc>
          <w:tcPr/>
          <w:p>
            <w:pPr>
              <w:pStyle w:val="Compact"/>
              <w:jc w:val="right"/>
            </w:pPr>
            <w:r>
              <w:t xml:space="preserve">46</w:t>
            </w:r>
          </w:p>
        </w:tc>
        <w:tc>
          <w:tcPr/>
          <w:p>
            <w:pPr>
              <w:pStyle w:val="Compact"/>
              <w:jc w:val="right"/>
            </w:pPr>
            <w:r>
              <w:t xml:space="preserve">−5 %</w:t>
            </w:r>
          </w:p>
        </w:tc>
        <w:tc>
          <w:tcPr/>
          <w:p>
            <w:pPr>
              <w:pStyle w:val="Compact"/>
              <w:jc w:val="right"/>
            </w:pPr>
            <w:r>
              <w:t xml:space="preserve">2.19</w:t>
            </w:r>
          </w:p>
        </w:tc>
        <w:tc>
          <w:tcPr/>
          <w:p>
            <w:pPr>
              <w:pStyle w:val="Compact"/>
            </w:pPr>
            <w:r>
              <w:t xml:space="preserve">eliminated (A2/A5)</w:t>
            </w:r>
          </w:p>
        </w:tc>
        <w:tc>
          <w:tcPr/>
          <w:p>
            <w:pPr>
              <w:pStyle w:val="Compact"/>
              <w:jc w:val="right"/>
            </w:pPr>
            <w:r>
              <w:t xml:space="preserve">153</w:t>
            </w:r>
          </w:p>
        </w:tc>
      </w:tr>
      <w:tr>
        <w:tc>
          <w:tcPr/>
          <w:p>
            <w:pPr>
              <w:pStyle w:val="Compact"/>
            </w:pPr>
            <w:r>
              <w:rPr>
                <w:b/>
                <w:bCs/>
              </w:rPr>
              <w:t xml:space="preserve">Oklo Aurora</w:t>
            </w:r>
          </w:p>
        </w:tc>
        <w:tc>
          <w:tcPr/>
          <w:p>
            <w:pPr>
              <w:pStyle w:val="Compact"/>
              <w:jc w:val="right"/>
            </w:pPr>
            <w:r>
              <w:t xml:space="preserve">35</w:t>
            </w:r>
          </w:p>
        </w:tc>
        <w:tc>
          <w:tcPr/>
          <w:p>
            <w:pPr>
              <w:pStyle w:val="Compact"/>
              <w:jc w:val="right"/>
            </w:pPr>
            <w:r>
              <w:t xml:space="preserve">−7 %</w:t>
            </w:r>
          </w:p>
        </w:tc>
        <w:tc>
          <w:tcPr/>
          <w:p>
            <w:pPr>
              <w:pStyle w:val="Compact"/>
              <w:jc w:val="right"/>
            </w:pPr>
            <w:r>
              <w:t xml:space="preserve">1.63</w:t>
            </w:r>
          </w:p>
        </w:tc>
        <w:tc>
          <w:tcPr/>
          <w:p>
            <w:pPr>
              <w:pStyle w:val="Compact"/>
            </w:pPr>
            <w:r>
              <w:t xml:space="preserve">eliminated (multi-A)</w:t>
            </w:r>
          </w:p>
        </w:tc>
        <w:tc>
          <w:tcPr/>
          <w:p>
            <w:pPr>
              <w:pStyle w:val="Compact"/>
              <w:jc w:val="right"/>
            </w:pPr>
            <w:r>
              <w:t xml:space="preserve">169</w:t>
            </w:r>
          </w:p>
        </w:tc>
      </w:tr>
    </w:tbl>
    <w:p>
      <w:pPr>
        <w:pStyle w:val="BodyText"/>
      </w:pPr>
      <w:r>
        <w:rPr>
          <w:b/>
          <w:bCs/>
        </w:rPr>
        <w:t xml:space="preserve">Tier C signal:</w:t>
      </w:r>
      <w:r>
        <w:t xml:space="preserve"> </w:t>
      </w:r>
      <w:r>
        <w:t xml:space="preserve">the four LWR candidates with strong European industrial fit (BWRX-300, Rolls-Royce, NuScale, Holtec) cluster at +9 to +15 % modifier driven primarily by:</w:t>
      </w:r>
    </w:p>
    <w:p>
      <w:pPr>
        <w:pStyle w:val="Compact"/>
        <w:numPr>
          <w:ilvl w:val="0"/>
          <w:numId w:val="1005"/>
        </w:numPr>
      </w:pPr>
      <w:r>
        <w:t xml:space="preserve">C1 EU industrial participation (Romatom, Sheffield Forgemasters, Doosan, Framatome supply lines for LWR forgings + I&amp;C),</w:t>
      </w:r>
    </w:p>
    <w:p>
      <w:pPr>
        <w:pStyle w:val="Compact"/>
        <w:numPr>
          <w:ilvl w:val="0"/>
          <w:numId w:val="1005"/>
        </w:numPr>
      </w:pPr>
      <w:r>
        <w:t xml:space="preserve">C3 ETS-driven coal displacement (Romania’s residual lignite ~3.0 GW must close 2030–2035),</w:t>
      </w:r>
    </w:p>
    <w:p>
      <w:pPr>
        <w:pStyle w:val="Compact"/>
        <w:numPr>
          <w:ilvl w:val="0"/>
          <w:numId w:val="1005"/>
        </w:numPr>
      </w:pPr>
      <w:r>
        <w:t xml:space="preserve">C5 EU CfD financing eligibility (only LWR designs currently meet the EU Taxonomy criteria for sovereign-CfD support).</w:t>
      </w:r>
    </w:p>
    <w:p>
      <w:pPr>
        <w:pStyle w:val="FirstParagraph"/>
      </w:pPr>
      <w:r>
        <w:t xml:space="preserve">NUWARD’s +19 % is the highest Tier C modifier of all designs (uniquely European vendor + fuel cycle), but its A5 fail and A7 fail negate the structural advantage for the 2033 window.</w:t>
      </w:r>
    </w:p>
    <w:p>
      <w:r>
        <w:pict>
          <v:rect style="width:0;height:1.5pt" o:hralign="center" o:hrstd="t" o:hr="t"/>
        </w:pict>
      </w:r>
    </w:p>
    <w:bookmarkEnd w:id="19"/>
    <w:bookmarkStart w:id="36" w:name="economic-results"/>
    <w:p>
      <w:pPr>
        <w:pStyle w:val="Heading2"/>
      </w:pPr>
      <w:r>
        <w:t xml:space="preserve">5. Economic results</w:t>
      </w:r>
    </w:p>
    <w:bookmarkStart w:id="22" w:name="Xb3c5a1f6ef6b0f7b6c1d7646cacc66f1b6c4049"/>
    <w:p>
      <w:pPr>
        <w:pStyle w:val="Heading3"/>
      </w:pPr>
      <w:r>
        <w:t xml:space="preserve">5.1 LCOE-vs-fleet-build-out (headline figure repeated)</w:t>
      </w:r>
    </w:p>
    <w:p>
      <w:pPr>
        <w:pStyle w:val="CaptionedFigure"/>
      </w:pPr>
      <w:r>
        <w:drawing>
          <wp:inline>
            <wp:extent cx="5334000" cy="2681917"/>
            <wp:effectExtent b="0" l="0" r="0" t="0"/>
            <wp:docPr descr="Headline panels A and B" title="" id="20" name="Picture"/>
            <a:graphic>
              <a:graphicData uri="http://schemas.openxmlformats.org/drawingml/2006/picture">
                <pic:pic>
                  <pic:nvPicPr>
                    <pic:cNvPr descr="economics/outputs/headline_panel_a_b.png" id="21" name="Picture"/>
                    <pic:cNvPicPr>
                      <a:picLocks noChangeArrowheads="1" noChangeAspect="1"/>
                    </pic:cNvPicPr>
                  </pic:nvPicPr>
                  <pic:blipFill>
                    <a:blip r:embed="rId9"/>
                    <a:stretch>
                      <a:fillRect/>
                    </a:stretch>
                  </pic:blipFill>
                  <pic:spPr bwMode="auto">
                    <a:xfrm>
                      <a:off x="0" y="0"/>
                      <a:ext cx="5334000" cy="2681917"/>
                    </a:xfrm>
                    <a:prstGeom prst="rect">
                      <a:avLst/>
                    </a:prstGeom>
                    <a:noFill/>
                    <a:ln w="9525">
                      <a:noFill/>
                      <a:headEnd/>
                      <a:tailEnd/>
                    </a:ln>
                  </pic:spPr>
                </pic:pic>
              </a:graphicData>
            </a:graphic>
          </wp:inline>
        </w:drawing>
      </w:r>
    </w:p>
    <w:p>
      <w:pPr>
        <w:pStyle w:val="ImageCaption"/>
      </w:pPr>
      <w:r>
        <w:t xml:space="preserve">Headline panels A and B</w:t>
      </w:r>
    </w:p>
    <w:p>
      <w:pPr>
        <w:pStyle w:val="BodyText"/>
      </w:pPr>
      <w:r>
        <w:rPr>
          <w:b/>
          <w:bCs/>
        </w:rPr>
        <w:t xml:space="preserve">How to read this chart:</w:t>
      </w:r>
    </w:p>
    <w:p>
      <w:pPr>
        <w:pStyle w:val="Compact"/>
        <w:numPr>
          <w:ilvl w:val="0"/>
          <w:numId w:val="1006"/>
        </w:numPr>
      </w:pPr>
      <w:r>
        <w:t xml:space="preserve">Each curve is one design. The marker dots are unit milestones (n=1, 6, 12, 18). The shaded band around each line is the low-case → high-case parameter envelope (FOAK CAPEX, learning rate, WACC, capacity factor all varied jointly).</w:t>
      </w:r>
    </w:p>
    <w:p>
      <w:pPr>
        <w:pStyle w:val="Compact"/>
        <w:numPr>
          <w:ilvl w:val="0"/>
          <w:numId w:val="1006"/>
        </w:numPr>
      </w:pPr>
      <w:r>
        <w:t xml:space="preserve">Horizontal reference bands: RO DAM 2025 range (€80–115/MWh, grey shade), CZ Dukovany II CfD strike (€95/MWh, green dashed), Avoided coal LCOE (€120/MWh, orange dash-dot).</w:t>
      </w:r>
    </w:p>
    <w:p>
      <w:pPr>
        <w:pStyle w:val="Compact"/>
        <w:numPr>
          <w:ilvl w:val="0"/>
          <w:numId w:val="1006"/>
        </w:numPr>
      </w:pPr>
      <w:r>
        <w:rPr>
          <w:b/>
          <w:bCs/>
        </w:rPr>
        <w:t xml:space="preserve">Left panel (Tier A passers):</w:t>
      </w:r>
      <w:r>
        <w:t xml:space="preserve"> </w:t>
      </w:r>
      <w:r>
        <w:t xml:space="preserve">BWRX-300 reaches the RO DAM 2025 central band by unit 7 (~2,100 MW), Rolls-Royce by unit 13, NuScale by unit 15. All three undercut the avoided-coal benchmark from unit 1 in the central case.</w:t>
      </w:r>
    </w:p>
    <w:p>
      <w:pPr>
        <w:pStyle w:val="Compact"/>
        <w:numPr>
          <w:ilvl w:val="0"/>
          <w:numId w:val="1006"/>
        </w:numPr>
      </w:pPr>
      <w:r>
        <w:rPr>
          <w:b/>
          <w:bCs/>
        </w:rPr>
        <w:t xml:space="preserve">Right panel (Top-3 by economics, A2/A5 relaxed):</w:t>
      </w:r>
      <w:r>
        <w:t xml:space="preserve"> </w:t>
      </w:r>
      <w:r>
        <w:t xml:space="preserve">the model picks BWRX-300, Rolls-Royce SMR and Holtec SMR-300 — i.e. </w:t>
      </w:r>
      <w:r>
        <w:rPr>
          <w:b/>
          <w:bCs/>
        </w:rPr>
        <w:t xml:space="preserve">even when the HALEU fuel-supply gate (A2) and the design-freeze gate (A5) are relaxed, no HALEU-fuelled non-LWR design enters the top-3 by economics.</w:t>
      </w:r>
      <w:r>
        <w:t xml:space="preserve"> </w:t>
      </w:r>
      <w:r>
        <w:t xml:space="preserve">This is the definitive result on the user’s question</w:t>
      </w:r>
      <w:r>
        <w:t xml:space="preserve"> </w:t>
      </w:r>
      <w:r>
        <w:t xml:space="preserve">“what does relaxing A2/A5 actually buy us?”</w:t>
      </w:r>
      <w:r>
        <w:t xml:space="preserve">:</w:t>
      </w:r>
      <w:r>
        <w:t xml:space="preserve"> </w:t>
      </w:r>
      <w:r>
        <w:rPr>
          <w:b/>
          <w:bCs/>
        </w:rPr>
        <w:t xml:space="preserve">nothing in pure economic terms</w:t>
      </w:r>
      <w:r>
        <w:t xml:space="preserve"> </w:t>
      </w:r>
      <w:r>
        <w:t xml:space="preserve">— the HALEU fuel cost premium (+€18–28/MWh fuel alone) plus the FOAK CAPEX premium of novel designs erases any theoretical small-modular advantage.</w:t>
      </w:r>
    </w:p>
    <w:bookmarkEnd w:id="22"/>
    <w:bookmarkStart w:id="26" w:name="comparative-overlay-all-9-designs"/>
    <w:p>
      <w:pPr>
        <w:pStyle w:val="Heading3"/>
      </w:pPr>
      <w:r>
        <w:t xml:space="preserve">5.2 Comparative overlay (all 9 designs)</w:t>
      </w:r>
    </w:p>
    <w:p>
      <w:pPr>
        <w:pStyle w:val="CaptionedFigure"/>
      </w:pPr>
      <w:r>
        <w:drawing>
          <wp:inline>
            <wp:extent cx="5334000" cy="3216282"/>
            <wp:effectExtent b="0" l="0" r="0" t="0"/>
            <wp:docPr descr="All 9 designs overlay" title="" id="24" name="Picture"/>
            <a:graphic>
              <a:graphicData uri="http://schemas.openxmlformats.org/drawingml/2006/picture">
                <pic:pic>
                  <pic:nvPicPr>
                    <pic:cNvPr descr="economics/outputs/all_designs_overlay.png" id="25" name="Picture"/>
                    <pic:cNvPicPr>
                      <a:picLocks noChangeArrowheads="1" noChangeAspect="1"/>
                    </pic:cNvPicPr>
                  </pic:nvPicPr>
                  <pic:blipFill>
                    <a:blip r:embed="rId23"/>
                    <a:stretch>
                      <a:fillRect/>
                    </a:stretch>
                  </pic:blipFill>
                  <pic:spPr bwMode="auto">
                    <a:xfrm>
                      <a:off x="0" y="0"/>
                      <a:ext cx="5334000" cy="3216282"/>
                    </a:xfrm>
                    <a:prstGeom prst="rect">
                      <a:avLst/>
                    </a:prstGeom>
                    <a:noFill/>
                    <a:ln w="9525">
                      <a:noFill/>
                      <a:headEnd/>
                      <a:tailEnd/>
                    </a:ln>
                  </pic:spPr>
                </pic:pic>
              </a:graphicData>
            </a:graphic>
          </wp:inline>
        </w:drawing>
      </w:r>
    </w:p>
    <w:p>
      <w:pPr>
        <w:pStyle w:val="ImageCaption"/>
      </w:pPr>
      <w:r>
        <w:t xml:space="preserve">All 9 designs overlay</w:t>
      </w:r>
    </w:p>
    <w:p>
      <w:pPr>
        <w:pStyle w:val="BodyText"/>
      </w:pPr>
      <w:r>
        <w:rPr>
          <w:i/>
          <w:iCs/>
        </w:rPr>
        <w:t xml:space="preserve">Figure 2. All nine SMR designs on a single LCOE-vs-cumulative-MW chart, central case with low/high envelope. The four LWR designs cluster in €89–110/MWh at n=12; the four HALEU designs cluster in €121–169/MWh.</w:t>
      </w:r>
    </w:p>
    <w:bookmarkEnd w:id="26"/>
    <w:bookmarkStart w:id="30" w:name="X04c52c8b334e21d8d54f375191c4925fae254ca"/>
    <w:p>
      <w:pPr>
        <w:pStyle w:val="Heading3"/>
      </w:pPr>
      <w:r>
        <w:t xml:space="preserve">5.3 Monte Carlo P05/P50/P95 distribution at unit 12</w:t>
      </w:r>
    </w:p>
    <w:p>
      <w:pPr>
        <w:pStyle w:val="CaptionedFigure"/>
      </w:pPr>
      <w:r>
        <w:drawing>
          <wp:inline>
            <wp:extent cx="5334000" cy="3096669"/>
            <wp:effectExtent b="0" l="0" r="0" t="0"/>
            <wp:docPr descr="Monte Carlo box plot" title="" id="28" name="Picture"/>
            <a:graphic>
              <a:graphicData uri="http://schemas.openxmlformats.org/drawingml/2006/picture">
                <pic:pic>
                  <pic:nvPicPr>
                    <pic:cNvPr descr="economics/outputs/montecarlo_box.png" id="29" name="Picture"/>
                    <pic:cNvPicPr>
                      <a:picLocks noChangeArrowheads="1" noChangeAspect="1"/>
                    </pic:cNvPicPr>
                  </pic:nvPicPr>
                  <pic:blipFill>
                    <a:blip r:embed="rId27"/>
                    <a:stretch>
                      <a:fillRect/>
                    </a:stretch>
                  </pic:blipFill>
                  <pic:spPr bwMode="auto">
                    <a:xfrm>
                      <a:off x="0" y="0"/>
                      <a:ext cx="5334000" cy="3096669"/>
                    </a:xfrm>
                    <a:prstGeom prst="rect">
                      <a:avLst/>
                    </a:prstGeom>
                    <a:noFill/>
                    <a:ln w="9525">
                      <a:noFill/>
                      <a:headEnd/>
                      <a:tailEnd/>
                    </a:ln>
                  </pic:spPr>
                </pic:pic>
              </a:graphicData>
            </a:graphic>
          </wp:inline>
        </w:drawing>
      </w:r>
    </w:p>
    <w:p>
      <w:pPr>
        <w:pStyle w:val="ImageCaption"/>
      </w:pPr>
      <w:r>
        <w:t xml:space="preserve">Monte Carlo box plot</w:t>
      </w:r>
    </w:p>
    <w:p>
      <w:pPr>
        <w:pStyle w:val="BodyText"/>
      </w:pPr>
      <w:r>
        <w:rPr>
          <w:i/>
          <w:iCs/>
        </w:rPr>
        <w:t xml:space="preserve">Figure 3. Monte Carlo simulation: 2,000 triangular samples per design on (CAPEX, FOM, VOM, fuel, decom, capacity factor, WACC, learning rate, construction years). Box = P25–P75, whiskers = P05–P95.</w:t>
      </w:r>
    </w:p>
    <w:tbl>
      <w:tblPr>
        <w:tblStyle w:val="Table"/>
        <w:tblW w:type="pct" w:w="5000"/>
        <w:tblLayout w:type="fixed"/>
        <w:tblLook w:firstRow="1" w:lastRow="0" w:firstColumn="0" w:lastColumn="0" w:noHBand="0" w:noVBand="0" w:val="0020"/>
      </w:tblPr>
      <w:tblGrid>
        <w:gridCol w:w="1782"/>
        <w:gridCol w:w="594"/>
        <w:gridCol w:w="594"/>
        <w:gridCol w:w="594"/>
        <w:gridCol w:w="4356"/>
      </w:tblGrid>
      <w:tr>
        <w:trPr>
          <w:tblHeader w:val="on"/>
        </w:trPr>
        <w:tc>
          <w:tcPr/>
          <w:p>
            <w:pPr>
              <w:pStyle w:val="Compact"/>
            </w:pPr>
            <w:r>
              <w:t xml:space="preserve">Design</w:t>
            </w:r>
          </w:p>
        </w:tc>
        <w:tc>
          <w:tcPr/>
          <w:p>
            <w:pPr>
              <w:pStyle w:val="Compact"/>
              <w:jc w:val="right"/>
            </w:pPr>
            <w:r>
              <w:t xml:space="preserve">MC P05</w:t>
            </w:r>
          </w:p>
        </w:tc>
        <w:tc>
          <w:tcPr/>
          <w:p>
            <w:pPr>
              <w:pStyle w:val="Compact"/>
              <w:jc w:val="right"/>
            </w:pPr>
            <w:r>
              <w:t xml:space="preserve">MC P50</w:t>
            </w:r>
          </w:p>
        </w:tc>
        <w:tc>
          <w:tcPr/>
          <w:p>
            <w:pPr>
              <w:pStyle w:val="Compact"/>
              <w:jc w:val="right"/>
            </w:pPr>
            <w:r>
              <w:t xml:space="preserve">MC P95</w:t>
            </w:r>
          </w:p>
        </w:tc>
        <w:tc>
          <w:tcPr/>
          <w:p>
            <w:pPr>
              <w:pStyle w:val="Compact"/>
              <w:jc w:val="center"/>
            </w:pPr>
            <w:r>
              <w:t xml:space="preserve">Below RO DAM central P50?</w:t>
            </w:r>
          </w:p>
        </w:tc>
      </w:tr>
      <w:tr>
        <w:tc>
          <w:tcPr/>
          <w:p>
            <w:pPr>
              <w:pStyle w:val="Compact"/>
            </w:pPr>
            <w:r>
              <w:t xml:space="preserve">BWRX-300</w:t>
            </w:r>
          </w:p>
        </w:tc>
        <w:tc>
          <w:tcPr/>
          <w:p>
            <w:pPr>
              <w:pStyle w:val="Compact"/>
              <w:jc w:val="right"/>
            </w:pPr>
            <w:r>
              <w:t xml:space="preserve">71</w:t>
            </w:r>
          </w:p>
        </w:tc>
        <w:tc>
          <w:tcPr/>
          <w:p>
            <w:pPr>
              <w:pStyle w:val="Compact"/>
              <w:jc w:val="right"/>
            </w:pPr>
            <w:r>
              <w:rPr>
                <w:b/>
                <w:bCs/>
              </w:rPr>
              <w:t xml:space="preserve">91</w:t>
            </w:r>
          </w:p>
        </w:tc>
        <w:tc>
          <w:tcPr/>
          <w:p>
            <w:pPr>
              <w:pStyle w:val="Compact"/>
              <w:jc w:val="right"/>
            </w:pPr>
            <w:r>
              <w:t xml:space="preserve">116</w:t>
            </w:r>
          </w:p>
        </w:tc>
        <w:tc>
          <w:tcPr/>
          <w:p>
            <w:pPr>
              <w:pStyle w:val="Compact"/>
              <w:jc w:val="center"/>
            </w:pPr>
            <w:r>
              <w:rPr>
                <w:b/>
                <w:bCs/>
              </w:rPr>
              <w:t xml:space="preserve">yes (95th pct of P50 distribution: ~52%)</w:t>
            </w:r>
          </w:p>
        </w:tc>
      </w:tr>
      <w:tr>
        <w:tc>
          <w:tcPr/>
          <w:p>
            <w:pPr>
              <w:pStyle w:val="Compact"/>
            </w:pPr>
            <w:r>
              <w:t xml:space="preserve">Rolls-Royce SMR</w:t>
            </w:r>
          </w:p>
        </w:tc>
        <w:tc>
          <w:tcPr/>
          <w:p>
            <w:pPr>
              <w:pStyle w:val="Compact"/>
              <w:jc w:val="right"/>
            </w:pPr>
            <w:r>
              <w:t xml:space="preserve">77</w:t>
            </w:r>
          </w:p>
        </w:tc>
        <w:tc>
          <w:tcPr/>
          <w:p>
            <w:pPr>
              <w:pStyle w:val="Compact"/>
              <w:jc w:val="right"/>
            </w:pPr>
            <w:r>
              <w:t xml:space="preserve">96</w:t>
            </w:r>
          </w:p>
        </w:tc>
        <w:tc>
          <w:tcPr/>
          <w:p>
            <w:pPr>
              <w:pStyle w:val="Compact"/>
              <w:jc w:val="right"/>
            </w:pPr>
            <w:r>
              <w:t xml:space="preserve">119</w:t>
            </w:r>
          </w:p>
        </w:tc>
        <w:tc>
          <w:tcPr/>
          <w:p>
            <w:pPr>
              <w:pStyle w:val="Compact"/>
              <w:jc w:val="center"/>
            </w:pPr>
            <w:r>
              <w:t xml:space="preserve">borderline</w:t>
            </w:r>
          </w:p>
        </w:tc>
      </w:tr>
      <w:tr>
        <w:tc>
          <w:tcPr/>
          <w:p>
            <w:pPr>
              <w:pStyle w:val="Compact"/>
            </w:pPr>
            <w:r>
              <w:t xml:space="preserve">Holtec SMR-300</w:t>
            </w:r>
          </w:p>
        </w:tc>
        <w:tc>
          <w:tcPr/>
          <w:p>
            <w:pPr>
              <w:pStyle w:val="Compact"/>
              <w:jc w:val="right"/>
            </w:pPr>
            <w:r>
              <w:t xml:space="preserve">77</w:t>
            </w:r>
          </w:p>
        </w:tc>
        <w:tc>
          <w:tcPr/>
          <w:p>
            <w:pPr>
              <w:pStyle w:val="Compact"/>
              <w:jc w:val="right"/>
            </w:pPr>
            <w:r>
              <w:t xml:space="preserve">97</w:t>
            </w:r>
          </w:p>
        </w:tc>
        <w:tc>
          <w:tcPr/>
          <w:p>
            <w:pPr>
              <w:pStyle w:val="Compact"/>
              <w:jc w:val="right"/>
            </w:pPr>
            <w:r>
              <w:t xml:space="preserve">124</w:t>
            </w:r>
          </w:p>
        </w:tc>
        <w:tc>
          <w:tcPr/>
          <w:p>
            <w:pPr>
              <w:pStyle w:val="Compact"/>
              <w:jc w:val="center"/>
            </w:pPr>
            <w:r>
              <w:t xml:space="preserve">borderline</w:t>
            </w:r>
          </w:p>
        </w:tc>
      </w:tr>
      <w:tr>
        <w:tc>
          <w:tcPr/>
          <w:p>
            <w:pPr>
              <w:pStyle w:val="Compact"/>
            </w:pPr>
            <w:r>
              <w:t xml:space="preserve">NuScale ENTRA1</w:t>
            </w:r>
          </w:p>
        </w:tc>
        <w:tc>
          <w:tcPr/>
          <w:p>
            <w:pPr>
              <w:pStyle w:val="Compact"/>
              <w:jc w:val="right"/>
            </w:pPr>
            <w:r>
              <w:t xml:space="preserve">80</w:t>
            </w:r>
          </w:p>
        </w:tc>
        <w:tc>
          <w:tcPr/>
          <w:p>
            <w:pPr>
              <w:pStyle w:val="Compact"/>
              <w:jc w:val="right"/>
            </w:pPr>
            <w:r>
              <w:t xml:space="preserve">101</w:t>
            </w:r>
          </w:p>
        </w:tc>
        <w:tc>
          <w:tcPr/>
          <w:p>
            <w:pPr>
              <w:pStyle w:val="Compact"/>
              <w:jc w:val="right"/>
            </w:pPr>
            <w:r>
              <w:t xml:space="preserve">129</w:t>
            </w:r>
          </w:p>
        </w:tc>
        <w:tc>
          <w:tcPr/>
          <w:p>
            <w:pPr>
              <w:pStyle w:val="Compact"/>
              <w:jc w:val="center"/>
            </w:pPr>
            <w:r>
              <w:t xml:space="preserve">borderline</w:t>
            </w:r>
          </w:p>
        </w:tc>
      </w:tr>
      <w:tr>
        <w:tc>
          <w:tcPr/>
          <w:p>
            <w:pPr>
              <w:pStyle w:val="Compact"/>
            </w:pPr>
            <w:r>
              <w:t xml:space="preserve">NUWARD</w:t>
            </w:r>
          </w:p>
        </w:tc>
        <w:tc>
          <w:tcPr/>
          <w:p>
            <w:pPr>
              <w:pStyle w:val="Compact"/>
              <w:jc w:val="right"/>
            </w:pPr>
            <w:r>
              <w:t xml:space="preserve">89</w:t>
            </w:r>
          </w:p>
        </w:tc>
        <w:tc>
          <w:tcPr/>
          <w:p>
            <w:pPr>
              <w:pStyle w:val="Compact"/>
              <w:jc w:val="right"/>
            </w:pPr>
            <w:r>
              <w:t xml:space="preserve">113</w:t>
            </w:r>
          </w:p>
        </w:tc>
        <w:tc>
          <w:tcPr/>
          <w:p>
            <w:pPr>
              <w:pStyle w:val="Compact"/>
              <w:jc w:val="right"/>
            </w:pPr>
            <w:r>
              <w:t xml:space="preserve">143</w:t>
            </w:r>
          </w:p>
        </w:tc>
        <w:tc>
          <w:tcPr/>
          <w:p>
            <w:pPr>
              <w:pStyle w:val="Compact"/>
              <w:jc w:val="center"/>
            </w:pPr>
            <w:r>
              <w:t xml:space="preserve">no</w:t>
            </w:r>
          </w:p>
        </w:tc>
      </w:tr>
      <w:tr>
        <w:tc>
          <w:tcPr/>
          <w:p>
            <w:pPr>
              <w:pStyle w:val="Compact"/>
            </w:pPr>
            <w:r>
              <w:t xml:space="preserve">X-energy Xe-100</w:t>
            </w:r>
          </w:p>
        </w:tc>
        <w:tc>
          <w:tcPr/>
          <w:p>
            <w:pPr>
              <w:pStyle w:val="Compact"/>
              <w:jc w:val="right"/>
            </w:pPr>
            <w:r>
              <w:t xml:space="preserve">98</w:t>
            </w:r>
          </w:p>
        </w:tc>
        <w:tc>
          <w:tcPr/>
          <w:p>
            <w:pPr>
              <w:pStyle w:val="Compact"/>
              <w:jc w:val="right"/>
            </w:pPr>
            <w:r>
              <w:t xml:space="preserve">122</w:t>
            </w:r>
          </w:p>
        </w:tc>
        <w:tc>
          <w:tcPr/>
          <w:p>
            <w:pPr>
              <w:pStyle w:val="Compact"/>
              <w:jc w:val="right"/>
            </w:pPr>
            <w:r>
              <w:t xml:space="preserve">155</w:t>
            </w:r>
          </w:p>
        </w:tc>
        <w:tc>
          <w:tcPr/>
          <w:p>
            <w:pPr>
              <w:pStyle w:val="Compact"/>
              <w:jc w:val="center"/>
            </w:pPr>
            <w:r>
              <w:t xml:space="preserve">no</w:t>
            </w:r>
          </w:p>
        </w:tc>
      </w:tr>
      <w:tr>
        <w:tc>
          <w:tcPr/>
          <w:p>
            <w:pPr>
              <w:pStyle w:val="Compact"/>
            </w:pPr>
            <w:r>
              <w:t xml:space="preserve">TerraPower Natrium</w:t>
            </w:r>
          </w:p>
        </w:tc>
        <w:tc>
          <w:tcPr/>
          <w:p>
            <w:pPr>
              <w:pStyle w:val="Compact"/>
              <w:jc w:val="right"/>
            </w:pPr>
            <w:r>
              <w:t xml:space="preserve">121</w:t>
            </w:r>
          </w:p>
        </w:tc>
        <w:tc>
          <w:tcPr/>
          <w:p>
            <w:pPr>
              <w:pStyle w:val="Compact"/>
              <w:jc w:val="right"/>
            </w:pPr>
            <w:r>
              <w:t xml:space="preserve">150</w:t>
            </w:r>
          </w:p>
        </w:tc>
        <w:tc>
          <w:tcPr/>
          <w:p>
            <w:pPr>
              <w:pStyle w:val="Compact"/>
              <w:jc w:val="right"/>
            </w:pPr>
            <w:r>
              <w:t xml:space="preserve">191</w:t>
            </w:r>
          </w:p>
        </w:tc>
        <w:tc>
          <w:tcPr/>
          <w:p>
            <w:pPr>
              <w:pStyle w:val="Compact"/>
              <w:jc w:val="center"/>
            </w:pPr>
            <w:r>
              <w:t xml:space="preserve">no</w:t>
            </w:r>
          </w:p>
        </w:tc>
      </w:tr>
      <w:tr>
        <w:tc>
          <w:tcPr/>
          <w:p>
            <w:pPr>
              <w:pStyle w:val="Compact"/>
            </w:pPr>
            <w:r>
              <w:t xml:space="preserve">Kairos KP-FHR</w:t>
            </w:r>
          </w:p>
        </w:tc>
        <w:tc>
          <w:tcPr/>
          <w:p>
            <w:pPr>
              <w:pStyle w:val="Compact"/>
              <w:jc w:val="right"/>
            </w:pPr>
            <w:r>
              <w:t xml:space="preserve">120</w:t>
            </w:r>
          </w:p>
        </w:tc>
        <w:tc>
          <w:tcPr/>
          <w:p>
            <w:pPr>
              <w:pStyle w:val="Compact"/>
              <w:jc w:val="right"/>
            </w:pPr>
            <w:r>
              <w:t xml:space="preserve">153</w:t>
            </w:r>
          </w:p>
        </w:tc>
        <w:tc>
          <w:tcPr/>
          <w:p>
            <w:pPr>
              <w:pStyle w:val="Compact"/>
              <w:jc w:val="right"/>
            </w:pPr>
            <w:r>
              <w:t xml:space="preserve">197</w:t>
            </w:r>
          </w:p>
        </w:tc>
        <w:tc>
          <w:tcPr/>
          <w:p>
            <w:pPr>
              <w:pStyle w:val="Compact"/>
              <w:jc w:val="center"/>
            </w:pPr>
            <w:r>
              <w:t xml:space="preserve">no</w:t>
            </w:r>
          </w:p>
        </w:tc>
      </w:tr>
      <w:tr>
        <w:tc>
          <w:tcPr/>
          <w:p>
            <w:pPr>
              <w:pStyle w:val="Compact"/>
            </w:pPr>
            <w:r>
              <w:t xml:space="preserve">Oklo Aurora</w:t>
            </w:r>
          </w:p>
        </w:tc>
        <w:tc>
          <w:tcPr/>
          <w:p>
            <w:pPr>
              <w:pStyle w:val="Compact"/>
              <w:jc w:val="right"/>
            </w:pPr>
            <w:r>
              <w:t xml:space="preserve">130</w:t>
            </w:r>
          </w:p>
        </w:tc>
        <w:tc>
          <w:tcPr/>
          <w:p>
            <w:pPr>
              <w:pStyle w:val="Compact"/>
              <w:jc w:val="right"/>
            </w:pPr>
            <w:r>
              <w:t xml:space="preserve">170</w:t>
            </w:r>
          </w:p>
        </w:tc>
        <w:tc>
          <w:tcPr/>
          <w:p>
            <w:pPr>
              <w:pStyle w:val="Compact"/>
              <w:jc w:val="right"/>
            </w:pPr>
            <w:r>
              <w:t xml:space="preserve">221</w:t>
            </w:r>
          </w:p>
        </w:tc>
        <w:tc>
          <w:tcPr/>
          <w:p>
            <w:pPr>
              <w:pStyle w:val="Compact"/>
              <w:jc w:val="center"/>
            </w:pPr>
            <w:r>
              <w:t xml:space="preserve">no</w:t>
            </w:r>
          </w:p>
        </w:tc>
      </w:tr>
    </w:tbl>
    <w:p>
      <w:pPr>
        <w:pStyle w:val="BodyText"/>
      </w:pPr>
      <w:r>
        <w:rPr>
          <w:b/>
          <w:bCs/>
        </w:rPr>
        <w:t xml:space="preserve">The interpretation:</w:t>
      </w:r>
      <w:r>
        <w:t xml:space="preserve"> </w:t>
      </w:r>
      <w:r>
        <w:t xml:space="preserve">at unit 12 (~3.6–5.6 GW of cumulative deployment) BWRX-300’s median LCOE is below the RO DAM 2025 central benchmark (€95) and inside the P05–P95 envelope of the CZ Dukovany II CfD strike. The other three Tier A passers are within €1–6/MWh of break-even. None of the HALEU-fuelled designs are within 25 % of break-even on central case — a critical input to any</w:t>
      </w:r>
      <w:r>
        <w:t xml:space="preserve"> </w:t>
      </w:r>
      <w:r>
        <w:t xml:space="preserve">“wait for HALEU”</w:t>
      </w:r>
      <w:r>
        <w:t xml:space="preserve"> </w:t>
      </w:r>
      <w:r>
        <w:t xml:space="preserve">argument.</w:t>
      </w:r>
    </w:p>
    <w:bookmarkEnd w:id="30"/>
    <w:bookmarkStart w:id="31" w:name="Xee538aff1535f97fc95aecb3523ac715895b109"/>
    <w:p>
      <w:pPr>
        <w:pStyle w:val="Heading3"/>
      </w:pPr>
      <w:r>
        <w:t xml:space="preserve">5.4 Break-even units against market benchmarks (central case)</w:t>
      </w:r>
    </w:p>
    <w:p>
      <w:pPr>
        <w:pStyle w:val="FirstParagraph"/>
      </w:pPr>
      <w:r>
        <w:t xml:space="preserve">Source:</w:t>
      </w:r>
      <w:r>
        <w:t xml:space="preserve"> </w:t>
      </w:r>
      <w:r>
        <w:rPr>
          <w:rStyle w:val="VerbatimChar"/>
        </w:rPr>
        <w:t xml:space="preserve">economics/outputs/breakeven_units.csv</w:t>
      </w:r>
      <w:r>
        <w:t xml:space="preserve">.</w:t>
      </w:r>
      <w:r>
        <w:t xml:space="preserve"> </w:t>
      </w:r>
      <w:r>
        <w:t xml:space="preserve">“n”</w:t>
      </w:r>
      <w:r>
        <w:t xml:space="preserve"> </w:t>
      </w:r>
      <w:r>
        <w:t xml:space="preserve">= smallest unit count whose central-case LCOE ≤ benchmark.</w:t>
      </w:r>
    </w:p>
    <w:tbl>
      <w:tblPr>
        <w:tblStyle w:val="Table"/>
        <w:tblW w:type="pct" w:w="5000"/>
        <w:tblLayout w:type="fixed"/>
        <w:tblLook w:firstRow="1" w:lastRow="0" w:firstColumn="0" w:lastColumn="0" w:noHBand="0" w:noVBand="0" w:val="0020"/>
      </w:tblPr>
      <w:tblGrid>
        <w:gridCol w:w="1708"/>
        <w:gridCol w:w="1785"/>
        <w:gridCol w:w="1708"/>
        <w:gridCol w:w="1397"/>
        <w:gridCol w:w="1320"/>
      </w:tblGrid>
      <w:tr>
        <w:trPr>
          <w:tblHeader w:val="on"/>
        </w:trPr>
        <w:tc>
          <w:tcPr/>
          <w:p>
            <w:pPr>
              <w:pStyle w:val="Compact"/>
            </w:pPr>
            <w:r>
              <w:t xml:space="preserve">Design</w:t>
            </w:r>
          </w:p>
        </w:tc>
        <w:tc>
          <w:tcPr/>
          <w:p>
            <w:pPr>
              <w:pStyle w:val="Compact"/>
              <w:jc w:val="center"/>
            </w:pPr>
            <w:r>
              <w:t xml:space="preserve">RO DAM 2025 central €95</w:t>
            </w:r>
          </w:p>
        </w:tc>
        <w:tc>
          <w:tcPr/>
          <w:p>
            <w:pPr>
              <w:pStyle w:val="Compact"/>
              <w:jc w:val="center"/>
            </w:pPr>
            <w:r>
              <w:t xml:space="preserve">CZ Dukovany II CfD €95</w:t>
            </w:r>
          </w:p>
        </w:tc>
        <w:tc>
          <w:tcPr/>
          <w:p>
            <w:pPr>
              <w:pStyle w:val="Compact"/>
              <w:jc w:val="center"/>
            </w:pPr>
            <w:r>
              <w:t xml:space="preserve">UK Sizewell C €110</w:t>
            </w:r>
          </w:p>
        </w:tc>
        <w:tc>
          <w:tcPr/>
          <w:p>
            <w:pPr>
              <w:pStyle w:val="Compact"/>
              <w:jc w:val="center"/>
            </w:pPr>
            <w:r>
              <w:t xml:space="preserve">Avoided coal €120</w:t>
            </w:r>
          </w:p>
        </w:tc>
      </w:tr>
      <w:tr>
        <w:tc>
          <w:tcPr/>
          <w:p>
            <w:pPr>
              <w:pStyle w:val="Compact"/>
            </w:pPr>
            <w:r>
              <w:rPr>
                <w:b/>
                <w:bCs/>
              </w:rPr>
              <w:t xml:space="preserve">BWRX-300</w:t>
            </w:r>
          </w:p>
        </w:tc>
        <w:tc>
          <w:tcPr/>
          <w:p>
            <w:pPr>
              <w:pStyle w:val="Compact"/>
              <w:jc w:val="center"/>
            </w:pPr>
            <w:r>
              <w:t xml:space="preserve">n=7 (2,100 MW)</w:t>
            </w:r>
          </w:p>
        </w:tc>
        <w:tc>
          <w:tcPr/>
          <w:p>
            <w:pPr>
              <w:pStyle w:val="Compact"/>
              <w:jc w:val="center"/>
            </w:pPr>
            <w:r>
              <w:t xml:space="preserve">n=7 (2,100 MW)</w:t>
            </w:r>
          </w:p>
        </w:tc>
        <w:tc>
          <w:tcPr/>
          <w:p>
            <w:pPr>
              <w:pStyle w:val="Compact"/>
              <w:jc w:val="center"/>
            </w:pPr>
            <w:r>
              <w:t xml:space="preserve">n=2 (600 MW)</w:t>
            </w:r>
          </w:p>
        </w:tc>
        <w:tc>
          <w:tcPr/>
          <w:p>
            <w:pPr>
              <w:pStyle w:val="Compact"/>
              <w:jc w:val="center"/>
            </w:pPr>
            <w:r>
              <w:t xml:space="preserve">n=1 (300 MW)</w:t>
            </w:r>
          </w:p>
        </w:tc>
      </w:tr>
      <w:tr>
        <w:tc>
          <w:tcPr/>
          <w:p>
            <w:pPr>
              <w:pStyle w:val="Compact"/>
            </w:pPr>
            <w:r>
              <w:rPr>
                <w:b/>
                <w:bCs/>
              </w:rPr>
              <w:t xml:space="preserve">Rolls-Royce SMR</w:t>
            </w:r>
          </w:p>
        </w:tc>
        <w:tc>
          <w:tcPr/>
          <w:p>
            <w:pPr>
              <w:pStyle w:val="Compact"/>
              <w:jc w:val="center"/>
            </w:pPr>
            <w:r>
              <w:t xml:space="preserve">n=13 (6,110 MW)</w:t>
            </w:r>
          </w:p>
        </w:tc>
        <w:tc>
          <w:tcPr/>
          <w:p>
            <w:pPr>
              <w:pStyle w:val="Compact"/>
              <w:jc w:val="center"/>
            </w:pPr>
            <w:r>
              <w:t xml:space="preserve">n=13 (6,110 MW)</w:t>
            </w:r>
          </w:p>
        </w:tc>
        <w:tc>
          <w:tcPr/>
          <w:p>
            <w:pPr>
              <w:pStyle w:val="Compact"/>
              <w:jc w:val="center"/>
            </w:pPr>
            <w:r>
              <w:t xml:space="preserve">n=3 (1,410 MW)</w:t>
            </w:r>
          </w:p>
        </w:tc>
        <w:tc>
          <w:tcPr/>
          <w:p>
            <w:pPr>
              <w:pStyle w:val="Compact"/>
              <w:jc w:val="center"/>
            </w:pPr>
            <w:r>
              <w:t xml:space="preserve">n=1 (470 MW)</w:t>
            </w:r>
          </w:p>
        </w:tc>
      </w:tr>
      <w:tr>
        <w:tc>
          <w:tcPr/>
          <w:p>
            <w:pPr>
              <w:pStyle w:val="Compact"/>
            </w:pPr>
            <w:r>
              <w:rPr>
                <w:b/>
                <w:bCs/>
              </w:rPr>
              <w:t xml:space="preserve">NuScale ENTRA1</w:t>
            </w:r>
          </w:p>
        </w:tc>
        <w:tc>
          <w:tcPr/>
          <w:p>
            <w:pPr>
              <w:pStyle w:val="Compact"/>
              <w:jc w:val="center"/>
            </w:pPr>
            <w:r>
              <w:t xml:space="preserve">n=15 (6,930 MW)</w:t>
            </w:r>
          </w:p>
        </w:tc>
        <w:tc>
          <w:tcPr/>
          <w:p>
            <w:pPr>
              <w:pStyle w:val="Compact"/>
              <w:jc w:val="center"/>
            </w:pPr>
            <w:r>
              <w:t xml:space="preserve">n=15 (6,930 MW)</w:t>
            </w:r>
          </w:p>
        </w:tc>
        <w:tc>
          <w:tcPr/>
          <w:p>
            <w:pPr>
              <w:pStyle w:val="Compact"/>
              <w:jc w:val="center"/>
            </w:pPr>
            <w:r>
              <w:t xml:space="preserve">n=4 (1,848 MW)</w:t>
            </w:r>
          </w:p>
        </w:tc>
        <w:tc>
          <w:tcPr/>
          <w:p>
            <w:pPr>
              <w:pStyle w:val="Compact"/>
              <w:jc w:val="center"/>
            </w:pPr>
            <w:r>
              <w:t xml:space="preserve">n=2 (924 MW)</w:t>
            </w:r>
          </w:p>
        </w:tc>
      </w:tr>
      <w:tr>
        <w:tc>
          <w:tcPr/>
          <w:p>
            <w:pPr>
              <w:pStyle w:val="Compact"/>
            </w:pPr>
            <w:r>
              <w:rPr>
                <w:b/>
                <w:bCs/>
              </w:rPr>
              <w:t xml:space="preserve">Holtec SMR-300</w:t>
            </w:r>
          </w:p>
        </w:tc>
        <w:tc>
          <w:tcPr/>
          <w:p>
            <w:pPr>
              <w:pStyle w:val="Compact"/>
              <w:jc w:val="center"/>
            </w:pPr>
            <w:r>
              <w:t xml:space="preserve">n=15 (4,500 MW)</w:t>
            </w:r>
          </w:p>
        </w:tc>
        <w:tc>
          <w:tcPr/>
          <w:p>
            <w:pPr>
              <w:pStyle w:val="Compact"/>
              <w:jc w:val="center"/>
            </w:pPr>
            <w:r>
              <w:t xml:space="preserve">n=15 (4,500 MW)</w:t>
            </w:r>
          </w:p>
        </w:tc>
        <w:tc>
          <w:tcPr/>
          <w:p>
            <w:pPr>
              <w:pStyle w:val="Compact"/>
              <w:jc w:val="center"/>
            </w:pPr>
            <w:r>
              <w:t xml:space="preserve">n=4 (1,200 MW)</w:t>
            </w:r>
          </w:p>
        </w:tc>
        <w:tc>
          <w:tcPr/>
          <w:p>
            <w:pPr>
              <w:pStyle w:val="Compact"/>
              <w:jc w:val="center"/>
            </w:pPr>
            <w:r>
              <w:t xml:space="preserve">n=2 (600 MW)</w:t>
            </w:r>
          </w:p>
        </w:tc>
      </w:tr>
      <w:tr>
        <w:tc>
          <w:tcPr/>
          <w:p>
            <w:pPr>
              <w:pStyle w:val="Compact"/>
            </w:pPr>
            <w:r>
              <w:rPr>
                <w:b/>
                <w:bCs/>
              </w:rPr>
              <w:t xml:space="preserve">NUWARD</w:t>
            </w:r>
          </w:p>
        </w:tc>
        <w:tc>
          <w:tcPr/>
          <w:p>
            <w:pPr>
              <w:pStyle w:val="Compact"/>
              <w:jc w:val="center"/>
            </w:pPr>
            <w:r>
              <w:t xml:space="preserve">never</w:t>
            </w:r>
          </w:p>
        </w:tc>
        <w:tc>
          <w:tcPr/>
          <w:p>
            <w:pPr>
              <w:pStyle w:val="Compact"/>
              <w:jc w:val="center"/>
            </w:pPr>
            <w:r>
              <w:t xml:space="preserve">never</w:t>
            </w:r>
          </w:p>
        </w:tc>
        <w:tc>
          <w:tcPr/>
          <w:p>
            <w:pPr>
              <w:pStyle w:val="Compact"/>
              <w:jc w:val="center"/>
            </w:pPr>
            <w:r>
              <w:t xml:space="preserve">n=13 (5,200 MW)</w:t>
            </w:r>
          </w:p>
        </w:tc>
        <w:tc>
          <w:tcPr/>
          <w:p>
            <w:pPr>
              <w:pStyle w:val="Compact"/>
              <w:jc w:val="center"/>
            </w:pPr>
            <w:r>
              <w:t xml:space="preserve">n=6 (2,400 MW)</w:t>
            </w:r>
          </w:p>
        </w:tc>
      </w:tr>
      <w:tr>
        <w:tc>
          <w:tcPr/>
          <w:p>
            <w:pPr>
              <w:pStyle w:val="Compact"/>
            </w:pPr>
            <w:r>
              <w:rPr>
                <w:b/>
                <w:bCs/>
              </w:rPr>
              <w:t xml:space="preserve">X-energy Xe-100</w:t>
            </w:r>
          </w:p>
        </w:tc>
        <w:tc>
          <w:tcPr/>
          <w:p>
            <w:pPr>
              <w:pStyle w:val="Compact"/>
              <w:jc w:val="center"/>
            </w:pPr>
            <w:r>
              <w:t xml:space="preserve">never</w:t>
            </w:r>
          </w:p>
        </w:tc>
        <w:tc>
          <w:tcPr/>
          <w:p>
            <w:pPr>
              <w:pStyle w:val="Compact"/>
              <w:jc w:val="center"/>
            </w:pPr>
            <w:r>
              <w:t xml:space="preserve">never</w:t>
            </w:r>
          </w:p>
        </w:tc>
        <w:tc>
          <w:tcPr/>
          <w:p>
            <w:pPr>
              <w:pStyle w:val="Compact"/>
              <w:jc w:val="center"/>
            </w:pPr>
            <w:r>
              <w:t xml:space="preserve">never</w:t>
            </w:r>
          </w:p>
        </w:tc>
        <w:tc>
          <w:tcPr/>
          <w:p>
            <w:pPr>
              <w:pStyle w:val="Compact"/>
              <w:jc w:val="center"/>
            </w:pPr>
            <w:r>
              <w:t xml:space="preserve">n=13 (4,160 MW)</w:t>
            </w:r>
          </w:p>
        </w:tc>
      </w:tr>
      <w:tr>
        <w:tc>
          <w:tcPr/>
          <w:p>
            <w:pPr>
              <w:pStyle w:val="Compact"/>
            </w:pPr>
            <w:r>
              <w:rPr>
                <w:b/>
                <w:bCs/>
              </w:rPr>
              <w:t xml:space="preserve">TerraPower Natrium</w:t>
            </w:r>
          </w:p>
        </w:tc>
        <w:tc>
          <w:tcPr/>
          <w:p>
            <w:pPr>
              <w:pStyle w:val="Compact"/>
              <w:jc w:val="center"/>
            </w:pPr>
            <w:r>
              <w:t xml:space="preserve">never</w:t>
            </w:r>
          </w:p>
        </w:tc>
        <w:tc>
          <w:tcPr/>
          <w:p>
            <w:pPr>
              <w:pStyle w:val="Compact"/>
              <w:jc w:val="center"/>
            </w:pPr>
            <w:r>
              <w:t xml:space="preserve">never</w:t>
            </w:r>
          </w:p>
        </w:tc>
        <w:tc>
          <w:tcPr/>
          <w:p>
            <w:pPr>
              <w:pStyle w:val="Compact"/>
              <w:jc w:val="center"/>
            </w:pPr>
            <w:r>
              <w:t xml:space="preserve">n=15 (5,175 MW)</w:t>
            </w:r>
          </w:p>
        </w:tc>
        <w:tc>
          <w:tcPr/>
          <w:p>
            <w:pPr>
              <w:pStyle w:val="Compact"/>
              <w:jc w:val="center"/>
            </w:pPr>
            <w:r>
              <w:t xml:space="preserve">never</w:t>
            </w:r>
          </w:p>
        </w:tc>
      </w:tr>
      <w:tr>
        <w:tc>
          <w:tcPr/>
          <w:p>
            <w:pPr>
              <w:pStyle w:val="Compact"/>
            </w:pPr>
            <w:r>
              <w:rPr>
                <w:b/>
                <w:bCs/>
              </w:rPr>
              <w:t xml:space="preserve">Kairos KP-FHR</w:t>
            </w:r>
          </w:p>
        </w:tc>
        <w:tc>
          <w:tcPr/>
          <w:p>
            <w:pPr>
              <w:pStyle w:val="Compact"/>
              <w:jc w:val="center"/>
            </w:pPr>
            <w:r>
              <w:t xml:space="preserve">never</w:t>
            </w:r>
          </w:p>
        </w:tc>
        <w:tc>
          <w:tcPr/>
          <w:p>
            <w:pPr>
              <w:pStyle w:val="Compact"/>
              <w:jc w:val="center"/>
            </w:pPr>
            <w:r>
              <w:t xml:space="preserve">never</w:t>
            </w:r>
          </w:p>
        </w:tc>
        <w:tc>
          <w:tcPr/>
          <w:p>
            <w:pPr>
              <w:pStyle w:val="Compact"/>
              <w:jc w:val="center"/>
            </w:pPr>
            <w:r>
              <w:t xml:space="preserve">n=22 (3,080 MW)</w:t>
            </w:r>
          </w:p>
        </w:tc>
        <w:tc>
          <w:tcPr/>
          <w:p>
            <w:pPr>
              <w:pStyle w:val="Compact"/>
              <w:jc w:val="center"/>
            </w:pPr>
            <w:r>
              <w:t xml:space="preserve">never</w:t>
            </w:r>
          </w:p>
        </w:tc>
      </w:tr>
      <w:tr>
        <w:tc>
          <w:tcPr/>
          <w:p>
            <w:pPr>
              <w:pStyle w:val="Compact"/>
            </w:pPr>
            <w:r>
              <w:rPr>
                <w:b/>
                <w:bCs/>
              </w:rPr>
              <w:t xml:space="preserve">Oklo Aurora</w:t>
            </w:r>
          </w:p>
        </w:tc>
        <w:tc>
          <w:tcPr/>
          <w:p>
            <w:pPr>
              <w:pStyle w:val="Compact"/>
              <w:jc w:val="center"/>
            </w:pPr>
            <w:r>
              <w:t xml:space="preserve">never</w:t>
            </w:r>
          </w:p>
        </w:tc>
        <w:tc>
          <w:tcPr/>
          <w:p>
            <w:pPr>
              <w:pStyle w:val="Compact"/>
              <w:jc w:val="center"/>
            </w:pPr>
            <w:r>
              <w:t xml:space="preserve">never</w:t>
            </w:r>
          </w:p>
        </w:tc>
        <w:tc>
          <w:tcPr/>
          <w:p>
            <w:pPr>
              <w:pStyle w:val="Compact"/>
              <w:jc w:val="center"/>
            </w:pPr>
            <w:r>
              <w:t xml:space="preserve">never</w:t>
            </w:r>
          </w:p>
        </w:tc>
        <w:tc>
          <w:tcPr/>
          <w:p>
            <w:pPr>
              <w:pStyle w:val="Compact"/>
              <w:jc w:val="center"/>
            </w:pPr>
            <w:r>
              <w:t xml:space="preserve">never</w:t>
            </w:r>
          </w:p>
        </w:tc>
      </w:tr>
    </w:tbl>
    <w:p>
      <w:pPr>
        <w:pStyle w:val="BodyText"/>
      </w:pPr>
      <w:r>
        <w:rPr>
          <w:b/>
          <w:bCs/>
        </w:rPr>
        <w:t xml:space="preserve">Key observations:</w:t>
      </w:r>
    </w:p>
    <w:p>
      <w:pPr>
        <w:pStyle w:val="Compact"/>
        <w:numPr>
          <w:ilvl w:val="0"/>
          <w:numId w:val="1007"/>
        </w:numPr>
      </w:pPr>
      <w:r>
        <w:rPr>
          <w:b/>
          <w:bCs/>
        </w:rPr>
        <w:t xml:space="preserve">BWRX-300 is the only design whose central-case LCOE undercuts the Romanian DAM 2025 central within a realistic single-utility deployment (7 units = 2.1 GW)</w:t>
      </w:r>
      <w:r>
        <w:t xml:space="preserve"> </w:t>
      </w:r>
      <w:r>
        <w:t xml:space="preserve">— this is roughly the size of the planned Romanian SMR programme through 2040.</w:t>
      </w:r>
    </w:p>
    <w:p>
      <w:pPr>
        <w:pStyle w:val="Compact"/>
        <w:numPr>
          <w:ilvl w:val="0"/>
          <w:numId w:val="1007"/>
        </w:numPr>
      </w:pPr>
      <w:r>
        <w:t xml:space="preserve">For Rolls-Royce SMR and NuScale ENTRA1 the LCOE undercut requires ≥13 units (&gt;6 GW) of own-fleet learning. That target is achievable only if Romania piggy-backs on the UK or US fleet learning curve, i.e. </w:t>
      </w:r>
      <w:r>
        <w:rPr>
          <w:b/>
          <w:bCs/>
        </w:rPr>
        <w:t xml:space="preserve">Romania must enter the supply chain early enough to share the parent learning curve</w:t>
      </w:r>
      <w:r>
        <w:t xml:space="preserve"> </w:t>
      </w:r>
      <w:r>
        <w:t xml:space="preserve">— not be the marginal n=13 buyer absorbing the full learning premium alone.</w:t>
      </w:r>
    </w:p>
    <w:p>
      <w:pPr>
        <w:pStyle w:val="Compact"/>
        <w:numPr>
          <w:ilvl w:val="0"/>
          <w:numId w:val="1007"/>
        </w:numPr>
      </w:pPr>
      <w:r>
        <w:t xml:space="preserve">Avoided coal (€120/MWh central, ETS €85/t CO₂) is undercut by all four LWR designs from unit 1, confirming that</w:t>
      </w:r>
      <w:r>
        <w:t xml:space="preserve"> </w:t>
      </w:r>
      <w:r>
        <w:rPr>
          <w:b/>
          <w:bCs/>
        </w:rPr>
        <w:t xml:space="preserve">the Romanian SMR programme is economically rational on coal-displacement grounds even at FOAK pricing</w:t>
      </w:r>
      <w:r>
        <w:t xml:space="preserve">.</w:t>
      </w:r>
    </w:p>
    <w:bookmarkEnd w:id="31"/>
    <w:bookmarkStart w:id="35" w:name="X47e6addb3f57b3c0439837fa827a7f650ea922a"/>
    <w:p>
      <w:pPr>
        <w:pStyle w:val="Heading3"/>
      </w:pPr>
      <w:r>
        <w:t xml:space="preserve">5.5 Sensitivity tornado — top swing parameters (unit n=12, central case)</w:t>
      </w:r>
    </w:p>
    <w:tbl>
      <w:tblPr>
        <w:tblStyle w:val="Table"/>
        <w:tblW w:type="pct" w:w="5000"/>
        <w:tblLayout w:type="fixed"/>
        <w:tblLook w:firstRow="1" w:lastRow="0" w:firstColumn="0" w:lastColumn="0" w:noHBand="0" w:noVBand="0" w:val="0020"/>
      </w:tblPr>
      <w:tblGrid>
        <w:gridCol w:w="642"/>
        <w:gridCol w:w="813"/>
        <w:gridCol w:w="1027"/>
        <w:gridCol w:w="5436"/>
      </w:tblGrid>
      <w:tr>
        <w:trPr>
          <w:tblHeader w:val="on"/>
        </w:trPr>
        <w:tc>
          <w:tcPr/>
          <w:p>
            <w:pPr>
              <w:pStyle w:val="Compact"/>
            </w:pPr>
            <w:r>
              <w:t xml:space="preserve">Design</w:t>
            </w:r>
          </w:p>
        </w:tc>
        <w:tc>
          <w:tcPr/>
          <w:p>
            <w:pPr>
              <w:pStyle w:val="Compact"/>
            </w:pPr>
            <w:r>
              <w:t xml:space="preserve">Top swing parameter</w:t>
            </w:r>
          </w:p>
        </w:tc>
        <w:tc>
          <w:tcPr/>
          <w:p>
            <w:pPr>
              <w:pStyle w:val="Compact"/>
            </w:pPr>
            <w:r>
              <w:t xml:space="preserve">ΔLCOE low → high (€/MWh)</w:t>
            </w:r>
          </w:p>
        </w:tc>
        <w:tc>
          <w:tcPr/>
          <w:p>
            <w:pPr>
              <w:pStyle w:val="Compact"/>
            </w:pPr>
            <w:r>
              <w:t xml:space="preserve">Implication</w:t>
            </w:r>
          </w:p>
        </w:tc>
      </w:tr>
      <w:tr>
        <w:tc>
          <w:tcPr/>
          <w:p>
            <w:pPr>
              <w:pStyle w:val="Compact"/>
            </w:pPr>
            <w:r>
              <w:t xml:space="preserve">BWRX-300</w:t>
            </w:r>
          </w:p>
        </w:tc>
        <w:tc>
          <w:tcPr/>
          <w:p>
            <w:pPr>
              <w:pStyle w:val="Compact"/>
            </w:pPr>
            <w:r>
              <w:t xml:space="preserve">FOAK CAPEX</w:t>
            </w:r>
          </w:p>
        </w:tc>
        <w:tc>
          <w:tcPr/>
          <w:p>
            <w:pPr>
              <w:pStyle w:val="Compact"/>
            </w:pPr>
            <w:r>
              <w:t xml:space="preserve">−20 → +23</w:t>
            </w:r>
          </w:p>
        </w:tc>
        <w:tc>
          <w:tcPr/>
          <w:p>
            <w:pPr>
              <w:pStyle w:val="Compact"/>
            </w:pPr>
            <w:r>
              <w:t xml:space="preserve">OPG Darlington 1 cost outturn is the single most important real-world data point for the bid; secondary: WACC (CfD vs merchant)</w:t>
            </w:r>
          </w:p>
        </w:tc>
      </w:tr>
      <w:tr>
        <w:tc>
          <w:tcPr/>
          <w:p>
            <w:pPr>
              <w:pStyle w:val="Compact"/>
            </w:pPr>
            <w:r>
              <w:t xml:space="preserve">NuScale ENTRA1</w:t>
            </w:r>
          </w:p>
        </w:tc>
        <w:tc>
          <w:tcPr/>
          <w:p>
            <w:pPr>
              <w:pStyle w:val="Compact"/>
            </w:pPr>
            <w:r>
              <w:t xml:space="preserve">FOAK CAPEX</w:t>
            </w:r>
          </w:p>
        </w:tc>
        <w:tc>
          <w:tcPr/>
          <w:p>
            <w:pPr>
              <w:pStyle w:val="Compact"/>
            </w:pPr>
            <w:r>
              <w:t xml:space="preserve">−20 → +23</w:t>
            </w:r>
          </w:p>
        </w:tc>
        <w:tc>
          <w:tcPr/>
          <w:p>
            <w:pPr>
              <w:pStyle w:val="Compact"/>
            </w:pPr>
            <w:r>
              <w:t xml:space="preserve">UAMPS overrun risk dominates — IRA-style PTC support changes break-even unit count by ~4–5</w:t>
            </w:r>
          </w:p>
        </w:tc>
      </w:tr>
      <w:tr>
        <w:tc>
          <w:tcPr/>
          <w:p>
            <w:pPr>
              <w:pStyle w:val="Compact"/>
            </w:pPr>
            <w:r>
              <w:t xml:space="preserve">Rolls-Royce SMR</w:t>
            </w:r>
          </w:p>
        </w:tc>
        <w:tc>
          <w:tcPr/>
          <w:p>
            <w:pPr>
              <w:pStyle w:val="Compact"/>
            </w:pPr>
            <w:r>
              <w:t xml:space="preserve">WACC (real)</w:t>
            </w:r>
          </w:p>
        </w:tc>
        <w:tc>
          <w:tcPr/>
          <w:p>
            <w:pPr>
              <w:pStyle w:val="Compact"/>
            </w:pPr>
            <w:r>
              <w:t xml:space="preserve">−20 → +23</w:t>
            </w:r>
          </w:p>
        </w:tc>
        <w:tc>
          <w:tcPr/>
          <w:p>
            <w:pPr>
              <w:pStyle w:val="Compact"/>
            </w:pPr>
            <w:r>
              <w:t xml:space="preserve">UK GBN sovereign backing transmits directly to LCOE; if RO replicates the UK guarantee, LCOE drops €15–20/MWh</w:t>
            </w:r>
          </w:p>
        </w:tc>
      </w:tr>
      <w:tr>
        <w:tc>
          <w:tcPr/>
          <w:p>
            <w:pPr>
              <w:pStyle w:val="Compact"/>
            </w:pPr>
            <w:r>
              <w:t xml:space="preserve">Holtec SMR-300</w:t>
            </w:r>
          </w:p>
        </w:tc>
        <w:tc>
          <w:tcPr/>
          <w:p>
            <w:pPr>
              <w:pStyle w:val="Compact"/>
            </w:pPr>
            <w:r>
              <w:t xml:space="preserve">FOAK CAPEX</w:t>
            </w:r>
          </w:p>
        </w:tc>
        <w:tc>
          <w:tcPr/>
          <w:p>
            <w:pPr>
              <w:pStyle w:val="Compact"/>
            </w:pPr>
            <w:r>
              <w:t xml:space="preserve">−22 → +22</w:t>
            </w:r>
          </w:p>
        </w:tc>
        <w:tc>
          <w:tcPr/>
          <w:p>
            <w:pPr>
              <w:pStyle w:val="Compact"/>
            </w:pPr>
            <w:r>
              <w:t xml:space="preserve">Vendor’s $3,300/kWe NOAK target needs Palisades twin demonstration — without it, FOAK CAPEX uncertainty is the binding risk</w:t>
            </w:r>
          </w:p>
        </w:tc>
      </w:tr>
    </w:tbl>
    <w:p>
      <w:pPr>
        <w:pStyle w:val="BodyText"/>
      </w:pPr>
      <w:r>
        <w:t xml:space="preserve">Tornado plots:</w:t>
      </w:r>
      <w:r>
        <w:t xml:space="preserve"> </w:t>
      </w:r>
      <w:r>
        <w:rPr>
          <w:rStyle w:val="VerbatimChar"/>
        </w:rPr>
        <w:t xml:space="preserve">economics/outputs/sensitivity_tornado_&lt;design&gt;.png</w:t>
      </w:r>
      <w:r>
        <w:t xml:space="preserve"> </w:t>
      </w:r>
      <w:r>
        <w:t xml:space="preserve">(4 PNGs).</w:t>
      </w:r>
    </w:p>
    <w:p>
      <w:pPr>
        <w:pStyle w:val="CaptionedFigure"/>
      </w:pPr>
      <w:r>
        <w:drawing>
          <wp:inline>
            <wp:extent cx="5334000" cy="3173999"/>
            <wp:effectExtent b="0" l="0" r="0" t="0"/>
            <wp:docPr descr="BWRX-300 tornado" title="" id="33" name="Picture"/>
            <a:graphic>
              <a:graphicData uri="http://schemas.openxmlformats.org/drawingml/2006/picture">
                <pic:pic>
                  <pic:nvPicPr>
                    <pic:cNvPr descr="economics/outputs/sensitivity_tornado_bwrx_300.png" id="34" name="Picture"/>
                    <pic:cNvPicPr>
                      <a:picLocks noChangeArrowheads="1" noChangeAspect="1"/>
                    </pic:cNvPicPr>
                  </pic:nvPicPr>
                  <pic:blipFill>
                    <a:blip r:embed="rId32"/>
                    <a:stretch>
                      <a:fillRect/>
                    </a:stretch>
                  </pic:blipFill>
                  <pic:spPr bwMode="auto">
                    <a:xfrm>
                      <a:off x="0" y="0"/>
                      <a:ext cx="5334000" cy="3173999"/>
                    </a:xfrm>
                    <a:prstGeom prst="rect">
                      <a:avLst/>
                    </a:prstGeom>
                    <a:noFill/>
                    <a:ln w="9525">
                      <a:noFill/>
                      <a:headEnd/>
                      <a:tailEnd/>
                    </a:ln>
                  </pic:spPr>
                </pic:pic>
              </a:graphicData>
            </a:graphic>
          </wp:inline>
        </w:drawing>
      </w:r>
    </w:p>
    <w:p>
      <w:pPr>
        <w:pStyle w:val="ImageCaption"/>
      </w:pPr>
      <w:r>
        <w:t xml:space="preserve">BWRX-300 tornado</w:t>
      </w:r>
    </w:p>
    <w:p>
      <w:r>
        <w:pict>
          <v:rect style="width:0;height:1.5pt" o:hralign="center" o:hrstd="t" o:hr="t"/>
        </w:pict>
      </w:r>
    </w:p>
    <w:bookmarkEnd w:id="35"/>
    <w:bookmarkEnd w:id="36"/>
    <w:bookmarkStart w:id="40" w:name="top-3-design-dossiers"/>
    <w:p>
      <w:pPr>
        <w:pStyle w:val="Heading2"/>
      </w:pPr>
      <w:r>
        <w:t xml:space="preserve">6. Top-3 design dossiers</w:t>
      </w:r>
    </w:p>
    <w:bookmarkStart w:id="37" w:name="X997252a961fae328c0090ad7ae0443025fa7276"/>
    <w:p>
      <w:pPr>
        <w:pStyle w:val="Heading3"/>
      </w:pPr>
      <w:r>
        <w:t xml:space="preserve">6.1 RECOMMENDED PRIMARY — GE Vernova Hitachi BWRX-300</w:t>
      </w:r>
    </w:p>
    <w:p>
      <w:pPr>
        <w:pStyle w:val="Compact"/>
        <w:numPr>
          <w:ilvl w:val="0"/>
          <w:numId w:val="1008"/>
        </w:numPr>
      </w:pPr>
      <w:r>
        <w:rPr>
          <w:b/>
          <w:bCs/>
        </w:rPr>
        <w:t xml:space="preserve">Capacity:</w:t>
      </w:r>
      <w:r>
        <w:t xml:space="preserve"> </w:t>
      </w:r>
      <w:r>
        <w:t xml:space="preserve">1 × 300 MWe per plant.</w:t>
      </w:r>
    </w:p>
    <w:p>
      <w:pPr>
        <w:pStyle w:val="Compact"/>
        <w:numPr>
          <w:ilvl w:val="0"/>
          <w:numId w:val="1008"/>
        </w:numPr>
      </w:pPr>
      <w:r>
        <w:rPr>
          <w:b/>
          <w:bCs/>
        </w:rPr>
        <w:t xml:space="preserve">Why it wins:</w:t>
      </w:r>
      <w:r>
        <w:t xml:space="preserve"> </w:t>
      </w:r>
      <w:r>
        <w:t xml:space="preserve">sole design with all 7 Tier A gates clear; highest Tier B (81/100); lowest LCOE at every unit count from n=1 onward; strongest reference pipeline of any SMR by a wide margin.</w:t>
      </w:r>
    </w:p>
    <w:p>
      <w:pPr>
        <w:pStyle w:val="Compact"/>
        <w:numPr>
          <w:ilvl w:val="0"/>
          <w:numId w:val="1008"/>
        </w:numPr>
      </w:pPr>
      <w:r>
        <w:rPr>
          <w:b/>
          <w:bCs/>
        </w:rPr>
        <w:t xml:space="preserve">Romania anchor:</w:t>
      </w:r>
      <w:r>
        <w:t xml:space="preserve"> </w:t>
      </w:r>
      <w:r>
        <w:t xml:space="preserve">GE Vernova/Hitachi already supports Cernavoda Units 1&amp;2 fuel cycle services; BWRX is a derivative of the NRC-certified ESBWR, so the licensing precedent is older and deeper than any non-PWR competitor’s.</w:t>
      </w:r>
    </w:p>
    <w:p>
      <w:pPr>
        <w:pStyle w:val="Compact"/>
        <w:numPr>
          <w:ilvl w:val="0"/>
          <w:numId w:val="1008"/>
        </w:numPr>
      </w:pPr>
      <w:r>
        <w:rPr>
          <w:b/>
          <w:bCs/>
        </w:rPr>
        <w:t xml:space="preserve">Deployment plan:</w:t>
      </w:r>
      <w:r>
        <w:t xml:space="preserve"> </w:t>
      </w:r>
      <w:r>
        <w:t xml:space="preserve">subscribe to the OPG Darlington learning curve as fleet n=4 or n=5 (i.e. 2nd or 3rd Canadian BWRX project’s lessons captured). This puts RO at ~unit 4 of own fleet by 2033 with FOAK CAPEX cushioned by Canadian + US precedents.</w:t>
      </w:r>
    </w:p>
    <w:p>
      <w:pPr>
        <w:pStyle w:val="Compact"/>
        <w:numPr>
          <w:ilvl w:val="0"/>
          <w:numId w:val="1008"/>
        </w:numPr>
      </w:pPr>
      <w:r>
        <w:rPr>
          <w:b/>
          <w:bCs/>
        </w:rPr>
        <w:t xml:space="preserve">Key risk:</w:t>
      </w:r>
      <w:r>
        <w:t xml:space="preserve"> </w:t>
      </w:r>
      <w:r>
        <w:t xml:space="preserve">OPG Darlington 1 cost outturn is not yet known; the public CAD $4.7–5.7B figure is pre-construction and historically nuclear FOAK costs escalate 30–60 %. The €89/MWh n=12 figure assumes US/Canadian build experience curtails this.</w:t>
      </w:r>
    </w:p>
    <w:p>
      <w:pPr>
        <w:pStyle w:val="Compact"/>
        <w:numPr>
          <w:ilvl w:val="0"/>
          <w:numId w:val="1008"/>
        </w:numPr>
      </w:pPr>
      <w:r>
        <w:rPr>
          <w:b/>
          <w:bCs/>
        </w:rPr>
        <w:t xml:space="preserve">Recommended action:</w:t>
      </w:r>
      <w:r>
        <w:t xml:space="preserve"> </w:t>
      </w:r>
      <w:r>
        <w:rPr>
          <w:b/>
          <w:bCs/>
        </w:rPr>
        <w:t xml:space="preserve">lead bid</w:t>
      </w:r>
      <w:r>
        <w:t xml:space="preserve">. Initiate CNCAN pre-licensing dialogue under existing US/Canadian licensing reciprocity arrangements; observe OPG construction milestone payments; lock site selection in 2027 with construction start 2029.</w:t>
      </w:r>
    </w:p>
    <w:p>
      <w:pPr>
        <w:pStyle w:val="FirstParagraph"/>
      </w:pPr>
      <w:r>
        <w:t xml:space="preserve">LLM run:</w:t>
      </w:r>
      <w:r>
        <w:t xml:space="preserve"> </w:t>
      </w:r>
      <w:r>
        <w:rPr>
          <w:rStyle w:val="VerbatimChar"/>
        </w:rPr>
        <w:t xml:space="preserve">llm_runs/02_bwrx_300.md</w:t>
      </w:r>
      <w:r>
        <w:t xml:space="preserve">. Evidence corpus:</w:t>
      </w:r>
      <w:r>
        <w:t xml:space="preserve"> </w:t>
      </w:r>
      <w:r>
        <w:rPr>
          <w:rStyle w:val="VerbatimChar"/>
        </w:rPr>
        <w:t xml:space="preserve">dashboard_extracts/02_bwrx_300.md</w:t>
      </w:r>
      <w:r>
        <w:t xml:space="preserve">.</w:t>
      </w:r>
    </w:p>
    <w:bookmarkEnd w:id="37"/>
    <w:bookmarkStart w:id="38" w:name="primary-hedge-nuscale-entra1-6-77-mwe"/>
    <w:p>
      <w:pPr>
        <w:pStyle w:val="Heading3"/>
      </w:pPr>
      <w:r>
        <w:t xml:space="preserve">6.2 PRIMARY HEDGE — NuScale ENTRA1 (6 × 77 MWe)</w:t>
      </w:r>
    </w:p>
    <w:p>
      <w:pPr>
        <w:pStyle w:val="Compact"/>
        <w:numPr>
          <w:ilvl w:val="0"/>
          <w:numId w:val="1009"/>
        </w:numPr>
      </w:pPr>
      <w:r>
        <w:rPr>
          <w:b/>
          <w:bCs/>
        </w:rPr>
        <w:t xml:space="preserve">Capacity:</w:t>
      </w:r>
      <w:r>
        <w:t xml:space="preserve"> </w:t>
      </w:r>
      <w:r>
        <w:t xml:space="preserve">6 × 77 MWe = 462 MWe per plant.</w:t>
      </w:r>
    </w:p>
    <w:p>
      <w:pPr>
        <w:pStyle w:val="Compact"/>
        <w:numPr>
          <w:ilvl w:val="0"/>
          <w:numId w:val="1009"/>
        </w:numPr>
      </w:pPr>
      <w:r>
        <w:rPr>
          <w:b/>
          <w:bCs/>
        </w:rPr>
        <w:t xml:space="preserve">Why it makes the top-3:</w:t>
      </w:r>
      <w:r>
        <w:t xml:space="preserve"> </w:t>
      </w:r>
      <w:r>
        <w:t xml:space="preserve">the</w:t>
      </w:r>
      <w:r>
        <w:t xml:space="preserve"> </w:t>
      </w:r>
      <w:r>
        <w:rPr>
          <w:b/>
          <w:bCs/>
        </w:rPr>
        <w:t xml:space="preserve">only</w:t>
      </w:r>
      <w:r>
        <w:t xml:space="preserve"> </w:t>
      </w:r>
      <w:r>
        <w:t xml:space="preserve">SMR vendor currently engaged with CNCAN through the RoPower JV (Doicești site selection); NRC SDA on the 50 MWe variant 2020, NRC 25-033 SDA on the 77 MWe ENTRA1 variant 2025 — the strongest single licensing chain of any SMR globally. LLM final 4.13.</w:t>
      </w:r>
    </w:p>
    <w:p>
      <w:pPr>
        <w:pStyle w:val="Compact"/>
        <w:numPr>
          <w:ilvl w:val="0"/>
          <w:numId w:val="1009"/>
        </w:numPr>
      </w:pPr>
      <w:r>
        <w:rPr>
          <w:b/>
          <w:bCs/>
        </w:rPr>
        <w:t xml:space="preserve">Why it isn’t #1:</w:t>
      </w:r>
      <w:r>
        <w:t xml:space="preserve"> </w:t>
      </w:r>
      <w:r>
        <w:t xml:space="preserve">higher LCOE (€97/MWh n=12 vs €89 for BWRX); A6 caution flagged in the LLM run on long-term decom commitments for multi-module plant; the UAMPS Carbon Free Power Project cancellation in November 2023 (escalation from $5.4k → $9.3k/kWe) is the dominant prior on FOAK CAPEX risk. Note the model uses a wider CAPEX band ($7.5–14k/kWe) than the vendor publishes.</w:t>
      </w:r>
    </w:p>
    <w:p>
      <w:pPr>
        <w:pStyle w:val="Compact"/>
        <w:numPr>
          <w:ilvl w:val="0"/>
          <w:numId w:val="1009"/>
        </w:numPr>
      </w:pPr>
      <w:r>
        <w:rPr>
          <w:b/>
          <w:bCs/>
        </w:rPr>
        <w:t xml:space="preserve">Romania anchor:</w:t>
      </w:r>
      <w:r>
        <w:t xml:space="preserve"> </w:t>
      </w:r>
      <w:r>
        <w:t xml:space="preserve">the RoPower JV is already in place; SNN site characterization at Doicești is the single most advanced CNCAN engagement of any candidate. Continuing this work preserves option value even if BWRX wins the lead bid.</w:t>
      </w:r>
    </w:p>
    <w:p>
      <w:pPr>
        <w:pStyle w:val="Compact"/>
        <w:numPr>
          <w:ilvl w:val="0"/>
          <w:numId w:val="1009"/>
        </w:numPr>
      </w:pPr>
      <w:r>
        <w:rPr>
          <w:b/>
          <w:bCs/>
        </w:rPr>
        <w:t xml:space="preserve">Recommended action:</w:t>
      </w:r>
      <w:r>
        <w:t xml:space="preserve"> </w:t>
      </w:r>
      <w:r>
        <w:rPr>
          <w:b/>
          <w:bCs/>
        </w:rPr>
        <w:t xml:space="preserve">maintain hedge investment.</w:t>
      </w:r>
      <w:r>
        <w:t xml:space="preserve"> </w:t>
      </w:r>
      <w:r>
        <w:t xml:space="preserve">Continue RoPower JV as a parallel optionality track. If BWRX FOAK escalates beyond €13k/kWe, NuScale becomes the primary fallback because its CNCAN pre-licensing is two years ahead.</w:t>
      </w:r>
    </w:p>
    <w:p>
      <w:pPr>
        <w:pStyle w:val="FirstParagraph"/>
      </w:pPr>
      <w:r>
        <w:t xml:space="preserve">LLM run:</w:t>
      </w:r>
      <w:r>
        <w:t xml:space="preserve"> </w:t>
      </w:r>
      <w:r>
        <w:rPr>
          <w:rStyle w:val="VerbatimChar"/>
        </w:rPr>
        <w:t xml:space="preserve">llm_runs/01_nuscale_entra1.md</w:t>
      </w:r>
      <w:r>
        <w:t xml:space="preserve">. Evidence corpus:</w:t>
      </w:r>
      <w:r>
        <w:t xml:space="preserve"> </w:t>
      </w:r>
      <w:r>
        <w:rPr>
          <w:rStyle w:val="VerbatimChar"/>
        </w:rPr>
        <w:t xml:space="preserve">dashboard_extracts/01_nuscale_entra1.md</w:t>
      </w:r>
      <w:r>
        <w:t xml:space="preserve">.</w:t>
      </w:r>
    </w:p>
    <w:bookmarkEnd w:id="38"/>
    <w:bookmarkStart w:id="39" w:name="X79c24e3c21f88b8a58ba3edc69744c1d93ca257"/>
    <w:p>
      <w:pPr>
        <w:pStyle w:val="Heading3"/>
      </w:pPr>
      <w:r>
        <w:t xml:space="preserve">6.3 SECONDARY / EUROPEAN-INDUSTRIAL ANCHOR — Rolls-Royce SMR</w:t>
      </w:r>
    </w:p>
    <w:p>
      <w:pPr>
        <w:pStyle w:val="Compact"/>
        <w:numPr>
          <w:ilvl w:val="0"/>
          <w:numId w:val="1010"/>
        </w:numPr>
      </w:pPr>
      <w:r>
        <w:rPr>
          <w:b/>
          <w:bCs/>
        </w:rPr>
        <w:t xml:space="preserve">Capacity:</w:t>
      </w:r>
      <w:r>
        <w:t xml:space="preserve"> </w:t>
      </w:r>
      <w:r>
        <w:t xml:space="preserve">1 × 470 MWe per plant.</w:t>
      </w:r>
    </w:p>
    <w:p>
      <w:pPr>
        <w:pStyle w:val="Compact"/>
        <w:numPr>
          <w:ilvl w:val="0"/>
          <w:numId w:val="1010"/>
        </w:numPr>
      </w:pPr>
      <w:r>
        <w:rPr>
          <w:b/>
          <w:bCs/>
        </w:rPr>
        <w:t xml:space="preserve">Why top-3:</w:t>
      </w:r>
      <w:r>
        <w:t xml:space="preserve"> </w:t>
      </w:r>
      <w:r>
        <w:t xml:space="preserve">highest Tier B/C combined of any non-shortlist-primary design (LLM 4.60 with +15 % EU modifier); largest single-unit MWe in the SMR class; signed MoU with Nuclearelectrica; UK GBN selected RR-SMR as preferred vendor July 2025 (£2.5B UK Treasury commitment).</w:t>
      </w:r>
    </w:p>
    <w:p>
      <w:pPr>
        <w:pStyle w:val="Compact"/>
        <w:numPr>
          <w:ilvl w:val="0"/>
          <w:numId w:val="1010"/>
        </w:numPr>
      </w:pPr>
      <w:r>
        <w:rPr>
          <w:b/>
          <w:bCs/>
        </w:rPr>
        <w:t xml:space="preserve">Critical caution (A5):</w:t>
      </w:r>
      <w:r>
        <w:t xml:space="preserve"> </w:t>
      </w:r>
      <w:r>
        <w:t xml:space="preserve">UK GDA Step 3 still in progress through 2026–2027; design freeze can’t be formally claimed until Step 4. This is recoverable for a 2033 COD only if the Romania bid runs in lock-step with the UK programme — i.e. no design changes between UK and RO units.</w:t>
      </w:r>
    </w:p>
    <w:p>
      <w:pPr>
        <w:pStyle w:val="Compact"/>
        <w:numPr>
          <w:ilvl w:val="0"/>
          <w:numId w:val="1010"/>
        </w:numPr>
      </w:pPr>
      <w:r>
        <w:rPr>
          <w:b/>
          <w:bCs/>
        </w:rPr>
        <w:t xml:space="preserve">A7 caution:</w:t>
      </w:r>
      <w:r>
        <w:t xml:space="preserve"> </w:t>
      </w:r>
      <w:r>
        <w:t xml:space="preserve">UK FOAK and Romanian unit must be in parallel construction by 2029 to hit 2033 COD. This depends on UK FID slipping no further than 2027.</w:t>
      </w:r>
    </w:p>
    <w:p>
      <w:pPr>
        <w:pStyle w:val="Compact"/>
        <w:numPr>
          <w:ilvl w:val="0"/>
          <w:numId w:val="1010"/>
        </w:numPr>
      </w:pPr>
      <w:r>
        <w:rPr>
          <w:b/>
          <w:bCs/>
        </w:rPr>
        <w:t xml:space="preserve">Romania anchor:</w:t>
      </w:r>
      <w:r>
        <w:t xml:space="preserve"> </w:t>
      </w:r>
      <w:r>
        <w:t xml:space="preserve">strongest European industrial base of any candidate (UK + Czech Doosan + Romanian Romatom MoU + Sheffield Forgemasters for forgings).</w:t>
      </w:r>
    </w:p>
    <w:p>
      <w:pPr>
        <w:pStyle w:val="Compact"/>
        <w:numPr>
          <w:ilvl w:val="0"/>
          <w:numId w:val="1010"/>
        </w:numPr>
      </w:pPr>
      <w:r>
        <w:rPr>
          <w:b/>
          <w:bCs/>
        </w:rPr>
        <w:t xml:space="preserve">Recommended action:</w:t>
      </w:r>
      <w:r>
        <w:t xml:space="preserve"> </w:t>
      </w:r>
      <w:r>
        <w:rPr>
          <w:b/>
          <w:bCs/>
        </w:rPr>
        <w:t xml:space="preserve">continue active engagement</w:t>
      </w:r>
      <w:r>
        <w:t xml:space="preserve"> </w:t>
      </w:r>
      <w:r>
        <w:t xml:space="preserve">as the European-industrial-base anchor; preserve as the second-bid hedge; reassess Tier A status when UK GDA Step 3 closes.</w:t>
      </w:r>
    </w:p>
    <w:p>
      <w:pPr>
        <w:pStyle w:val="FirstParagraph"/>
      </w:pPr>
      <w:r>
        <w:t xml:space="preserve">LLM run:</w:t>
      </w:r>
      <w:r>
        <w:t xml:space="preserve"> </w:t>
      </w:r>
      <w:r>
        <w:rPr>
          <w:rStyle w:val="VerbatimChar"/>
        </w:rPr>
        <w:t xml:space="preserve">llm_runs/03_rolls_royce_smr.md</w:t>
      </w:r>
      <w:r>
        <w:t xml:space="preserve">. Evidence corpus:</w:t>
      </w:r>
      <w:r>
        <w:t xml:space="preserve"> </w:t>
      </w:r>
      <w:r>
        <w:rPr>
          <w:rStyle w:val="VerbatimChar"/>
        </w:rPr>
        <w:t xml:space="preserve">dashboard_extracts/03_rolls_royce_smr.md</w:t>
      </w:r>
      <w:r>
        <w:t xml:space="preserve">.</w:t>
      </w:r>
    </w:p>
    <w:p>
      <w:r>
        <w:pict>
          <v:rect style="width:0;height:1.5pt" o:hralign="center" o:hrstd="t" o:hr="t"/>
        </w:pict>
      </w:r>
    </w:p>
    <w:bookmarkEnd w:id="39"/>
    <w:bookmarkEnd w:id="40"/>
    <w:bookmarkStart w:id="41" w:name="X532e6f416e5f6c0ac3908bdf715625ad7936584"/>
    <w:p>
      <w:pPr>
        <w:pStyle w:val="Heading2"/>
      </w:pPr>
      <w:r>
        <w:t xml:space="preserve">7. Eliminated / watch-list designs (one-paragraph each)</w:t>
      </w:r>
    </w:p>
    <w:p>
      <w:pPr>
        <w:pStyle w:val="Compact"/>
        <w:numPr>
          <w:ilvl w:val="0"/>
          <w:numId w:val="1011"/>
        </w:numPr>
      </w:pPr>
      <w:r>
        <w:rPr>
          <w:b/>
          <w:bCs/>
        </w:rPr>
        <w:t xml:space="preserve">Holtec SMR-300</w:t>
      </w:r>
      <w:r>
        <w:t xml:space="preserve"> </w:t>
      </w:r>
      <w:r>
        <w:t xml:space="preserve">(LLM 4.03, pending) — Strong vendor (HI-STORM, Palisades restart, decom expertise) but A4 + A5 cautions. Realistic RO COD post-2034 if Palisades twin demonstration succeeds.</w:t>
      </w:r>
      <w:r>
        <w:t xml:space="preserve"> </w:t>
      </w:r>
      <w:r>
        <w:rPr>
          <w:b/>
          <w:bCs/>
        </w:rPr>
        <w:t xml:space="preserve">Watch-list as 2030s alternate.</w:t>
      </w:r>
    </w:p>
    <w:p>
      <w:pPr>
        <w:pStyle w:val="Compact"/>
        <w:numPr>
          <w:ilvl w:val="0"/>
          <w:numId w:val="1011"/>
        </w:numPr>
      </w:pPr>
      <w:r>
        <w:rPr>
          <w:b/>
          <w:bCs/>
        </w:rPr>
        <w:t xml:space="preserve">NUWARD (EDF)</w:t>
      </w:r>
      <w:r>
        <w:t xml:space="preserve"> </w:t>
      </w:r>
      <w:r>
        <w:t xml:space="preserve">(LLM 3.93, eliminated) — Highest Tier C (+19 %) and only credibly European-sovereign vendor. A5 fail (post-2024 design reset) and A7 fail (likely COD post-2036) eliminate for 2033 RO target.</w:t>
      </w:r>
      <w:r>
        <w:t xml:space="preserve"> </w:t>
      </w:r>
      <w:r>
        <w:rPr>
          <w:b/>
          <w:bCs/>
        </w:rPr>
        <w:t xml:space="preserve">Recommend exploratory MoU for post-2036 deployment, especially in light of the EU Joint Early Review re-engagement (October 2025) and Italian/Belgian/Czech industrial partner network.</w:t>
      </w:r>
    </w:p>
    <w:p>
      <w:pPr>
        <w:pStyle w:val="Compact"/>
        <w:numPr>
          <w:ilvl w:val="0"/>
          <w:numId w:val="1011"/>
        </w:numPr>
      </w:pPr>
      <w:r>
        <w:rPr>
          <w:b/>
          <w:bCs/>
        </w:rPr>
        <w:t xml:space="preserve">X-energy Xe-100</w:t>
      </w:r>
      <w:r>
        <w:t xml:space="preserve"> </w:t>
      </w:r>
      <w:r>
        <w:t xml:space="preserve">(LLM 2.87, pending) — Strongest non-LWR ARDP licensing pipeline (DOE $1.2B cost-share, Dow Seadrift FOAK), TF3 Oak Ridge fuel fab integration. A2 (HALEU TRISO supply) is the binding constraint.</w:t>
      </w:r>
      <w:r>
        <w:t xml:space="preserve"> </w:t>
      </w:r>
      <w:r>
        <w:rPr>
          <w:b/>
          <w:bCs/>
        </w:rPr>
        <w:t xml:space="preserve">Reconsider post-2030 if HALEU supply matures.</w:t>
      </w:r>
    </w:p>
    <w:p>
      <w:pPr>
        <w:pStyle w:val="Compact"/>
        <w:numPr>
          <w:ilvl w:val="0"/>
          <w:numId w:val="1011"/>
        </w:numPr>
      </w:pPr>
      <w:r>
        <w:rPr>
          <w:b/>
          <w:bCs/>
        </w:rPr>
        <w:t xml:space="preserve">TerraPower Natrium</w:t>
      </w:r>
      <w:r>
        <w:t xml:space="preserve"> </w:t>
      </w:r>
      <w:r>
        <w:t xml:space="preserve">(LLM 2.85, eliminated) — Wyoming Kemmerer FOAK as DOE ARDP demo; thermal-storage variable-output capability has unique grid-services value. A2 (HALEU metal fuel) and A1/A5 cautions stack.</w:t>
      </w:r>
      <w:r>
        <w:t xml:space="preserve"> </w:t>
      </w:r>
      <w:r>
        <w:rPr>
          <w:b/>
          <w:bCs/>
        </w:rPr>
        <w:t xml:space="preserve">Drop for 2033; revisit only if Russia HALEU import ban is lifted or DOE Centrus ramp accelerates dramatically.</w:t>
      </w:r>
    </w:p>
    <w:p>
      <w:pPr>
        <w:pStyle w:val="Compact"/>
        <w:numPr>
          <w:ilvl w:val="0"/>
          <w:numId w:val="1011"/>
        </w:numPr>
      </w:pPr>
      <w:r>
        <w:rPr>
          <w:b/>
          <w:bCs/>
        </w:rPr>
        <w:t xml:space="preserve">Kairos KP-FHR</w:t>
      </w:r>
      <w:r>
        <w:t xml:space="preserve"> </w:t>
      </w:r>
      <w:r>
        <w:t xml:space="preserve">(LLM 2.19, eliminated) — Hermes 1 demo (35 MWth, no power) only firm build. KP-X commercial design open. A2 + A5 fail; A4 caution.</w:t>
      </w:r>
      <w:r>
        <w:t xml:space="preserve"> </w:t>
      </w:r>
      <w:r>
        <w:rPr>
          <w:b/>
          <w:bCs/>
        </w:rPr>
        <w:t xml:space="preserve">Drop for 2033.</w:t>
      </w:r>
    </w:p>
    <w:p>
      <w:pPr>
        <w:pStyle w:val="Compact"/>
        <w:numPr>
          <w:ilvl w:val="0"/>
          <w:numId w:val="1011"/>
        </w:numPr>
      </w:pPr>
      <w:r>
        <w:rPr>
          <w:b/>
          <w:bCs/>
        </w:rPr>
        <w:t xml:space="preserve">Oklo Aurora</w:t>
      </w:r>
      <w:r>
        <w:t xml:space="preserve"> </w:t>
      </w:r>
      <w:r>
        <w:t xml:space="preserve">(LLM 1.63, eliminated) — Original COL denied by NRC in 2022; Phase 2 design upsized; data-center MOUs only; metal HALEU fuel supply non-existent.</w:t>
      </w:r>
      <w:r>
        <w:t xml:space="preserve"> </w:t>
      </w:r>
      <w:r>
        <w:rPr>
          <w:b/>
          <w:bCs/>
        </w:rPr>
        <w:t xml:space="preserve">Drop unconditionally for 2033.</w:t>
      </w:r>
    </w:p>
    <w:p>
      <w:r>
        <w:pict>
          <v:rect style="width:0;height:1.5pt" o:hralign="center" o:hrstd="t" o:hr="t"/>
        </w:pict>
      </w:r>
    </w:p>
    <w:bookmarkEnd w:id="41"/>
    <w:bookmarkStart w:id="46" w:name="strategic-conclusions"/>
    <w:p>
      <w:pPr>
        <w:pStyle w:val="Heading2"/>
      </w:pPr>
      <w:r>
        <w:t xml:space="preserve">8. Strategic conclusions</w:t>
      </w:r>
    </w:p>
    <w:bookmarkStart w:id="42" w:name="the-two-design-portfolio-thesis"/>
    <w:p>
      <w:pPr>
        <w:pStyle w:val="Heading3"/>
      </w:pPr>
      <w:r>
        <w:t xml:space="preserve">8.1 The two-design portfolio thesis</w:t>
      </w:r>
    </w:p>
    <w:p>
      <w:pPr>
        <w:pStyle w:val="FirstParagraph"/>
      </w:pPr>
      <w:r>
        <w:t xml:space="preserve">The defensible Romanian SMR programme structure for 2033 COD is:</w:t>
      </w:r>
    </w:p>
    <w:p>
      <w:pPr>
        <w:pStyle w:val="Compact"/>
        <w:numPr>
          <w:ilvl w:val="0"/>
          <w:numId w:val="1012"/>
        </w:numPr>
      </w:pPr>
      <w:r>
        <w:rPr>
          <w:b/>
          <w:bCs/>
        </w:rPr>
        <w:t xml:space="preserve">Lead bid: BWRX-300</w:t>
      </w:r>
      <w:r>
        <w:t xml:space="preserve"> </w:t>
      </w:r>
      <w:r>
        <w:t xml:space="preserve">— built on US/Canadian fleet learning, derivative of NRC-certified ESBWR, lowest LCOE.</w:t>
      </w:r>
    </w:p>
    <w:p>
      <w:pPr>
        <w:pStyle w:val="Compact"/>
        <w:numPr>
          <w:ilvl w:val="0"/>
          <w:numId w:val="1012"/>
        </w:numPr>
      </w:pPr>
      <w:r>
        <w:rPr>
          <w:b/>
          <w:bCs/>
        </w:rPr>
        <w:t xml:space="preserve">Hedge bid: NuScale ENTRA1</w:t>
      </w:r>
      <w:r>
        <w:t xml:space="preserve"> </w:t>
      </w:r>
      <w:r>
        <w:t xml:space="preserve">— preserves the only mature CNCAN-engaged path (Doicești/RoPower); insurance against BWRX FOAK escalation.</w:t>
      </w:r>
    </w:p>
    <w:p>
      <w:pPr>
        <w:pStyle w:val="Compact"/>
        <w:numPr>
          <w:ilvl w:val="0"/>
          <w:numId w:val="1012"/>
        </w:numPr>
      </w:pPr>
      <w:r>
        <w:rPr>
          <w:b/>
          <w:bCs/>
        </w:rPr>
        <w:t xml:space="preserve">Long-game / European-sovereignty hedge: Rolls-Royce SMR</w:t>
      </w:r>
      <w:r>
        <w:t xml:space="preserve"> </w:t>
      </w:r>
      <w:r>
        <w:t xml:space="preserve">if UK GDA Step 3 closes on schedule;</w:t>
      </w:r>
      <w:r>
        <w:t xml:space="preserve"> </w:t>
      </w:r>
      <w:r>
        <w:rPr>
          <w:b/>
          <w:bCs/>
        </w:rPr>
        <w:t xml:space="preserve">NUWARD</w:t>
      </w:r>
      <w:r>
        <w:t xml:space="preserve"> </w:t>
      </w:r>
      <w:r>
        <w:t xml:space="preserve">for post-2036 deployment (separate workstream).</w:t>
      </w:r>
    </w:p>
    <w:p>
      <w:pPr>
        <w:pStyle w:val="FirstParagraph"/>
      </w:pPr>
      <w:r>
        <w:t xml:space="preserve">This is a ~2 + 1 portfolio, not 3 parallel bids. Running three full bids in parallel would dilute SNN engineering capacity and signal confusion to vendors. The hedge must be cheap to maintain (NuScale is cheap because RoPower is already standing) and the long-game must be a separate post-2036 envelope.</w:t>
      </w:r>
    </w:p>
    <w:bookmarkEnd w:id="42"/>
    <w:bookmarkStart w:id="43" w:name="the-haleu-question-panel-b-finding"/>
    <w:p>
      <w:pPr>
        <w:pStyle w:val="Heading3"/>
      </w:pPr>
      <w:r>
        <w:t xml:space="preserve">8.2 The HALEU question (Panel B finding)</w:t>
      </w:r>
    </w:p>
    <w:p>
      <w:pPr>
        <w:pStyle w:val="FirstParagraph"/>
      </w:pPr>
      <w:r>
        <w:rPr>
          <w:b/>
          <w:bCs/>
        </w:rPr>
        <w:t xml:space="preserve">Even with the A2 (HALEU fuel supply) and A5 (design freeze) gates fully relaxed, no HALEU-fuelled design enters the top-3 by economics.</w:t>
      </w:r>
      <w:r>
        <w:t xml:space="preserve"> </w:t>
      </w:r>
      <w:r>
        <w:t xml:space="preserve">The model’s Panel B picks BWRX-300, Rolls-Royce SMR, Holtec SMR-300 — all LWRs. The reason is structural, not gate-related:</w:t>
      </w:r>
    </w:p>
    <w:p>
      <w:pPr>
        <w:pStyle w:val="Compact"/>
        <w:numPr>
          <w:ilvl w:val="0"/>
          <w:numId w:val="1013"/>
        </w:numPr>
      </w:pPr>
      <w:r>
        <w:t xml:space="preserve">HALEU TRISO fuel costs €18–28/MWh (vs €7–10/MWh for conventional UO2), a +€10–20/MWh fuel-LCOE premium that compounds across 60-year operating life.</w:t>
      </w:r>
    </w:p>
    <w:p>
      <w:pPr>
        <w:pStyle w:val="Compact"/>
        <w:numPr>
          <w:ilvl w:val="0"/>
          <w:numId w:val="1013"/>
        </w:numPr>
      </w:pPr>
      <w:r>
        <w:t xml:space="preserve">Novel-design FOAK CAPEX premium adds another +€15–30/MWh.</w:t>
      </w:r>
    </w:p>
    <w:p>
      <w:pPr>
        <w:pStyle w:val="FirstParagraph"/>
      </w:pPr>
      <w:r>
        <w:t xml:space="preserve">The implication is that Romania should</w:t>
      </w:r>
      <w:r>
        <w:t xml:space="preserve"> </w:t>
      </w:r>
      <w:r>
        <w:rPr>
          <w:b/>
          <w:bCs/>
        </w:rPr>
        <w:t xml:space="preserve">not wait for HALEU supply to mature</w:t>
      </w:r>
      <w:r>
        <w:t xml:space="preserve"> </w:t>
      </w:r>
      <w:r>
        <w:t xml:space="preserve">if the strategic objective is lowest-LCOE coal-displacement deployment. The HALEU designs win on different objectives (industrial heat for Xe-100/Natrium, microgrid resilience for Oklo) that are not the SNN baseload mission.</w:t>
      </w:r>
    </w:p>
    <w:bookmarkEnd w:id="43"/>
    <w:bookmarkStart w:id="44" w:name="the-cfd-financing-question"/>
    <w:p>
      <w:pPr>
        <w:pStyle w:val="Heading3"/>
      </w:pPr>
      <w:r>
        <w:t xml:space="preserve">8.3 The CfD financing question</w:t>
      </w:r>
    </w:p>
    <w:p>
      <w:pPr>
        <w:pStyle w:val="FirstParagraph"/>
      </w:pPr>
      <w:r>
        <w:t xml:space="preserve">All four LWR finalists (BWRX, Rolls-Royce, NuScale, Holtec) require sovereign or sovereign-backed CfD support to clear FOAK financing risk. The key benchmarks:</w:t>
      </w:r>
    </w:p>
    <w:p>
      <w:pPr>
        <w:pStyle w:val="Compact"/>
        <w:numPr>
          <w:ilvl w:val="0"/>
          <w:numId w:val="1014"/>
        </w:numPr>
      </w:pPr>
      <w:r>
        <w:rPr>
          <w:b/>
          <w:bCs/>
        </w:rPr>
        <w:t xml:space="preserve">CZ Dukovany II CfD strike</w:t>
      </w:r>
      <w:r>
        <w:t xml:space="preserve"> </w:t>
      </w:r>
      <w:r>
        <w:t xml:space="preserve">(~€95/MWh) — the most credible regional precedent; ČEZ + Czech state.</w:t>
      </w:r>
    </w:p>
    <w:p>
      <w:pPr>
        <w:pStyle w:val="Compact"/>
        <w:numPr>
          <w:ilvl w:val="0"/>
          <w:numId w:val="1014"/>
        </w:numPr>
      </w:pPr>
      <w:r>
        <w:rPr>
          <w:b/>
          <w:bCs/>
        </w:rPr>
        <w:t xml:space="preserve">UK Sizewell C strike</w:t>
      </w:r>
      <w:r>
        <w:t xml:space="preserve"> </w:t>
      </w:r>
      <w:r>
        <w:t xml:space="preserve">(~€110/MWh) — useful as a UK precedent for the Rolls-Royce bid.</w:t>
      </w:r>
    </w:p>
    <w:p>
      <w:pPr>
        <w:pStyle w:val="Compact"/>
        <w:numPr>
          <w:ilvl w:val="0"/>
          <w:numId w:val="1014"/>
        </w:numPr>
      </w:pPr>
      <w:r>
        <w:rPr>
          <w:b/>
          <w:bCs/>
        </w:rPr>
        <w:t xml:space="preserve">EU Taxonomy</w:t>
      </w:r>
      <w:r>
        <w:t xml:space="preserve"> </w:t>
      </w:r>
      <w:r>
        <w:t xml:space="preserve">— only LWR fuel cycle currently meets the criteria; non-LWR HALEU designs carry uncertain financing eligibility.</w:t>
      </w:r>
    </w:p>
    <w:p>
      <w:pPr>
        <w:pStyle w:val="FirstParagraph"/>
      </w:pPr>
      <w:r>
        <w:t xml:space="preserve">Romania’s negotiating leverage: the EU Just Transition Fund + Innovation Fund + EIB nuclear-eligibility expansion (2024) collectively provide €4–6B of grant-equivalent support over 2025–2032. Securing ≥€2B against an SMR programme front-end is the difference between a 13-unit and 7-unit break-even point on the BWRX learning curve.</w:t>
      </w:r>
    </w:p>
    <w:bookmarkEnd w:id="44"/>
    <w:bookmarkStart w:id="45" w:name="the-schedule-question"/>
    <w:p>
      <w:pPr>
        <w:pStyle w:val="Heading3"/>
      </w:pPr>
      <w:r>
        <w:t xml:space="preserve">8.4 The schedule question</w:t>
      </w:r>
    </w:p>
    <w:p>
      <w:pPr>
        <w:pStyle w:val="Compact"/>
        <w:numPr>
          <w:ilvl w:val="0"/>
          <w:numId w:val="1015"/>
        </w:numPr>
      </w:pPr>
      <w:r>
        <w:t xml:space="preserve">BWRX-300: realistic Romania COD 2033 if site characterization complete by 2027, COL submitted 2028, EPC start 2029.</w:t>
      </w:r>
    </w:p>
    <w:p>
      <w:pPr>
        <w:pStyle w:val="Compact"/>
        <w:numPr>
          <w:ilvl w:val="0"/>
          <w:numId w:val="1015"/>
        </w:numPr>
      </w:pPr>
      <w:r>
        <w:t xml:space="preserve">NuScale ENTRA1: realistic Romania COD 2034 (one year slip vs target); RoPower advantage offsets ENTRA1 product-spec freeze risk.</w:t>
      </w:r>
    </w:p>
    <w:p>
      <w:pPr>
        <w:pStyle w:val="Compact"/>
        <w:numPr>
          <w:ilvl w:val="0"/>
          <w:numId w:val="1015"/>
        </w:numPr>
      </w:pPr>
      <w:r>
        <w:t xml:space="preserve">Rolls-Royce SMR: realistic Romania COD 2034–2035 if UK FOAK 2032; tight but achievable.</w:t>
      </w:r>
    </w:p>
    <w:p>
      <w:pPr>
        <w:pStyle w:val="FirstParagraph"/>
      </w:pPr>
      <w:r>
        <w:rPr>
          <w:b/>
          <w:bCs/>
        </w:rPr>
        <w:t xml:space="preserve">Recommendation:</w:t>
      </w:r>
      <w:r>
        <w:t xml:space="preserve"> </w:t>
      </w:r>
      <w:r>
        <w:t xml:space="preserve">target a</w:t>
      </w:r>
      <w:r>
        <w:t xml:space="preserve"> </w:t>
      </w:r>
      <w:r>
        <w:rPr>
          <w:b/>
          <w:bCs/>
        </w:rPr>
        <w:t xml:space="preserve">primary COD 2033</w:t>
      </w:r>
      <w:r>
        <w:t xml:space="preserve"> </w:t>
      </w:r>
      <w:r>
        <w:t xml:space="preserve">for BWRX-300 with formal acceptance of a</w:t>
      </w:r>
      <w:r>
        <w:t xml:space="preserve"> </w:t>
      </w:r>
      <w:r>
        <w:rPr>
          <w:b/>
          <w:bCs/>
        </w:rPr>
        <w:t xml:space="preserve">secondary COD 2034 for NuScale</w:t>
      </w:r>
      <w:r>
        <w:t xml:space="preserve"> </w:t>
      </w:r>
      <w:r>
        <w:t xml:space="preserve">(or 2034–2035 for Rolls-Royce) as the hedge unit. The current</w:t>
      </w:r>
      <w:r>
        <w:t xml:space="preserve"> </w:t>
      </w:r>
      <w:r>
        <w:t xml:space="preserve">“hard 2033”</w:t>
      </w:r>
      <w:r>
        <w:t xml:space="preserve"> </w:t>
      </w:r>
      <w:r>
        <w:t xml:space="preserve">posture should be relaxed by 6–12 months on the hedge to preserve programme robustness.</w:t>
      </w:r>
    </w:p>
    <w:p>
      <w:r>
        <w:pict>
          <v:rect style="width:0;height:1.5pt" o:hralign="center" o:hrstd="t" o:hr="t"/>
        </w:pict>
      </w:r>
    </w:p>
    <w:bookmarkEnd w:id="45"/>
    <w:bookmarkEnd w:id="46"/>
    <w:bookmarkStart w:id="47" w:name="risk-register-programme-level"/>
    <w:p>
      <w:pPr>
        <w:pStyle w:val="Heading2"/>
      </w:pPr>
      <w:r>
        <w:t xml:space="preserve">9. Risk register (programme-level)</w:t>
      </w:r>
    </w:p>
    <w:tbl>
      <w:tblPr>
        <w:tblStyle w:val="Table"/>
        <w:tblW w:type="pct" w:w="5000"/>
        <w:tblLayout w:type="fixed"/>
        <w:tblLook w:firstRow="1" w:lastRow="0" w:firstColumn="0" w:lastColumn="0" w:noHBand="0" w:noVBand="0" w:val="0020"/>
      </w:tblPr>
      <w:tblGrid>
        <w:gridCol w:w="266"/>
        <w:gridCol w:w="2589"/>
        <w:gridCol w:w="380"/>
        <w:gridCol w:w="533"/>
        <w:gridCol w:w="4150"/>
      </w:tblGrid>
      <w:tr>
        <w:trPr>
          <w:tblHeader w:val="on"/>
        </w:trPr>
        <w:tc>
          <w:tcPr/>
          <w:p>
            <w:pPr>
              <w:pStyle w:val="Compact"/>
            </w:pPr>
            <w:r>
              <w:t xml:space="preserve">Risk ID</w:t>
            </w:r>
          </w:p>
        </w:tc>
        <w:tc>
          <w:tcPr/>
          <w:p>
            <w:pPr>
              <w:pStyle w:val="Compact"/>
            </w:pPr>
            <w:r>
              <w:t xml:space="preserve">Description</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R1</w:t>
            </w:r>
          </w:p>
        </w:tc>
        <w:tc>
          <w:tcPr/>
          <w:p>
            <w:pPr>
              <w:pStyle w:val="Compact"/>
            </w:pPr>
            <w:r>
              <w:t xml:space="preserve">OPG Darlington 1 (BWRX FOAK) cost overrun &gt;50 %</w:t>
            </w:r>
          </w:p>
        </w:tc>
        <w:tc>
          <w:tcPr/>
          <w:p>
            <w:pPr>
              <w:pStyle w:val="Compact"/>
            </w:pPr>
            <w:r>
              <w:t xml:space="preserve">Medium</w:t>
            </w:r>
          </w:p>
        </w:tc>
        <w:tc>
          <w:tcPr/>
          <w:p>
            <w:pPr>
              <w:pStyle w:val="Compact"/>
            </w:pPr>
            <w:r>
              <w:t xml:space="preserve">High</w:t>
            </w:r>
          </w:p>
        </w:tc>
        <w:tc>
          <w:tcPr/>
          <w:p>
            <w:pPr>
              <w:pStyle w:val="Compact"/>
            </w:pPr>
            <w:r>
              <w:t xml:space="preserve">Maintain NuScale hedge; structure CfD with cost-overrun absorption clause</w:t>
            </w:r>
          </w:p>
        </w:tc>
      </w:tr>
      <w:tr>
        <w:tc>
          <w:tcPr/>
          <w:p>
            <w:pPr>
              <w:pStyle w:val="Compact"/>
            </w:pPr>
            <w:r>
              <w:t xml:space="preserve">R2</w:t>
            </w:r>
          </w:p>
        </w:tc>
        <w:tc>
          <w:tcPr/>
          <w:p>
            <w:pPr>
              <w:pStyle w:val="Compact"/>
            </w:pPr>
            <w:r>
              <w:t xml:space="preserve">UAMPS overrun pattern recurs in NuScale FOAK build</w:t>
            </w:r>
          </w:p>
        </w:tc>
        <w:tc>
          <w:tcPr/>
          <w:p>
            <w:pPr>
              <w:pStyle w:val="Compact"/>
            </w:pPr>
            <w:r>
              <w:t xml:space="preserve">Medium</w:t>
            </w:r>
          </w:p>
        </w:tc>
        <w:tc>
          <w:tcPr/>
          <w:p>
            <w:pPr>
              <w:pStyle w:val="Compact"/>
            </w:pPr>
            <w:r>
              <w:t xml:space="preserve">High</w:t>
            </w:r>
          </w:p>
        </w:tc>
        <w:tc>
          <w:tcPr/>
          <w:p>
            <w:pPr>
              <w:pStyle w:val="Compact"/>
            </w:pPr>
            <w:r>
              <w:t xml:space="preserve">Stage NuScale gate decisions to ENTRA1 product freeze + first US COL</w:t>
            </w:r>
          </w:p>
        </w:tc>
      </w:tr>
      <w:tr>
        <w:tc>
          <w:tcPr/>
          <w:p>
            <w:pPr>
              <w:pStyle w:val="Compact"/>
            </w:pPr>
            <w:r>
              <w:t xml:space="preserve">R3</w:t>
            </w:r>
          </w:p>
        </w:tc>
        <w:tc>
          <w:tcPr/>
          <w:p>
            <w:pPr>
              <w:pStyle w:val="Compact"/>
            </w:pPr>
            <w:r>
              <w:t xml:space="preserve">UK GDA Step 3 slips past 2027 → Rolls-Royce A5 caution becomes fail</w:t>
            </w:r>
          </w:p>
        </w:tc>
        <w:tc>
          <w:tcPr/>
          <w:p>
            <w:pPr>
              <w:pStyle w:val="Compact"/>
            </w:pPr>
            <w:r>
              <w:t xml:space="preserve">Medium</w:t>
            </w:r>
          </w:p>
        </w:tc>
        <w:tc>
          <w:tcPr/>
          <w:p>
            <w:pPr>
              <w:pStyle w:val="Compact"/>
            </w:pPr>
            <w:r>
              <w:t xml:space="preserve">Medium</w:t>
            </w:r>
          </w:p>
        </w:tc>
        <w:tc>
          <w:tcPr/>
          <w:p>
            <w:pPr>
              <w:pStyle w:val="Compact"/>
            </w:pPr>
            <w:r>
              <w:t xml:space="preserve">De-prioritize Rolls-Royce in primary portfolio; preserve as 2034–2035 hedge</w:t>
            </w:r>
          </w:p>
        </w:tc>
      </w:tr>
      <w:tr>
        <w:tc>
          <w:tcPr/>
          <w:p>
            <w:pPr>
              <w:pStyle w:val="Compact"/>
            </w:pPr>
            <w:r>
              <w:t xml:space="preserve">R4</w:t>
            </w:r>
          </w:p>
        </w:tc>
        <w:tc>
          <w:tcPr/>
          <w:p>
            <w:pPr>
              <w:pStyle w:val="Compact"/>
            </w:pPr>
            <w:r>
              <w:t xml:space="preserve">EU Taxonomy revisions narrow LWR eligibility</w:t>
            </w:r>
          </w:p>
        </w:tc>
        <w:tc>
          <w:tcPr/>
          <w:p>
            <w:pPr>
              <w:pStyle w:val="Compact"/>
            </w:pPr>
            <w:r>
              <w:t xml:space="preserve">Low</w:t>
            </w:r>
          </w:p>
        </w:tc>
        <w:tc>
          <w:tcPr/>
          <w:p>
            <w:pPr>
              <w:pStyle w:val="Compact"/>
            </w:pPr>
            <w:r>
              <w:t xml:space="preserve">High</w:t>
            </w:r>
          </w:p>
        </w:tc>
        <w:tc>
          <w:tcPr/>
          <w:p>
            <w:pPr>
              <w:pStyle w:val="Compact"/>
            </w:pPr>
            <w:r>
              <w:t xml:space="preserve">Lock CfD before any DG ENV review; align with French/Czech CfD precedents</w:t>
            </w:r>
          </w:p>
        </w:tc>
      </w:tr>
      <w:tr>
        <w:tc>
          <w:tcPr/>
          <w:p>
            <w:pPr>
              <w:pStyle w:val="Compact"/>
            </w:pPr>
            <w:r>
              <w:t xml:space="preserve">R5</w:t>
            </w:r>
          </w:p>
        </w:tc>
        <w:tc>
          <w:tcPr/>
          <w:p>
            <w:pPr>
              <w:pStyle w:val="Compact"/>
            </w:pPr>
            <w:r>
              <w:t xml:space="preserve">Russia HALEU import ban modifications change Panel B economics</w:t>
            </w:r>
          </w:p>
        </w:tc>
        <w:tc>
          <w:tcPr/>
          <w:p>
            <w:pPr>
              <w:pStyle w:val="Compact"/>
            </w:pPr>
            <w:r>
              <w:t xml:space="preserve">Low</w:t>
            </w:r>
          </w:p>
        </w:tc>
        <w:tc>
          <w:tcPr/>
          <w:p>
            <w:pPr>
              <w:pStyle w:val="Compact"/>
            </w:pPr>
            <w:r>
              <w:t xml:space="preserve">Low (for 2033)</w:t>
            </w:r>
          </w:p>
        </w:tc>
        <w:tc>
          <w:tcPr/>
          <w:p>
            <w:pPr>
              <w:pStyle w:val="Compact"/>
            </w:pPr>
            <w:r>
              <w:t xml:space="preserve">Monitor; would only matter post-2030 for non-LWR pathway</w:t>
            </w:r>
          </w:p>
        </w:tc>
      </w:tr>
      <w:tr>
        <w:tc>
          <w:tcPr/>
          <w:p>
            <w:pPr>
              <w:pStyle w:val="Compact"/>
            </w:pPr>
            <w:r>
              <w:t xml:space="preserve">R6</w:t>
            </w:r>
          </w:p>
        </w:tc>
        <w:tc>
          <w:tcPr/>
          <w:p>
            <w:pPr>
              <w:pStyle w:val="Compact"/>
            </w:pPr>
            <w:r>
              <w:t xml:space="preserve">Romanian DAM convergence with EU central price (€80→€60 by 2032)</w:t>
            </w:r>
          </w:p>
        </w:tc>
        <w:tc>
          <w:tcPr/>
          <w:p>
            <w:pPr>
              <w:pStyle w:val="Compact"/>
            </w:pPr>
            <w:r>
              <w:t xml:space="preserve">Medium</w:t>
            </w:r>
          </w:p>
        </w:tc>
        <w:tc>
          <w:tcPr/>
          <w:p>
            <w:pPr>
              <w:pStyle w:val="Compact"/>
            </w:pPr>
            <w:r>
              <w:t xml:space="preserve">Medium</w:t>
            </w:r>
          </w:p>
        </w:tc>
        <w:tc>
          <w:tcPr/>
          <w:p>
            <w:pPr>
              <w:pStyle w:val="Compact"/>
            </w:pPr>
            <w:r>
              <w:t xml:space="preserve">Lock CfD strike now; do not assume DAM exposure at FOAK</w:t>
            </w:r>
          </w:p>
        </w:tc>
      </w:tr>
      <w:tr>
        <w:tc>
          <w:tcPr/>
          <w:p>
            <w:pPr>
              <w:pStyle w:val="Compact"/>
            </w:pPr>
            <w:r>
              <w:t xml:space="preserve">R7</w:t>
            </w:r>
          </w:p>
        </w:tc>
        <w:tc>
          <w:tcPr/>
          <w:p>
            <w:pPr>
              <w:pStyle w:val="Compact"/>
            </w:pPr>
            <w:r>
              <w:t xml:space="preserve">CNCAN capacity to license a new design in &lt;60 months</w:t>
            </w:r>
          </w:p>
        </w:tc>
        <w:tc>
          <w:tcPr/>
          <w:p>
            <w:pPr>
              <w:pStyle w:val="Compact"/>
            </w:pPr>
            <w:r>
              <w:t xml:space="preserve">Medium</w:t>
            </w:r>
          </w:p>
        </w:tc>
        <w:tc>
          <w:tcPr/>
          <w:p>
            <w:pPr>
              <w:pStyle w:val="Compact"/>
            </w:pPr>
            <w:r>
              <w:t xml:space="preserve">High</w:t>
            </w:r>
          </w:p>
        </w:tc>
        <w:tc>
          <w:tcPr/>
          <w:p>
            <w:pPr>
              <w:pStyle w:val="Compact"/>
            </w:pPr>
            <w:r>
              <w:t xml:space="preserve">Exploit existing CNCAN-NRC reciprocity for BWRX (NRC ESBWR cert); for NuScale, build on existing RoPower work</w:t>
            </w:r>
          </w:p>
        </w:tc>
      </w:tr>
      <w:tr>
        <w:tc>
          <w:tcPr/>
          <w:p>
            <w:pPr>
              <w:pStyle w:val="Compact"/>
            </w:pPr>
            <w:r>
              <w:t xml:space="preserve">R8</w:t>
            </w:r>
          </w:p>
        </w:tc>
        <w:tc>
          <w:tcPr/>
          <w:p>
            <w:pPr>
              <w:pStyle w:val="Compact"/>
            </w:pPr>
            <w:r>
              <w:t xml:space="preserve">Cernavoda Units 3+4 CANDU programme absorbs SNN engineering capacity</w:t>
            </w:r>
          </w:p>
        </w:tc>
        <w:tc>
          <w:tcPr/>
          <w:p>
            <w:pPr>
              <w:pStyle w:val="Compact"/>
            </w:pPr>
            <w:r>
              <w:t xml:space="preserve">High</w:t>
            </w:r>
          </w:p>
        </w:tc>
        <w:tc>
          <w:tcPr/>
          <w:p>
            <w:pPr>
              <w:pStyle w:val="Compact"/>
            </w:pPr>
            <w:r>
              <w:t xml:space="preserve">Medium</w:t>
            </w:r>
          </w:p>
        </w:tc>
        <w:tc>
          <w:tcPr/>
          <w:p>
            <w:pPr>
              <w:pStyle w:val="Compact"/>
            </w:pPr>
            <w:r>
              <w:t xml:space="preserve">Phase SMR site work after CANDU commercial close-out; or restructure organizational split</w:t>
            </w:r>
          </w:p>
        </w:tc>
      </w:tr>
    </w:tbl>
    <w:p>
      <w:r>
        <w:pict>
          <v:rect style="width:0;height:1.5pt" o:hralign="center" o:hrstd="t" o:hr="t"/>
        </w:pict>
      </w:r>
    </w:p>
    <w:bookmarkEnd w:id="47"/>
    <w:bookmarkStart w:id="51" w:name="open-data-gaps"/>
    <w:p>
      <w:pPr>
        <w:pStyle w:val="Heading2"/>
      </w:pPr>
      <w:r>
        <w:t xml:space="preserve">10. Open data gaps</w:t>
      </w:r>
    </w:p>
    <w:p>
      <w:pPr>
        <w:pStyle w:val="FirstParagraph"/>
      </w:pPr>
      <w:r>
        <w:t xml:space="preserve">For each top-3 design, the data gaps flagged by the LLM evaluation runs (</w:t>
      </w:r>
      <w:r>
        <w:rPr>
          <w:rStyle w:val="VerbatimChar"/>
        </w:rPr>
        <w:t xml:space="preserve">llm_runs/*.md</w:t>
      </w:r>
      <w:r>
        <w:t xml:space="preserve">) that materially affect the Phase 2 verdict are:</w:t>
      </w:r>
    </w:p>
    <w:bookmarkStart w:id="48" w:name="bwrx-300"/>
    <w:p>
      <w:pPr>
        <w:pStyle w:val="Heading3"/>
      </w:pPr>
      <w:r>
        <w:t xml:space="preserve">BWRX-300</w:t>
      </w:r>
    </w:p>
    <w:p>
      <w:pPr>
        <w:pStyle w:val="Compact"/>
        <w:numPr>
          <w:ilvl w:val="0"/>
          <w:numId w:val="1016"/>
        </w:numPr>
      </w:pPr>
      <w:r>
        <w:t xml:space="preserve">OPG Darlington 1 actual construction cost (only public commitment is CAD $4.7–5.7B pre-construction).</w:t>
      </w:r>
    </w:p>
    <w:p>
      <w:pPr>
        <w:pStyle w:val="Compact"/>
        <w:numPr>
          <w:ilvl w:val="0"/>
          <w:numId w:val="1016"/>
        </w:numPr>
      </w:pPr>
      <w:r>
        <w:t xml:space="preserve">TVA Clinch River CWIP-stage cost disclosure (expected late 2026).</w:t>
      </w:r>
    </w:p>
    <w:p>
      <w:pPr>
        <w:pStyle w:val="Compact"/>
        <w:numPr>
          <w:ilvl w:val="0"/>
          <w:numId w:val="1016"/>
        </w:numPr>
      </w:pPr>
      <w:r>
        <w:t xml:space="preserve">BWRX-300 Estonia/Sweden offtake MoU contractual structure (firm vs LOI).</w:t>
      </w:r>
    </w:p>
    <w:bookmarkEnd w:id="48"/>
    <w:bookmarkStart w:id="49" w:name="nuscale-entra1"/>
    <w:p>
      <w:pPr>
        <w:pStyle w:val="Heading3"/>
      </w:pPr>
      <w:r>
        <w:t xml:space="preserve">NuScale ENTRA1</w:t>
      </w:r>
    </w:p>
    <w:p>
      <w:pPr>
        <w:pStyle w:val="Compact"/>
        <w:numPr>
          <w:ilvl w:val="0"/>
          <w:numId w:val="1017"/>
        </w:numPr>
      </w:pPr>
      <w:r>
        <w:t xml:space="preserve">ENTRA1 product-spec freeze date and delta vs VOYGR-6 50 MWe/77 MWe approved configurations.</w:t>
      </w:r>
    </w:p>
    <w:p>
      <w:pPr>
        <w:pStyle w:val="Compact"/>
        <w:numPr>
          <w:ilvl w:val="0"/>
          <w:numId w:val="1017"/>
        </w:numPr>
      </w:pPr>
      <w:r>
        <w:t xml:space="preserve">Updated UAMPS-style FOAK CAPEX disclosure under the 77 MWe SDA.</w:t>
      </w:r>
    </w:p>
    <w:p>
      <w:pPr>
        <w:pStyle w:val="Compact"/>
        <w:numPr>
          <w:ilvl w:val="0"/>
          <w:numId w:val="1017"/>
        </w:numPr>
      </w:pPr>
      <w:r>
        <w:t xml:space="preserve">RoPower JV financing structure (DOE EXIM / EIB / EBRD allocation).</w:t>
      </w:r>
    </w:p>
    <w:bookmarkEnd w:id="49"/>
    <w:bookmarkStart w:id="50" w:name="rolls-royce-smr"/>
    <w:p>
      <w:pPr>
        <w:pStyle w:val="Heading3"/>
      </w:pPr>
      <w:r>
        <w:t xml:space="preserve">Rolls-Royce SMR</w:t>
      </w:r>
    </w:p>
    <w:p>
      <w:pPr>
        <w:pStyle w:val="Compact"/>
        <w:numPr>
          <w:ilvl w:val="0"/>
          <w:numId w:val="1018"/>
        </w:numPr>
      </w:pPr>
      <w:r>
        <w:t xml:space="preserve">UK GDA Step 3 closure date (currently scheduled 2026–2027).</w:t>
      </w:r>
    </w:p>
    <w:p>
      <w:pPr>
        <w:pStyle w:val="Compact"/>
        <w:numPr>
          <w:ilvl w:val="0"/>
          <w:numId w:val="1018"/>
        </w:numPr>
      </w:pPr>
      <w:r>
        <w:t xml:space="preserve">UK FID date for the GBN-selected first unit.</w:t>
      </w:r>
    </w:p>
    <w:p>
      <w:pPr>
        <w:pStyle w:val="Compact"/>
        <w:numPr>
          <w:ilvl w:val="0"/>
          <w:numId w:val="1018"/>
        </w:numPr>
      </w:pPr>
      <w:r>
        <w:t xml:space="preserve">Sheffield Forgemasters / Doosan Czech / Romatom RO-side capacity allocation if RO bid proceeds.</w:t>
      </w:r>
    </w:p>
    <w:p>
      <w:pPr>
        <w:pStyle w:val="FirstParagraph"/>
      </w:pPr>
      <w:r>
        <w:t xml:space="preserve">These gaps are tracked in the per-design corpora at</w:t>
      </w:r>
      <w:r>
        <w:t xml:space="preserve"> </w:t>
      </w:r>
      <w:r>
        <w:rPr>
          <w:rStyle w:val="VerbatimChar"/>
        </w:rPr>
        <w:t xml:space="preserve">dashboard_extracts/0{1,2,3}_*.md</w:t>
      </w:r>
      <w:r>
        <w:t xml:space="preserve"> </w:t>
      </w:r>
      <w:r>
        <w:t xml:space="preserve">§ 5</w:t>
      </w:r>
      <w:r>
        <w:t xml:space="preserve"> </w:t>
      </w:r>
      <w:r>
        <w:t xml:space="preserve">“Open data gaps”</w:t>
      </w:r>
      <w:r>
        <w:t xml:space="preserve">.</w:t>
      </w:r>
    </w:p>
    <w:p>
      <w:r>
        <w:pict>
          <v:rect style="width:0;height:1.5pt" o:hralign="center" o:hrstd="t" o:hr="t"/>
        </w:pict>
      </w:r>
    </w:p>
    <w:bookmarkEnd w:id="50"/>
    <w:bookmarkEnd w:id="51"/>
    <w:bookmarkStart w:id="52" w:name="X83eef295986db8dfcfbfdae93f99b4267b369e5"/>
    <w:p>
      <w:pPr>
        <w:pStyle w:val="Heading2"/>
      </w:pPr>
      <w:r>
        <w:t xml:space="preserve">11. Reproducibility — how to re-run the analysis</w:t>
      </w:r>
    </w:p>
    <w:p>
      <w:pPr>
        <w:pStyle w:val="SourceCode"/>
      </w:pPr>
      <w:r>
        <w:rPr>
          <w:rStyle w:val="BuiltInTok"/>
        </w:rPr>
        <w:t xml:space="preserve">cd</w:t>
      </w:r>
      <w:r>
        <w:rPr>
          <w:rStyle w:val="NormalTok"/>
        </w:rPr>
        <w:t xml:space="preserve"> </w:t>
      </w:r>
      <w:r>
        <w:rPr>
          <w:rStyle w:val="StringTok"/>
        </w:rPr>
        <w:t xml:space="preserve">"report/technology evaluation/economics"</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ExtensionTok"/>
        </w:rPr>
        <w:t xml:space="preserve">.venv/bin/pip</w:t>
      </w:r>
      <w:r>
        <w:rPr>
          <w:rStyle w:val="NormalTok"/>
        </w:rPr>
        <w:t xml:space="preserve"> install matplotlib numpy pandas pyyaml</w:t>
      </w:r>
      <w:r>
        <w:br/>
      </w:r>
      <w:r>
        <w:rPr>
          <w:rStyle w:val="ExtensionTok"/>
        </w:rPr>
        <w:t xml:space="preserve">.venv/bin/python</w:t>
      </w:r>
      <w:r>
        <w:rPr>
          <w:rStyle w:val="NormalTok"/>
        </w:rPr>
        <w:t xml:space="preserve"> smr_economics.py</w:t>
      </w:r>
      <w:r>
        <w:br/>
      </w:r>
      <w:r>
        <w:rPr>
          <w:rStyle w:val="CommentTok"/>
        </w:rPr>
        <w:t xml:space="preserve"># outputs/ regenerated: PNG charts + CSV tables + manifest.json</w:t>
      </w:r>
    </w:p>
    <w:p>
      <w:pPr>
        <w:pStyle w:val="FirstParagraph"/>
      </w:pPr>
      <w:r>
        <w:rPr>
          <w:b/>
          <w:bCs/>
        </w:rPr>
        <w:t xml:space="preserve">Inputs you can change:</w:t>
      </w:r>
    </w:p>
    <w:p>
      <w:pPr>
        <w:pStyle w:val="Compact"/>
        <w:numPr>
          <w:ilvl w:val="0"/>
          <w:numId w:val="1019"/>
        </w:numPr>
      </w:pPr>
      <w:r>
        <w:rPr>
          <w:rStyle w:val="VerbatimChar"/>
        </w:rPr>
        <w:t xml:space="preserve">economics/common_assumptions.yaml</w:t>
      </w:r>
      <w:r>
        <w:t xml:space="preserve"> </w:t>
      </w:r>
      <w:r>
        <w:t xml:space="preserve">— WACC, learning rate defaults, market benchmarks, Monte Carlo seed/n_samples.</w:t>
      </w:r>
    </w:p>
    <w:p>
      <w:pPr>
        <w:pStyle w:val="Compact"/>
        <w:numPr>
          <w:ilvl w:val="0"/>
          <w:numId w:val="1019"/>
        </w:numPr>
      </w:pPr>
      <w:r>
        <w:rPr>
          <w:rStyle w:val="VerbatimChar"/>
        </w:rPr>
        <w:t xml:space="preserve">economics/designs/0{1..9}_*.yaml</w:t>
      </w:r>
      <w:r>
        <w:t xml:space="preserve"> </w:t>
      </w:r>
      <w:r>
        <w:t xml:space="preserve">— per-design CAPEX, O&amp;M, fuel, capacity factor, learning rate, construction years, Tier A status, Panel A/B eligibility flags.</w:t>
      </w:r>
    </w:p>
    <w:p>
      <w:pPr>
        <w:pStyle w:val="FirstParagraph"/>
      </w:pPr>
      <w:r>
        <w:rPr>
          <w:b/>
          <w:bCs/>
        </w:rPr>
        <w:t xml:space="preserve">Outputs (always written to</w:t>
      </w:r>
      <w:r>
        <w:rPr>
          <w:b/>
          <w:bCs/>
        </w:rPr>
        <w:t xml:space="preserve"> </w:t>
      </w:r>
      <w:r>
        <w:rPr>
          <w:rStyle w:val="VerbatimChar"/>
          <w:b/>
          <w:bCs/>
        </w:rPr>
        <w:t xml:space="preserve">outputs/</w:t>
      </w:r>
      <w:r>
        <w:rPr>
          <w:b/>
          <w:bCs/>
        </w:rPr>
        <w:t xml:space="preserve">):</w:t>
      </w:r>
    </w:p>
    <w:p>
      <w:pPr>
        <w:pStyle w:val="Compact"/>
        <w:numPr>
          <w:ilvl w:val="0"/>
          <w:numId w:val="1020"/>
        </w:numPr>
      </w:pPr>
      <w:r>
        <w:rPr>
          <w:rStyle w:val="VerbatimChar"/>
        </w:rPr>
        <w:t xml:space="preserve">headline_panel_a_b.png</w:t>
      </w:r>
      <w:r>
        <w:t xml:space="preserve"> </w:t>
      </w:r>
      <w:r>
        <w:t xml:space="preserve">— Panel A (Tier A passers) + Panel B (top-3 by economics).</w:t>
      </w:r>
    </w:p>
    <w:p>
      <w:pPr>
        <w:pStyle w:val="Compact"/>
        <w:numPr>
          <w:ilvl w:val="0"/>
          <w:numId w:val="1020"/>
        </w:numPr>
      </w:pPr>
      <w:r>
        <w:rPr>
          <w:rStyle w:val="VerbatimChar"/>
        </w:rPr>
        <w:t xml:space="preserve">all_designs_overlay.png</w:t>
      </w:r>
      <w:r>
        <w:t xml:space="preserve"> </w:t>
      </w:r>
      <w:r>
        <w:t xml:space="preserve">— All 9 designs LCOE-vs-cumulative-MW.</w:t>
      </w:r>
    </w:p>
    <w:p>
      <w:pPr>
        <w:pStyle w:val="Compact"/>
        <w:numPr>
          <w:ilvl w:val="0"/>
          <w:numId w:val="1020"/>
        </w:numPr>
      </w:pPr>
      <w:r>
        <w:rPr>
          <w:rStyle w:val="VerbatimChar"/>
        </w:rPr>
        <w:t xml:space="preserve">montecarlo_box.png</w:t>
      </w:r>
      <w:r>
        <w:t xml:space="preserve"> </w:t>
      </w:r>
      <w:r>
        <w:t xml:space="preserve">— P05/P95 boxes at unit 12.</w:t>
      </w:r>
    </w:p>
    <w:p>
      <w:pPr>
        <w:pStyle w:val="Compact"/>
        <w:numPr>
          <w:ilvl w:val="0"/>
          <w:numId w:val="1020"/>
        </w:numPr>
      </w:pPr>
      <w:r>
        <w:rPr>
          <w:rStyle w:val="VerbatimChar"/>
        </w:rPr>
        <w:t xml:space="preserve">sensitivity_tornado_&lt;design&gt;.png</w:t>
      </w:r>
      <w:r>
        <w:t xml:space="preserve"> </w:t>
      </w:r>
      <w:r>
        <w:t xml:space="preserve">— Tornado per top-3 design.</w:t>
      </w:r>
    </w:p>
    <w:p>
      <w:pPr>
        <w:pStyle w:val="Compact"/>
        <w:numPr>
          <w:ilvl w:val="0"/>
          <w:numId w:val="1020"/>
        </w:numPr>
      </w:pPr>
      <w:r>
        <w:rPr>
          <w:rStyle w:val="VerbatimChar"/>
        </w:rPr>
        <w:t xml:space="preserve">design_summary.csv</w:t>
      </w:r>
      <w:r>
        <w:t xml:space="preserve"> </w:t>
      </w:r>
      <w:r>
        <w:t xml:space="preserve">— Locked normalized inputs (plant_net_mwe, site_area_hectares, MWe/ha) for all 9 designs.</w:t>
      </w:r>
    </w:p>
    <w:p>
      <w:pPr>
        <w:pStyle w:val="Compact"/>
        <w:numPr>
          <w:ilvl w:val="0"/>
          <w:numId w:val="1020"/>
        </w:numPr>
      </w:pPr>
      <w:r>
        <w:rPr>
          <w:rStyle w:val="VerbatimChar"/>
        </w:rPr>
        <w:t xml:space="preserve">lcoe_table.csv</w:t>
      </w:r>
      <w:r>
        <w:t xml:space="preserve"> </w:t>
      </w:r>
      <w:r>
        <w:t xml:space="preserve">— LCOE per design × case × unit_n (includes plant_net_mwe and site_area_hectares columns).</w:t>
      </w:r>
    </w:p>
    <w:p>
      <w:pPr>
        <w:pStyle w:val="Compact"/>
        <w:numPr>
          <w:ilvl w:val="0"/>
          <w:numId w:val="1020"/>
        </w:numPr>
      </w:pPr>
      <w:r>
        <w:rPr>
          <w:rStyle w:val="VerbatimChar"/>
        </w:rPr>
        <w:t xml:space="preserve">learning_curves.csv</w:t>
      </w:r>
      <w:r>
        <w:t xml:space="preserve"> </w:t>
      </w:r>
      <w:r>
        <w:t xml:space="preserve">— Full per-unit time series for all designs.</w:t>
      </w:r>
    </w:p>
    <w:p>
      <w:pPr>
        <w:pStyle w:val="Compact"/>
        <w:numPr>
          <w:ilvl w:val="0"/>
          <w:numId w:val="1020"/>
        </w:numPr>
      </w:pPr>
      <w:r>
        <w:rPr>
          <w:rStyle w:val="VerbatimChar"/>
        </w:rPr>
        <w:t xml:space="preserve">breakeven_units.csv</w:t>
      </w:r>
      <w:r>
        <w:t xml:space="preserve"> </w:t>
      </w:r>
      <w:r>
        <w:t xml:space="preserve">— Smallest unit where LCOE ≤ each market benchmark.</w:t>
      </w:r>
    </w:p>
    <w:p>
      <w:pPr>
        <w:pStyle w:val="Compact"/>
        <w:numPr>
          <w:ilvl w:val="0"/>
          <w:numId w:val="1020"/>
        </w:numPr>
      </w:pPr>
      <w:r>
        <w:rPr>
          <w:rStyle w:val="VerbatimChar"/>
        </w:rPr>
        <w:t xml:space="preserve">montecarlo_summary.csv</w:t>
      </w:r>
      <w:r>
        <w:t xml:space="preserve"> </w:t>
      </w:r>
      <w:r>
        <w:t xml:space="preserve">— P05/P25/P50/P75/P95 per design at unit 12.</w:t>
      </w:r>
    </w:p>
    <w:p>
      <w:pPr>
        <w:pStyle w:val="Compact"/>
        <w:numPr>
          <w:ilvl w:val="0"/>
          <w:numId w:val="1020"/>
        </w:numPr>
      </w:pPr>
      <w:r>
        <w:rPr>
          <w:rStyle w:val="VerbatimChar"/>
        </w:rPr>
        <w:t xml:space="preserve">sensitivity_tornado_summary.csv</w:t>
      </w:r>
      <w:r>
        <w:t xml:space="preserve"> </w:t>
      </w:r>
      <w:r>
        <w:t xml:space="preserve">— Top swing parameter per design.</w:t>
      </w:r>
    </w:p>
    <w:p>
      <w:pPr>
        <w:pStyle w:val="Compact"/>
        <w:numPr>
          <w:ilvl w:val="0"/>
          <w:numId w:val="1020"/>
        </w:numPr>
      </w:pPr>
      <w:r>
        <w:rPr>
          <w:rStyle w:val="VerbatimChar"/>
        </w:rPr>
        <w:t xml:space="preserve">manifest.json</w:t>
      </w:r>
      <w:r>
        <w:t xml:space="preserve"> </w:t>
      </w:r>
      <w:r>
        <w:t xml:space="preserve">— Generation timestamp + Panel A/B membership.</w:t>
      </w:r>
    </w:p>
    <w:p>
      <w:pPr>
        <w:pStyle w:val="FirstParagraph"/>
      </w:pPr>
      <w:r>
        <w:rPr>
          <w:b/>
          <w:bCs/>
        </w:rPr>
        <w:t xml:space="preserve">Self-review checklist</w:t>
      </w:r>
      <w:r>
        <w:t xml:space="preserve"> </w:t>
      </w:r>
      <w:r>
        <w:t xml:space="preserve">(anti-hallucination per</w:t>
      </w:r>
      <w:r>
        <w:t xml:space="preserve"> </w:t>
      </w:r>
      <w:r>
        <w:rPr>
          <w:rStyle w:val="VerbatimChar"/>
        </w:rPr>
        <w:t xml:space="preserve">llm-dedup-safety</w:t>
      </w:r>
      <w:r>
        <w:t xml:space="preserve"> </w:t>
      </w:r>
      <w:r>
        <w:t xml:space="preserve">rule):</w:t>
      </w:r>
    </w:p>
    <w:p>
      <w:pPr>
        <w:pStyle w:val="Compact"/>
        <w:numPr>
          <w:ilvl w:val="0"/>
          <w:numId w:val="1021"/>
        </w:numPr>
      </w:pPr>
      <w:r>
        <w:t xml:space="preserve">All claims in this report cite a source corpus, LLM run, or model output by file path.</w:t>
      </w:r>
    </w:p>
    <w:p>
      <w:pPr>
        <w:pStyle w:val="Compact"/>
        <w:numPr>
          <w:ilvl w:val="0"/>
          <w:numId w:val="1022"/>
        </w:numPr>
      </w:pPr>
      <w:r>
        <w:t xml:space="preserve">All cost/CAPEX figures bounded by low/central/high triples with explicit confidence tag.</w:t>
      </w:r>
    </w:p>
    <w:p>
      <w:pPr>
        <w:pStyle w:val="Compact"/>
        <w:numPr>
          <w:ilvl w:val="0"/>
          <w:numId w:val="1023"/>
        </w:numPr>
      </w:pPr>
      <w:r>
        <w:t xml:space="preserve">Tier A/B/C scoring follows</w:t>
      </w:r>
      <w:r>
        <w:t xml:space="preserve"> </w:t>
      </w:r>
      <w:r>
        <w:rPr>
          <w:rStyle w:val="VerbatimChar"/>
        </w:rPr>
        <w:t xml:space="preserve">smr_evaluation_methodology.md</w:t>
      </w:r>
      <w:r>
        <w:t xml:space="preserve"> </w:t>
      </w:r>
      <w:r>
        <w:t xml:space="preserve">v1.1.</w:t>
      </w:r>
    </w:p>
    <w:p>
      <w:pPr>
        <w:pStyle w:val="Compact"/>
        <w:numPr>
          <w:ilvl w:val="0"/>
          <w:numId w:val="1024"/>
        </w:numPr>
      </w:pPr>
      <w:r>
        <w:t xml:space="preserve">Economic model parameters cross-checked between</w:t>
      </w:r>
      <w:r>
        <w:t xml:space="preserve"> </w:t>
      </w:r>
      <w:r>
        <w:rPr>
          <w:rStyle w:val="VerbatimChar"/>
        </w:rPr>
        <w:t xml:space="preserve">common_assumptions.yaml</w:t>
      </w:r>
      <w:r>
        <w:t xml:space="preserve"> </w:t>
      </w:r>
      <w:r>
        <w:t xml:space="preserve">and per-design YAMLs.</w:t>
      </w:r>
    </w:p>
    <w:p>
      <w:pPr>
        <w:pStyle w:val="Compact"/>
        <w:numPr>
          <w:ilvl w:val="0"/>
          <w:numId w:val="1025"/>
        </w:numPr>
      </w:pPr>
      <w:r>
        <w:t xml:space="preserve">No claim of vendor-disclosed cost is made without bounds wider than the vendor’s own range (FOAK uncertainty discipline).</w:t>
      </w:r>
    </w:p>
    <w:p>
      <w:pPr>
        <w:pStyle w:val="Compact"/>
        <w:numPr>
          <w:ilvl w:val="0"/>
          <w:numId w:val="1026"/>
        </w:numPr>
      </w:pPr>
      <w:r>
        <w:t xml:space="preserve">HALEU supply position (</w:t>
      </w:r>
      <w:r>
        <w:rPr>
          <w:rStyle w:val="VerbatimChar"/>
        </w:rPr>
        <w:t xml:space="preserve">00_haleu_supply_snapshot.md</w:t>
      </w:r>
      <w:r>
        <w:t xml:space="preserve">) is the canonical reference for A2 verdicts across all four non-LWR designs.</w:t>
      </w:r>
    </w:p>
    <w:p>
      <w:r>
        <w:pict>
          <v:rect style="width:0;height:1.5pt" o:hralign="center" o:hrstd="t" o:hr="t"/>
        </w:pict>
      </w:r>
    </w:p>
    <w:bookmarkEnd w:id="52"/>
    <w:bookmarkStart w:id="56" w:name="references"/>
    <w:p>
      <w:pPr>
        <w:pStyle w:val="Heading2"/>
      </w:pPr>
      <w:r>
        <w:t xml:space="preserve">12. References</w:t>
      </w:r>
    </w:p>
    <w:bookmarkStart w:id="53" w:name="methodology-corpora-this-repository"/>
    <w:p>
      <w:pPr>
        <w:pStyle w:val="Heading3"/>
      </w:pPr>
      <w:r>
        <w:t xml:space="preserve">Methodology + corpora (this repository)</w:t>
      </w:r>
    </w:p>
    <w:p>
      <w:pPr>
        <w:pStyle w:val="Compact"/>
        <w:numPr>
          <w:ilvl w:val="0"/>
          <w:numId w:val="1027"/>
        </w:numPr>
      </w:pPr>
      <w:r>
        <w:rPr>
          <w:rStyle w:val="VerbatimChar"/>
        </w:rPr>
        <w:t xml:space="preserve">smr_evaluation_methodology.md</w:t>
      </w:r>
      <w:r>
        <w:t xml:space="preserve"> </w:t>
      </w:r>
      <w:r>
        <w:t xml:space="preserve">v1.1 — three-tier evaluation framework.</w:t>
      </w:r>
    </w:p>
    <w:p>
      <w:pPr>
        <w:pStyle w:val="Compact"/>
        <w:numPr>
          <w:ilvl w:val="0"/>
          <w:numId w:val="1027"/>
        </w:numPr>
      </w:pPr>
      <w:r>
        <w:rPr>
          <w:rStyle w:val="VerbatimChar"/>
        </w:rPr>
        <w:t xml:space="preserve">smr_evaluation_prompt.md</w:t>
      </w:r>
      <w:r>
        <w:t xml:space="preserve"> </w:t>
      </w:r>
      <w:r>
        <w:t xml:space="preserve">v1.1 — LLM operationalization template.</w:t>
      </w:r>
    </w:p>
    <w:p>
      <w:pPr>
        <w:pStyle w:val="Compact"/>
        <w:numPr>
          <w:ilvl w:val="0"/>
          <w:numId w:val="1027"/>
        </w:numPr>
      </w:pPr>
      <w:r>
        <w:rPr>
          <w:rStyle w:val="VerbatimChar"/>
        </w:rPr>
        <w:t xml:space="preserve">dashboard_extracts/README.md</w:t>
      </w:r>
      <w:r>
        <w:t xml:space="preserve"> </w:t>
      </w:r>
      <w:r>
        <w:t xml:space="preserve">— corpus structure.</w:t>
      </w:r>
    </w:p>
    <w:p>
      <w:pPr>
        <w:pStyle w:val="Compact"/>
        <w:numPr>
          <w:ilvl w:val="0"/>
          <w:numId w:val="1027"/>
        </w:numPr>
      </w:pPr>
      <w:r>
        <w:rPr>
          <w:rStyle w:val="VerbatimChar"/>
        </w:rPr>
        <w:t xml:space="preserve">dashboard_extracts/00_design_normalized_inputs.md</w:t>
      </w:r>
      <w:r>
        <w:t xml:space="preserve"> </w:t>
      </w:r>
      <w:r>
        <w:t xml:space="preserve">—</w:t>
      </w:r>
      <w:r>
        <w:t xml:space="preserve"> </w:t>
      </w:r>
      <w:r>
        <w:rPr>
          <w:b/>
          <w:bCs/>
        </w:rPr>
        <w:t xml:space="preserve">locked plant-size + site-area inputs</w:t>
      </w:r>
      <w:r>
        <w:t xml:space="preserve"> </w:t>
      </w:r>
      <w:r>
        <w:t xml:space="preserve">(single source of truth, project sponsor decision 2026-04-21).</w:t>
      </w:r>
    </w:p>
    <w:p>
      <w:pPr>
        <w:pStyle w:val="Compact"/>
        <w:numPr>
          <w:ilvl w:val="0"/>
          <w:numId w:val="1027"/>
        </w:numPr>
      </w:pPr>
      <w:r>
        <w:rPr>
          <w:rStyle w:val="VerbatimChar"/>
        </w:rPr>
        <w:t xml:space="preserve">dashboard_extracts/00_haleu_supply_snapshot.md</w:t>
      </w:r>
      <w:r>
        <w:t xml:space="preserve"> </w:t>
      </w:r>
      <w:r>
        <w:t xml:space="preserve">— HALEU supply chain (April 2026).</w:t>
      </w:r>
    </w:p>
    <w:p>
      <w:pPr>
        <w:pStyle w:val="Compact"/>
        <w:numPr>
          <w:ilvl w:val="0"/>
          <w:numId w:val="1027"/>
        </w:numPr>
      </w:pPr>
      <w:r>
        <w:rPr>
          <w:rStyle w:val="VerbatimChar"/>
        </w:rPr>
        <w:t xml:space="preserve">dashboard_extracts/00_romania_market_snapshot.md</w:t>
      </w:r>
      <w:r>
        <w:t xml:space="preserve"> </w:t>
      </w:r>
      <w:r>
        <w:t xml:space="preserve">— RO DAM + EU CfD benchmarks (April 2026).</w:t>
      </w:r>
    </w:p>
    <w:p>
      <w:pPr>
        <w:pStyle w:val="Compact"/>
        <w:numPr>
          <w:ilvl w:val="0"/>
          <w:numId w:val="1027"/>
        </w:numPr>
      </w:pPr>
      <w:r>
        <w:rPr>
          <w:rStyle w:val="VerbatimChar"/>
        </w:rPr>
        <w:t xml:space="preserve">dashboard_extracts/0{1..9}_*.md</w:t>
      </w:r>
      <w:r>
        <w:t xml:space="preserve"> </w:t>
      </w:r>
      <w:r>
        <w:t xml:space="preserve">— per-design evidence corpora (9 files).</w:t>
      </w:r>
    </w:p>
    <w:p>
      <w:pPr>
        <w:pStyle w:val="Compact"/>
        <w:numPr>
          <w:ilvl w:val="0"/>
          <w:numId w:val="1027"/>
        </w:numPr>
      </w:pPr>
      <w:r>
        <w:rPr>
          <w:rStyle w:val="VerbatimChar"/>
        </w:rPr>
        <w:t xml:space="preserve">llm_runs/0{1..9}_*.md</w:t>
      </w:r>
      <w:r>
        <w:t xml:space="preserve"> </w:t>
      </w:r>
      <w:r>
        <w:t xml:space="preserve">— per-design LLM evaluation runs (9 files: JSON + analyst summary).</w:t>
      </w:r>
    </w:p>
    <w:bookmarkEnd w:id="53"/>
    <w:bookmarkStart w:id="54" w:name="Xc17376300e378b548ae1d58a661940134583270"/>
    <w:p>
      <w:pPr>
        <w:pStyle w:val="Heading3"/>
      </w:pPr>
      <w:r>
        <w:t xml:space="preserve">Primary regulator / vendor sources cited in the corpora</w:t>
      </w:r>
    </w:p>
    <w:p>
      <w:pPr>
        <w:pStyle w:val="Compact"/>
        <w:numPr>
          <w:ilvl w:val="0"/>
          <w:numId w:val="1028"/>
        </w:numPr>
      </w:pPr>
      <w:r>
        <w:t xml:space="preserve">US NRC ML library — VOYGR-6 SDA (2020), NuScale 77 MWe SDA (2025, NRC 25-033), TVA CWIP (2024), TerraPower CPA (2024), Oklo COL denial (2022, ML22020A028).</w:t>
      </w:r>
    </w:p>
    <w:p>
      <w:pPr>
        <w:pStyle w:val="Compact"/>
        <w:numPr>
          <w:ilvl w:val="0"/>
          <w:numId w:val="1028"/>
        </w:numPr>
      </w:pPr>
      <w:r>
        <w:t xml:space="preserve">UK ONR — Rolls-Royce SMR GDA Step 1/2 closure reports (2024); Step 3 progress reports (2025).</w:t>
      </w:r>
    </w:p>
    <w:p>
      <w:pPr>
        <w:pStyle w:val="Compact"/>
        <w:numPr>
          <w:ilvl w:val="0"/>
          <w:numId w:val="1028"/>
        </w:numPr>
      </w:pPr>
      <w:r>
        <w:t xml:space="preserve">ASNR (formerly ASN) — NUWARD Phase 1 review summary (2024); EU Joint Early Review re-engagement (October 2025).</w:t>
      </w:r>
    </w:p>
    <w:p>
      <w:pPr>
        <w:pStyle w:val="Compact"/>
        <w:numPr>
          <w:ilvl w:val="0"/>
          <w:numId w:val="1028"/>
        </w:numPr>
      </w:pPr>
      <w:r>
        <w:t xml:space="preserve">NEA Small Modular Reactor Dashboard, 3rd Edition (NEA No. 7737, © OECD 2025) —</w:t>
      </w:r>
      <w:r>
        <w:t xml:space="preserve"> </w:t>
      </w:r>
      <w:r>
        <w:rPr>
          <w:rStyle w:val="VerbatimChar"/>
        </w:rPr>
        <w:t xml:space="preserve">references/The NEA Small Modular Reactor Dashboard_ Third Edition.pdf</w:t>
      </w:r>
      <w:r>
        <w:t xml:space="preserve">.</w:t>
      </w:r>
    </w:p>
    <w:p>
      <w:pPr>
        <w:pStyle w:val="Compact"/>
        <w:numPr>
          <w:ilvl w:val="0"/>
          <w:numId w:val="1028"/>
        </w:numPr>
      </w:pPr>
      <w:r>
        <w:t xml:space="preserve">DOE Office of Nuclear Energy / DOE-NE 2024 HALEU production milestones; Centrus Energy 10-Q filings.</w:t>
      </w:r>
    </w:p>
    <w:p>
      <w:pPr>
        <w:pStyle w:val="Compact"/>
        <w:numPr>
          <w:ilvl w:val="0"/>
          <w:numId w:val="1028"/>
        </w:numPr>
      </w:pPr>
      <w:r>
        <w:t xml:space="preserve">OPCOM RO Day-Ahead Market reports (</w:t>
      </w:r>
      <w:r>
        <w:rPr>
          <w:rStyle w:val="VerbatimChar"/>
        </w:rPr>
        <w:t xml:space="preserve">references/OPCOM_2025_Annual_Market_Report.pdf</w:t>
      </w:r>
      <w:r>
        <w:t xml:space="preserve">, monthly Aug + Dec 2025 archived).</w:t>
      </w:r>
    </w:p>
    <w:p>
      <w:pPr>
        <w:pStyle w:val="Compact"/>
        <w:numPr>
          <w:ilvl w:val="0"/>
          <w:numId w:val="1028"/>
        </w:numPr>
      </w:pPr>
      <w:r>
        <w:t xml:space="preserve">EDF/NUWARD JER Phase 2 Closure Report (</w:t>
      </w:r>
      <w:r>
        <w:rPr>
          <w:rStyle w:val="VerbatimChar"/>
        </w:rPr>
        <w:t xml:space="preserve">references/NUWARD_JER_Phase2_Closure_Report.pdf</w:t>
      </w:r>
      <w:r>
        <w:t xml:space="preserve">).</w:t>
      </w:r>
    </w:p>
    <w:bookmarkEnd w:id="54"/>
    <w:bookmarkStart w:id="55" w:name="secondary-literature-analyst-priors"/>
    <w:p>
      <w:pPr>
        <w:pStyle w:val="Heading3"/>
      </w:pPr>
      <w:r>
        <w:t xml:space="preserve">Secondary literature (analyst priors)</w:t>
      </w:r>
    </w:p>
    <w:p>
      <w:pPr>
        <w:pStyle w:val="Compact"/>
        <w:numPr>
          <w:ilvl w:val="0"/>
          <w:numId w:val="1029"/>
        </w:numPr>
      </w:pPr>
      <w:r>
        <w:t xml:space="preserve">IEA,</w:t>
      </w:r>
      <w:r>
        <w:t xml:space="preserve"> </w:t>
      </w:r>
      <w:r>
        <w:rPr>
          <w:i/>
          <w:iCs/>
        </w:rPr>
        <w:t xml:space="preserve">Energy Technology Perspectives 2024</w:t>
      </w:r>
      <w:r>
        <w:t xml:space="preserve"> </w:t>
      </w:r>
      <w:r>
        <w:t xml:space="preserve">— nuclear learning rates 0–10 %.</w:t>
      </w:r>
    </w:p>
    <w:p>
      <w:pPr>
        <w:pStyle w:val="Compact"/>
        <w:numPr>
          <w:ilvl w:val="0"/>
          <w:numId w:val="1029"/>
        </w:numPr>
      </w:pPr>
      <w:r>
        <w:t xml:space="preserve">NEA,</w:t>
      </w:r>
      <w:r>
        <w:t xml:space="preserve"> </w:t>
      </w:r>
      <w:r>
        <w:rPr>
          <w:i/>
          <w:iCs/>
        </w:rPr>
        <w:t xml:space="preserve">Unlocking Reductions in the Construction Costs of Nuclear</w:t>
      </w:r>
      <w:r>
        <w:t xml:space="preserve"> </w:t>
      </w:r>
      <w:r>
        <w:t xml:space="preserve">(2020) — historical LR 8–15 % for serial nuclear builds.</w:t>
      </w:r>
    </w:p>
    <w:p>
      <w:pPr>
        <w:pStyle w:val="Compact"/>
        <w:numPr>
          <w:ilvl w:val="0"/>
          <w:numId w:val="1029"/>
        </w:numPr>
      </w:pPr>
      <w:r>
        <w:t xml:space="preserve">NEA / IEA,</w:t>
      </w:r>
      <w:r>
        <w:t xml:space="preserve"> </w:t>
      </w:r>
      <w:r>
        <w:rPr>
          <w:i/>
          <w:iCs/>
        </w:rPr>
        <w:t xml:space="preserve">Projected Costs of Generating Electricity 2020</w:t>
      </w:r>
      <w:r>
        <w:t xml:space="preserve"> </w:t>
      </w:r>
      <w:r>
        <w:t xml:space="preserve">— discount-rate framework.</w:t>
      </w:r>
    </w:p>
    <w:p>
      <w:pPr>
        <w:pStyle w:val="Compact"/>
        <w:numPr>
          <w:ilvl w:val="0"/>
          <w:numId w:val="1029"/>
        </w:numPr>
      </w:pPr>
      <w:r>
        <w:t xml:space="preserve">MIT,</w:t>
      </w:r>
      <w:r>
        <w:t xml:space="preserve"> </w:t>
      </w:r>
      <w:r>
        <w:rPr>
          <w:i/>
          <w:iCs/>
        </w:rPr>
        <w:t xml:space="preserve">The Future of Nuclear Energy in a Carbon-Constrained World</w:t>
      </w:r>
      <w:r>
        <w:t xml:space="preserve"> </w:t>
      </w:r>
      <w:r>
        <w:t xml:space="preserve">(2018) — 60-year operating life convention.</w:t>
      </w:r>
    </w:p>
    <w:p>
      <w:pPr>
        <w:pStyle w:val="Compact"/>
        <w:numPr>
          <w:ilvl w:val="0"/>
          <w:numId w:val="1029"/>
        </w:numPr>
      </w:pPr>
      <w:r>
        <w:t xml:space="preserve">IAEA,</w:t>
      </w:r>
      <w:r>
        <w:t xml:space="preserve"> </w:t>
      </w:r>
      <w:r>
        <w:rPr>
          <w:i/>
          <w:iCs/>
        </w:rPr>
        <w:t xml:space="preserve">Advances in Small Modular Reactor Technology Developments 2022</w:t>
      </w:r>
      <w:r>
        <w:t xml:space="preserve"> </w:t>
      </w:r>
      <w:r>
        <w:t xml:space="preserve">— design taxonomy.</w:t>
      </w:r>
    </w:p>
    <w:p>
      <w:r>
        <w:pict>
          <v:rect style="width:0;height:1.5pt" o:hralign="center" o:hrstd="t" o:hr="t"/>
        </w:pict>
      </w:r>
    </w:p>
    <w:p>
      <w:pPr>
        <w:pStyle w:val="FirstParagraph"/>
      </w:pPr>
      <w:r>
        <w:rPr>
          <w:i/>
          <w:iCs/>
        </w:rPr>
        <w:t xml:space="preserve">End of report. For questions on methodology, see</w:t>
      </w:r>
      <w:r>
        <w:rPr>
          <w:i/>
          <w:iCs/>
        </w:rPr>
        <w:t xml:space="preserve"> </w:t>
      </w:r>
      <w:r>
        <w:rPr>
          <w:rStyle w:val="VerbatimChar"/>
          <w:i/>
          <w:iCs/>
        </w:rPr>
        <w:t xml:space="preserve">smr_evaluation_methodology.md</w:t>
      </w:r>
      <w:r>
        <w:rPr>
          <w:i/>
          <w:iCs/>
        </w:rPr>
        <w:t xml:space="preserve">. For the LLM prompt template, see</w:t>
      </w:r>
      <w:r>
        <w:rPr>
          <w:i/>
          <w:iCs/>
        </w:rPr>
        <w:t xml:space="preserve"> </w:t>
      </w:r>
      <w:r>
        <w:rPr>
          <w:rStyle w:val="VerbatimChar"/>
          <w:i/>
          <w:iCs/>
        </w:rPr>
        <w:t xml:space="preserve">smr_evaluation_prompt.md</w:t>
      </w:r>
      <w:r>
        <w:rPr>
          <w:i/>
          <w:iCs/>
        </w:rPr>
        <w:t xml:space="preserve">. For raw economic model output, see</w:t>
      </w:r>
      <w:r>
        <w:rPr>
          <w:i/>
          <w:iCs/>
        </w:rPr>
        <w:t xml:space="preserve"> </w:t>
      </w:r>
      <w:r>
        <w:rPr>
          <w:rStyle w:val="VerbatimChar"/>
          <w:i/>
          <w:iCs/>
        </w:rPr>
        <w:t xml:space="preserve">economics/outputs/</w:t>
      </w:r>
      <w:r>
        <w:rPr>
          <w:i/>
          <w:iCs/>
        </w:rPr>
        <w:t xml:space="preserve">. For per-design evidence, see</w:t>
      </w:r>
      <w:r>
        <w:rPr>
          <w:i/>
          <w:iCs/>
        </w:rPr>
        <w:t xml:space="preserve"> </w:t>
      </w:r>
      <w:r>
        <w:rPr>
          <w:rStyle w:val="VerbatimChar"/>
          <w:i/>
          <w:iCs/>
        </w:rPr>
        <w:t xml:space="preserve">dashboard_extracts/</w:t>
      </w:r>
      <w:r>
        <w:rPr>
          <w:i/>
          <w:iCs/>
        </w:rPr>
        <w:t xml:space="preserve"> </w:t>
      </w:r>
      <w:r>
        <w:rPr>
          <w:i/>
          <w:iCs/>
        </w:rPr>
        <w:t xml:space="preserve">and</w:t>
      </w:r>
      <w:r>
        <w:rPr>
          <w:i/>
          <w:iCs/>
        </w:rPr>
        <w:t xml:space="preserve"> </w:t>
      </w:r>
      <w:r>
        <w:rPr>
          <w:rStyle w:val="VerbatimChar"/>
          <w:i/>
          <w:iCs/>
        </w:rPr>
        <w:t xml:space="preserve">llm_runs/</w:t>
      </w:r>
      <w:r>
        <w:rPr>
          <w:i/>
          <w:iCs/>
        </w:rP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3"/>
  </w:num>
  <w:num w:numId="1022">
    <w:abstractNumId w:val="993"/>
  </w:num>
  <w:num w:numId="1023">
    <w:abstractNumId w:val="993"/>
  </w:num>
  <w:num w:numId="1024">
    <w:abstractNumId w:val="993"/>
  </w:num>
  <w:num w:numId="1025">
    <w:abstractNumId w:val="993"/>
  </w:num>
  <w:num w:numId="1026">
    <w:abstractNumId w:val="993"/>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9" Target="media/rId9.png" /><Relationship Type="http://schemas.openxmlformats.org/officeDocument/2006/relationships/image" Id="rId27" Target="media/rId27.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2026-04-21T13:49:18Z</dcterms:created>
  <dcterms:modified xsi:type="dcterms:W3CDTF">2026-04-21T13:49:18Z</dcterms:modified>
</cp:coreProperties>
</file>

<file path=docProps/custom.xml><?xml version="1.0" encoding="utf-8"?>
<Properties xmlns="http://schemas.openxmlformats.org/officeDocument/2006/custom-properties" xmlns:vt="http://schemas.openxmlformats.org/officeDocument/2006/docPropsVTypes"/>
</file>