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Tercio S. Azevedo</w:t>
      </w:r>
      <w:r>
        <w:t xml:space="preserve"> </w:t>
      </w:r>
      <w:r>
        <w:t xml:space="preserve">Independent Researcher</w:t>
      </w:r>
      <w:r>
        <w:t xml:space="preserve"> </w:t>
      </w:r>
      <w:r>
        <w:t xml:space="preserve">Sao Carlos, SP, Brazil</w:t>
      </w:r>
      <w:r>
        <w:t xml:space="preserve"> </w:t>
      </w:r>
      <w:r>
        <w:t xml:space="preserve">terciosilas@gmail.com</w:t>
      </w:r>
    </w:p>
    <w:p>
      <w:pPr>
        <w:pStyle w:val="BodyText"/>
      </w:pPr>
      <w:r>
        <w:t xml:space="preserve">Date: March 2026</w:t>
      </w:r>
    </w:p>
    <w:p>
      <w:pPr>
        <w:pStyle w:val="BodyText"/>
      </w:pPr>
      <w:r>
        <w:t xml:space="preserve">Editor-in-Chief</w:t>
      </w:r>
      <w:r>
        <w:t xml:space="preserve"> </w:t>
      </w:r>
      <w:r>
        <w:t xml:space="preserve">GeroScience</w:t>
      </w:r>
      <w:r>
        <w:t xml:space="preserve"> </w:t>
      </w:r>
      <w:r>
        <w:t xml:space="preserve">American Aging Association / Springer Nature</w:t>
      </w:r>
    </w:p>
    <w:p>
      <w:pPr>
        <w:pStyle w:val="BodyText"/>
      </w:pPr>
      <w:r>
        <w:t xml:space="preserve">Dear Editor,</w:t>
      </w:r>
    </w:p>
    <w:p>
      <w:pPr>
        <w:pStyle w:val="BodyText"/>
      </w:pPr>
      <w:r>
        <w:t xml:space="preserve">I am pleased to submit our manuscript entitled</w:t>
      </w:r>
      <w:r>
        <w:t xml:space="preserve"> </w:t>
      </w:r>
      <w:r>
        <w:rPr>
          <w:b/>
          <w:bCs/>
        </w:rPr>
        <w:t xml:space="preserve">“Computational Identification of Geroprotective Compound Candidates via Multi-Source Biological Network Analysis”</w:t>
      </w:r>
      <w:r>
        <w:t xml:space="preserve"> </w:t>
      </w:r>
      <w:r>
        <w:t xml:space="preserve">for consideration as an Original Research Article in GeroScience.</w:t>
      </w:r>
    </w:p>
    <w:p>
      <w:pPr>
        <w:pStyle w:val="BodyText"/>
      </w:pPr>
      <w:r>
        <w:rPr>
          <w:b/>
          <w:bCs/>
        </w:rPr>
        <w:t xml:space="preserve">Why GeroScience:</w:t>
      </w:r>
      <w:r>
        <w:t xml:space="preserve"> </w:t>
      </w:r>
      <w:r>
        <w:t xml:space="preserve">This manuscript directly addresses the journal’s core mission at the intersection of aging biology and translational geroscience. Our computational pipeline identifies and prioritizes drug candidates for geroprotective repurposing – a topic of growing importance as the field moves from target-level understanding to actionable therapeutic strategies.</w:t>
      </w:r>
    </w:p>
    <w:p>
      <w:pPr>
        <w:pStyle w:val="BodyText"/>
      </w:pPr>
      <w:r>
        <w:rPr>
          <w:b/>
          <w:bCs/>
        </w:rPr>
        <w:t xml:space="preserve">Key contributions:</w:t>
      </w:r>
    </w:p>
    <w:p>
      <w:pPr>
        <w:numPr>
          <w:ilvl w:val="0"/>
          <w:numId w:val="1001"/>
        </w:numPr>
      </w:pPr>
      <w:r>
        <w:rPr>
          <w:b/>
          <w:bCs/>
        </w:rPr>
        <w:t xml:space="preserve">Novel computational framework:</w:t>
      </w:r>
      <w:r>
        <w:t xml:space="preserve"> </w:t>
      </w:r>
      <w:r>
        <w:t xml:space="preserve">We developed Discovery Engine, an open-source pipeline that integrates six public biological databases (PubMed, GenAge, Open Targets, ChEMBL, DrugAge, Semantic Scholar) into a knowledge graph for systematic geroprotector identification. To our knowledge, no existing framework combines literature mining, drug-target associations, bioactivity data, lifespan evidence, and network topology into a unified scoring system.</w:t>
      </w:r>
    </w:p>
    <w:p>
      <w:pPr>
        <w:numPr>
          <w:ilvl w:val="0"/>
          <w:numId w:val="1001"/>
        </w:numPr>
      </w:pPr>
      <w:r>
        <w:rPr>
          <w:b/>
          <w:bCs/>
        </w:rPr>
        <w:t xml:space="preserve">External validation against DrugAge:</w:t>
      </w:r>
      <w:r>
        <w:t xml:space="preserve"> </w:t>
      </w:r>
      <w:r>
        <w:t xml:space="preserve">Cross-referencing 162 ranked compounds against the full DrugAge database (1,046 compounds) demonstrated 4.42-fold enrichment of lifespan-extending compounds in the top 20 (Mann-Whitney p=1.59x10^-3), with 10/11 identified compounds showing positive lifespan effects.</w:t>
      </w:r>
    </w:p>
    <w:p>
      <w:pPr>
        <w:numPr>
          <w:ilvl w:val="0"/>
          <w:numId w:val="1001"/>
        </w:numPr>
      </w:pPr>
      <w:r>
        <w:rPr>
          <w:b/>
          <w:bCs/>
        </w:rPr>
        <w:t xml:space="preserve">Mechanistic interpretation via hallmarks of aging:</w:t>
      </w:r>
      <w:r>
        <w:t xml:space="preserve"> </w:t>
      </w:r>
      <w:r>
        <w:t xml:space="preserve">Top-20 candidates map to all eight hallmarks of aging (Lopez-Otin et al., 2013; 2023), converging on three principal axes: mTOR/nutrient sensing (7/20 compounds), senescence/apoptosis (3/20), and mitochondrial/metabolic (5/20). This demonstrates that the ranking captures genuine aging biology.</w:t>
      </w:r>
    </w:p>
    <w:p>
      <w:pPr>
        <w:numPr>
          <w:ilvl w:val="0"/>
          <w:numId w:val="1001"/>
        </w:numPr>
      </w:pPr>
      <w:r>
        <w:rPr>
          <w:b/>
          <w:bCs/>
        </w:rPr>
        <w:t xml:space="preserve">Actionable novel candidates:</w:t>
      </w:r>
      <w:r>
        <w:t xml:space="preserve"> </w:t>
      </w:r>
      <w:r>
        <w:t xml:space="preserve">The pipeline identifies bezafibrate (PPAR agonist, FDA-approved, +13% lifespan in C. elegans), bardoxolone methyl (NRF2 activator, Phase 3), and venetoclax (BCL-2 senolytic, FDA-approved) as priority repurposing candidates with existing clinical safety data.</w:t>
      </w:r>
    </w:p>
    <w:p>
      <w:pPr>
        <w:numPr>
          <w:ilvl w:val="0"/>
          <w:numId w:val="1001"/>
        </w:numPr>
      </w:pPr>
      <w:r>
        <w:rPr>
          <w:b/>
          <w:bCs/>
        </w:rPr>
        <w:t xml:space="preserve">Full reproducibility:</w:t>
      </w:r>
      <w:r>
        <w:t xml:space="preserve"> </w:t>
      </w:r>
      <w:r>
        <w:t xml:space="preserve">The pipeline is deterministic (seed=42), open-source (MIT License), with SHA-256 provenance tracking, 106 automated tests, and complete datasets deposited on Zenodo.</w:t>
      </w:r>
    </w:p>
    <w:p>
      <w:pPr>
        <w:pStyle w:val="FirstParagraph"/>
      </w:pPr>
      <w:r>
        <w:rPr>
          <w:b/>
          <w:bCs/>
        </w:rPr>
        <w:t xml:space="preserve">Novelty:</w:t>
      </w:r>
      <w:r>
        <w:t xml:space="preserve"> </w:t>
      </w:r>
      <w:r>
        <w:t xml:space="preserve">Our systematic literature search revealed that only 6 of 376 relevant publications (1.6%) specifically address computational drug repurposing for aging, confirming a significant methodological gap that this work directly addresses.</w:t>
      </w:r>
    </w:p>
    <w:p>
      <w:pPr>
        <w:pStyle w:val="BodyText"/>
      </w:pPr>
      <w:r>
        <w:rPr>
          <w:b/>
          <w:bCs/>
        </w:rPr>
        <w:t xml:space="preserve">Relevance to GeroScience readership:</w:t>
      </w:r>
      <w:r>
        <w:t xml:space="preserve"> </w:t>
      </w:r>
      <w:r>
        <w:t xml:space="preserve">The manuscript provides both a methodological contribution (the pipeline framework) and biologically actionable results (prioritized candidates with mechanistic rationale), relevant to researchers working on geroprotector development, drug repurposing, and translational geroscience.</w:t>
      </w:r>
    </w:p>
    <w:p>
      <w:pPr>
        <w:pStyle w:val="BodyText"/>
      </w:pPr>
      <w:r>
        <w:t xml:space="preserve">This manuscript has not been published previously and is not under consideration elsewhere. All data and code are publicly available. The use of AI assistance (Claude Code, Anthropic) is fully disclosed in the manuscript per transparency guidelines.</w:t>
      </w:r>
    </w:p>
    <w:p>
      <w:pPr>
        <w:pStyle w:val="BodyText"/>
      </w:pPr>
      <w:r>
        <w:t xml:space="preserve">Thank you for considering this manuscript. I look forward to your response.</w:t>
      </w:r>
    </w:p>
    <w:p>
      <w:pPr>
        <w:pStyle w:val="BodyText"/>
      </w:pPr>
      <w:r>
        <w:t xml:space="preserve">Sincerely,</w:t>
      </w:r>
    </w:p>
    <w:p>
      <w:pPr>
        <w:pStyle w:val="BodyText"/>
      </w:pPr>
      <w:r>
        <w:t xml:space="preserve">Tercio S. Azevedo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2026-03-11T20:02:19Z</dcterms:created>
  <dcterms:modified xsi:type="dcterms:W3CDTF">2026-03-11T20:02:19Z</dcterms:modified>
</cp:coreProperties>
</file>

<file path=docProps/custom.xml><?xml version="1.0" encoding="utf-8"?>
<Properties xmlns="http://schemas.openxmlformats.org/officeDocument/2006/custom-properties" xmlns:vt="http://schemas.openxmlformats.org/officeDocument/2006/docPropsVTypes"/>
</file>