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10D5" w14:textId="77777777" w:rsidR="00E504F6" w:rsidRPr="00E504F6" w:rsidRDefault="00E504F6" w:rsidP="00E504F6">
      <w:pPr>
        <w:jc w:val="center"/>
        <w:rPr>
          <w:b/>
          <w:bCs/>
          <w:sz w:val="28"/>
          <w:szCs w:val="28"/>
        </w:rPr>
      </w:pPr>
      <w:r w:rsidRPr="00E504F6">
        <w:rPr>
          <w:b/>
          <w:bCs/>
          <w:sz w:val="28"/>
          <w:szCs w:val="28"/>
        </w:rPr>
        <w:t>1 IT-Grundschutz – Basis für Informationssicherheit</w:t>
      </w:r>
      <w:r>
        <w:rPr>
          <w:rStyle w:val="Funotenzeichen"/>
          <w:b/>
          <w:bCs/>
          <w:sz w:val="28"/>
          <w:szCs w:val="28"/>
        </w:rPr>
        <w:footnoteReference w:id="1"/>
      </w:r>
    </w:p>
    <w:p w14:paraId="45A5A087" w14:textId="668304BB" w:rsidR="00E504F6" w:rsidRPr="00E504F6" w:rsidRDefault="00E504F6" w:rsidP="00E504F6">
      <w:pPr>
        <w:jc w:val="both"/>
        <w:rPr>
          <w:sz w:val="24"/>
          <w:szCs w:val="24"/>
        </w:rPr>
      </w:pPr>
      <w:r w:rsidRPr="00E504F6">
        <w:rPr>
          <w:sz w:val="24"/>
          <w:szCs w:val="24"/>
        </w:rPr>
        <w:t>Informationen sind ein wesentlicher Wert für Unternehmen und Behörden und müssen daher angemessen geschützt werden. Die meisten Geschäftsprozesse und Fachaufgaben sind heute in Wirtschaft und Verwaltung ohne IT-Unterstützung längst nicht mehr vorstellbar. Eine zuverlässig funktionierende Informationsverarbeitung ist ebenso wie die zugehörige Technik für die Aufrechterhaltung des Betriebes unerlässlich. Unzureichend geschützte Informationen stellen einen häufig unterschätzten Risikofaktor dar, der sogar existenzbedrohend werden kann. Dabei ist ein vernünftiger Informationsschutz ebenso wie eine Grundsicherung der IT schon mit verhältnismäßig geringen Mitteln zu erreichen. Mit dem IT-Grundschutz bietet das BSI eine praktikable Methode an, um die Informationen einer Institution angemessenen zu schützen. Die Kombination aus den IT-Grundschutz-Vorgehensweisen Basis-, Kern- und Standard-Absicherung sowie dem IT-Grundschutz-Kompendium bieten für unterschiedliche Einsatzumgebungen Sicherheitsanforderungen zum Aufbau eines ISMS</w:t>
      </w:r>
      <w:r w:rsidR="00C86867">
        <w:rPr>
          <w:sz w:val="24"/>
          <w:szCs w:val="24"/>
        </w:rPr>
        <w:t xml:space="preserve"> (</w:t>
      </w:r>
      <w:r w:rsidR="006172AB">
        <w:rPr>
          <w:sz w:val="24"/>
          <w:szCs w:val="24"/>
        </w:rPr>
        <w:t>I</w:t>
      </w:r>
      <w:r w:rsidR="006172AB" w:rsidRPr="006172AB">
        <w:rPr>
          <w:sz w:val="24"/>
          <w:szCs w:val="24"/>
        </w:rPr>
        <w:t>nformationssicherheits-Management-Systems</w:t>
      </w:r>
      <w:r w:rsidR="00C86867">
        <w:rPr>
          <w:sz w:val="24"/>
          <w:szCs w:val="24"/>
        </w:rPr>
        <w:t>)</w:t>
      </w:r>
      <w:r w:rsidRPr="00E504F6">
        <w:rPr>
          <w:sz w:val="24"/>
          <w:szCs w:val="24"/>
        </w:rPr>
        <w:t xml:space="preserve"> und somit für den sicheren Umgang mit Informationen.</w:t>
      </w:r>
    </w:p>
    <w:p w14:paraId="7E0C4703" w14:textId="77777777" w:rsidR="00E504F6" w:rsidRPr="00E504F6" w:rsidRDefault="00E504F6" w:rsidP="00E504F6">
      <w:pPr>
        <w:jc w:val="both"/>
        <w:rPr>
          <w:sz w:val="24"/>
          <w:szCs w:val="24"/>
        </w:rPr>
      </w:pPr>
      <w:r w:rsidRPr="00E504F6">
        <w:rPr>
          <w:sz w:val="24"/>
          <w:szCs w:val="24"/>
        </w:rPr>
        <w:t xml:space="preserve">Aufgrund der skizzierten Abhängigkeit steigt bei Sicherheitsvorfällen auch die Gefahr für Institutionen, einen Imageschaden zu erleiden. Die verarbeiteten Daten und Informationen müssen adäquat geschützt, Sicherheitsmaßnahmen sorgfältig geplant, umgesetzt und kontrolliert werden. Hierbei ist es aber wichtig, sich nicht nur auf die Sicherheit von IT-Systemen zu konzentrieren, da Informationssicherheit ganzheitlich betrachtet werden muss. Sie hängt auch stark von infrastrukturellen, organisatorischen und personellen Rahmenbedingungen ab. Die Sicherheit der Betriebsumgebung, die ausreichende Schulung der Mitarbeiter, die Verlässlichkeit von Dienstleistungen, der richtige Umgang mit zu schützenden Informationen und viele andere wichtige Aspekte dürfen auf keinen Fall vernachlässigt werden. Mängel im Bereich der Informationssicherheit können zu erheblichen Problemen führen. </w:t>
      </w:r>
    </w:p>
    <w:p w14:paraId="380D347A" w14:textId="77777777" w:rsidR="00E504F6" w:rsidRPr="00E504F6" w:rsidRDefault="00E504F6" w:rsidP="00E504F6">
      <w:pPr>
        <w:jc w:val="both"/>
        <w:rPr>
          <w:sz w:val="24"/>
          <w:szCs w:val="24"/>
        </w:rPr>
      </w:pPr>
      <w:r w:rsidRPr="00E504F6">
        <w:rPr>
          <w:sz w:val="24"/>
          <w:szCs w:val="24"/>
        </w:rPr>
        <w:t>Die potenziellen Schäden lassen sich verschiedenen Kategorien zuordnen:</w:t>
      </w:r>
    </w:p>
    <w:p w14:paraId="6DA305DB" w14:textId="77777777" w:rsidR="00E504F6" w:rsidRPr="00E504F6" w:rsidRDefault="00E504F6" w:rsidP="00E504F6">
      <w:pPr>
        <w:jc w:val="both"/>
        <w:rPr>
          <w:b/>
          <w:bCs/>
          <w:sz w:val="24"/>
          <w:szCs w:val="24"/>
        </w:rPr>
      </w:pPr>
      <w:r>
        <w:rPr>
          <w:b/>
          <w:bCs/>
          <w:sz w:val="24"/>
          <w:szCs w:val="24"/>
        </w:rPr>
        <w:t xml:space="preserve">1. </w:t>
      </w:r>
      <w:r w:rsidRPr="00E504F6">
        <w:rPr>
          <w:b/>
          <w:bCs/>
          <w:sz w:val="24"/>
          <w:szCs w:val="24"/>
        </w:rPr>
        <w:t xml:space="preserve">Verfügbarkeit </w:t>
      </w:r>
    </w:p>
    <w:p w14:paraId="2224A516" w14:textId="77777777" w:rsidR="00E504F6" w:rsidRPr="00E504F6" w:rsidRDefault="00E504F6" w:rsidP="00E504F6">
      <w:pPr>
        <w:jc w:val="both"/>
        <w:rPr>
          <w:sz w:val="24"/>
          <w:szCs w:val="24"/>
        </w:rPr>
      </w:pPr>
      <w:r w:rsidRPr="00E504F6">
        <w:rPr>
          <w:sz w:val="24"/>
          <w:szCs w:val="24"/>
        </w:rPr>
        <w:t>Die Verfügbarkeit von Dienstleistungen, Funktionen eines IT-Systems, IT-Anwendungen oder IT-Netzen oder auch von Informationen ist vorhanden, wenn diese von den Anwendern stets wie vorgesehen genutzt werden können.</w:t>
      </w:r>
    </w:p>
    <w:p w14:paraId="72DE00A6" w14:textId="77777777" w:rsidR="00E504F6" w:rsidRPr="00E504F6" w:rsidRDefault="00E504F6" w:rsidP="00E504F6">
      <w:pPr>
        <w:jc w:val="both"/>
        <w:rPr>
          <w:sz w:val="24"/>
          <w:szCs w:val="24"/>
          <w:u w:val="single"/>
        </w:rPr>
      </w:pPr>
      <w:r w:rsidRPr="00E504F6">
        <w:rPr>
          <w:sz w:val="24"/>
          <w:szCs w:val="24"/>
          <w:u w:val="single"/>
        </w:rPr>
        <w:t>Verlust der Verfügbarkeit</w:t>
      </w:r>
    </w:p>
    <w:p w14:paraId="49CBE155" w14:textId="77777777" w:rsidR="00E504F6" w:rsidRPr="00E504F6" w:rsidRDefault="00E504F6" w:rsidP="00E504F6">
      <w:pPr>
        <w:jc w:val="both"/>
        <w:rPr>
          <w:sz w:val="24"/>
          <w:szCs w:val="24"/>
        </w:rPr>
      </w:pPr>
      <w:r w:rsidRPr="00E504F6">
        <w:rPr>
          <w:sz w:val="24"/>
          <w:szCs w:val="24"/>
        </w:rPr>
        <w:t xml:space="preserve">Wenn grundlegende Informationen nicht vorhanden sind, fällt dies meistens schnell auf, vor allem, wenn Aufgaben ohne diese nicht weitergeführt werden können. Funktioniert ein IT-System nicht, können beispielsweise keine Geldtransaktionen durchgeführt werden, Online-Bestellungen sind nicht möglich, Produktionsprozesse stehen still. Auch wenn die </w:t>
      </w:r>
      <w:r w:rsidRPr="00E504F6">
        <w:rPr>
          <w:sz w:val="24"/>
          <w:szCs w:val="24"/>
        </w:rPr>
        <w:lastRenderedPageBreak/>
        <w:t>Verfügbarkeit von bestimmten Informationen lediglich eingeschränkt ist, können die Geschäftsprozesse bzw. Fachaufgaben einer Institution beeinträchtigt werden.</w:t>
      </w:r>
    </w:p>
    <w:p w14:paraId="2D904BA1" w14:textId="77777777" w:rsidR="00E504F6" w:rsidRPr="00E504F6" w:rsidRDefault="00E504F6" w:rsidP="00E504F6">
      <w:pPr>
        <w:jc w:val="both"/>
        <w:rPr>
          <w:b/>
          <w:bCs/>
          <w:sz w:val="24"/>
          <w:szCs w:val="24"/>
        </w:rPr>
      </w:pPr>
      <w:r>
        <w:rPr>
          <w:b/>
          <w:bCs/>
          <w:sz w:val="24"/>
          <w:szCs w:val="24"/>
        </w:rPr>
        <w:t xml:space="preserve">2. </w:t>
      </w:r>
      <w:r w:rsidRPr="00E504F6">
        <w:rPr>
          <w:b/>
          <w:bCs/>
          <w:sz w:val="24"/>
          <w:szCs w:val="24"/>
        </w:rPr>
        <w:t xml:space="preserve">Vertraulichkeit </w:t>
      </w:r>
    </w:p>
    <w:p w14:paraId="13B2197C" w14:textId="77777777" w:rsidR="00E504F6" w:rsidRPr="00E504F6" w:rsidRDefault="00E504F6" w:rsidP="00E504F6">
      <w:pPr>
        <w:jc w:val="both"/>
        <w:rPr>
          <w:sz w:val="24"/>
          <w:szCs w:val="24"/>
        </w:rPr>
      </w:pPr>
      <w:r w:rsidRPr="00E504F6">
        <w:rPr>
          <w:sz w:val="24"/>
          <w:szCs w:val="24"/>
        </w:rPr>
        <w:t>Vertraulichkeit ist der Schutz vor unbefugter Preisgabe von Informationen. Vertrauliche Daten und Informationen dürfen ausschließlich Befugten in der zulässigen Weise zugänglich sein.</w:t>
      </w:r>
    </w:p>
    <w:p w14:paraId="32887427" w14:textId="77777777" w:rsidR="00E504F6" w:rsidRPr="00E504F6" w:rsidRDefault="00E504F6" w:rsidP="00E504F6">
      <w:pPr>
        <w:jc w:val="both"/>
        <w:rPr>
          <w:sz w:val="24"/>
          <w:szCs w:val="24"/>
          <w:u w:val="single"/>
        </w:rPr>
      </w:pPr>
      <w:r w:rsidRPr="00E504F6">
        <w:rPr>
          <w:sz w:val="24"/>
          <w:szCs w:val="24"/>
          <w:u w:val="single"/>
        </w:rPr>
        <w:t>Verlust der Vertraulichkeit von Informationen</w:t>
      </w:r>
    </w:p>
    <w:p w14:paraId="37DCC84C" w14:textId="77777777" w:rsidR="00E504F6" w:rsidRPr="00E504F6" w:rsidRDefault="00E504F6" w:rsidP="00E504F6">
      <w:pPr>
        <w:jc w:val="both"/>
        <w:rPr>
          <w:sz w:val="24"/>
          <w:szCs w:val="24"/>
        </w:rPr>
      </w:pPr>
      <w:r w:rsidRPr="00E504F6">
        <w:rPr>
          <w:sz w:val="24"/>
          <w:szCs w:val="24"/>
        </w:rPr>
        <w:t>Jeder Bürger und jeder Kunde möchte, dass mit seinen personenbezogenen Daten vertraulich umgegangen wird. Jedes Unternehmen sollte wissen, dass interne, vertrauliche Daten über Umsatz, Marketing, Forschung und Entwicklung die Konkurrenz interessieren. Die ungewollte Offenlegung von Informationen kann in vielen Bereichen schwere Schäden nach sich ziehen.</w:t>
      </w:r>
    </w:p>
    <w:p w14:paraId="2BFCD411" w14:textId="77777777" w:rsidR="00E504F6" w:rsidRPr="00E504F6" w:rsidRDefault="00E504F6" w:rsidP="00E504F6">
      <w:pPr>
        <w:rPr>
          <w:b/>
          <w:bCs/>
          <w:sz w:val="24"/>
          <w:szCs w:val="24"/>
        </w:rPr>
      </w:pPr>
      <w:r>
        <w:rPr>
          <w:b/>
          <w:bCs/>
          <w:sz w:val="24"/>
          <w:szCs w:val="24"/>
        </w:rPr>
        <w:t xml:space="preserve">3. </w:t>
      </w:r>
      <w:r w:rsidRPr="00E504F6">
        <w:rPr>
          <w:b/>
          <w:bCs/>
          <w:sz w:val="24"/>
          <w:szCs w:val="24"/>
        </w:rPr>
        <w:t xml:space="preserve">Integrität </w:t>
      </w:r>
    </w:p>
    <w:p w14:paraId="1D605C75" w14:textId="77777777" w:rsidR="00E504F6" w:rsidRPr="00E504F6" w:rsidRDefault="00E504F6" w:rsidP="00E504F6">
      <w:pPr>
        <w:jc w:val="both"/>
        <w:rPr>
          <w:sz w:val="24"/>
          <w:szCs w:val="24"/>
        </w:rPr>
      </w:pPr>
      <w:r w:rsidRPr="00E504F6">
        <w:rPr>
          <w:sz w:val="24"/>
          <w:szCs w:val="24"/>
        </w:rPr>
        <w:t>Integrität bezeichnet die Sicherstellung der Korrektheit (Unversehrtheit) von Daten und der korrekten Funktionsweise von Systemen. Wenn der Begriff Integrität auf „Daten“ angewendet wird, drückt er aus, dass die Daten vollständig und unverändert sind. In der Informationstechnik wird er in der Regel aber weiter gefasst und auf „Informationen“ angewendet. Der Begriff „Information“ wird dabei für „Daten“ verwendet, denen je nach Zusammenhang bestimmte Attribute wie z. B. Autor oder Zeitpunkt der Erstellung zugeordnet werden können. Der Verlust der Integrität von Informationen kann daher bedeuten, dass diese unerlaubt verändert, Angaben zum Autor verfälscht oder Zeitangaben zur Erstellung manipuliert wurden.</w:t>
      </w:r>
    </w:p>
    <w:p w14:paraId="14C7A489" w14:textId="77777777" w:rsidR="00E504F6" w:rsidRPr="00E504F6" w:rsidRDefault="00E504F6" w:rsidP="00E504F6">
      <w:pPr>
        <w:jc w:val="both"/>
        <w:rPr>
          <w:sz w:val="24"/>
          <w:szCs w:val="24"/>
          <w:u w:val="single"/>
        </w:rPr>
      </w:pPr>
      <w:r w:rsidRPr="00E504F6">
        <w:rPr>
          <w:sz w:val="24"/>
          <w:szCs w:val="24"/>
          <w:u w:val="single"/>
        </w:rPr>
        <w:t>Verlust der Integrität (Korrektheit) von Informationen</w:t>
      </w:r>
    </w:p>
    <w:p w14:paraId="05BA8C74" w14:textId="79DD1A6F" w:rsidR="00360685" w:rsidRDefault="00E504F6" w:rsidP="00B91111">
      <w:pPr>
        <w:jc w:val="both"/>
      </w:pPr>
      <w:r w:rsidRPr="00E504F6">
        <w:rPr>
          <w:sz w:val="24"/>
          <w:szCs w:val="24"/>
        </w:rPr>
        <w:t>Gefälschte oder verfälschte Daten können beispielsweise zu Fehlbuchungen, falschen Lieferungen oder fehlerhaften Produkten führen. Auch der Verlust der Authentizität (Echtheit und Überprüfbarkeit) hat, als ein Teilbereich der Integrität, eine hohe Bedeutung. Daten werden beispielsweise einer falschen Person zugeordnet. So können Zahlungsanweisungen oder Bestellungen zu Lasten einer dritten Person verarbeitet werden, ungesicherte digitale Willenserklärungen können falschen Personen zugerechnet werden, die „digitale Identität“ wird gefälscht.</w:t>
      </w:r>
    </w:p>
    <w:p w14:paraId="1B3D3277" w14:textId="342D2C1F" w:rsidR="00360685" w:rsidRPr="00360685" w:rsidRDefault="00360685" w:rsidP="00E504F6">
      <w:pPr>
        <w:jc w:val="both"/>
        <w:rPr>
          <w:sz w:val="24"/>
          <w:szCs w:val="24"/>
          <w:u w:val="single"/>
        </w:rPr>
      </w:pPr>
      <w:r w:rsidRPr="00360685">
        <w:rPr>
          <w:sz w:val="24"/>
          <w:szCs w:val="24"/>
          <w:u w:val="single"/>
        </w:rPr>
        <w:t>Aufgaben</w:t>
      </w:r>
    </w:p>
    <w:p w14:paraId="4BA3587C" w14:textId="13397D51" w:rsidR="00360685" w:rsidRDefault="00360685" w:rsidP="00360685">
      <w:pPr>
        <w:pStyle w:val="Listenabsatz"/>
        <w:numPr>
          <w:ilvl w:val="0"/>
          <w:numId w:val="3"/>
        </w:numPr>
        <w:jc w:val="both"/>
        <w:rPr>
          <w:sz w:val="24"/>
          <w:szCs w:val="24"/>
        </w:rPr>
      </w:pPr>
      <w:r>
        <w:rPr>
          <w:sz w:val="24"/>
          <w:szCs w:val="24"/>
        </w:rPr>
        <w:t>Lesen Sie den Text und recherchieren Sie unbekannt</w:t>
      </w:r>
      <w:r w:rsidR="00F340DE">
        <w:rPr>
          <w:sz w:val="24"/>
          <w:szCs w:val="24"/>
        </w:rPr>
        <w:t>e</w:t>
      </w:r>
      <w:r>
        <w:rPr>
          <w:sz w:val="24"/>
          <w:szCs w:val="24"/>
        </w:rPr>
        <w:t xml:space="preserve"> Begriffe eigenständig.</w:t>
      </w:r>
    </w:p>
    <w:p w14:paraId="35F2CF1D" w14:textId="41903141" w:rsidR="00027969" w:rsidRPr="00027969" w:rsidRDefault="00027969" w:rsidP="00027969">
      <w:pPr>
        <w:pStyle w:val="KeinLeerraum"/>
        <w:rPr>
          <w:i/>
          <w:iCs/>
          <w:sz w:val="24"/>
          <w:szCs w:val="24"/>
        </w:rPr>
      </w:pPr>
      <w:r w:rsidRPr="00027969">
        <w:rPr>
          <w:i/>
          <w:iCs/>
          <w:sz w:val="24"/>
          <w:szCs w:val="24"/>
        </w:rPr>
        <w:t>Partnerarbeit</w:t>
      </w:r>
    </w:p>
    <w:p w14:paraId="4BE99340" w14:textId="140158D5" w:rsidR="00027969" w:rsidRDefault="00027969" w:rsidP="00360685">
      <w:pPr>
        <w:pStyle w:val="Listenabsatz"/>
        <w:numPr>
          <w:ilvl w:val="0"/>
          <w:numId w:val="3"/>
        </w:numPr>
        <w:jc w:val="both"/>
        <w:rPr>
          <w:sz w:val="24"/>
          <w:szCs w:val="24"/>
        </w:rPr>
      </w:pPr>
      <w:r>
        <w:rPr>
          <w:sz w:val="24"/>
          <w:szCs w:val="24"/>
        </w:rPr>
        <w:t xml:space="preserve">Klären Sie eventuelle </w:t>
      </w:r>
      <w:r w:rsidR="007C1C49">
        <w:rPr>
          <w:sz w:val="24"/>
          <w:szCs w:val="24"/>
        </w:rPr>
        <w:t>Verständnisprobleme miteinander.</w:t>
      </w:r>
    </w:p>
    <w:p w14:paraId="61788359" w14:textId="3E5E5459" w:rsidR="00360685" w:rsidRDefault="00360685" w:rsidP="00360685">
      <w:pPr>
        <w:pStyle w:val="Listenabsatz"/>
        <w:numPr>
          <w:ilvl w:val="0"/>
          <w:numId w:val="3"/>
        </w:numPr>
        <w:jc w:val="both"/>
        <w:rPr>
          <w:sz w:val="24"/>
          <w:szCs w:val="24"/>
        </w:rPr>
      </w:pPr>
      <w:r>
        <w:rPr>
          <w:sz w:val="24"/>
          <w:szCs w:val="24"/>
        </w:rPr>
        <w:t>Erklären Sie Vertraulichkeit, Integrität und Verfügbarkeit sowie die Verstöße dagegen anhand eines Beispiele Ihrer Wahl</w:t>
      </w:r>
      <w:r w:rsidR="00F24B5D">
        <w:rPr>
          <w:sz w:val="24"/>
          <w:szCs w:val="24"/>
        </w:rPr>
        <w:t xml:space="preserve"> (z.B. einer in Teams abgelegten Datei</w:t>
      </w:r>
      <w:r w:rsidR="00AF480C">
        <w:rPr>
          <w:sz w:val="24"/>
          <w:szCs w:val="24"/>
        </w:rPr>
        <w:t xml:space="preserve"> mit Schülernamen und </w:t>
      </w:r>
      <w:r w:rsidR="00FD4045">
        <w:rPr>
          <w:sz w:val="24"/>
          <w:szCs w:val="24"/>
        </w:rPr>
        <w:t xml:space="preserve">entsprechenden </w:t>
      </w:r>
      <w:r w:rsidR="00AF480C">
        <w:rPr>
          <w:sz w:val="24"/>
          <w:szCs w:val="24"/>
        </w:rPr>
        <w:t>Bildern</w:t>
      </w:r>
      <w:r w:rsidR="00F24B5D">
        <w:rPr>
          <w:sz w:val="24"/>
          <w:szCs w:val="24"/>
        </w:rPr>
        <w:t>)</w:t>
      </w:r>
      <w:r w:rsidR="00AF480C">
        <w:rPr>
          <w:sz w:val="24"/>
          <w:szCs w:val="24"/>
        </w:rPr>
        <w:t>.</w:t>
      </w:r>
    </w:p>
    <w:p w14:paraId="7939543B" w14:textId="425DC2F7" w:rsidR="00B32E8C" w:rsidRDefault="00B32E8C" w:rsidP="00360685">
      <w:pPr>
        <w:pStyle w:val="Listenabsatz"/>
        <w:numPr>
          <w:ilvl w:val="0"/>
          <w:numId w:val="3"/>
        </w:numPr>
        <w:jc w:val="both"/>
        <w:rPr>
          <w:sz w:val="24"/>
          <w:szCs w:val="24"/>
        </w:rPr>
        <w:sectPr w:rsidR="00B32E8C" w:rsidSect="005526AD">
          <w:headerReference w:type="default" r:id="rId11"/>
          <w:pgSz w:w="11906" w:h="16838"/>
          <w:pgMar w:top="1417" w:right="1417" w:bottom="1134" w:left="1417" w:header="708" w:footer="708" w:gutter="0"/>
          <w:cols w:space="708"/>
          <w:docGrid w:linePitch="360"/>
        </w:sectPr>
      </w:pPr>
      <w:r>
        <w:rPr>
          <w:sz w:val="24"/>
          <w:szCs w:val="24"/>
        </w:rPr>
        <w:t xml:space="preserve">Kategorisieren </w:t>
      </w:r>
      <w:r w:rsidR="00360685">
        <w:rPr>
          <w:sz w:val="24"/>
          <w:szCs w:val="24"/>
        </w:rPr>
        <w:t xml:space="preserve">Sie </w:t>
      </w:r>
      <w:r w:rsidR="00CD4D27">
        <w:rPr>
          <w:sz w:val="24"/>
          <w:szCs w:val="24"/>
        </w:rPr>
        <w:t>die Schadenszenarien 1-</w:t>
      </w:r>
      <w:r w:rsidR="008F4A28">
        <w:rPr>
          <w:sz w:val="24"/>
          <w:szCs w:val="24"/>
        </w:rPr>
        <w:t>4 aus der letzten Stunde</w:t>
      </w:r>
      <w:r w:rsidR="002F3792">
        <w:rPr>
          <w:sz w:val="24"/>
          <w:szCs w:val="24"/>
        </w:rPr>
        <w:t xml:space="preserve"> (nächste Seite)</w:t>
      </w:r>
      <w:r>
        <w:rPr>
          <w:sz w:val="24"/>
          <w:szCs w:val="24"/>
        </w:rPr>
        <w:t>.</w:t>
      </w:r>
      <w:r w:rsidR="002F3792">
        <w:rPr>
          <w:sz w:val="24"/>
          <w:szCs w:val="24"/>
        </w:rPr>
        <w:t xml:space="preserve"> Wählen sie zusätzlich ein eigenes Schadensszenario</w:t>
      </w:r>
      <w:r w:rsidR="00CD4D27">
        <w:rPr>
          <w:sz w:val="24"/>
          <w:szCs w:val="24"/>
        </w:rPr>
        <w:t xml:space="preserve"> (5)</w:t>
      </w:r>
      <w:r w:rsidR="008A58F6">
        <w:rPr>
          <w:sz w:val="24"/>
          <w:szCs w:val="24"/>
        </w:rPr>
        <w:t>. Beschreiben Sie schließlich</w:t>
      </w:r>
      <w:r w:rsidR="00E0058D">
        <w:rPr>
          <w:sz w:val="24"/>
          <w:szCs w:val="24"/>
        </w:rPr>
        <w:t xml:space="preserve"> VIV </w:t>
      </w:r>
      <w:r w:rsidR="00452321">
        <w:rPr>
          <w:sz w:val="24"/>
          <w:szCs w:val="24"/>
        </w:rPr>
        <w:t xml:space="preserve">(alle!) </w:t>
      </w:r>
      <w:r w:rsidR="00E0058D">
        <w:rPr>
          <w:sz w:val="24"/>
          <w:szCs w:val="24"/>
        </w:rPr>
        <w:t>für die Szenarien 6 - 8</w:t>
      </w:r>
      <w:r>
        <w:rPr>
          <w:sz w:val="24"/>
          <w:szCs w:val="24"/>
        </w:rPr>
        <w:t>.</w:t>
      </w:r>
    </w:p>
    <w:tbl>
      <w:tblPr>
        <w:tblStyle w:val="Tabellenraster"/>
        <w:tblW w:w="0" w:type="auto"/>
        <w:tblLook w:val="04A0" w:firstRow="1" w:lastRow="0" w:firstColumn="1" w:lastColumn="0" w:noHBand="0" w:noVBand="1"/>
      </w:tblPr>
      <w:tblGrid>
        <w:gridCol w:w="2420"/>
        <w:gridCol w:w="3952"/>
        <w:gridCol w:w="3952"/>
        <w:gridCol w:w="3953"/>
      </w:tblGrid>
      <w:tr w:rsidR="00B32E8C" w14:paraId="287093B7" w14:textId="77777777" w:rsidTr="00B32E8C">
        <w:tc>
          <w:tcPr>
            <w:tcW w:w="2420" w:type="dxa"/>
          </w:tcPr>
          <w:p w14:paraId="263964FC" w14:textId="7389B3D8" w:rsidR="00B32E8C" w:rsidRPr="00B32E8C" w:rsidRDefault="00B32E8C" w:rsidP="00B32E8C">
            <w:pPr>
              <w:jc w:val="center"/>
              <w:rPr>
                <w:b/>
                <w:bCs/>
                <w:sz w:val="28"/>
                <w:szCs w:val="28"/>
              </w:rPr>
            </w:pPr>
            <w:r w:rsidRPr="00B32E8C">
              <w:rPr>
                <w:b/>
                <w:bCs/>
                <w:sz w:val="28"/>
                <w:szCs w:val="28"/>
              </w:rPr>
              <w:lastRenderedPageBreak/>
              <w:t>Schadensszenarien</w:t>
            </w:r>
          </w:p>
        </w:tc>
        <w:tc>
          <w:tcPr>
            <w:tcW w:w="3952" w:type="dxa"/>
          </w:tcPr>
          <w:p w14:paraId="02E3E075" w14:textId="14CBB6A7" w:rsidR="00B32E8C" w:rsidRPr="00B32E8C" w:rsidRDefault="00B32E8C" w:rsidP="00B32E8C">
            <w:pPr>
              <w:jc w:val="center"/>
              <w:rPr>
                <w:b/>
                <w:bCs/>
                <w:sz w:val="28"/>
                <w:szCs w:val="28"/>
              </w:rPr>
            </w:pPr>
            <w:r w:rsidRPr="00B32E8C">
              <w:rPr>
                <w:b/>
                <w:bCs/>
                <w:sz w:val="28"/>
                <w:szCs w:val="28"/>
              </w:rPr>
              <w:t>Vertraulichkeit</w:t>
            </w:r>
          </w:p>
        </w:tc>
        <w:tc>
          <w:tcPr>
            <w:tcW w:w="3952" w:type="dxa"/>
          </w:tcPr>
          <w:p w14:paraId="7B2691DC" w14:textId="147DF4EC" w:rsidR="00B32E8C" w:rsidRPr="00B32E8C" w:rsidRDefault="00B32E8C" w:rsidP="00B32E8C">
            <w:pPr>
              <w:jc w:val="center"/>
              <w:rPr>
                <w:b/>
                <w:bCs/>
                <w:sz w:val="28"/>
                <w:szCs w:val="28"/>
              </w:rPr>
            </w:pPr>
            <w:r w:rsidRPr="00B32E8C">
              <w:rPr>
                <w:b/>
                <w:bCs/>
                <w:sz w:val="28"/>
                <w:szCs w:val="28"/>
              </w:rPr>
              <w:t>Integrität</w:t>
            </w:r>
          </w:p>
        </w:tc>
        <w:tc>
          <w:tcPr>
            <w:tcW w:w="3953" w:type="dxa"/>
          </w:tcPr>
          <w:p w14:paraId="11B6AF52" w14:textId="6BC83BC7" w:rsidR="00B32E8C" w:rsidRPr="00B32E8C" w:rsidRDefault="00B32E8C" w:rsidP="00B32E8C">
            <w:pPr>
              <w:jc w:val="center"/>
              <w:rPr>
                <w:b/>
                <w:bCs/>
                <w:sz w:val="28"/>
                <w:szCs w:val="28"/>
              </w:rPr>
            </w:pPr>
            <w:r w:rsidRPr="00B32E8C">
              <w:rPr>
                <w:b/>
                <w:bCs/>
                <w:sz w:val="28"/>
                <w:szCs w:val="28"/>
              </w:rPr>
              <w:t>Verfügbarkeit</w:t>
            </w:r>
          </w:p>
        </w:tc>
      </w:tr>
      <w:tr w:rsidR="00B32E8C" w14:paraId="4F90D1D2" w14:textId="77777777" w:rsidTr="00B32E8C">
        <w:trPr>
          <w:trHeight w:val="850"/>
        </w:trPr>
        <w:tc>
          <w:tcPr>
            <w:tcW w:w="2420" w:type="dxa"/>
            <w:vAlign w:val="center"/>
          </w:tcPr>
          <w:p w14:paraId="01DF8C6E" w14:textId="11213A5D" w:rsidR="00B32E8C" w:rsidRPr="00B32E8C" w:rsidRDefault="00B32E8C" w:rsidP="00B32E8C">
            <w:pPr>
              <w:jc w:val="center"/>
              <w:rPr>
                <w:b/>
                <w:bCs/>
                <w:sz w:val="28"/>
                <w:szCs w:val="28"/>
              </w:rPr>
            </w:pPr>
            <w:r w:rsidRPr="00B32E8C">
              <w:rPr>
                <w:b/>
                <w:bCs/>
                <w:sz w:val="28"/>
                <w:szCs w:val="28"/>
              </w:rPr>
              <w:t>1</w:t>
            </w:r>
            <w:r w:rsidR="00212530">
              <w:rPr>
                <w:b/>
                <w:bCs/>
                <w:sz w:val="28"/>
                <w:szCs w:val="28"/>
              </w:rPr>
              <w:t xml:space="preserve"> </w:t>
            </w:r>
            <w:r w:rsidR="003F07E4">
              <w:rPr>
                <w:b/>
                <w:bCs/>
                <w:sz w:val="28"/>
                <w:szCs w:val="28"/>
              </w:rPr>
              <w:t>–</w:t>
            </w:r>
            <w:r w:rsidR="00212530">
              <w:rPr>
                <w:b/>
                <w:bCs/>
                <w:sz w:val="28"/>
                <w:szCs w:val="28"/>
              </w:rPr>
              <w:t xml:space="preserve"> </w:t>
            </w:r>
            <w:r w:rsidR="003F07E4">
              <w:rPr>
                <w:b/>
                <w:bCs/>
                <w:sz w:val="28"/>
                <w:szCs w:val="28"/>
              </w:rPr>
              <w:t>Verlust der Festplatte</w:t>
            </w:r>
          </w:p>
        </w:tc>
        <w:tc>
          <w:tcPr>
            <w:tcW w:w="3952" w:type="dxa"/>
          </w:tcPr>
          <w:p w14:paraId="781B0D3B" w14:textId="77777777" w:rsidR="00B32E8C" w:rsidRPr="00B32E8C" w:rsidRDefault="00B32E8C" w:rsidP="00B32E8C">
            <w:pPr>
              <w:jc w:val="center"/>
              <w:rPr>
                <w:b/>
                <w:bCs/>
                <w:sz w:val="28"/>
                <w:szCs w:val="28"/>
              </w:rPr>
            </w:pPr>
          </w:p>
        </w:tc>
        <w:tc>
          <w:tcPr>
            <w:tcW w:w="3952" w:type="dxa"/>
          </w:tcPr>
          <w:p w14:paraId="40D79642" w14:textId="77777777" w:rsidR="00B32E8C" w:rsidRPr="00B32E8C" w:rsidRDefault="00B32E8C" w:rsidP="00B32E8C">
            <w:pPr>
              <w:jc w:val="center"/>
              <w:rPr>
                <w:b/>
                <w:bCs/>
                <w:sz w:val="28"/>
                <w:szCs w:val="28"/>
              </w:rPr>
            </w:pPr>
          </w:p>
        </w:tc>
        <w:tc>
          <w:tcPr>
            <w:tcW w:w="3953" w:type="dxa"/>
          </w:tcPr>
          <w:p w14:paraId="29AC3C44" w14:textId="77777777" w:rsidR="00B32E8C" w:rsidRPr="00B32E8C" w:rsidRDefault="00B32E8C" w:rsidP="00B32E8C">
            <w:pPr>
              <w:jc w:val="center"/>
              <w:rPr>
                <w:b/>
                <w:bCs/>
                <w:sz w:val="28"/>
                <w:szCs w:val="28"/>
              </w:rPr>
            </w:pPr>
          </w:p>
        </w:tc>
      </w:tr>
      <w:tr w:rsidR="00B32E8C" w14:paraId="33C2A8E1" w14:textId="77777777" w:rsidTr="00B32E8C">
        <w:trPr>
          <w:trHeight w:val="850"/>
        </w:trPr>
        <w:tc>
          <w:tcPr>
            <w:tcW w:w="2420" w:type="dxa"/>
            <w:vAlign w:val="center"/>
          </w:tcPr>
          <w:p w14:paraId="01CE4C52" w14:textId="43633F0A" w:rsidR="00B32E8C" w:rsidRPr="00B32E8C" w:rsidRDefault="00B32E8C" w:rsidP="00B32E8C">
            <w:pPr>
              <w:jc w:val="center"/>
              <w:rPr>
                <w:b/>
                <w:bCs/>
                <w:sz w:val="28"/>
                <w:szCs w:val="28"/>
              </w:rPr>
            </w:pPr>
            <w:r w:rsidRPr="00B32E8C">
              <w:rPr>
                <w:b/>
                <w:bCs/>
                <w:sz w:val="28"/>
                <w:szCs w:val="28"/>
              </w:rPr>
              <w:t>2</w:t>
            </w:r>
            <w:r w:rsidR="003F07E4">
              <w:rPr>
                <w:b/>
                <w:bCs/>
                <w:sz w:val="28"/>
                <w:szCs w:val="28"/>
              </w:rPr>
              <w:t xml:space="preserve"> – </w:t>
            </w:r>
            <w:r w:rsidR="00F62CBA">
              <w:rPr>
                <w:b/>
                <w:bCs/>
                <w:sz w:val="28"/>
                <w:szCs w:val="28"/>
              </w:rPr>
              <w:t>fremder Eingriff auf Festplatte</w:t>
            </w:r>
          </w:p>
        </w:tc>
        <w:tc>
          <w:tcPr>
            <w:tcW w:w="3952" w:type="dxa"/>
          </w:tcPr>
          <w:p w14:paraId="62528FE6" w14:textId="77777777" w:rsidR="00B32E8C" w:rsidRPr="00B32E8C" w:rsidRDefault="00B32E8C" w:rsidP="00B32E8C">
            <w:pPr>
              <w:jc w:val="center"/>
              <w:rPr>
                <w:b/>
                <w:bCs/>
                <w:sz w:val="28"/>
                <w:szCs w:val="28"/>
              </w:rPr>
            </w:pPr>
          </w:p>
        </w:tc>
        <w:tc>
          <w:tcPr>
            <w:tcW w:w="3952" w:type="dxa"/>
          </w:tcPr>
          <w:p w14:paraId="1467478C" w14:textId="77777777" w:rsidR="00B32E8C" w:rsidRPr="00B32E8C" w:rsidRDefault="00B32E8C" w:rsidP="00B32E8C">
            <w:pPr>
              <w:jc w:val="center"/>
              <w:rPr>
                <w:b/>
                <w:bCs/>
                <w:sz w:val="28"/>
                <w:szCs w:val="28"/>
              </w:rPr>
            </w:pPr>
          </w:p>
        </w:tc>
        <w:tc>
          <w:tcPr>
            <w:tcW w:w="3953" w:type="dxa"/>
          </w:tcPr>
          <w:p w14:paraId="593079EF" w14:textId="77777777" w:rsidR="00B32E8C" w:rsidRPr="00B32E8C" w:rsidRDefault="00B32E8C" w:rsidP="00B32E8C">
            <w:pPr>
              <w:jc w:val="center"/>
              <w:rPr>
                <w:b/>
                <w:bCs/>
                <w:sz w:val="28"/>
                <w:szCs w:val="28"/>
              </w:rPr>
            </w:pPr>
          </w:p>
        </w:tc>
      </w:tr>
      <w:tr w:rsidR="00B32E8C" w14:paraId="2E78C2E2" w14:textId="77777777" w:rsidTr="00B32E8C">
        <w:trPr>
          <w:trHeight w:val="850"/>
        </w:trPr>
        <w:tc>
          <w:tcPr>
            <w:tcW w:w="2420" w:type="dxa"/>
            <w:vAlign w:val="center"/>
          </w:tcPr>
          <w:p w14:paraId="4DD59E86" w14:textId="06C2FEC6" w:rsidR="00B32E8C" w:rsidRPr="00B32E8C" w:rsidRDefault="00B32E8C" w:rsidP="00B32E8C">
            <w:pPr>
              <w:jc w:val="center"/>
              <w:rPr>
                <w:b/>
                <w:bCs/>
                <w:sz w:val="28"/>
                <w:szCs w:val="28"/>
              </w:rPr>
            </w:pPr>
            <w:r w:rsidRPr="00B32E8C">
              <w:rPr>
                <w:b/>
                <w:bCs/>
                <w:sz w:val="28"/>
                <w:szCs w:val="28"/>
              </w:rPr>
              <w:t>3</w:t>
            </w:r>
            <w:r w:rsidR="003F07E4">
              <w:rPr>
                <w:b/>
                <w:bCs/>
                <w:sz w:val="28"/>
                <w:szCs w:val="28"/>
              </w:rPr>
              <w:t xml:space="preserve"> – </w:t>
            </w:r>
            <w:r w:rsidR="00F62CBA">
              <w:rPr>
                <w:b/>
                <w:bCs/>
                <w:sz w:val="28"/>
                <w:szCs w:val="28"/>
              </w:rPr>
              <w:t>Abgriff persönlicher Daten</w:t>
            </w:r>
          </w:p>
        </w:tc>
        <w:tc>
          <w:tcPr>
            <w:tcW w:w="3952" w:type="dxa"/>
          </w:tcPr>
          <w:p w14:paraId="172F4BE8" w14:textId="77777777" w:rsidR="00B32E8C" w:rsidRPr="00B32E8C" w:rsidRDefault="00B32E8C" w:rsidP="00B32E8C">
            <w:pPr>
              <w:jc w:val="center"/>
              <w:rPr>
                <w:b/>
                <w:bCs/>
                <w:sz w:val="28"/>
                <w:szCs w:val="28"/>
              </w:rPr>
            </w:pPr>
          </w:p>
        </w:tc>
        <w:tc>
          <w:tcPr>
            <w:tcW w:w="3952" w:type="dxa"/>
          </w:tcPr>
          <w:p w14:paraId="0C7FB2DD" w14:textId="77777777" w:rsidR="00B32E8C" w:rsidRPr="00B32E8C" w:rsidRDefault="00B32E8C" w:rsidP="00B32E8C">
            <w:pPr>
              <w:jc w:val="center"/>
              <w:rPr>
                <w:b/>
                <w:bCs/>
                <w:sz w:val="28"/>
                <w:szCs w:val="28"/>
              </w:rPr>
            </w:pPr>
          </w:p>
        </w:tc>
        <w:tc>
          <w:tcPr>
            <w:tcW w:w="3953" w:type="dxa"/>
          </w:tcPr>
          <w:p w14:paraId="19FD88E0" w14:textId="77777777" w:rsidR="00B32E8C" w:rsidRPr="00B32E8C" w:rsidRDefault="00B32E8C" w:rsidP="00B32E8C">
            <w:pPr>
              <w:jc w:val="center"/>
              <w:rPr>
                <w:b/>
                <w:bCs/>
                <w:sz w:val="28"/>
                <w:szCs w:val="28"/>
              </w:rPr>
            </w:pPr>
          </w:p>
        </w:tc>
      </w:tr>
      <w:tr w:rsidR="00B32E8C" w14:paraId="7DA0E964" w14:textId="77777777" w:rsidTr="00B32E8C">
        <w:trPr>
          <w:trHeight w:val="850"/>
        </w:trPr>
        <w:tc>
          <w:tcPr>
            <w:tcW w:w="2420" w:type="dxa"/>
            <w:vAlign w:val="center"/>
          </w:tcPr>
          <w:p w14:paraId="69D912D8" w14:textId="16D9A1C9" w:rsidR="00B32E8C" w:rsidRPr="00B32E8C" w:rsidRDefault="00B32E8C" w:rsidP="00B32E8C">
            <w:pPr>
              <w:jc w:val="center"/>
              <w:rPr>
                <w:b/>
                <w:bCs/>
                <w:sz w:val="28"/>
                <w:szCs w:val="28"/>
              </w:rPr>
            </w:pPr>
            <w:r w:rsidRPr="00B32E8C">
              <w:rPr>
                <w:b/>
                <w:bCs/>
                <w:sz w:val="28"/>
                <w:szCs w:val="28"/>
              </w:rPr>
              <w:t>4</w:t>
            </w:r>
            <w:r w:rsidR="00F021A9">
              <w:rPr>
                <w:b/>
                <w:bCs/>
                <w:sz w:val="28"/>
                <w:szCs w:val="28"/>
              </w:rPr>
              <w:t xml:space="preserve"> – Malware auf der Festplatte</w:t>
            </w:r>
          </w:p>
        </w:tc>
        <w:tc>
          <w:tcPr>
            <w:tcW w:w="3952" w:type="dxa"/>
          </w:tcPr>
          <w:p w14:paraId="47B4D1E5" w14:textId="77777777" w:rsidR="00B32E8C" w:rsidRPr="00B32E8C" w:rsidRDefault="00B32E8C" w:rsidP="00B32E8C">
            <w:pPr>
              <w:jc w:val="center"/>
              <w:rPr>
                <w:b/>
                <w:bCs/>
                <w:sz w:val="28"/>
                <w:szCs w:val="28"/>
              </w:rPr>
            </w:pPr>
          </w:p>
        </w:tc>
        <w:tc>
          <w:tcPr>
            <w:tcW w:w="3952" w:type="dxa"/>
          </w:tcPr>
          <w:p w14:paraId="7EE50778" w14:textId="77777777" w:rsidR="00B32E8C" w:rsidRPr="00B32E8C" w:rsidRDefault="00B32E8C" w:rsidP="00B32E8C">
            <w:pPr>
              <w:jc w:val="center"/>
              <w:rPr>
                <w:b/>
                <w:bCs/>
                <w:sz w:val="28"/>
                <w:szCs w:val="28"/>
              </w:rPr>
            </w:pPr>
          </w:p>
        </w:tc>
        <w:tc>
          <w:tcPr>
            <w:tcW w:w="3953" w:type="dxa"/>
          </w:tcPr>
          <w:p w14:paraId="335C7929" w14:textId="77777777" w:rsidR="00B32E8C" w:rsidRPr="00B32E8C" w:rsidRDefault="00B32E8C" w:rsidP="00B32E8C">
            <w:pPr>
              <w:jc w:val="center"/>
              <w:rPr>
                <w:b/>
                <w:bCs/>
                <w:sz w:val="28"/>
                <w:szCs w:val="28"/>
              </w:rPr>
            </w:pPr>
          </w:p>
        </w:tc>
      </w:tr>
      <w:tr w:rsidR="00B32E8C" w14:paraId="3D03990A" w14:textId="77777777" w:rsidTr="00E0058D">
        <w:trPr>
          <w:trHeight w:val="850"/>
        </w:trPr>
        <w:tc>
          <w:tcPr>
            <w:tcW w:w="2420" w:type="dxa"/>
          </w:tcPr>
          <w:p w14:paraId="212696D1" w14:textId="0D8F1297" w:rsidR="00B32E8C" w:rsidRPr="00B32E8C" w:rsidRDefault="00B32E8C" w:rsidP="00E0058D">
            <w:pPr>
              <w:jc w:val="center"/>
              <w:rPr>
                <w:b/>
                <w:bCs/>
                <w:sz w:val="28"/>
                <w:szCs w:val="28"/>
              </w:rPr>
            </w:pPr>
            <w:r w:rsidRPr="00B32E8C">
              <w:rPr>
                <w:b/>
                <w:bCs/>
                <w:sz w:val="28"/>
                <w:szCs w:val="28"/>
              </w:rPr>
              <w:t>5</w:t>
            </w:r>
            <w:r w:rsidR="00B91111">
              <w:rPr>
                <w:b/>
                <w:bCs/>
                <w:sz w:val="28"/>
                <w:szCs w:val="28"/>
              </w:rPr>
              <w:t xml:space="preserve"> -</w:t>
            </w:r>
          </w:p>
        </w:tc>
        <w:tc>
          <w:tcPr>
            <w:tcW w:w="3952" w:type="dxa"/>
          </w:tcPr>
          <w:p w14:paraId="6074A292" w14:textId="77777777" w:rsidR="00B32E8C" w:rsidRPr="00B32E8C" w:rsidRDefault="00B32E8C" w:rsidP="00B32E8C">
            <w:pPr>
              <w:jc w:val="center"/>
              <w:rPr>
                <w:b/>
                <w:bCs/>
                <w:sz w:val="28"/>
                <w:szCs w:val="28"/>
              </w:rPr>
            </w:pPr>
          </w:p>
        </w:tc>
        <w:tc>
          <w:tcPr>
            <w:tcW w:w="3952" w:type="dxa"/>
          </w:tcPr>
          <w:p w14:paraId="758DA24A" w14:textId="77777777" w:rsidR="00B32E8C" w:rsidRPr="00B32E8C" w:rsidRDefault="00B32E8C" w:rsidP="00B32E8C">
            <w:pPr>
              <w:jc w:val="center"/>
              <w:rPr>
                <w:b/>
                <w:bCs/>
                <w:sz w:val="28"/>
                <w:szCs w:val="28"/>
              </w:rPr>
            </w:pPr>
          </w:p>
        </w:tc>
        <w:tc>
          <w:tcPr>
            <w:tcW w:w="3953" w:type="dxa"/>
          </w:tcPr>
          <w:p w14:paraId="5597D643" w14:textId="77777777" w:rsidR="00B32E8C" w:rsidRPr="00B32E8C" w:rsidRDefault="00B32E8C" w:rsidP="00B32E8C">
            <w:pPr>
              <w:jc w:val="center"/>
              <w:rPr>
                <w:b/>
                <w:bCs/>
                <w:sz w:val="28"/>
                <w:szCs w:val="28"/>
              </w:rPr>
            </w:pPr>
          </w:p>
        </w:tc>
      </w:tr>
      <w:tr w:rsidR="00B32E8C" w14:paraId="6D5AFF01" w14:textId="77777777" w:rsidTr="00B32E8C">
        <w:trPr>
          <w:trHeight w:val="850"/>
        </w:trPr>
        <w:tc>
          <w:tcPr>
            <w:tcW w:w="2420" w:type="dxa"/>
            <w:vAlign w:val="center"/>
          </w:tcPr>
          <w:p w14:paraId="4E12E029" w14:textId="6B8BB6E6" w:rsidR="00B32E8C" w:rsidRPr="00B32E8C" w:rsidRDefault="00B32E8C" w:rsidP="00B32E8C">
            <w:pPr>
              <w:jc w:val="center"/>
              <w:rPr>
                <w:b/>
                <w:bCs/>
                <w:sz w:val="28"/>
                <w:szCs w:val="28"/>
              </w:rPr>
            </w:pPr>
            <w:r w:rsidRPr="00B32E8C">
              <w:rPr>
                <w:b/>
                <w:bCs/>
                <w:sz w:val="28"/>
                <w:szCs w:val="28"/>
              </w:rPr>
              <w:t>6</w:t>
            </w:r>
            <w:r w:rsidR="00C03C51">
              <w:rPr>
                <w:b/>
                <w:bCs/>
                <w:sz w:val="28"/>
                <w:szCs w:val="28"/>
              </w:rPr>
              <w:t xml:space="preserve"> – In Amazon angemeldet bleiben</w:t>
            </w:r>
            <w:r w:rsidR="00F62CBA">
              <w:rPr>
                <w:b/>
                <w:bCs/>
                <w:sz w:val="28"/>
                <w:szCs w:val="28"/>
              </w:rPr>
              <w:t xml:space="preserve"> an Schulrechner</w:t>
            </w:r>
          </w:p>
        </w:tc>
        <w:tc>
          <w:tcPr>
            <w:tcW w:w="3952" w:type="dxa"/>
          </w:tcPr>
          <w:p w14:paraId="452E6255" w14:textId="77777777" w:rsidR="00B32E8C" w:rsidRPr="00B32E8C" w:rsidRDefault="00B32E8C" w:rsidP="00B32E8C">
            <w:pPr>
              <w:jc w:val="center"/>
              <w:rPr>
                <w:b/>
                <w:bCs/>
                <w:sz w:val="28"/>
                <w:szCs w:val="28"/>
              </w:rPr>
            </w:pPr>
          </w:p>
        </w:tc>
        <w:tc>
          <w:tcPr>
            <w:tcW w:w="3952" w:type="dxa"/>
          </w:tcPr>
          <w:p w14:paraId="1F7F1DC3" w14:textId="77777777" w:rsidR="00B32E8C" w:rsidRPr="00B32E8C" w:rsidRDefault="00B32E8C" w:rsidP="00B32E8C">
            <w:pPr>
              <w:jc w:val="center"/>
              <w:rPr>
                <w:b/>
                <w:bCs/>
                <w:sz w:val="28"/>
                <w:szCs w:val="28"/>
              </w:rPr>
            </w:pPr>
          </w:p>
        </w:tc>
        <w:tc>
          <w:tcPr>
            <w:tcW w:w="3953" w:type="dxa"/>
          </w:tcPr>
          <w:p w14:paraId="6AA5953C" w14:textId="77777777" w:rsidR="00B32E8C" w:rsidRPr="00B32E8C" w:rsidRDefault="00B32E8C" w:rsidP="00B32E8C">
            <w:pPr>
              <w:jc w:val="center"/>
              <w:rPr>
                <w:b/>
                <w:bCs/>
                <w:sz w:val="28"/>
                <w:szCs w:val="28"/>
              </w:rPr>
            </w:pPr>
          </w:p>
        </w:tc>
      </w:tr>
      <w:tr w:rsidR="00B32E8C" w14:paraId="58365F28" w14:textId="77777777" w:rsidTr="00B32E8C">
        <w:trPr>
          <w:trHeight w:val="850"/>
        </w:trPr>
        <w:tc>
          <w:tcPr>
            <w:tcW w:w="2420" w:type="dxa"/>
            <w:vAlign w:val="center"/>
          </w:tcPr>
          <w:p w14:paraId="56F5ABE5" w14:textId="65253C30" w:rsidR="00B32E8C" w:rsidRPr="00B32E8C" w:rsidRDefault="00B32E8C" w:rsidP="00B32E8C">
            <w:pPr>
              <w:jc w:val="center"/>
              <w:rPr>
                <w:b/>
                <w:bCs/>
                <w:sz w:val="28"/>
                <w:szCs w:val="28"/>
              </w:rPr>
            </w:pPr>
            <w:r w:rsidRPr="00B32E8C">
              <w:rPr>
                <w:b/>
                <w:bCs/>
                <w:sz w:val="28"/>
                <w:szCs w:val="28"/>
              </w:rPr>
              <w:t>7</w:t>
            </w:r>
            <w:r w:rsidR="00C03C51">
              <w:rPr>
                <w:b/>
                <w:bCs/>
                <w:sz w:val="28"/>
                <w:szCs w:val="28"/>
              </w:rPr>
              <w:t xml:space="preserve"> – Handy verloren</w:t>
            </w:r>
          </w:p>
        </w:tc>
        <w:tc>
          <w:tcPr>
            <w:tcW w:w="3952" w:type="dxa"/>
          </w:tcPr>
          <w:p w14:paraId="29D044A3" w14:textId="77777777" w:rsidR="00B32E8C" w:rsidRPr="00B32E8C" w:rsidRDefault="00B32E8C" w:rsidP="00B32E8C">
            <w:pPr>
              <w:jc w:val="center"/>
              <w:rPr>
                <w:b/>
                <w:bCs/>
                <w:sz w:val="28"/>
                <w:szCs w:val="28"/>
              </w:rPr>
            </w:pPr>
          </w:p>
        </w:tc>
        <w:tc>
          <w:tcPr>
            <w:tcW w:w="3952" w:type="dxa"/>
          </w:tcPr>
          <w:p w14:paraId="35E5EFE4" w14:textId="77777777" w:rsidR="00B32E8C" w:rsidRPr="00B32E8C" w:rsidRDefault="00B32E8C" w:rsidP="00B32E8C">
            <w:pPr>
              <w:jc w:val="center"/>
              <w:rPr>
                <w:b/>
                <w:bCs/>
                <w:sz w:val="28"/>
                <w:szCs w:val="28"/>
              </w:rPr>
            </w:pPr>
          </w:p>
        </w:tc>
        <w:tc>
          <w:tcPr>
            <w:tcW w:w="3953" w:type="dxa"/>
          </w:tcPr>
          <w:p w14:paraId="5130CD07" w14:textId="77777777" w:rsidR="00B32E8C" w:rsidRPr="00B32E8C" w:rsidRDefault="00B32E8C" w:rsidP="00B32E8C">
            <w:pPr>
              <w:jc w:val="center"/>
              <w:rPr>
                <w:b/>
                <w:bCs/>
                <w:sz w:val="28"/>
                <w:szCs w:val="28"/>
              </w:rPr>
            </w:pPr>
          </w:p>
        </w:tc>
      </w:tr>
      <w:tr w:rsidR="00B32E8C" w14:paraId="56C86D86" w14:textId="77777777" w:rsidTr="00B32E8C">
        <w:trPr>
          <w:trHeight w:val="850"/>
        </w:trPr>
        <w:tc>
          <w:tcPr>
            <w:tcW w:w="2420" w:type="dxa"/>
            <w:vAlign w:val="center"/>
          </w:tcPr>
          <w:p w14:paraId="40508439" w14:textId="69132FFA" w:rsidR="00B32E8C" w:rsidRPr="00B32E8C" w:rsidRDefault="00B32E8C" w:rsidP="00B32E8C">
            <w:pPr>
              <w:jc w:val="center"/>
              <w:rPr>
                <w:b/>
                <w:bCs/>
                <w:sz w:val="28"/>
                <w:szCs w:val="28"/>
              </w:rPr>
            </w:pPr>
            <w:r w:rsidRPr="00B32E8C">
              <w:rPr>
                <w:b/>
                <w:bCs/>
                <w:sz w:val="28"/>
                <w:szCs w:val="28"/>
              </w:rPr>
              <w:t>8</w:t>
            </w:r>
            <w:r w:rsidR="00C03C51">
              <w:rPr>
                <w:b/>
                <w:bCs/>
                <w:sz w:val="28"/>
                <w:szCs w:val="28"/>
              </w:rPr>
              <w:t xml:space="preserve"> – Source code von Programm gestohlen</w:t>
            </w:r>
          </w:p>
        </w:tc>
        <w:tc>
          <w:tcPr>
            <w:tcW w:w="3952" w:type="dxa"/>
          </w:tcPr>
          <w:p w14:paraId="6BED498F" w14:textId="77777777" w:rsidR="00B32E8C" w:rsidRPr="00B32E8C" w:rsidRDefault="00B32E8C" w:rsidP="00B32E8C">
            <w:pPr>
              <w:jc w:val="center"/>
              <w:rPr>
                <w:b/>
                <w:bCs/>
                <w:sz w:val="28"/>
                <w:szCs w:val="28"/>
              </w:rPr>
            </w:pPr>
          </w:p>
        </w:tc>
        <w:tc>
          <w:tcPr>
            <w:tcW w:w="3952" w:type="dxa"/>
          </w:tcPr>
          <w:p w14:paraId="092BDE66" w14:textId="77777777" w:rsidR="00B32E8C" w:rsidRPr="00B32E8C" w:rsidRDefault="00B32E8C" w:rsidP="00B32E8C">
            <w:pPr>
              <w:jc w:val="center"/>
              <w:rPr>
                <w:b/>
                <w:bCs/>
                <w:sz w:val="28"/>
                <w:szCs w:val="28"/>
              </w:rPr>
            </w:pPr>
          </w:p>
        </w:tc>
        <w:tc>
          <w:tcPr>
            <w:tcW w:w="3953" w:type="dxa"/>
          </w:tcPr>
          <w:p w14:paraId="72FFB4CF" w14:textId="77777777" w:rsidR="00B32E8C" w:rsidRPr="00B32E8C" w:rsidRDefault="00B32E8C" w:rsidP="00B32E8C">
            <w:pPr>
              <w:jc w:val="center"/>
              <w:rPr>
                <w:b/>
                <w:bCs/>
                <w:sz w:val="28"/>
                <w:szCs w:val="28"/>
              </w:rPr>
            </w:pPr>
          </w:p>
        </w:tc>
      </w:tr>
    </w:tbl>
    <w:p w14:paraId="41333549" w14:textId="365F1870" w:rsidR="00360685" w:rsidRPr="00B32E8C" w:rsidRDefault="00360685" w:rsidP="00B32E8C">
      <w:pPr>
        <w:jc w:val="both"/>
        <w:rPr>
          <w:sz w:val="24"/>
          <w:szCs w:val="24"/>
        </w:rPr>
      </w:pPr>
    </w:p>
    <w:sectPr w:rsidR="00360685" w:rsidRPr="00B32E8C" w:rsidSect="005526AD">
      <w:headerReference w:type="default" r:id="rId12"/>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E2F90" w14:textId="77777777" w:rsidR="005526AD" w:rsidRDefault="005526AD" w:rsidP="00E504F6">
      <w:pPr>
        <w:spacing w:after="0" w:line="240" w:lineRule="auto"/>
      </w:pPr>
      <w:r>
        <w:separator/>
      </w:r>
    </w:p>
  </w:endnote>
  <w:endnote w:type="continuationSeparator" w:id="0">
    <w:p w14:paraId="6DFE6BE2" w14:textId="77777777" w:rsidR="005526AD" w:rsidRDefault="005526AD" w:rsidP="00E50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0F884" w14:textId="77777777" w:rsidR="005526AD" w:rsidRDefault="005526AD" w:rsidP="00E504F6">
      <w:pPr>
        <w:spacing w:after="0" w:line="240" w:lineRule="auto"/>
      </w:pPr>
      <w:r>
        <w:separator/>
      </w:r>
    </w:p>
  </w:footnote>
  <w:footnote w:type="continuationSeparator" w:id="0">
    <w:p w14:paraId="31E43EC4" w14:textId="77777777" w:rsidR="005526AD" w:rsidRDefault="005526AD" w:rsidP="00E504F6">
      <w:pPr>
        <w:spacing w:after="0" w:line="240" w:lineRule="auto"/>
      </w:pPr>
      <w:r>
        <w:continuationSeparator/>
      </w:r>
    </w:p>
  </w:footnote>
  <w:footnote w:id="1">
    <w:p w14:paraId="0DC5AEF8" w14:textId="77777777" w:rsidR="00E504F6" w:rsidRDefault="00E504F6">
      <w:pPr>
        <w:pStyle w:val="Funotentext"/>
      </w:pPr>
      <w:r>
        <w:rPr>
          <w:rStyle w:val="Funotenzeichen"/>
        </w:rPr>
        <w:footnoteRef/>
      </w:r>
      <w:r>
        <w:t xml:space="preserve"> Bundesamt für Sicherheit in der Informationstechnik – IT-Grundschutz-Kompendium, online unter:</w:t>
      </w:r>
      <w:r w:rsidRPr="00E504F6">
        <w:t>https://www.bsi.bund.de/SharedDocs/Downloads/DE/BSI/Grundschutz/Kompendium/IT_Grundschutz_Kompendium_Edition2021.pdf?__blob=publicationFile&amp;v=6</w:t>
      </w:r>
      <w:r>
        <w:t>, letzter Zugriff: 31.08.2021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2511"/>
      <w:gridCol w:w="4208"/>
      <w:gridCol w:w="2343"/>
    </w:tblGrid>
    <w:tr w:rsidR="00E504F6" w14:paraId="4430F159" w14:textId="77777777" w:rsidTr="007831B7">
      <w:trPr>
        <w:trHeight w:val="977"/>
      </w:trPr>
      <w:tc>
        <w:tcPr>
          <w:tcW w:w="2518" w:type="dxa"/>
          <w:tcBorders>
            <w:top w:val="single" w:sz="4" w:space="0" w:color="auto"/>
            <w:left w:val="single" w:sz="4" w:space="0" w:color="auto"/>
            <w:bottom w:val="single" w:sz="4" w:space="0" w:color="auto"/>
            <w:right w:val="nil"/>
          </w:tcBorders>
          <w:vAlign w:val="center"/>
          <w:hideMark/>
        </w:tcPr>
        <w:p w14:paraId="443D5B60" w14:textId="77777777" w:rsidR="00E504F6" w:rsidRDefault="00E504F6" w:rsidP="00E504F6">
          <w:pPr>
            <w:pStyle w:val="Kopfzeile"/>
          </w:pPr>
          <w:r>
            <w:rPr>
              <w:sz w:val="24"/>
              <w:szCs w:val="24"/>
            </w:rPr>
            <w:object w:dxaOrig="6826" w:dyaOrig="2370" w14:anchorId="37FE4F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85pt;height:37.85pt" filled="t">
                <v:fill color2="black"/>
                <v:imagedata r:id="rId1" o:title=""/>
              </v:shape>
              <o:OLEObject Type="Embed" ProgID="Microsoft" ShapeID="_x0000_i1025" DrawAspect="Content" ObjectID="_1768707549" r:id="rId2"/>
            </w:object>
          </w:r>
        </w:p>
      </w:tc>
      <w:tc>
        <w:tcPr>
          <w:tcW w:w="4394" w:type="dxa"/>
          <w:tcBorders>
            <w:top w:val="single" w:sz="4" w:space="0" w:color="auto"/>
            <w:left w:val="nil"/>
            <w:bottom w:val="single" w:sz="4" w:space="0" w:color="auto"/>
            <w:right w:val="nil"/>
          </w:tcBorders>
          <w:vAlign w:val="center"/>
          <w:hideMark/>
        </w:tcPr>
        <w:p w14:paraId="00E73FBB" w14:textId="77777777" w:rsidR="00E504F6" w:rsidRPr="007D2190" w:rsidRDefault="00E504F6" w:rsidP="00E504F6">
          <w:pPr>
            <w:pStyle w:val="Kopfzeile"/>
            <w:jc w:val="center"/>
            <w:rPr>
              <w:b/>
              <w:bCs/>
            </w:rPr>
          </w:pPr>
          <w:r>
            <w:rPr>
              <w:b/>
              <w:bCs/>
            </w:rPr>
            <w:t>SDD</w:t>
          </w:r>
        </w:p>
        <w:p w14:paraId="428491D8" w14:textId="77777777" w:rsidR="00E504F6" w:rsidRPr="00AF203D" w:rsidRDefault="00E504F6" w:rsidP="00E504F6">
          <w:pPr>
            <w:pStyle w:val="Kopfzeile"/>
            <w:jc w:val="center"/>
            <w:rPr>
              <w:i/>
              <w:iCs/>
            </w:rPr>
          </w:pPr>
          <w:r>
            <w:rPr>
              <w:i/>
              <w:iCs/>
            </w:rPr>
            <w:t>Lernsituation 1</w:t>
          </w:r>
        </w:p>
        <w:p w14:paraId="72DBEC0D" w14:textId="77777777" w:rsidR="00E504F6" w:rsidRPr="007D2190" w:rsidRDefault="00E504F6" w:rsidP="00E504F6">
          <w:pPr>
            <w:pStyle w:val="Kopfzeile"/>
            <w:jc w:val="center"/>
          </w:pPr>
          <w:r>
            <w:t>AB 3</w:t>
          </w:r>
        </w:p>
      </w:tc>
      <w:tc>
        <w:tcPr>
          <w:tcW w:w="2376" w:type="dxa"/>
          <w:tcBorders>
            <w:top w:val="single" w:sz="4" w:space="0" w:color="auto"/>
            <w:left w:val="nil"/>
            <w:bottom w:val="single" w:sz="4" w:space="0" w:color="auto"/>
            <w:right w:val="single" w:sz="4" w:space="0" w:color="auto"/>
          </w:tcBorders>
          <w:vAlign w:val="center"/>
          <w:hideMark/>
        </w:tcPr>
        <w:p w14:paraId="79FB9931" w14:textId="77777777" w:rsidR="00E504F6" w:rsidRPr="007D2190" w:rsidRDefault="00E504F6" w:rsidP="00E504F6">
          <w:pPr>
            <w:pStyle w:val="Kopfzeile"/>
            <w:jc w:val="right"/>
            <w:rPr>
              <w:b/>
              <w:bCs/>
            </w:rPr>
          </w:pPr>
          <w:r>
            <w:rPr>
              <w:noProof/>
            </w:rPr>
            <w:drawing>
              <wp:inline distT="0" distB="0" distL="0" distR="0" wp14:anchorId="322E1B06" wp14:editId="2DCF88F3">
                <wp:extent cx="1028700" cy="55469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53560" cy="568096"/>
                        </a:xfrm>
                        <a:prstGeom prst="rect">
                          <a:avLst/>
                        </a:prstGeom>
                        <a:noFill/>
                        <a:ln>
                          <a:noFill/>
                        </a:ln>
                      </pic:spPr>
                    </pic:pic>
                  </a:graphicData>
                </a:graphic>
              </wp:inline>
            </w:drawing>
          </w:r>
        </w:p>
      </w:tc>
    </w:tr>
  </w:tbl>
  <w:p w14:paraId="24A7C99C" w14:textId="77777777" w:rsidR="00E504F6" w:rsidRDefault="00E504F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14312" w:type="dxa"/>
      <w:tblBorders>
        <w:insideH w:val="none" w:sz="0" w:space="0" w:color="auto"/>
        <w:insideV w:val="none" w:sz="0" w:space="0" w:color="auto"/>
      </w:tblBorders>
      <w:tblLook w:val="04A0" w:firstRow="1" w:lastRow="0" w:firstColumn="1" w:lastColumn="0" w:noHBand="0" w:noVBand="1"/>
    </w:tblPr>
    <w:tblGrid>
      <w:gridCol w:w="2518"/>
      <w:gridCol w:w="9951"/>
      <w:gridCol w:w="1843"/>
    </w:tblGrid>
    <w:tr w:rsidR="00B32E8C" w14:paraId="7B29108E" w14:textId="77777777" w:rsidTr="00B32E8C">
      <w:trPr>
        <w:trHeight w:val="977"/>
      </w:trPr>
      <w:tc>
        <w:tcPr>
          <w:tcW w:w="2518" w:type="dxa"/>
          <w:tcBorders>
            <w:top w:val="single" w:sz="4" w:space="0" w:color="auto"/>
            <w:left w:val="single" w:sz="4" w:space="0" w:color="auto"/>
            <w:bottom w:val="single" w:sz="4" w:space="0" w:color="auto"/>
            <w:right w:val="nil"/>
          </w:tcBorders>
          <w:vAlign w:val="center"/>
          <w:hideMark/>
        </w:tcPr>
        <w:p w14:paraId="43270EDD" w14:textId="77777777" w:rsidR="00B32E8C" w:rsidRDefault="00B32E8C" w:rsidP="00E504F6">
          <w:pPr>
            <w:pStyle w:val="Kopfzeile"/>
          </w:pPr>
          <w:r>
            <w:rPr>
              <w:sz w:val="24"/>
              <w:szCs w:val="24"/>
            </w:rPr>
            <w:object w:dxaOrig="6826" w:dyaOrig="2370" w14:anchorId="56137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85pt;height:37.85pt" filled="t">
                <v:fill color2="black"/>
                <v:imagedata r:id="rId1" o:title=""/>
              </v:shape>
              <o:OLEObject Type="Embed" ProgID="Microsoft" ShapeID="_x0000_i1026" DrawAspect="Content" ObjectID="_1768707550" r:id="rId2"/>
            </w:object>
          </w:r>
        </w:p>
      </w:tc>
      <w:tc>
        <w:tcPr>
          <w:tcW w:w="9951" w:type="dxa"/>
          <w:tcBorders>
            <w:top w:val="single" w:sz="4" w:space="0" w:color="auto"/>
            <w:left w:val="nil"/>
            <w:bottom w:val="single" w:sz="4" w:space="0" w:color="auto"/>
            <w:right w:val="nil"/>
          </w:tcBorders>
          <w:vAlign w:val="center"/>
          <w:hideMark/>
        </w:tcPr>
        <w:p w14:paraId="4C721491" w14:textId="77777777" w:rsidR="00B32E8C" w:rsidRPr="007D2190" w:rsidRDefault="00B32E8C" w:rsidP="00E504F6">
          <w:pPr>
            <w:pStyle w:val="Kopfzeile"/>
            <w:jc w:val="center"/>
            <w:rPr>
              <w:b/>
              <w:bCs/>
            </w:rPr>
          </w:pPr>
          <w:r>
            <w:rPr>
              <w:b/>
              <w:bCs/>
            </w:rPr>
            <w:t>SDD</w:t>
          </w:r>
        </w:p>
        <w:p w14:paraId="4F8BE82D" w14:textId="77777777" w:rsidR="00B32E8C" w:rsidRPr="00AF203D" w:rsidRDefault="00B32E8C" w:rsidP="00E504F6">
          <w:pPr>
            <w:pStyle w:val="Kopfzeile"/>
            <w:jc w:val="center"/>
            <w:rPr>
              <w:i/>
              <w:iCs/>
            </w:rPr>
          </w:pPr>
          <w:r>
            <w:rPr>
              <w:i/>
              <w:iCs/>
            </w:rPr>
            <w:t>Lernsituation 1</w:t>
          </w:r>
        </w:p>
        <w:p w14:paraId="4556D699" w14:textId="77777777" w:rsidR="00B32E8C" w:rsidRPr="007D2190" w:rsidRDefault="00B32E8C" w:rsidP="00E504F6">
          <w:pPr>
            <w:pStyle w:val="Kopfzeile"/>
            <w:jc w:val="center"/>
          </w:pPr>
          <w:r>
            <w:t>AB 3</w:t>
          </w:r>
        </w:p>
      </w:tc>
      <w:tc>
        <w:tcPr>
          <w:tcW w:w="1843" w:type="dxa"/>
          <w:tcBorders>
            <w:top w:val="single" w:sz="4" w:space="0" w:color="auto"/>
            <w:left w:val="nil"/>
            <w:bottom w:val="single" w:sz="4" w:space="0" w:color="auto"/>
            <w:right w:val="single" w:sz="4" w:space="0" w:color="auto"/>
          </w:tcBorders>
          <w:vAlign w:val="center"/>
          <w:hideMark/>
        </w:tcPr>
        <w:p w14:paraId="2F7373AA" w14:textId="77777777" w:rsidR="00B32E8C" w:rsidRPr="007D2190" w:rsidRDefault="00B32E8C" w:rsidP="00E504F6">
          <w:pPr>
            <w:pStyle w:val="Kopfzeile"/>
            <w:jc w:val="right"/>
            <w:rPr>
              <w:b/>
              <w:bCs/>
            </w:rPr>
          </w:pPr>
          <w:r>
            <w:rPr>
              <w:noProof/>
            </w:rPr>
            <w:drawing>
              <wp:inline distT="0" distB="0" distL="0" distR="0" wp14:anchorId="7E08F6A7" wp14:editId="38EB4D7E">
                <wp:extent cx="1028700" cy="55469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53560" cy="568096"/>
                        </a:xfrm>
                        <a:prstGeom prst="rect">
                          <a:avLst/>
                        </a:prstGeom>
                        <a:noFill/>
                        <a:ln>
                          <a:noFill/>
                        </a:ln>
                      </pic:spPr>
                    </pic:pic>
                  </a:graphicData>
                </a:graphic>
              </wp:inline>
            </w:drawing>
          </w:r>
        </w:p>
      </w:tc>
    </w:tr>
  </w:tbl>
  <w:p w14:paraId="716D0295" w14:textId="77777777" w:rsidR="00B32E8C" w:rsidRDefault="00B32E8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F4E06"/>
    <w:multiLevelType w:val="hybridMultilevel"/>
    <w:tmpl w:val="BC8499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7E17099"/>
    <w:multiLevelType w:val="hybridMultilevel"/>
    <w:tmpl w:val="F6802C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BD45876"/>
    <w:multiLevelType w:val="hybridMultilevel"/>
    <w:tmpl w:val="D8C0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76739325">
    <w:abstractNumId w:val="2"/>
  </w:num>
  <w:num w:numId="2" w16cid:durableId="1104570175">
    <w:abstractNumId w:val="0"/>
  </w:num>
  <w:num w:numId="3" w16cid:durableId="407465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4F6"/>
    <w:rsid w:val="00027969"/>
    <w:rsid w:val="000550FE"/>
    <w:rsid w:val="00212530"/>
    <w:rsid w:val="002F3792"/>
    <w:rsid w:val="00360685"/>
    <w:rsid w:val="003924B9"/>
    <w:rsid w:val="003F07E4"/>
    <w:rsid w:val="00452321"/>
    <w:rsid w:val="00485C24"/>
    <w:rsid w:val="005526AD"/>
    <w:rsid w:val="006172AB"/>
    <w:rsid w:val="007C1C49"/>
    <w:rsid w:val="008A58F6"/>
    <w:rsid w:val="008F4A28"/>
    <w:rsid w:val="00AB0048"/>
    <w:rsid w:val="00AF480C"/>
    <w:rsid w:val="00B32E8C"/>
    <w:rsid w:val="00B91111"/>
    <w:rsid w:val="00C03C51"/>
    <w:rsid w:val="00C86867"/>
    <w:rsid w:val="00CD4D27"/>
    <w:rsid w:val="00D40F2B"/>
    <w:rsid w:val="00E0058D"/>
    <w:rsid w:val="00E504F6"/>
    <w:rsid w:val="00F021A9"/>
    <w:rsid w:val="00F24B5D"/>
    <w:rsid w:val="00F340DE"/>
    <w:rsid w:val="00F62CBA"/>
    <w:rsid w:val="00FD40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8EEFF7"/>
  <w15:chartTrackingRefBased/>
  <w15:docId w15:val="{62E13B93-DB60-48E6-92B5-C38577A4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504F6"/>
    <w:pPr>
      <w:ind w:left="720"/>
      <w:contextualSpacing/>
    </w:pPr>
  </w:style>
  <w:style w:type="paragraph" w:styleId="Funotentext">
    <w:name w:val="footnote text"/>
    <w:basedOn w:val="Standard"/>
    <w:link w:val="FunotentextZchn"/>
    <w:uiPriority w:val="99"/>
    <w:semiHidden/>
    <w:unhideWhenUsed/>
    <w:rsid w:val="00E504F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04F6"/>
    <w:rPr>
      <w:sz w:val="20"/>
      <w:szCs w:val="20"/>
    </w:rPr>
  </w:style>
  <w:style w:type="character" w:styleId="Funotenzeichen">
    <w:name w:val="footnote reference"/>
    <w:basedOn w:val="Absatz-Standardschriftart"/>
    <w:uiPriority w:val="99"/>
    <w:semiHidden/>
    <w:unhideWhenUsed/>
    <w:rsid w:val="00E504F6"/>
    <w:rPr>
      <w:vertAlign w:val="superscript"/>
    </w:rPr>
  </w:style>
  <w:style w:type="paragraph" w:styleId="Kopfzeile">
    <w:name w:val="header"/>
    <w:basedOn w:val="Standard"/>
    <w:link w:val="KopfzeileZchn"/>
    <w:uiPriority w:val="99"/>
    <w:unhideWhenUsed/>
    <w:rsid w:val="00E504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04F6"/>
  </w:style>
  <w:style w:type="paragraph" w:styleId="Fuzeile">
    <w:name w:val="footer"/>
    <w:basedOn w:val="Standard"/>
    <w:link w:val="FuzeileZchn"/>
    <w:uiPriority w:val="99"/>
    <w:unhideWhenUsed/>
    <w:rsid w:val="00E504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04F6"/>
  </w:style>
  <w:style w:type="table" w:styleId="Tabellenraster">
    <w:name w:val="Table Grid"/>
    <w:basedOn w:val="NormaleTabelle"/>
    <w:uiPriority w:val="39"/>
    <w:rsid w:val="00E50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0279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4" ma:contentTypeDescription="Ein neues Dokument erstellen." ma:contentTypeScope="" ma:versionID="d698eed2c88382a4e84f28198fc5ff5a">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cf947e118beee7fa429dd72814d7079b"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A3D08E-CCA3-4A06-B23D-56BB8461E57A}">
  <ds:schemaRefs>
    <ds:schemaRef ds:uri="http://schemas.openxmlformats.org/officeDocument/2006/bibliography"/>
  </ds:schemaRefs>
</ds:datastoreItem>
</file>

<file path=customXml/itemProps2.xml><?xml version="1.0" encoding="utf-8"?>
<ds:datastoreItem xmlns:ds="http://schemas.openxmlformats.org/officeDocument/2006/customXml" ds:itemID="{D180BA5B-78DF-4935-8DFD-A2F22D4A8C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5E52BE-FE74-4E45-902D-46388053544D}">
  <ds:schemaRefs>
    <ds:schemaRef ds:uri="http://schemas.microsoft.com/sharepoint/v3/contenttype/forms"/>
  </ds:schemaRefs>
</ds:datastoreItem>
</file>

<file path=customXml/itemProps4.xml><?xml version="1.0" encoding="utf-8"?>
<ds:datastoreItem xmlns:ds="http://schemas.openxmlformats.org/officeDocument/2006/customXml" ds:itemID="{CA2DB2FE-61E9-4A59-85D9-DEA6A97D7606}"/>
</file>

<file path=docProps/app.xml><?xml version="1.0" encoding="utf-8"?>
<Properties xmlns="http://schemas.openxmlformats.org/officeDocument/2006/extended-properties" xmlns:vt="http://schemas.openxmlformats.org/officeDocument/2006/docPropsVTypes">
  <Template>Normal.dotm</Template>
  <TotalTime>0</TotalTime>
  <Pages>4</Pages>
  <Words>785</Words>
  <Characters>4950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Larue-Kirschke</dc:creator>
  <cp:keywords/>
  <dc:description/>
  <cp:lastModifiedBy>Werner Maus</cp:lastModifiedBy>
  <cp:revision>3</cp:revision>
  <dcterms:created xsi:type="dcterms:W3CDTF">2023-08-31T09:42:00Z</dcterms:created>
  <dcterms:modified xsi:type="dcterms:W3CDTF">2024-02-06T05:52:00Z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ies>
</file>