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751" w:rsidRPr="00822C26" w:rsidRDefault="000E6751" w:rsidP="000E6751">
      <w:pPr>
        <w:rPr>
          <w:b/>
        </w:rPr>
      </w:pPr>
      <w:r w:rsidRPr="00822C26">
        <w:rPr>
          <w:b/>
        </w:rPr>
        <w:t>Matric Number: A0164651E</w:t>
      </w:r>
      <w:r w:rsidR="00950271" w:rsidRPr="00822C26">
        <w:rPr>
          <w:b/>
        </w:rPr>
        <w:tab/>
        <w:t>HW2 Write-up</w:t>
      </w:r>
    </w:p>
    <w:p w:rsidR="00950271" w:rsidRPr="002625C3" w:rsidRDefault="00950271" w:rsidP="00C339C7">
      <w:pPr>
        <w:pStyle w:val="ListParagraph"/>
        <w:numPr>
          <w:ilvl w:val="0"/>
          <w:numId w:val="6"/>
        </w:numPr>
        <w:spacing w:after="0"/>
        <w:rPr>
          <w:b/>
        </w:rPr>
      </w:pPr>
      <w:bookmarkStart w:id="0" w:name="_Toc526491229"/>
      <w:r w:rsidRPr="002625C3">
        <w:rPr>
          <w:rStyle w:val="Heading1Char"/>
        </w:rPr>
        <w:t>Descriptive Statistics from EDA</w:t>
      </w:r>
      <w:bookmarkEnd w:id="0"/>
      <w:r w:rsidR="00FA2A33" w:rsidRPr="002625C3">
        <w:rPr>
          <w:b/>
        </w:rPr>
        <w:t xml:space="preserve"> </w:t>
      </w:r>
      <w:r w:rsidR="00FA2A33" w:rsidRPr="002625C3">
        <w:rPr>
          <w:i/>
        </w:rPr>
        <w:t>(Refer to Appendix A</w:t>
      </w:r>
      <w:r w:rsidR="00E54BB2">
        <w:rPr>
          <w:i/>
        </w:rPr>
        <w:t>, page 5</w:t>
      </w:r>
      <w:r w:rsidR="00FA2A33" w:rsidRPr="002625C3">
        <w:rPr>
          <w:i/>
        </w:rPr>
        <w:t>)</w:t>
      </w:r>
    </w:p>
    <w:p w:rsidR="00BD5FC4" w:rsidRDefault="0042303F" w:rsidP="000E6751">
      <w:r>
        <w:t xml:space="preserve">From the EDA, we can make a preliminary hypothesis that </w:t>
      </w:r>
      <w:r w:rsidR="00766B45">
        <w:t xml:space="preserve">Contract and </w:t>
      </w:r>
      <w:proofErr w:type="spellStart"/>
      <w:r w:rsidR="00766B45">
        <w:t>InternetService</w:t>
      </w:r>
      <w:proofErr w:type="spellEnd"/>
      <w:r w:rsidR="00766B45">
        <w:t xml:space="preserve"> will significantly affect if a customer churns, whereby a customer on </w:t>
      </w:r>
      <w:proofErr w:type="spellStart"/>
      <w:r w:rsidR="00766B45">
        <w:t>Fiber</w:t>
      </w:r>
      <w:proofErr w:type="spellEnd"/>
      <w:r w:rsidR="00766B45">
        <w:t xml:space="preserve"> optic will be 6 times more likely to churn than a customer with no </w:t>
      </w:r>
      <w:proofErr w:type="spellStart"/>
      <w:r w:rsidR="00766B45">
        <w:t>InternetService</w:t>
      </w:r>
      <w:proofErr w:type="spellEnd"/>
      <w:r w:rsidR="00766B45">
        <w:t>, and a customer on Month-to-month contract is 14 times more like to churn than a customer on Two year contract.</w:t>
      </w:r>
    </w:p>
    <w:p w:rsidR="00766B45" w:rsidRDefault="00766B45" w:rsidP="000E6751">
      <w:r>
        <w:rPr>
          <w:b/>
          <w:noProof/>
          <w:lang w:val="en-SG"/>
        </w:rPr>
        <w:drawing>
          <wp:inline distT="0" distB="0" distL="0" distR="0">
            <wp:extent cx="5184775" cy="1828800"/>
            <wp:effectExtent l="0" t="0" r="0" b="0"/>
            <wp:docPr id="4" name="Picture 4" descr="C:\Users\Terence Neo\AppData\Local\Microsoft\Windows\INetCache\Content.Word\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Terence Neo\AppData\Local\Microsoft\Windows\INetCache\Content.Word\untitled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775" cy="1828800"/>
                    </a:xfrm>
                    <a:prstGeom prst="rect">
                      <a:avLst/>
                    </a:prstGeom>
                    <a:noFill/>
                    <a:ln>
                      <a:noFill/>
                    </a:ln>
                  </pic:spPr>
                </pic:pic>
              </a:graphicData>
            </a:graphic>
          </wp:inline>
        </w:drawing>
      </w:r>
    </w:p>
    <w:p w:rsidR="00766B45" w:rsidRDefault="00766B45" w:rsidP="000E6751">
      <w:r>
        <w:rPr>
          <w:b/>
          <w:noProof/>
          <w:lang w:val="en-SG"/>
        </w:rPr>
        <w:drawing>
          <wp:inline distT="0" distB="0" distL="0" distR="0">
            <wp:extent cx="5184775" cy="1828800"/>
            <wp:effectExtent l="0" t="0" r="0" b="0"/>
            <wp:docPr id="3" name="Picture 3" descr="C:\Users\Terence Neo\AppData\Local\Microsoft\Windows\INetCache\Content.Word\untitle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Terence Neo\AppData\Local\Microsoft\Windows\INetCache\Content.Word\untitled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775" cy="1828800"/>
                    </a:xfrm>
                    <a:prstGeom prst="rect">
                      <a:avLst/>
                    </a:prstGeom>
                    <a:noFill/>
                    <a:ln>
                      <a:noFill/>
                    </a:ln>
                  </pic:spPr>
                </pic:pic>
              </a:graphicData>
            </a:graphic>
          </wp:inline>
        </w:drawing>
      </w:r>
    </w:p>
    <w:p w:rsidR="0008468B" w:rsidRPr="0042303F" w:rsidRDefault="0008468B" w:rsidP="000E6751">
      <w:r>
        <w:t xml:space="preserve">The rest of the plots can be found in </w:t>
      </w:r>
      <w:r w:rsidRPr="00B627C6">
        <w:rPr>
          <w:i/>
        </w:rPr>
        <w:t xml:space="preserve">Appendix </w:t>
      </w:r>
      <w:proofErr w:type="gramStart"/>
      <w:r w:rsidRPr="00B627C6">
        <w:rPr>
          <w:i/>
        </w:rPr>
        <w:t>A</w:t>
      </w:r>
      <w:proofErr w:type="gramEnd"/>
      <w:r w:rsidR="00B627C6" w:rsidRPr="00B627C6">
        <w:rPr>
          <w:i/>
        </w:rPr>
        <w:t>, page 4</w:t>
      </w:r>
      <w:r>
        <w:t>.</w:t>
      </w:r>
    </w:p>
    <w:p w:rsidR="008F3B89" w:rsidRPr="0008468B" w:rsidRDefault="00950271" w:rsidP="00C339C7">
      <w:pPr>
        <w:pStyle w:val="Heading1"/>
        <w:numPr>
          <w:ilvl w:val="0"/>
          <w:numId w:val="6"/>
        </w:numPr>
        <w:spacing w:before="0"/>
      </w:pPr>
      <w:bookmarkStart w:id="1" w:name="_Toc526491230"/>
      <w:r w:rsidRPr="0008468B">
        <w:t>Data Pre-Processing and Analysis</w:t>
      </w:r>
      <w:bookmarkEnd w:id="1"/>
    </w:p>
    <w:p w:rsidR="0008468B" w:rsidRDefault="007721E9" w:rsidP="000E6751">
      <w:r w:rsidRPr="007721E9">
        <w:t xml:space="preserve">The </w:t>
      </w:r>
      <w:r>
        <w:t xml:space="preserve">following steps were taken for data </w:t>
      </w:r>
      <w:proofErr w:type="spellStart"/>
      <w:r>
        <w:t>cleanup</w:t>
      </w:r>
      <w:proofErr w:type="spellEnd"/>
      <w:r>
        <w:t>:</w:t>
      </w:r>
    </w:p>
    <w:p w:rsidR="007721E9" w:rsidRDefault="007721E9" w:rsidP="006463E1">
      <w:pPr>
        <w:pStyle w:val="ListParagraph"/>
        <w:numPr>
          <w:ilvl w:val="0"/>
          <w:numId w:val="3"/>
        </w:numPr>
      </w:pPr>
      <w:r>
        <w:t>Managing missing data</w:t>
      </w:r>
      <w:r w:rsidR="006463E1">
        <w:t xml:space="preserve">: </w:t>
      </w:r>
      <w:proofErr w:type="spellStart"/>
      <w:r>
        <w:t>TotalCharges</w:t>
      </w:r>
      <w:proofErr w:type="spellEnd"/>
      <w:r>
        <w:t xml:space="preserve"> field is left blank for customers with tenure = 0. </w:t>
      </w:r>
      <w:r w:rsidR="006463E1">
        <w:t>These</w:t>
      </w:r>
      <w:r>
        <w:t xml:space="preserve"> </w:t>
      </w:r>
      <w:r w:rsidR="006463E1">
        <w:t>fields</w:t>
      </w:r>
      <w:r>
        <w:t xml:space="preserve"> were filled with</w:t>
      </w:r>
      <w:r w:rsidR="006463E1">
        <w:t xml:space="preserve"> 0.</w:t>
      </w:r>
    </w:p>
    <w:p w:rsidR="007721E9" w:rsidRDefault="007721E9" w:rsidP="006463E1">
      <w:pPr>
        <w:pStyle w:val="ListParagraph"/>
        <w:numPr>
          <w:ilvl w:val="0"/>
          <w:numId w:val="3"/>
        </w:numPr>
      </w:pPr>
      <w:r>
        <w:t>Correcting data types</w:t>
      </w:r>
      <w:r w:rsidR="006463E1">
        <w:t xml:space="preserve">: </w:t>
      </w:r>
      <w:proofErr w:type="spellStart"/>
      <w:r>
        <w:t>TotalCharges</w:t>
      </w:r>
      <w:proofErr w:type="spellEnd"/>
      <w:r>
        <w:t xml:space="preserve"> was found to be an object type. It was corrected to float type.</w:t>
      </w:r>
    </w:p>
    <w:p w:rsidR="007721E9" w:rsidRDefault="006463E1" w:rsidP="006463E1">
      <w:pPr>
        <w:pStyle w:val="ListParagraph"/>
        <w:numPr>
          <w:ilvl w:val="0"/>
          <w:numId w:val="3"/>
        </w:numPr>
      </w:pPr>
      <w:r>
        <w:t xml:space="preserve">Checking for and correcting binary variables: </w:t>
      </w:r>
      <w:proofErr w:type="spellStart"/>
      <w:r>
        <w:t>eg</w:t>
      </w:r>
      <w:proofErr w:type="spellEnd"/>
      <w:r>
        <w:t xml:space="preserve">. </w:t>
      </w:r>
      <w:r w:rsidRPr="006463E1">
        <w:t>'No internet service'</w:t>
      </w:r>
      <w:r>
        <w:t xml:space="preserve"> replaced with </w:t>
      </w:r>
      <w:r w:rsidRPr="006463E1">
        <w:t>'No'</w:t>
      </w:r>
    </w:p>
    <w:p w:rsidR="007721E9" w:rsidRDefault="006463E1" w:rsidP="007721E9">
      <w:r>
        <w:rPr>
          <w:noProof/>
          <w:lang w:val="en-SG"/>
        </w:rPr>
        <w:lastRenderedPageBreak/>
        <w:drawing>
          <wp:anchor distT="0" distB="0" distL="114300" distR="114300" simplePos="0" relativeHeight="251658240" behindDoc="1" locked="0" layoutInCell="1" allowOverlap="1">
            <wp:simplePos x="0" y="0"/>
            <wp:positionH relativeFrom="margin">
              <wp:posOffset>4751070</wp:posOffset>
            </wp:positionH>
            <wp:positionV relativeFrom="paragraph">
              <wp:posOffset>128905</wp:posOffset>
            </wp:positionV>
            <wp:extent cx="969645" cy="465455"/>
            <wp:effectExtent l="0" t="0" r="1905" b="0"/>
            <wp:wrapTight wrapText="bothSides">
              <wp:wrapPolygon edited="0">
                <wp:start x="0" y="0"/>
                <wp:lineTo x="0" y="20333"/>
                <wp:lineTo x="21218" y="20333"/>
                <wp:lineTo x="2121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69645" cy="465455"/>
                    </a:xfrm>
                    <a:prstGeom prst="rect">
                      <a:avLst/>
                    </a:prstGeom>
                  </pic:spPr>
                </pic:pic>
              </a:graphicData>
            </a:graphic>
            <wp14:sizeRelH relativeFrom="page">
              <wp14:pctWidth>0</wp14:pctWidth>
            </wp14:sizeRelH>
            <wp14:sizeRelV relativeFrom="page">
              <wp14:pctHeight>0</wp14:pctHeight>
            </wp14:sizeRelV>
          </wp:anchor>
        </w:drawing>
      </w:r>
      <w:r w:rsidR="007721E9">
        <w:t>The following steps were taken for data pre-processing</w:t>
      </w:r>
    </w:p>
    <w:p w:rsidR="007721E9" w:rsidRDefault="007721E9" w:rsidP="007721E9">
      <w:pPr>
        <w:pStyle w:val="ListParagraph"/>
        <w:numPr>
          <w:ilvl w:val="0"/>
          <w:numId w:val="4"/>
        </w:numPr>
      </w:pPr>
      <w:r>
        <w:t>Standardization of numerical variables</w:t>
      </w:r>
      <w:r w:rsidR="006463E1">
        <w:t xml:space="preserve"> with a standard scaler. </w:t>
      </w:r>
    </w:p>
    <w:p w:rsidR="007721E9" w:rsidRDefault="007721E9" w:rsidP="007721E9">
      <w:pPr>
        <w:pStyle w:val="ListParagraph"/>
        <w:numPr>
          <w:ilvl w:val="0"/>
          <w:numId w:val="4"/>
        </w:numPr>
      </w:pPr>
      <w:r>
        <w:t>Converting binary variables to 0s and 1s</w:t>
      </w:r>
      <w:r w:rsidR="006463E1">
        <w:t xml:space="preserve"> so they can be used for calculations</w:t>
      </w:r>
    </w:p>
    <w:p w:rsidR="007721E9" w:rsidRDefault="007721E9" w:rsidP="007721E9">
      <w:pPr>
        <w:pStyle w:val="ListParagraph"/>
        <w:numPr>
          <w:ilvl w:val="0"/>
          <w:numId w:val="4"/>
        </w:numPr>
      </w:pPr>
      <w:r>
        <w:t>Replacing non-binary categorical variables with dummy variables</w:t>
      </w:r>
    </w:p>
    <w:p w:rsidR="007721E9" w:rsidRDefault="006463E1" w:rsidP="006463E1">
      <w:pPr>
        <w:pStyle w:val="ListParagraph"/>
        <w:numPr>
          <w:ilvl w:val="0"/>
          <w:numId w:val="4"/>
        </w:numPr>
      </w:pPr>
      <w:r>
        <w:t>Using a correlation plot, identified and removed '</w:t>
      </w:r>
      <w:proofErr w:type="spellStart"/>
      <w:r>
        <w:t>TotalCharges</w:t>
      </w:r>
      <w:proofErr w:type="spellEnd"/>
      <w:r>
        <w:t xml:space="preserve">' and </w:t>
      </w:r>
      <w:r w:rsidRPr="006463E1">
        <w:t>'</w:t>
      </w:r>
      <w:proofErr w:type="spellStart"/>
      <w:r w:rsidRPr="006463E1">
        <w:t>MonthlyCharges</w:t>
      </w:r>
      <w:proofErr w:type="spellEnd"/>
      <w:r w:rsidRPr="006463E1">
        <w:t>'</w:t>
      </w:r>
      <w:r>
        <w:t xml:space="preserve">, as they are highly dependent on other variables </w:t>
      </w:r>
      <w:r w:rsidRPr="00B627C6">
        <w:rPr>
          <w:i/>
        </w:rPr>
        <w:t>(refer to Appendix B</w:t>
      </w:r>
      <w:r w:rsidR="00FA2A33" w:rsidRPr="00B627C6">
        <w:rPr>
          <w:i/>
        </w:rPr>
        <w:t xml:space="preserve">, page </w:t>
      </w:r>
      <w:r w:rsidR="00E54BB2">
        <w:rPr>
          <w:i/>
        </w:rPr>
        <w:t>11</w:t>
      </w:r>
      <w:r w:rsidRPr="00B627C6">
        <w:rPr>
          <w:i/>
        </w:rPr>
        <w:t>)</w:t>
      </w:r>
    </w:p>
    <w:p w:rsidR="00431232" w:rsidRPr="00431232" w:rsidRDefault="00950271" w:rsidP="00C339C7">
      <w:pPr>
        <w:pStyle w:val="ListParagraph"/>
        <w:numPr>
          <w:ilvl w:val="0"/>
          <w:numId w:val="6"/>
        </w:numPr>
        <w:spacing w:after="0"/>
        <w:rPr>
          <w:rStyle w:val="Heading1Char"/>
          <w:rFonts w:ascii="Arial" w:eastAsiaTheme="minorEastAsia" w:hAnsi="Arial" w:cs="Arial"/>
          <w:color w:val="auto"/>
          <w:sz w:val="24"/>
          <w:szCs w:val="24"/>
        </w:rPr>
      </w:pPr>
      <w:bookmarkStart w:id="2" w:name="_Toc526491231"/>
      <w:r w:rsidRPr="002625C3">
        <w:rPr>
          <w:rStyle w:val="Heading1Char"/>
        </w:rPr>
        <w:t>Model</w:t>
      </w:r>
      <w:r w:rsidR="00431232">
        <w:rPr>
          <w:rStyle w:val="Heading1Char"/>
        </w:rPr>
        <w:t>ling</w:t>
      </w:r>
      <w:bookmarkEnd w:id="2"/>
    </w:p>
    <w:p w:rsidR="002625C3" w:rsidRDefault="00770CCC" w:rsidP="00431232">
      <w:r>
        <w:t>Seven models were used. Namely, L1 Logistic Regression, L2 Logistic Regression, Decision Tree</w:t>
      </w:r>
      <w:r w:rsidR="00595665">
        <w:t xml:space="preserve"> (entropy based)</w:t>
      </w:r>
      <w:r>
        <w:t>, Bootstrap Aggregating, Random Forest</w:t>
      </w:r>
      <w:r w:rsidR="00595665">
        <w:t xml:space="preserve"> (entropy based)</w:t>
      </w:r>
      <w:r>
        <w:t xml:space="preserve">, </w:t>
      </w:r>
      <w:proofErr w:type="spellStart"/>
      <w:r>
        <w:t>AdaBoost</w:t>
      </w:r>
      <w:proofErr w:type="spellEnd"/>
      <w:r>
        <w:t xml:space="preserve"> and Kth Nearest Neighbour</w:t>
      </w:r>
      <w:r w:rsidR="002625C3">
        <w:t xml:space="preserve">. </w:t>
      </w:r>
      <w:r>
        <w:t>These models were trained and tested on a 70-30 train-test set ratio.</w:t>
      </w:r>
      <w:r w:rsidR="00595665">
        <w:t xml:space="preserve"> They were then</w:t>
      </w:r>
      <w:r>
        <w:t xml:space="preserve"> t</w:t>
      </w:r>
      <w:r w:rsidR="00431232">
        <w:t xml:space="preserve">ested for accuracy with a 5-folds </w:t>
      </w:r>
      <w:proofErr w:type="spellStart"/>
      <w:r w:rsidR="00431232">
        <w:t>KFolds</w:t>
      </w:r>
      <w:proofErr w:type="spellEnd"/>
      <w:r w:rsidR="00431232">
        <w:t xml:space="preserve"> method</w:t>
      </w:r>
      <w:r>
        <w:t>.</w:t>
      </w:r>
    </w:p>
    <w:p w:rsidR="00431232" w:rsidRDefault="00431232" w:rsidP="00431232">
      <w:pPr>
        <w:pStyle w:val="Heading2"/>
        <w:numPr>
          <w:ilvl w:val="1"/>
          <w:numId w:val="6"/>
        </w:numPr>
      </w:pPr>
      <w:bookmarkStart w:id="3" w:name="_Toc526491232"/>
      <w:r>
        <w:t>Optimising Accuracy of models</w:t>
      </w:r>
      <w:bookmarkEnd w:id="3"/>
    </w:p>
    <w:p w:rsidR="00431232" w:rsidRDefault="00961AC1" w:rsidP="00961AC1">
      <w:pPr>
        <w:rPr>
          <w:rFonts w:ascii="Helvetica" w:hAnsi="Helvetica" w:cs="Helvetica"/>
          <w:color w:val="1D1F22"/>
          <w:sz w:val="22"/>
          <w:szCs w:val="22"/>
        </w:rPr>
      </w:pPr>
      <w:r w:rsidRPr="00961AC1">
        <w:rPr>
          <w:lang w:val="en-SG"/>
        </w:rPr>
        <w:t xml:space="preserve">Overfitting arises when a decision tree is excessively dependent on irrelevant features of </w:t>
      </w:r>
      <w:r w:rsidRPr="00961AC1">
        <w:t xml:space="preserve">the training data with the result that its predictive power for unseen instances is reduced. </w:t>
      </w:r>
      <w:r w:rsidR="00431232" w:rsidRPr="00961AC1">
        <w:t xml:space="preserve">Univariate feature selection was </w:t>
      </w:r>
      <w:r w:rsidRPr="00961AC1">
        <w:t xml:space="preserve">hence </w:t>
      </w:r>
      <w:r w:rsidR="00431232" w:rsidRPr="00961AC1">
        <w:t xml:space="preserve">done for the Ensemble learning models. The </w:t>
      </w:r>
      <w:r w:rsidR="007878A3" w:rsidRPr="00961AC1">
        <w:t>features</w:t>
      </w:r>
      <w:r w:rsidR="00431232" w:rsidRPr="00961AC1">
        <w:t xml:space="preserve"> were</w:t>
      </w:r>
      <w:r w:rsidR="007878A3" w:rsidRPr="00961AC1">
        <w:t xml:space="preserve"> first</w:t>
      </w:r>
      <w:r w:rsidR="00431232" w:rsidRPr="00961AC1">
        <w:t xml:space="preserve"> ranked according to their univariate scores, which is based on</w:t>
      </w:r>
      <w:r w:rsidR="00431232">
        <w:rPr>
          <w:rFonts w:ascii="Helvetica" w:hAnsi="Helvetica" w:cs="Helvetica"/>
          <w:color w:val="1D1F22"/>
          <w:sz w:val="22"/>
          <w:szCs w:val="22"/>
        </w:rPr>
        <w:t xml:space="preserve"> </w:t>
      </w:r>
      <w:r w:rsidR="00431232" w:rsidRPr="00961AC1">
        <w:t xml:space="preserve">an F-test estimate of the degree of linear dependency between the </w:t>
      </w:r>
      <w:r w:rsidR="007878A3" w:rsidRPr="00961AC1">
        <w:t>feature</w:t>
      </w:r>
      <w:r w:rsidR="00431232" w:rsidRPr="00961AC1">
        <w:t xml:space="preserve"> and churn.</w:t>
      </w:r>
      <w:r w:rsidR="007878A3" w:rsidRPr="00961AC1">
        <w:t xml:space="preserve"> A loop was then ran to select the number of top scoring features that gave a model with the highest average cross validation accuracy rate.</w:t>
      </w:r>
      <w:r w:rsidR="00C339C7" w:rsidRPr="00961AC1">
        <w:t xml:space="preserve"> By pre-pruning, the model may wrongly classify some of the instances in the training set, but the accuracy for the test set may be greater as it avoids overfitting to the training set.</w:t>
      </w:r>
    </w:p>
    <w:p w:rsidR="007878A3" w:rsidRPr="00431232" w:rsidRDefault="007878A3" w:rsidP="00961AC1">
      <w:r>
        <w:t xml:space="preserve">Similarly, a loop was ran to select the number of neighbours, K, for the Kth Nearest Neighbour method that would give a model </w:t>
      </w:r>
      <w:proofErr w:type="spellStart"/>
      <w:r>
        <w:t>model</w:t>
      </w:r>
      <w:proofErr w:type="spellEnd"/>
      <w:r>
        <w:t xml:space="preserve"> with the highest average cross validation accuracy rate</w:t>
      </w:r>
      <w:r>
        <w:t>, with a preference for an odd K.</w:t>
      </w:r>
    </w:p>
    <w:p w:rsidR="00431232" w:rsidRPr="00431232" w:rsidRDefault="00431232" w:rsidP="00C339C7">
      <w:pPr>
        <w:pStyle w:val="ListParagraph"/>
        <w:numPr>
          <w:ilvl w:val="0"/>
          <w:numId w:val="6"/>
        </w:numPr>
        <w:spacing w:after="0"/>
        <w:rPr>
          <w:b/>
        </w:rPr>
      </w:pPr>
      <w:bookmarkStart w:id="4" w:name="_Toc526491233"/>
      <w:r>
        <w:rPr>
          <w:rStyle w:val="Heading1Char"/>
        </w:rPr>
        <w:t xml:space="preserve">Model </w:t>
      </w:r>
      <w:r w:rsidRPr="002625C3">
        <w:rPr>
          <w:rStyle w:val="Heading1Char"/>
        </w:rPr>
        <w:t>Results</w:t>
      </w:r>
      <w:bookmarkEnd w:id="4"/>
      <w:r>
        <w:rPr>
          <w:b/>
        </w:rPr>
        <w:t xml:space="preserve"> </w:t>
      </w:r>
      <w:r w:rsidR="00E54BB2">
        <w:rPr>
          <w:i/>
        </w:rPr>
        <w:t>(Refer to Python Notebook section 5</w:t>
      </w:r>
      <w:proofErr w:type="gramStart"/>
      <w:r w:rsidR="00E54BB2">
        <w:rPr>
          <w:i/>
        </w:rPr>
        <w:t xml:space="preserve">. </w:t>
      </w:r>
      <w:proofErr w:type="gramEnd"/>
      <w:r w:rsidR="00E54BB2">
        <w:rPr>
          <w:i/>
        </w:rPr>
        <w:t>Model Results)</w:t>
      </w:r>
    </w:p>
    <w:p w:rsidR="002053E2" w:rsidRDefault="00595665" w:rsidP="002625C3">
      <w:r>
        <w:t xml:space="preserve">The models hit a high average cross validation accuracy </w:t>
      </w:r>
      <w:r w:rsidRPr="007878A3">
        <w:t xml:space="preserve">of </w:t>
      </w:r>
      <w:r w:rsidR="007878A3" w:rsidRPr="007878A3">
        <w:t>0.802215</w:t>
      </w:r>
      <w:r w:rsidR="007878A3">
        <w:t xml:space="preserve"> </w:t>
      </w:r>
      <w:r>
        <w:t xml:space="preserve">for the </w:t>
      </w:r>
      <w:r w:rsidR="007878A3">
        <w:t>Logistic Regression</w:t>
      </w:r>
      <w:r>
        <w:t xml:space="preserve"> model</w:t>
      </w:r>
      <w:r w:rsidR="007878A3">
        <w:t>s</w:t>
      </w:r>
      <w:r>
        <w:t xml:space="preserve"> and a </w:t>
      </w:r>
      <w:r w:rsidRPr="007878A3">
        <w:t xml:space="preserve">low of </w:t>
      </w:r>
      <w:r w:rsidR="007878A3" w:rsidRPr="007878A3">
        <w:t>0.774673</w:t>
      </w:r>
      <w:r w:rsidR="007878A3">
        <w:t xml:space="preserve"> </w:t>
      </w:r>
      <w:r w:rsidR="0093672B">
        <w:t>for the Decision Tree model.</w:t>
      </w:r>
      <w:bookmarkStart w:id="5" w:name="_GoBack"/>
      <w:bookmarkEnd w:id="5"/>
    </w:p>
    <w:p w:rsidR="0093672B" w:rsidRDefault="0093672B" w:rsidP="002625C3">
      <w:r>
        <w:lastRenderedPageBreak/>
        <w:t>Finally, the weights assigned to each feature by each model (</w:t>
      </w:r>
      <w:r w:rsidR="00B627C6" w:rsidRPr="002625C3">
        <w:rPr>
          <w:i/>
        </w:rPr>
        <w:t>Appendix C, page 14</w:t>
      </w:r>
      <w:r w:rsidRPr="002625C3">
        <w:rPr>
          <w:i/>
        </w:rPr>
        <w:t>)</w:t>
      </w:r>
      <w:r>
        <w:t xml:space="preserve"> are then squared, weighted by the model’s accuracy and summed. </w:t>
      </w:r>
      <w:r w:rsidRPr="00431232">
        <w:rPr>
          <w:i/>
        </w:rPr>
        <w:t>(Refer to python Notebook section 5.4 for details)</w:t>
      </w:r>
      <w:r>
        <w:t xml:space="preserve">. </w:t>
      </w:r>
      <w:r w:rsidR="00431232">
        <w:t xml:space="preserve">As the models for both L1 and L2 Logistic Regression are almost identical, we shall omit the weights from L1 Logistic Regression from the weighted sum to avoid double counting. </w:t>
      </w:r>
      <w:r>
        <w:t>The final feature weights given by the models are as follows:</w:t>
      </w:r>
    </w:p>
    <w:p w:rsidR="0042303F" w:rsidRPr="007878A3" w:rsidRDefault="007878A3" w:rsidP="000E6751">
      <w:r>
        <w:rPr>
          <w:noProof/>
          <w:lang w:val="en-SG"/>
        </w:rPr>
        <w:drawing>
          <wp:inline distT="0" distB="0" distL="0" distR="0">
            <wp:extent cx="5470525" cy="2522220"/>
            <wp:effectExtent l="0" t="0" r="0" b="0"/>
            <wp:docPr id="10" name="Picture 10" descr="C:\Users\Terence Neo\AppData\Local\Microsoft\Windows\INetCache\Content.Word\after univar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erence Neo\AppData\Local\Microsoft\Windows\INetCache\Content.Word\after univari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0525" cy="2522220"/>
                    </a:xfrm>
                    <a:prstGeom prst="rect">
                      <a:avLst/>
                    </a:prstGeom>
                    <a:noFill/>
                    <a:ln>
                      <a:noFill/>
                    </a:ln>
                  </pic:spPr>
                </pic:pic>
              </a:graphicData>
            </a:graphic>
          </wp:inline>
        </w:drawing>
      </w:r>
    </w:p>
    <w:p w:rsidR="0093672B" w:rsidRPr="0093672B" w:rsidRDefault="0093672B" w:rsidP="000E6751">
      <w:r w:rsidRPr="0093672B">
        <w:t xml:space="preserve">The </w:t>
      </w:r>
      <w:r>
        <w:t>feature weights given by the models when all the variables are used (including '</w:t>
      </w:r>
      <w:proofErr w:type="spellStart"/>
      <w:r>
        <w:t>TotalCharges</w:t>
      </w:r>
      <w:proofErr w:type="spellEnd"/>
      <w:r>
        <w:t xml:space="preserve">' and </w:t>
      </w:r>
      <w:r w:rsidRPr="006463E1">
        <w:t>'</w:t>
      </w:r>
      <w:proofErr w:type="spellStart"/>
      <w:r w:rsidRPr="006463E1">
        <w:t>MonthlyCharges</w:t>
      </w:r>
      <w:proofErr w:type="spellEnd"/>
      <w:r w:rsidRPr="006463E1">
        <w:t>'</w:t>
      </w:r>
      <w:r w:rsidR="007878A3">
        <w:t>) are</w:t>
      </w:r>
      <w:r>
        <w:t xml:space="preserve"> as shown:</w:t>
      </w:r>
      <w:r w:rsidR="00D721DA">
        <w:t xml:space="preserve"> </w:t>
      </w:r>
      <w:r w:rsidR="00D721DA" w:rsidRPr="00D721DA">
        <w:rPr>
          <w:i/>
        </w:rPr>
        <w:t>(</w:t>
      </w:r>
      <w:r w:rsidR="00D721DA" w:rsidRPr="00D721DA">
        <w:rPr>
          <w:i/>
        </w:rPr>
        <w:t xml:space="preserve">Refer to </w:t>
      </w:r>
      <w:r w:rsidR="00D721DA" w:rsidRPr="002625C3">
        <w:rPr>
          <w:i/>
        </w:rPr>
        <w:t xml:space="preserve">Appendix C, page </w:t>
      </w:r>
      <w:r w:rsidR="00E54BB2">
        <w:rPr>
          <w:i/>
        </w:rPr>
        <w:t>12</w:t>
      </w:r>
      <w:r w:rsidR="00D721DA">
        <w:rPr>
          <w:i/>
        </w:rPr>
        <w:t>, for detailed results when all the features are used</w:t>
      </w:r>
      <w:r w:rsidR="00D721DA" w:rsidRPr="002625C3">
        <w:rPr>
          <w:i/>
        </w:rPr>
        <w:t>)</w:t>
      </w:r>
    </w:p>
    <w:p w:rsidR="0093672B" w:rsidRDefault="002625C3" w:rsidP="000E6751">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31.05pt;height:198.25pt">
            <v:imagedata r:id="rId12" o:title="untitled"/>
          </v:shape>
        </w:pict>
      </w:r>
    </w:p>
    <w:p w:rsidR="00C2792C" w:rsidRPr="00C2792C" w:rsidRDefault="00C2792C" w:rsidP="000E6751">
      <w:r>
        <w:t>From above, it can be seen that removing highly dependent variables '</w:t>
      </w:r>
      <w:proofErr w:type="spellStart"/>
      <w:r>
        <w:t>TotalCharges</w:t>
      </w:r>
      <w:proofErr w:type="spellEnd"/>
      <w:r>
        <w:t xml:space="preserve">' and </w:t>
      </w:r>
      <w:r w:rsidRPr="006463E1">
        <w:t>'</w:t>
      </w:r>
      <w:proofErr w:type="spellStart"/>
      <w:r w:rsidRPr="006463E1">
        <w:t>MonthlyCharges</w:t>
      </w:r>
      <w:proofErr w:type="spellEnd"/>
      <w:r w:rsidRPr="006463E1">
        <w:t>'</w:t>
      </w:r>
      <w:r>
        <w:t xml:space="preserve"> did not cause a change in the top </w:t>
      </w:r>
      <w:r w:rsidR="007878A3">
        <w:t>feature, tenure. Furthermore, both runs placed high weightage on</w:t>
      </w:r>
      <w:r>
        <w:t xml:space="preserve"> </w:t>
      </w:r>
      <w:proofErr w:type="spellStart"/>
      <w:r>
        <w:t>InternetService</w:t>
      </w:r>
      <w:proofErr w:type="spellEnd"/>
      <w:r w:rsidR="007878A3">
        <w:t xml:space="preserve"> and</w:t>
      </w:r>
      <w:r>
        <w:t xml:space="preserve"> Contract</w:t>
      </w:r>
      <w:r w:rsidR="00C339C7">
        <w:t xml:space="preserve"> albeit </w:t>
      </w:r>
      <w:r w:rsidR="00C339C7">
        <w:lastRenderedPageBreak/>
        <w:t>different categories</w:t>
      </w:r>
      <w:r>
        <w:t xml:space="preserve">. This is in line with our preliminary hypothesis </w:t>
      </w:r>
      <w:r w:rsidR="00255819">
        <w:t xml:space="preserve">derived </w:t>
      </w:r>
      <w:r>
        <w:t xml:space="preserve">from eye-balling the pie charts. </w:t>
      </w:r>
      <w:r w:rsidR="00255819">
        <w:t>These variables are hence the target areas the telco should look into to improve churn rates.</w:t>
      </w:r>
    </w:p>
    <w:p w:rsidR="00950271" w:rsidRPr="0093672B" w:rsidRDefault="00950271" w:rsidP="00C339C7">
      <w:pPr>
        <w:pStyle w:val="Heading1"/>
        <w:numPr>
          <w:ilvl w:val="0"/>
          <w:numId w:val="6"/>
        </w:numPr>
        <w:spacing w:before="0"/>
      </w:pPr>
      <w:bookmarkStart w:id="6" w:name="_Toc526491234"/>
      <w:r w:rsidRPr="0093672B">
        <w:t>Limitations and Other Considerations</w:t>
      </w:r>
      <w:bookmarkEnd w:id="6"/>
    </w:p>
    <w:p w:rsidR="00D721DA" w:rsidRDefault="00D721DA" w:rsidP="00822C26">
      <w:pPr>
        <w:pStyle w:val="ListParagraph"/>
        <w:numPr>
          <w:ilvl w:val="0"/>
          <w:numId w:val="1"/>
        </w:numPr>
      </w:pPr>
      <w:r>
        <w:t>Target leakage occurs when a model is trained on information that would not be available at the time of prediction and causes a model to over represent its generalization error. Lucky for us, all the features used to train the models can be known at the time of prediction.</w:t>
      </w:r>
    </w:p>
    <w:p w:rsidR="00822C26" w:rsidRDefault="00822C26" w:rsidP="00822C26">
      <w:pPr>
        <w:pStyle w:val="ListParagraph"/>
        <w:numPr>
          <w:ilvl w:val="0"/>
          <w:numId w:val="1"/>
        </w:numPr>
      </w:pPr>
      <w:r>
        <w:t>It is ambiguous whether customers with tenure = 0 should be included in the data for analysis; we do not know if it is possible for customers who are with the telco for less than a month to churn. This is especially importan</w:t>
      </w:r>
      <w:r w:rsidR="00C2792C">
        <w:t xml:space="preserve">t as tenure turns out to be a rather high </w:t>
      </w:r>
      <w:r>
        <w:t xml:space="preserve">weighting </w:t>
      </w:r>
      <w:r w:rsidR="00C2792C">
        <w:t>feature</w:t>
      </w:r>
      <w:r w:rsidR="00C339C7">
        <w:t xml:space="preserve"> in the final result, and removing these instances may affect the final result.</w:t>
      </w:r>
    </w:p>
    <w:p w:rsidR="00822C26" w:rsidRDefault="00255819" w:rsidP="00822C26">
      <w:pPr>
        <w:pStyle w:val="ListParagraph"/>
        <w:numPr>
          <w:ilvl w:val="0"/>
          <w:numId w:val="1"/>
        </w:numPr>
      </w:pPr>
      <w:r>
        <w:t xml:space="preserve">A couple of variables such as </w:t>
      </w:r>
      <w:r w:rsidR="00E54BB2">
        <w:t xml:space="preserve">Gender and </w:t>
      </w:r>
      <w:proofErr w:type="spellStart"/>
      <w:r w:rsidR="00E54BB2">
        <w:t>PaymentMethod</w:t>
      </w:r>
      <w:proofErr w:type="spellEnd"/>
      <w:r>
        <w:t xml:space="preserve"> have a weighting very close to zero. We can probably remove these variables </w:t>
      </w:r>
      <w:r w:rsidR="00B07197">
        <w:t>with a recursive feature elimination and</w:t>
      </w:r>
      <w:r>
        <w:t xml:space="preserve"> check if there are any changes in the weightings.</w:t>
      </w:r>
    </w:p>
    <w:p w:rsidR="00432BE0" w:rsidRDefault="00432BE0" w:rsidP="00822C26">
      <w:pPr>
        <w:pStyle w:val="ListParagraph"/>
        <w:numPr>
          <w:ilvl w:val="0"/>
          <w:numId w:val="1"/>
        </w:numPr>
      </w:pPr>
      <w:r>
        <w:t xml:space="preserve">Number of neighbours, </w:t>
      </w:r>
      <w:r w:rsidR="00C339C7">
        <w:t>K</w:t>
      </w:r>
      <w:r>
        <w:t xml:space="preserve">, for the KNN Classification </w:t>
      </w:r>
      <w:r w:rsidR="00C339C7">
        <w:t>is on tested up till K=80</w:t>
      </w:r>
      <w:r>
        <w:t xml:space="preserve">. </w:t>
      </w:r>
      <w:r w:rsidR="00C339C7">
        <w:t xml:space="preserve">It might be possible for a K&gt;80 to give a higher cross validation accuracy. </w:t>
      </w:r>
      <w:r>
        <w:t>However, it is too computationally intensive to calculate all 4930 possible accuracy values.</w:t>
      </w:r>
    </w:p>
    <w:p w:rsidR="00822C26" w:rsidRPr="00FA2A33" w:rsidRDefault="00C339C7" w:rsidP="00C339C7">
      <w:pPr>
        <w:pStyle w:val="Heading1"/>
        <w:numPr>
          <w:ilvl w:val="0"/>
          <w:numId w:val="6"/>
        </w:numPr>
      </w:pPr>
      <w:bookmarkStart w:id="7" w:name="_Toc526491235"/>
      <w:r>
        <w:t>R</w:t>
      </w:r>
      <w:r w:rsidR="00AC2B14" w:rsidRPr="00FA2A33">
        <w:t xml:space="preserve">oom for improvement/ </w:t>
      </w:r>
      <w:proofErr w:type="gramStart"/>
      <w:r w:rsidR="00AC2B14" w:rsidRPr="00FA2A33">
        <w:t>Other</w:t>
      </w:r>
      <w:proofErr w:type="gramEnd"/>
      <w:r w:rsidR="00AC2B14" w:rsidRPr="00FA2A33">
        <w:t xml:space="preserve"> data that could have helped</w:t>
      </w:r>
      <w:bookmarkEnd w:id="7"/>
    </w:p>
    <w:p w:rsidR="0042303F" w:rsidRDefault="00F36CF9" w:rsidP="000E6751">
      <w:r w:rsidRPr="00F36CF9">
        <w:t>Other</w:t>
      </w:r>
      <w:r>
        <w:t xml:space="preserve"> factors such as the income level of the customer may have an effect on whether a customer churns</w:t>
      </w:r>
      <w:r w:rsidR="00255819">
        <w:t>. However, customer income data may be difficult for a telco to obtain.</w:t>
      </w:r>
    </w:p>
    <w:p w:rsidR="006373DB" w:rsidRDefault="00255819" w:rsidP="000E6751">
      <w:r>
        <w:t xml:space="preserve">Factors such as when is a customer’s contract end may have an impact on whether a customer churns in a particular month. The telco should have this data </w:t>
      </w:r>
      <w:r w:rsidR="004B13CF">
        <w:t xml:space="preserve">ready </w:t>
      </w:r>
      <w:r>
        <w:t>and can incorporate it for better predictions.</w:t>
      </w:r>
    </w:p>
    <w:p w:rsidR="00961AC1" w:rsidRDefault="00961AC1">
      <w:pPr>
        <w:spacing w:line="259" w:lineRule="auto"/>
        <w:rPr>
          <w:b/>
        </w:rPr>
      </w:pPr>
      <w:r>
        <w:rPr>
          <w:b/>
        </w:rPr>
        <w:br w:type="page"/>
      </w:r>
    </w:p>
    <w:p w:rsidR="00D721DA" w:rsidRDefault="00D721DA" w:rsidP="00D721DA">
      <w:pPr>
        <w:pStyle w:val="Heading1"/>
      </w:pPr>
      <w:bookmarkStart w:id="8" w:name="_Toc526491236"/>
      <w:r>
        <w:lastRenderedPageBreak/>
        <w:t>Appendix</w:t>
      </w:r>
      <w:bookmarkEnd w:id="8"/>
    </w:p>
    <w:p w:rsidR="0042303F" w:rsidRDefault="0042303F" w:rsidP="00D721DA">
      <w:pPr>
        <w:pStyle w:val="Heading2"/>
      </w:pPr>
      <w:bookmarkStart w:id="9" w:name="_Toc526491237"/>
      <w:r>
        <w:t>Appendix A</w:t>
      </w:r>
      <w:bookmarkEnd w:id="9"/>
    </w:p>
    <w:p w:rsidR="0042303F" w:rsidRDefault="0042303F" w:rsidP="000E6751">
      <w:pPr>
        <w:rPr>
          <w:b/>
        </w:rPr>
      </w:pPr>
      <w:r>
        <w:rPr>
          <w:b/>
          <w:noProof/>
          <w:lang w:val="en-SG"/>
        </w:rPr>
        <w:drawing>
          <wp:inline distT="0" distB="0" distL="0" distR="0">
            <wp:extent cx="3522785" cy="1828800"/>
            <wp:effectExtent l="0" t="0" r="1905" b="0"/>
            <wp:docPr id="1" name="Picture 1" descr="C:\Users\Terence Ne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rence Neo\AppData\Local\Microsoft\Windows\INetCache\Content.Word\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2785" cy="1828800"/>
                    </a:xfrm>
                    <a:prstGeom prst="rect">
                      <a:avLst/>
                    </a:prstGeom>
                    <a:noFill/>
                    <a:ln>
                      <a:noFill/>
                    </a:ln>
                  </pic:spPr>
                </pic:pic>
              </a:graphicData>
            </a:graphic>
          </wp:inline>
        </w:drawing>
      </w:r>
    </w:p>
    <w:p w:rsidR="0042303F" w:rsidRDefault="0042303F" w:rsidP="000E6751">
      <w:pPr>
        <w:rPr>
          <w:b/>
        </w:rPr>
      </w:pPr>
      <w:bookmarkStart w:id="10" w:name="_Toc526491238"/>
      <w:r w:rsidRPr="00D721DA">
        <w:rPr>
          <w:rStyle w:val="Heading3Char"/>
        </w:rPr>
        <w:t xml:space="preserve">Pie Charts of each </w:t>
      </w:r>
      <w:r w:rsidR="00766B45" w:rsidRPr="00D721DA">
        <w:rPr>
          <w:rStyle w:val="Heading3Char"/>
        </w:rPr>
        <w:t xml:space="preserve">Categorical </w:t>
      </w:r>
      <w:r w:rsidRPr="00D721DA">
        <w:rPr>
          <w:rStyle w:val="Heading3Char"/>
        </w:rPr>
        <w:t>Variable against Churn</w:t>
      </w:r>
      <w:bookmarkEnd w:id="10"/>
      <w:r w:rsidRPr="0042303F">
        <w:t xml:space="preserve"> </w:t>
      </w:r>
      <w:r w:rsidR="002625C3">
        <w:rPr>
          <w:b/>
        </w:rPr>
        <w:pict>
          <v:shape id="_x0000_i1025" type="#_x0000_t75" style="width:276.8pt;height:2in">
            <v:imagedata r:id="rId14" o:title="untitled1"/>
          </v:shape>
        </w:pict>
      </w:r>
      <w:r w:rsidR="002625C3">
        <w:rPr>
          <w:b/>
        </w:rPr>
        <w:pict>
          <v:shape id="_x0000_i1026" type="#_x0000_t75" style="width:275.85pt;height:2in">
            <v:imagedata r:id="rId15" o:title="untitled2"/>
          </v:shape>
        </w:pict>
      </w:r>
      <w:r w:rsidR="002625C3">
        <w:rPr>
          <w:b/>
        </w:rPr>
        <w:pict>
          <v:shape id="_x0000_i1027" type="#_x0000_t75" style="width:275.85pt;height:2in">
            <v:imagedata r:id="rId16" o:title="untitled3"/>
          </v:shape>
        </w:pict>
      </w:r>
      <w:r w:rsidR="002625C3">
        <w:rPr>
          <w:b/>
        </w:rPr>
        <w:lastRenderedPageBreak/>
        <w:pict>
          <v:shape id="_x0000_i1028" type="#_x0000_t75" style="width:275.85pt;height:2in">
            <v:imagedata r:id="rId17" o:title="untitled4"/>
          </v:shape>
        </w:pict>
      </w:r>
      <w:r w:rsidR="002625C3">
        <w:rPr>
          <w:b/>
        </w:rPr>
        <w:pict>
          <v:shape id="_x0000_i1029" type="#_x0000_t75" style="width:275.85pt;height:2in">
            <v:imagedata r:id="rId18" o:title="untitled5"/>
          </v:shape>
        </w:pict>
      </w:r>
      <w:r w:rsidR="002625C3">
        <w:rPr>
          <w:b/>
        </w:rPr>
        <w:pict>
          <v:shape id="_x0000_i1030" type="#_x0000_t75" style="width:275.85pt;height:2in">
            <v:imagedata r:id="rId19" o:title="untitled6"/>
          </v:shape>
        </w:pict>
      </w:r>
      <w:r w:rsidR="002625C3">
        <w:rPr>
          <w:b/>
        </w:rPr>
        <w:pict>
          <v:shape id="_x0000_i1031" type="#_x0000_t75" style="width:275.85pt;height:2in">
            <v:imagedata r:id="rId20" o:title="untitled8"/>
          </v:shape>
        </w:pict>
      </w:r>
      <w:r w:rsidR="002625C3">
        <w:rPr>
          <w:b/>
        </w:rPr>
        <w:lastRenderedPageBreak/>
        <w:pict>
          <v:shape id="_x0000_i1032" type="#_x0000_t75" style="width:275.85pt;height:2in">
            <v:imagedata r:id="rId21" o:title="untitled9"/>
          </v:shape>
        </w:pict>
      </w:r>
      <w:r w:rsidR="002625C3">
        <w:rPr>
          <w:b/>
        </w:rPr>
        <w:pict>
          <v:shape id="_x0000_i1033" type="#_x0000_t75" style="width:275.85pt;height:2in">
            <v:imagedata r:id="rId22" o:title="untitled10"/>
          </v:shape>
        </w:pict>
      </w:r>
      <w:r w:rsidR="002625C3">
        <w:rPr>
          <w:b/>
        </w:rPr>
        <w:pict>
          <v:shape id="_x0000_i1034" type="#_x0000_t75" style="width:275.85pt;height:2in">
            <v:imagedata r:id="rId23" o:title="untitled11"/>
          </v:shape>
        </w:pict>
      </w:r>
      <w:r w:rsidR="002625C3">
        <w:rPr>
          <w:b/>
        </w:rPr>
        <w:pict>
          <v:shape id="_x0000_i1035" type="#_x0000_t75" style="width:275.85pt;height:2in">
            <v:imagedata r:id="rId24" o:title="untitled12"/>
          </v:shape>
        </w:pict>
      </w:r>
      <w:r w:rsidR="002625C3">
        <w:rPr>
          <w:b/>
        </w:rPr>
        <w:lastRenderedPageBreak/>
        <w:pict>
          <v:shape id="_x0000_i1036" type="#_x0000_t75" style="width:275.85pt;height:2in">
            <v:imagedata r:id="rId25" o:title="untitled13"/>
          </v:shape>
        </w:pict>
      </w:r>
      <w:r w:rsidR="002625C3">
        <w:rPr>
          <w:b/>
        </w:rPr>
        <w:pict>
          <v:shape id="_x0000_i1037" type="#_x0000_t75" style="width:275.85pt;height:2in">
            <v:imagedata r:id="rId26" o:title="untitled15"/>
          </v:shape>
        </w:pict>
      </w:r>
      <w:r w:rsidR="002625C3">
        <w:rPr>
          <w:b/>
        </w:rPr>
        <w:pict>
          <v:shape id="_x0000_i1038" type="#_x0000_t75" style="width:450.7pt;height:120.6pt">
            <v:imagedata r:id="rId27" o:title="untitled16"/>
          </v:shape>
        </w:pict>
      </w:r>
    </w:p>
    <w:p w:rsidR="00766B45" w:rsidRDefault="00766B45">
      <w:pPr>
        <w:spacing w:line="259" w:lineRule="auto"/>
        <w:rPr>
          <w:b/>
        </w:rPr>
      </w:pPr>
      <w:r>
        <w:rPr>
          <w:b/>
        </w:rPr>
        <w:br w:type="page"/>
      </w:r>
    </w:p>
    <w:p w:rsidR="00766B45" w:rsidRPr="0008468B" w:rsidRDefault="00766B45" w:rsidP="00D721DA">
      <w:pPr>
        <w:pStyle w:val="Heading3"/>
      </w:pPr>
      <w:bookmarkStart w:id="11" w:name="_Toc526491239"/>
      <w:r w:rsidRPr="0008468B">
        <w:lastRenderedPageBreak/>
        <w:t xml:space="preserve">Charts </w:t>
      </w:r>
      <w:r w:rsidR="0008468B">
        <w:t xml:space="preserve">for </w:t>
      </w:r>
      <w:r w:rsidRPr="0008468B">
        <w:t>Numerical Variables</w:t>
      </w:r>
      <w:bookmarkEnd w:id="11"/>
    </w:p>
    <w:p w:rsidR="00766B45" w:rsidRDefault="002625C3" w:rsidP="000E6751">
      <w:pPr>
        <w:rPr>
          <w:b/>
        </w:rPr>
      </w:pPr>
      <w:r>
        <w:rPr>
          <w:b/>
        </w:rPr>
        <w:pict>
          <v:shape id="_x0000_i1039" type="#_x0000_t75" style="width:436.7pt;height:3in">
            <v:imagedata r:id="rId28" o:title="untitled17"/>
          </v:shape>
        </w:pict>
      </w:r>
      <w:r>
        <w:rPr>
          <w:b/>
        </w:rPr>
        <w:pict>
          <v:shape id="_x0000_i1040" type="#_x0000_t75" style="width:445.1pt;height:3in">
            <v:imagedata r:id="rId29" o:title="untitled18"/>
          </v:shape>
        </w:pict>
      </w:r>
      <w:r>
        <w:rPr>
          <w:b/>
        </w:rPr>
        <w:pict>
          <v:shape id="_x0000_i1041" type="#_x0000_t75" style="width:439.5pt;height:3in">
            <v:imagedata r:id="rId30" o:title="untitled19"/>
          </v:shape>
        </w:pict>
      </w:r>
    </w:p>
    <w:p w:rsidR="006463E1" w:rsidRDefault="006463E1" w:rsidP="000E6751">
      <w:pPr>
        <w:rPr>
          <w:b/>
        </w:rPr>
      </w:pPr>
      <w:r>
        <w:rPr>
          <w:noProof/>
          <w:lang w:val="en-SG"/>
        </w:rPr>
        <w:lastRenderedPageBreak/>
        <w:drawing>
          <wp:inline distT="0" distB="0" distL="0" distR="0" wp14:anchorId="32403462" wp14:editId="2F69EEEF">
            <wp:extent cx="398145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1450" cy="2228850"/>
                    </a:xfrm>
                    <a:prstGeom prst="rect">
                      <a:avLst/>
                    </a:prstGeom>
                  </pic:spPr>
                </pic:pic>
              </a:graphicData>
            </a:graphic>
          </wp:inline>
        </w:drawing>
      </w:r>
    </w:p>
    <w:p w:rsidR="006463E1" w:rsidRDefault="006463E1">
      <w:pPr>
        <w:spacing w:line="259" w:lineRule="auto"/>
        <w:rPr>
          <w:b/>
        </w:rPr>
      </w:pPr>
      <w:r>
        <w:rPr>
          <w:b/>
        </w:rPr>
        <w:br w:type="page"/>
      </w:r>
    </w:p>
    <w:p w:rsidR="006463E1" w:rsidRDefault="006463E1" w:rsidP="00D721DA">
      <w:pPr>
        <w:pStyle w:val="Heading2"/>
      </w:pPr>
      <w:bookmarkStart w:id="12" w:name="_Toc526491240"/>
      <w:r>
        <w:lastRenderedPageBreak/>
        <w:t>Appendix B</w:t>
      </w:r>
      <w:r w:rsidR="00770CCC">
        <w:t>: Correlation between variables</w:t>
      </w:r>
      <w:bookmarkEnd w:id="12"/>
    </w:p>
    <w:p w:rsidR="006463E1" w:rsidRDefault="002625C3" w:rsidP="000E6751">
      <w:pPr>
        <w:rPr>
          <w:b/>
        </w:rPr>
      </w:pPr>
      <w:r>
        <w:rPr>
          <w:b/>
        </w:rPr>
        <w:pict>
          <v:shape id="_x0000_i1042" type="#_x0000_t75" style="width:432.95pt;height:386.2pt">
            <v:imagedata r:id="rId32" o:title="untitled20" croptop="4508f"/>
          </v:shape>
        </w:pict>
      </w:r>
    </w:p>
    <w:p w:rsidR="00B8371E" w:rsidRPr="00B8371E" w:rsidRDefault="006463E1" w:rsidP="000E6751">
      <w:r>
        <w:rPr>
          <w:noProof/>
          <w:lang w:val="en-SG"/>
        </w:rPr>
        <w:drawing>
          <wp:inline distT="0" distB="0" distL="0" distR="0" wp14:anchorId="14290C27" wp14:editId="7BD36F45">
            <wp:extent cx="4068568" cy="2932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83966" cy="316035"/>
                    </a:xfrm>
                    <a:prstGeom prst="rect">
                      <a:avLst/>
                    </a:prstGeom>
                  </pic:spPr>
                </pic:pic>
              </a:graphicData>
            </a:graphic>
          </wp:inline>
        </w:drawing>
      </w:r>
      <w:r w:rsidR="00B8371E">
        <w:rPr>
          <w:b/>
        </w:rPr>
        <w:br/>
      </w:r>
      <w:r w:rsidR="00B8371E">
        <w:t xml:space="preserve">We shall remove (either tenure or </w:t>
      </w:r>
      <w:proofErr w:type="spellStart"/>
      <w:r w:rsidR="00B8371E">
        <w:t>TotalCharges</w:t>
      </w:r>
      <w:proofErr w:type="spellEnd"/>
      <w:r w:rsidR="00B8371E">
        <w:t xml:space="preserve">) and (either </w:t>
      </w:r>
      <w:proofErr w:type="spellStart"/>
      <w:r w:rsidR="00B8371E">
        <w:t>MonthlyCharges</w:t>
      </w:r>
      <w:proofErr w:type="spellEnd"/>
      <w:r w:rsidR="00B8371E">
        <w:t xml:space="preserve"> or </w:t>
      </w:r>
      <w:proofErr w:type="spellStart"/>
      <w:r w:rsidR="00B8371E">
        <w:t>InternetService_Fibre</w:t>
      </w:r>
      <w:proofErr w:type="spellEnd"/>
      <w:r w:rsidR="00B8371E">
        <w:t xml:space="preserve"> optic). The variable to remove will be the variable with the greatest number of other variables they are highly correlated to, as follows:</w:t>
      </w:r>
    </w:p>
    <w:p w:rsidR="006463E1" w:rsidRDefault="006463E1" w:rsidP="000E6751">
      <w:pPr>
        <w:rPr>
          <w:b/>
        </w:rPr>
      </w:pPr>
      <w:r>
        <w:rPr>
          <w:noProof/>
          <w:lang w:val="en-SG"/>
        </w:rPr>
        <w:drawing>
          <wp:inline distT="0" distB="0" distL="0" distR="0" wp14:anchorId="23B7FAC4" wp14:editId="08DC265C">
            <wp:extent cx="4498006" cy="20013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42330" cy="2021050"/>
                    </a:xfrm>
                    <a:prstGeom prst="rect">
                      <a:avLst/>
                    </a:prstGeom>
                  </pic:spPr>
                </pic:pic>
              </a:graphicData>
            </a:graphic>
          </wp:inline>
        </w:drawing>
      </w:r>
    </w:p>
    <w:p w:rsidR="00770CCC" w:rsidRDefault="00770CCC" w:rsidP="00D721DA">
      <w:pPr>
        <w:pStyle w:val="Heading2"/>
      </w:pPr>
      <w:bookmarkStart w:id="13" w:name="_Toc526491241"/>
      <w:r>
        <w:lastRenderedPageBreak/>
        <w:t>Appendix C: Model Results</w:t>
      </w:r>
      <w:r w:rsidR="00D721DA">
        <w:t xml:space="preserve"> when all the features are used</w:t>
      </w:r>
      <w:bookmarkEnd w:id="13"/>
    </w:p>
    <w:p w:rsidR="00595665" w:rsidRPr="00595665" w:rsidRDefault="00595665" w:rsidP="00D721DA">
      <w:pPr>
        <w:pStyle w:val="Heading3"/>
      </w:pPr>
      <w:bookmarkStart w:id="14" w:name="_Toc526491242"/>
      <w:r w:rsidRPr="00595665">
        <w:t>Confusion Matrices</w:t>
      </w:r>
      <w:r w:rsidR="005D5AD5">
        <w:t xml:space="preserve"> when all the features are used</w:t>
      </w:r>
      <w:bookmarkEnd w:id="14"/>
    </w:p>
    <w:p w:rsidR="00595665" w:rsidRDefault="002625C3" w:rsidP="000E6751">
      <w:pPr>
        <w:rPr>
          <w:b/>
        </w:rPr>
      </w:pPr>
      <w:r>
        <w:rPr>
          <w:b/>
        </w:rPr>
        <w:pict>
          <v:shape id="_x0000_i1043" type="#_x0000_t75" style="width:450.7pt;height:428.25pt">
            <v:imagedata r:id="rId35" o:title="mr1"/>
          </v:shape>
        </w:pict>
      </w:r>
    </w:p>
    <w:p w:rsidR="00595665" w:rsidRDefault="00595665">
      <w:pPr>
        <w:spacing w:line="259" w:lineRule="auto"/>
        <w:rPr>
          <w:b/>
        </w:rPr>
      </w:pPr>
      <w:r>
        <w:rPr>
          <w:b/>
        </w:rPr>
        <w:br w:type="page"/>
      </w:r>
    </w:p>
    <w:p w:rsidR="00595665" w:rsidRPr="00595665" w:rsidRDefault="00595665" w:rsidP="00D721DA">
      <w:pPr>
        <w:pStyle w:val="Heading3"/>
      </w:pPr>
      <w:bookmarkStart w:id="15" w:name="_Toc526491243"/>
      <w:r w:rsidRPr="00595665">
        <w:lastRenderedPageBreak/>
        <w:t>Model Accuracies</w:t>
      </w:r>
      <w:r w:rsidR="005D5AD5">
        <w:t xml:space="preserve"> when all the features are used</w:t>
      </w:r>
      <w:bookmarkEnd w:id="15"/>
    </w:p>
    <w:p w:rsidR="00595665" w:rsidRDefault="002625C3" w:rsidP="000E6751">
      <w:pPr>
        <w:rPr>
          <w:b/>
        </w:rPr>
      </w:pPr>
      <w:r>
        <w:rPr>
          <w:b/>
        </w:rPr>
        <w:pict>
          <v:shape id="_x0000_i1044" type="#_x0000_t75" style="width:358.15pt;height:198.25pt">
            <v:imagedata r:id="rId36" o:title="mr2"/>
          </v:shape>
        </w:pict>
      </w:r>
      <w:r>
        <w:rPr>
          <w:b/>
        </w:rPr>
        <w:pict>
          <v:shape id="_x0000_i1045" type="#_x0000_t75" style="width:358.15pt;height:198.25pt">
            <v:imagedata r:id="rId37" o:title="mr3"/>
          </v:shape>
        </w:pict>
      </w:r>
    </w:p>
    <w:p w:rsidR="00595665" w:rsidRDefault="00595665" w:rsidP="000E6751">
      <w:pPr>
        <w:rPr>
          <w:b/>
        </w:rPr>
      </w:pPr>
      <w:r>
        <w:rPr>
          <w:noProof/>
          <w:lang w:val="en-SG"/>
        </w:rPr>
        <w:drawing>
          <wp:inline distT="0" distB="0" distL="0" distR="0" wp14:anchorId="7860A52F" wp14:editId="27674A38">
            <wp:extent cx="4276725" cy="1524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76725" cy="1524000"/>
                    </a:xfrm>
                    <a:prstGeom prst="rect">
                      <a:avLst/>
                    </a:prstGeom>
                  </pic:spPr>
                </pic:pic>
              </a:graphicData>
            </a:graphic>
          </wp:inline>
        </w:drawing>
      </w:r>
      <w:r>
        <w:rPr>
          <w:b/>
        </w:rPr>
        <w:t xml:space="preserve"> </w:t>
      </w:r>
    </w:p>
    <w:p w:rsidR="00595665" w:rsidRDefault="00595665">
      <w:pPr>
        <w:spacing w:line="259" w:lineRule="auto"/>
        <w:rPr>
          <w:b/>
        </w:rPr>
      </w:pPr>
      <w:r>
        <w:rPr>
          <w:b/>
        </w:rPr>
        <w:br w:type="page"/>
      </w:r>
    </w:p>
    <w:p w:rsidR="007B7664" w:rsidRDefault="00595665" w:rsidP="007B7664">
      <w:pPr>
        <w:pStyle w:val="Heading3"/>
      </w:pPr>
      <w:bookmarkStart w:id="16" w:name="_Toc526491244"/>
      <w:r w:rsidRPr="00595665">
        <w:lastRenderedPageBreak/>
        <w:t>ROC Curves</w:t>
      </w:r>
      <w:r w:rsidR="005D5AD5">
        <w:t xml:space="preserve"> when all the features are used</w:t>
      </w:r>
      <w:bookmarkEnd w:id="16"/>
    </w:p>
    <w:p w:rsidR="00595665" w:rsidRDefault="002625C3" w:rsidP="007B7664">
      <w:r>
        <w:pict>
          <v:shape id="_x0000_i1046" type="#_x0000_t75" style="width:450.7pt;height:475pt">
            <v:imagedata r:id="rId39" o:title="mr4"/>
          </v:shape>
        </w:pict>
      </w:r>
    </w:p>
    <w:p w:rsidR="00595665" w:rsidRDefault="00595665">
      <w:pPr>
        <w:spacing w:line="259" w:lineRule="auto"/>
        <w:rPr>
          <w:b/>
        </w:rPr>
      </w:pPr>
      <w:r>
        <w:rPr>
          <w:b/>
        </w:rPr>
        <w:br w:type="page"/>
      </w:r>
    </w:p>
    <w:p w:rsidR="00595665" w:rsidRPr="00595665" w:rsidRDefault="00595665" w:rsidP="00D721DA">
      <w:pPr>
        <w:pStyle w:val="Heading3"/>
      </w:pPr>
      <w:bookmarkStart w:id="17" w:name="_Toc526491245"/>
      <w:r w:rsidRPr="00595665">
        <w:lastRenderedPageBreak/>
        <w:t>Feature Weights</w:t>
      </w:r>
      <w:r w:rsidR="005D5AD5">
        <w:t xml:space="preserve"> when all the features are used</w:t>
      </w:r>
      <w:bookmarkEnd w:id="17"/>
    </w:p>
    <w:p w:rsidR="007B7664" w:rsidRPr="000E6751" w:rsidRDefault="002625C3" w:rsidP="000E6751">
      <w:pPr>
        <w:rPr>
          <w:b/>
        </w:rPr>
      </w:pPr>
      <w:r>
        <w:rPr>
          <w:b/>
        </w:rPr>
        <w:pict>
          <v:shape id="_x0000_i1047" type="#_x0000_t75" style="width:433.85pt;height:198.25pt">
            <v:imagedata r:id="rId40" o:title="mr5"/>
          </v:shape>
        </w:pict>
      </w:r>
      <w:r>
        <w:rPr>
          <w:b/>
        </w:rPr>
        <w:pict>
          <v:shape id="_x0000_i1048" type="#_x0000_t75" style="width:431.05pt;height:198.25pt">
            <v:imagedata r:id="rId41" o:title="mr6"/>
          </v:shape>
        </w:pict>
      </w:r>
      <w:r>
        <w:rPr>
          <w:b/>
        </w:rPr>
        <w:pict>
          <v:shape id="_x0000_i1049" type="#_x0000_t75" style="width:431.05pt;height:198.25pt">
            <v:imagedata r:id="rId42" o:title="mr7"/>
          </v:shape>
        </w:pict>
      </w:r>
      <w:r>
        <w:rPr>
          <w:b/>
        </w:rPr>
        <w:lastRenderedPageBreak/>
        <w:pict>
          <v:shape id="_x0000_i1050" type="#_x0000_t75" style="width:431.05pt;height:198.25pt">
            <v:imagedata r:id="rId43" o:title="mr8"/>
          </v:shape>
        </w:pict>
      </w:r>
      <w:r>
        <w:rPr>
          <w:b/>
        </w:rPr>
        <w:pict>
          <v:shape id="_x0000_i1051" type="#_x0000_t75" style="width:431.05pt;height:198.25pt">
            <v:imagedata r:id="rId44" o:title="mr9"/>
          </v:shape>
        </w:pict>
      </w:r>
      <w:r>
        <w:rPr>
          <w:b/>
        </w:rPr>
        <w:pict>
          <v:shape id="_x0000_i1052" type="#_x0000_t75" style="width:432.95pt;height:198.25pt">
            <v:imagedata r:id="rId45" o:title="mr10"/>
          </v:shape>
        </w:pict>
      </w:r>
    </w:p>
    <w:sectPr w:rsidR="007B7664" w:rsidRPr="000E6751">
      <w:foot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716" w:rsidRDefault="00290716" w:rsidP="00FA2A33">
      <w:pPr>
        <w:spacing w:after="0" w:line="240" w:lineRule="auto"/>
      </w:pPr>
      <w:r>
        <w:separator/>
      </w:r>
    </w:p>
  </w:endnote>
  <w:endnote w:type="continuationSeparator" w:id="0">
    <w:p w:rsidR="00290716" w:rsidRDefault="00290716" w:rsidP="00FA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920759"/>
      <w:docPartObj>
        <w:docPartGallery w:val="Page Numbers (Bottom of Page)"/>
        <w:docPartUnique/>
      </w:docPartObj>
    </w:sdtPr>
    <w:sdtEndPr>
      <w:rPr>
        <w:noProof/>
      </w:rPr>
    </w:sdtEndPr>
    <w:sdtContent>
      <w:p w:rsidR="00FA2A33" w:rsidRDefault="00FA2A33">
        <w:pPr>
          <w:pStyle w:val="Footer"/>
          <w:jc w:val="right"/>
        </w:pPr>
        <w:r>
          <w:fldChar w:fldCharType="begin"/>
        </w:r>
        <w:r>
          <w:instrText xml:space="preserve"> PAGE   \* MERGEFORMAT </w:instrText>
        </w:r>
        <w:r>
          <w:fldChar w:fldCharType="separate"/>
        </w:r>
        <w:r w:rsidR="002053E2">
          <w:rPr>
            <w:noProof/>
          </w:rPr>
          <w:t>16</w:t>
        </w:r>
        <w:r>
          <w:rPr>
            <w:noProof/>
          </w:rPr>
          <w:fldChar w:fldCharType="end"/>
        </w:r>
      </w:p>
    </w:sdtContent>
  </w:sdt>
  <w:p w:rsidR="00FA2A33" w:rsidRDefault="00FA2A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716" w:rsidRDefault="00290716" w:rsidP="00FA2A33">
      <w:pPr>
        <w:spacing w:after="0" w:line="240" w:lineRule="auto"/>
      </w:pPr>
      <w:r>
        <w:separator/>
      </w:r>
    </w:p>
  </w:footnote>
  <w:footnote w:type="continuationSeparator" w:id="0">
    <w:p w:rsidR="00290716" w:rsidRDefault="00290716" w:rsidP="00FA2A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77CC6"/>
    <w:multiLevelType w:val="hybridMultilevel"/>
    <w:tmpl w:val="F304698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723DD4"/>
    <w:multiLevelType w:val="hybridMultilevel"/>
    <w:tmpl w:val="53EACE9E"/>
    <w:lvl w:ilvl="0" w:tplc="04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1B44435E"/>
    <w:multiLevelType w:val="hybridMultilevel"/>
    <w:tmpl w:val="C1962E3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F715E38"/>
    <w:multiLevelType w:val="hybridMultilevel"/>
    <w:tmpl w:val="C1962E3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75F1ABD"/>
    <w:multiLevelType w:val="multilevel"/>
    <w:tmpl w:val="8096A1E0"/>
    <w:lvl w:ilvl="0">
      <w:start w:val="1"/>
      <w:numFmt w:val="decimal"/>
      <w:lvlText w:val="%1."/>
      <w:lvlJc w:val="left"/>
      <w:pPr>
        <w:ind w:left="360" w:hanging="360"/>
      </w:pPr>
      <w:rPr>
        <w:rFonts w:asciiTheme="majorHAnsi" w:eastAsiaTheme="majorEastAsia" w:hAnsiTheme="majorHAnsi" w:cstheme="majorBidi" w:hint="default"/>
        <w:b w:val="0"/>
        <w:color w:val="2E74B5" w:themeColor="accent1" w:themeShade="BF"/>
        <w:sz w:val="32"/>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7C078A8"/>
    <w:multiLevelType w:val="hybridMultilevel"/>
    <w:tmpl w:val="98C8A72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A6C"/>
    <w:rsid w:val="00013D59"/>
    <w:rsid w:val="0008468B"/>
    <w:rsid w:val="000E6751"/>
    <w:rsid w:val="001277EE"/>
    <w:rsid w:val="001A1123"/>
    <w:rsid w:val="002053E2"/>
    <w:rsid w:val="00255819"/>
    <w:rsid w:val="002625C3"/>
    <w:rsid w:val="00290716"/>
    <w:rsid w:val="00334A6C"/>
    <w:rsid w:val="0042303F"/>
    <w:rsid w:val="00431232"/>
    <w:rsid w:val="00432BE0"/>
    <w:rsid w:val="004B13CF"/>
    <w:rsid w:val="0055322B"/>
    <w:rsid w:val="00595665"/>
    <w:rsid w:val="005D5AD5"/>
    <w:rsid w:val="006373DB"/>
    <w:rsid w:val="006463E1"/>
    <w:rsid w:val="00766B45"/>
    <w:rsid w:val="00770CCC"/>
    <w:rsid w:val="007721E9"/>
    <w:rsid w:val="007878A3"/>
    <w:rsid w:val="007B7664"/>
    <w:rsid w:val="00822C26"/>
    <w:rsid w:val="008D3421"/>
    <w:rsid w:val="008F3B89"/>
    <w:rsid w:val="0093672B"/>
    <w:rsid w:val="00950271"/>
    <w:rsid w:val="00961AC1"/>
    <w:rsid w:val="00A93763"/>
    <w:rsid w:val="00AC2B14"/>
    <w:rsid w:val="00B07197"/>
    <w:rsid w:val="00B627C6"/>
    <w:rsid w:val="00B8371E"/>
    <w:rsid w:val="00BA5669"/>
    <w:rsid w:val="00BD5FC4"/>
    <w:rsid w:val="00C2792C"/>
    <w:rsid w:val="00C339C7"/>
    <w:rsid w:val="00C909F2"/>
    <w:rsid w:val="00D721DA"/>
    <w:rsid w:val="00DE2B75"/>
    <w:rsid w:val="00E13DA9"/>
    <w:rsid w:val="00E54BB2"/>
    <w:rsid w:val="00F36CF9"/>
    <w:rsid w:val="00FA2A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DC307-BB03-4C14-A236-CC32631A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75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2625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12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21D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C26"/>
    <w:pPr>
      <w:ind w:left="720"/>
      <w:contextualSpacing/>
    </w:pPr>
  </w:style>
  <w:style w:type="paragraph" w:styleId="Header">
    <w:name w:val="header"/>
    <w:basedOn w:val="Normal"/>
    <w:link w:val="HeaderChar"/>
    <w:uiPriority w:val="99"/>
    <w:unhideWhenUsed/>
    <w:rsid w:val="00FA2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A33"/>
    <w:rPr>
      <w:rFonts w:ascii="Arial" w:hAnsi="Arial" w:cs="Arial"/>
      <w:sz w:val="24"/>
      <w:szCs w:val="24"/>
    </w:rPr>
  </w:style>
  <w:style w:type="paragraph" w:styleId="Footer">
    <w:name w:val="footer"/>
    <w:basedOn w:val="Normal"/>
    <w:link w:val="FooterChar"/>
    <w:uiPriority w:val="99"/>
    <w:unhideWhenUsed/>
    <w:rsid w:val="00FA2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A33"/>
    <w:rPr>
      <w:rFonts w:ascii="Arial" w:hAnsi="Arial" w:cs="Arial"/>
      <w:sz w:val="24"/>
      <w:szCs w:val="24"/>
    </w:rPr>
  </w:style>
  <w:style w:type="character" w:customStyle="1" w:styleId="Heading1Char">
    <w:name w:val="Heading 1 Char"/>
    <w:basedOn w:val="DefaultParagraphFont"/>
    <w:link w:val="Heading1"/>
    <w:uiPriority w:val="9"/>
    <w:rsid w:val="002625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12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21D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B7664"/>
    <w:pPr>
      <w:spacing w:line="259" w:lineRule="auto"/>
      <w:outlineLvl w:val="9"/>
    </w:pPr>
    <w:rPr>
      <w:lang w:val="en-US" w:eastAsia="en-US"/>
    </w:rPr>
  </w:style>
  <w:style w:type="paragraph" w:styleId="TOC1">
    <w:name w:val="toc 1"/>
    <w:basedOn w:val="Normal"/>
    <w:next w:val="Normal"/>
    <w:autoRedefine/>
    <w:uiPriority w:val="39"/>
    <w:unhideWhenUsed/>
    <w:rsid w:val="007B7664"/>
    <w:pPr>
      <w:spacing w:after="100"/>
    </w:pPr>
  </w:style>
  <w:style w:type="paragraph" w:styleId="TOC2">
    <w:name w:val="toc 2"/>
    <w:basedOn w:val="Normal"/>
    <w:next w:val="Normal"/>
    <w:autoRedefine/>
    <w:uiPriority w:val="39"/>
    <w:unhideWhenUsed/>
    <w:rsid w:val="007B7664"/>
    <w:pPr>
      <w:spacing w:after="100"/>
      <w:ind w:left="240"/>
    </w:pPr>
  </w:style>
  <w:style w:type="paragraph" w:styleId="TOC3">
    <w:name w:val="toc 3"/>
    <w:basedOn w:val="Normal"/>
    <w:next w:val="Normal"/>
    <w:autoRedefine/>
    <w:uiPriority w:val="39"/>
    <w:unhideWhenUsed/>
    <w:rsid w:val="007B7664"/>
    <w:pPr>
      <w:spacing w:after="100"/>
      <w:ind w:left="480"/>
    </w:pPr>
  </w:style>
  <w:style w:type="character" w:styleId="Hyperlink">
    <w:name w:val="Hyperlink"/>
    <w:basedOn w:val="DefaultParagraphFont"/>
    <w:uiPriority w:val="99"/>
    <w:unhideWhenUsed/>
    <w:rsid w:val="007B76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5F03C9-1540-4971-8DC4-393BD6693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16</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 Neo</cp:lastModifiedBy>
  <cp:revision>28</cp:revision>
  <cp:lastPrinted>2018-10-05T00:30:00Z</cp:lastPrinted>
  <dcterms:created xsi:type="dcterms:W3CDTF">2018-09-28T08:36:00Z</dcterms:created>
  <dcterms:modified xsi:type="dcterms:W3CDTF">2018-10-05T00:32:00Z</dcterms:modified>
</cp:coreProperties>
</file>