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4E79"/>
          <w:sz w:val="52"/>
        </w:rPr>
        <w:t>HELIX INTEL</w:t>
      </w:r>
    </w:p>
    <w:p>
      <w:pPr>
        <w:spacing w:after="120"/>
      </w:pPr>
      <w:r>
        <w:rPr>
          <w:rFonts w:ascii="Arial" w:hAnsi="Arial"/>
          <w:color w:val="2E75B6"/>
          <w:sz w:val="36"/>
        </w:rPr>
        <w:t>Macro Forecast Report</w:t>
      </w:r>
    </w:p>
    <w:p>
      <w:pPr>
        <w:spacing w:after="40"/>
      </w:pPr>
      <w:r>
        <w:rPr>
          <w:rFonts w:ascii="Arial" w:hAnsi="Arial"/>
          <w:b/>
          <w:color w:val="404040"/>
          <w:sz w:val="19"/>
        </w:rPr>
        <w:t>As-of Date: 06/05/26     Horizon: 3m     Schema: 0.1.0</w:t>
      </w:r>
    </w:p>
    <w:p>
      <w:pPr>
        <w:spacing w:after="200"/>
      </w:pPr>
      <w:r>
        <w:rPr>
          <w:rFonts w:ascii="Arial" w:hAnsi="Arial"/>
          <w:color w:val="808080"/>
          <w:sz w:val="16"/>
        </w:rPr>
        <w:t>Created At: 06/12/26     Forecast ID: unsaved</w:t>
      </w:r>
    </w:p>
    <w:p>
      <w:pPr>
        <w:spacing w:before="320" w:after="140"/>
      </w:pPr>
      <w:r>
        <w:rPr>
          <w:rFonts w:ascii="Arial" w:hAnsi="Arial"/>
          <w:b/>
          <w:color w:val="1F4E79"/>
          <w:sz w:val="28"/>
        </w:rPr>
        <w:t>Forecast Interpretation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Headline</w:t>
            </w:r>
          </w:p>
        </w:tc>
        <w:tc>
          <w:tcPr>
            <w:tcW w:type="dxa" w:w="11520"/>
            <w:vAlign w:val="top"/>
          </w:tcPr>
          <w:p>
            <w:pPr>
              <w:spacing w:after="20" w:line="240" w:lineRule="auto"/>
            </w:pPr>
            <w:r>
              <w:rPr>
                <w:rFonts w:ascii="Arial" w:hAnsi="Arial"/>
                <w:b w:val="0"/>
                <w:color w:val="595959"/>
                <w:sz w:val="15"/>
              </w:rPr>
              <w:t>Forecast favors sticky late-cycle AI leadership over broad soft-landing participation.</w:t>
            </w:r>
          </w:p>
        </w:tc>
      </w:tr>
      <w:tr>
        <w:tc>
          <w:tcPr>
            <w:tcW w:type="dxa" w:w="2160"/>
            <w:shd w:fill="EAF2F8"/>
            <w:vAlign w:val="top"/>
          </w:tcPr>
          <w:p>
            <w:pPr>
              <w:spacing w:after="20" w:line="240" w:lineRule="auto"/>
            </w:pPr>
            <w:r>
              <w:rPr>
                <w:rFonts w:ascii="Arial" w:hAnsi="Arial"/>
                <w:b/>
                <w:color w:val="1F4E79"/>
                <w:sz w:val="15"/>
              </w:rPr>
              <w:t>Summary</w:t>
            </w:r>
          </w:p>
        </w:tc>
        <w:tc>
          <w:tcPr>
            <w:tcW w:type="dxa" w:w="11520"/>
            <w:vAlign w:val="top"/>
          </w:tcPr>
          <w:p>
            <w:pPr>
              <w:spacing w:after="20" w:line="240" w:lineRule="auto"/>
            </w:pPr>
            <w:r>
              <w:rPr>
                <w:rFonts w:ascii="Arial" w:hAnsi="Arial"/>
                <w:b w:val="0"/>
                <w:color w:val="595959"/>
                <w:sz w:val="15"/>
              </w:rPr>
              <w:t>The model assigns the highest probability to Sticky Late Cycle AI at 36.2%; runner-up reopening_soft_landing at 31.1%. The largest displayed deterministic driver is AI earnings resilience (+0.403). Healthy credit can keep the regime from becoming fully risk-off, while weak breadth, restrictive Fed pricing, and resilient AI earnings determine whether leadership stays narrow. Reported scenario probabilities are historically calibrated after the deterministic update.</w:t>
            </w:r>
          </w:p>
        </w:tc>
      </w:tr>
      <w:tr>
        <w:tc>
          <w:tcPr>
            <w:tcW w:type="dxa" w:w="2160"/>
            <w:shd w:fill="EAF2F8"/>
            <w:vAlign w:val="top"/>
          </w:tcPr>
          <w:p>
            <w:pPr>
              <w:spacing w:after="20" w:line="240" w:lineRule="auto"/>
            </w:pPr>
            <w:r>
              <w:rPr>
                <w:rFonts w:ascii="Arial" w:hAnsi="Arial"/>
                <w:b/>
                <w:color w:val="1F4E79"/>
                <w:sz w:val="15"/>
              </w:rPr>
              <w:t>Dominant Scenario</w:t>
            </w:r>
          </w:p>
        </w:tc>
        <w:tc>
          <w:tcPr>
            <w:tcW w:type="dxa" w:w="11520"/>
            <w:vAlign w:val="top"/>
          </w:tcPr>
          <w:p>
            <w:pPr>
              <w:spacing w:after="20" w:line="240" w:lineRule="auto"/>
            </w:pPr>
            <w:r>
              <w:rPr>
                <w:rFonts w:ascii="Arial" w:hAnsi="Arial"/>
                <w:b w:val="0"/>
                <w:color w:val="595959"/>
                <w:sz w:val="15"/>
              </w:rPr>
              <w:t>Sticky Late Cycle AI (36.24%)</w:t>
            </w:r>
          </w:p>
        </w:tc>
      </w:tr>
      <w:tr>
        <w:tc>
          <w:tcPr>
            <w:tcW w:type="dxa" w:w="2160"/>
            <w:shd w:fill="EAF2F8"/>
            <w:vAlign w:val="top"/>
          </w:tcPr>
          <w:p>
            <w:pPr>
              <w:spacing w:after="20" w:line="240" w:lineRule="auto"/>
            </w:pPr>
            <w:r>
              <w:rPr>
                <w:rFonts w:ascii="Arial" w:hAnsi="Arial"/>
                <w:b/>
                <w:color w:val="1F4E79"/>
                <w:sz w:val="15"/>
              </w:rPr>
              <w:t>Confidence Level</w:t>
            </w:r>
          </w:p>
        </w:tc>
        <w:tc>
          <w:tcPr>
            <w:tcW w:type="dxa" w:w="11520"/>
            <w:vAlign w:val="top"/>
          </w:tcPr>
          <w:p>
            <w:pPr>
              <w:spacing w:after="20" w:line="240" w:lineRule="auto"/>
            </w:pPr>
            <w:r>
              <w:rPr>
                <w:rFonts w:ascii="Arial" w:hAnsi="Arial"/>
                <w:b w:val="0"/>
                <w:color w:val="595959"/>
                <w:sz w:val="15"/>
              </w:rPr>
              <w:t>low</w:t>
            </w:r>
          </w:p>
        </w:tc>
      </w:tr>
      <w:tr>
        <w:tc>
          <w:tcPr>
            <w:tcW w:type="dxa" w:w="2160"/>
            <w:shd w:fill="EAF2F8"/>
            <w:vAlign w:val="top"/>
          </w:tcPr>
          <w:p>
            <w:pPr>
              <w:spacing w:after="20" w:line="240" w:lineRule="auto"/>
            </w:pPr>
            <w:r>
              <w:rPr>
                <w:rFonts w:ascii="Arial" w:hAnsi="Arial"/>
                <w:b/>
                <w:color w:val="1F4E79"/>
                <w:sz w:val="15"/>
              </w:rPr>
              <w:t>Confidence Rationale</w:t>
            </w:r>
          </w:p>
        </w:tc>
        <w:tc>
          <w:tcPr>
            <w:tcW w:type="dxa" w:w="11520"/>
            <w:vAlign w:val="top"/>
          </w:tcPr>
          <w:p>
            <w:pPr>
              <w:spacing w:after="20" w:line="240" w:lineRule="auto"/>
            </w:pPr>
            <w:r>
              <w:rPr>
                <w:rFonts w:ascii="Arial" w:hAnsi="Arial"/>
                <w:b w:val="0"/>
                <w:color w:val="595959"/>
                <w:sz w:val="15"/>
              </w:rPr>
              <w:t>Dominant scenario probability is 36.2% with a 5.2% gap to the next scenario; floors keep tail scenarios alive. Probability mode is historically calibrated.</w:t>
            </w:r>
          </w:p>
        </w:tc>
      </w:tr>
      <w:tr>
        <w:tc>
          <w:tcPr>
            <w:tcW w:type="dxa" w:w="2160"/>
            <w:shd w:fill="EAF2F8"/>
            <w:vAlign w:val="top"/>
          </w:tcPr>
          <w:p>
            <w:pPr>
              <w:spacing w:after="20" w:line="240" w:lineRule="auto"/>
            </w:pPr>
            <w:r>
              <w:rPr>
                <w:rFonts w:ascii="Arial" w:hAnsi="Arial"/>
                <w:b/>
                <w:color w:val="1F4E79"/>
                <w:sz w:val="15"/>
              </w:rPr>
              <w:t>Preferred Exposures</w:t>
            </w:r>
          </w:p>
        </w:tc>
        <w:tc>
          <w:tcPr>
            <w:tcW w:type="dxa" w:w="11520"/>
            <w:vAlign w:val="top"/>
          </w:tcPr>
          <w:p>
            <w:pPr>
              <w:spacing w:after="20" w:line="240" w:lineRule="auto"/>
            </w:pPr>
            <w:r>
              <w:rPr>
                <w:rFonts w:ascii="Arial" w:hAnsi="Arial"/>
                <w:b w:val="0"/>
                <w:color w:val="595959"/>
                <w:sz w:val="15"/>
              </w:rPr>
              <w:t>Grid and power infrastructure, Quality ex-AI cash flow, Cash and short duration, Quality AI leaders, Commodities and real assets, Cash and carry, Quality, Defensive factor</w:t>
            </w:r>
          </w:p>
        </w:tc>
      </w:tr>
      <w:tr>
        <w:tc>
          <w:tcPr>
            <w:tcW w:type="dxa" w:w="2160"/>
            <w:shd w:fill="EAF2F8"/>
            <w:vAlign w:val="top"/>
          </w:tcPr>
          <w:p>
            <w:pPr>
              <w:spacing w:after="20" w:line="240" w:lineRule="auto"/>
            </w:pPr>
            <w:r>
              <w:rPr>
                <w:rFonts w:ascii="Arial" w:hAnsi="Arial"/>
                <w:b/>
                <w:color w:val="1F4E79"/>
                <w:sz w:val="15"/>
              </w:rPr>
              <w:t>Exposures To Avoid</w:t>
            </w:r>
          </w:p>
        </w:tc>
        <w:tc>
          <w:tcPr>
            <w:tcW w:type="dxa" w:w="11520"/>
            <w:vAlign w:val="top"/>
          </w:tcPr>
          <w:p>
            <w:pPr>
              <w:spacing w:after="20" w:line="240" w:lineRule="auto"/>
            </w:pPr>
            <w:r>
              <w:rPr>
                <w:rFonts w:ascii="Arial" w:hAnsi="Arial"/>
                <w:b w:val="0"/>
                <w:color w:val="595959"/>
                <w:sz w:val="15"/>
              </w:rPr>
              <w:t>Small caps, Long-duration growth, High-beta AI semiconductors, High beta growth, Duration sensitivity, Small-cap beta</w:t>
            </w:r>
          </w:p>
        </w:tc>
      </w:tr>
      <w:tr>
        <w:tc>
          <w:tcPr>
            <w:tcW w:type="dxa" w:w="2160"/>
            <w:shd w:fill="EAF2F8"/>
            <w:vAlign w:val="top"/>
          </w:tcPr>
          <w:p>
            <w:pPr>
              <w:spacing w:after="20" w:line="240" w:lineRule="auto"/>
            </w:pPr>
            <w:r>
              <w:rPr>
                <w:rFonts w:ascii="Arial" w:hAnsi="Arial"/>
                <w:b/>
                <w:color w:val="1F4E79"/>
                <w:sz w:val="15"/>
              </w:rPr>
              <w:t>Key Tensions</w:t>
            </w:r>
          </w:p>
        </w:tc>
        <w:tc>
          <w:tcPr>
            <w:tcW w:type="dxa" w:w="11520"/>
            <w:vAlign w:val="top"/>
          </w:tcPr>
          <w:p>
            <w:pPr>
              <w:spacing w:after="20" w:line="240" w:lineRule="auto"/>
            </w:pPr>
            <w:r>
              <w:rPr>
                <w:rFonts w:ascii="Arial" w:hAnsi="Arial"/>
                <w:b w:val="0"/>
                <w:color w:val="C00000"/>
                <w:sz w:val="15"/>
              </w:rPr>
              <w:t>- Credit is healthy but breadth is weak or narrow.</w:t>
              <w:br/>
              <w:t>- Fed path remains restrictive despite some monetary-layer improvement.</w:t>
              <w:br/>
              <w:t>- Oil risk remains two-sided between inflation pressure and reopening relief.</w:t>
              <w:br/>
              <w:t>- AI earnings are resilient, but the AI capex rollover tail retains a probability floor.</w:t>
            </w:r>
          </w:p>
        </w:tc>
      </w:tr>
    </w:tbl>
    <w:p>
      <w:pPr>
        <w:spacing w:after="120"/>
      </w:pPr>
    </w:p>
    <w:p>
      <w:pPr>
        <w:spacing w:before="320" w:after="140"/>
      </w:pPr>
      <w:r>
        <w:rPr>
          <w:rFonts w:ascii="Arial" w:hAnsi="Arial"/>
          <w:b/>
          <w:color w:val="1F4E79"/>
          <w:sz w:val="28"/>
        </w:rPr>
        <w:t>Scenario Probabilities</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gridCol w:w="1746"/>
        <w:gridCol w:w="1746"/>
        <w:gridCol w:w="1746"/>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936"/>
            <w:shd w:fill="1F4E79"/>
            <w:vAlign w:val="top"/>
          </w:tcPr>
          <w:p>
            <w:pPr>
              <w:spacing w:after="20" w:line="240" w:lineRule="auto"/>
            </w:pPr>
            <w:r>
              <w:rPr>
                <w:rFonts w:ascii="Arial" w:hAnsi="Arial"/>
                <w:b/>
                <w:color w:val="FFFFFF"/>
                <w:sz w:val="15"/>
              </w:rPr>
              <w:t>Prior</w:t>
            </w:r>
          </w:p>
        </w:tc>
        <w:tc>
          <w:tcPr>
            <w:tcW w:type="dxa" w:w="1296"/>
            <w:shd w:fill="1F4E79"/>
            <w:vAlign w:val="top"/>
          </w:tcPr>
          <w:p>
            <w:pPr>
              <w:spacing w:after="20" w:line="240" w:lineRule="auto"/>
            </w:pPr>
            <w:r>
              <w:rPr>
                <w:rFonts w:ascii="Arial" w:hAnsi="Arial"/>
                <w:b/>
                <w:color w:val="FFFFFF"/>
                <w:sz w:val="15"/>
              </w:rPr>
              <w:t>Deterministic Posterior</w:t>
            </w:r>
          </w:p>
        </w:tc>
        <w:tc>
          <w:tcPr>
            <w:tcW w:type="dxa" w:w="1440"/>
            <w:shd w:fill="1F4E79"/>
            <w:vAlign w:val="top"/>
          </w:tcPr>
          <w:p>
            <w:pPr>
              <w:spacing w:after="20" w:line="240" w:lineRule="auto"/>
            </w:pPr>
            <w:r>
              <w:rPr>
                <w:rFonts w:ascii="Arial" w:hAnsi="Arial"/>
                <w:b/>
                <w:color w:val="FFFFFF"/>
                <w:sz w:val="15"/>
              </w:rPr>
              <w:t>Historical Analogue Probability</w:t>
            </w:r>
          </w:p>
        </w:tc>
        <w:tc>
          <w:tcPr>
            <w:tcW w:type="dxa" w:w="1296"/>
            <w:shd w:fill="1F4E79"/>
            <w:vAlign w:val="top"/>
          </w:tcPr>
          <w:p>
            <w:pPr>
              <w:spacing w:after="20" w:line="240" w:lineRule="auto"/>
            </w:pPr>
            <w:r>
              <w:rPr>
                <w:rFonts w:ascii="Arial" w:hAnsi="Arial"/>
                <w:b/>
                <w:color w:val="FFFFFF"/>
                <w:sz w:val="15"/>
              </w:rPr>
              <w:t>Blended Posterior</w:t>
            </w:r>
          </w:p>
        </w:tc>
        <w:tc>
          <w:tcPr>
            <w:tcW w:type="dxa" w:w="1080"/>
            <w:shd w:fill="1F4E79"/>
            <w:vAlign w:val="top"/>
          </w:tcPr>
          <w:p>
            <w:pPr>
              <w:spacing w:after="20" w:line="240" w:lineRule="auto"/>
            </w:pPr>
            <w:r>
              <w:rPr>
                <w:rFonts w:ascii="Arial" w:hAnsi="Arial"/>
                <w:b/>
                <w:color w:val="FFFFFF"/>
                <w:sz w:val="15"/>
              </w:rPr>
              <w:t>Change vs Prior</w:t>
            </w:r>
          </w:p>
        </w:tc>
        <w:tc>
          <w:tcPr>
            <w:tcW w:type="dxa" w:w="1152"/>
            <w:shd w:fill="1F4E79"/>
            <w:vAlign w:val="top"/>
          </w:tcPr>
          <w:p>
            <w:pPr>
              <w:spacing w:after="20" w:line="240" w:lineRule="auto"/>
            </w:pPr>
            <w:r>
              <w:rPr>
                <w:rFonts w:ascii="Arial" w:hAnsi="Arial"/>
                <w:b/>
                <w:color w:val="FFFFFF"/>
                <w:sz w:val="15"/>
              </w:rPr>
              <w:t>Floor/Cap</w:t>
            </w:r>
          </w:p>
        </w:tc>
        <w:tc>
          <w:tcPr>
            <w:tcW w:type="dxa" w:w="3096"/>
            <w:shd w:fill="1F4E79"/>
            <w:vAlign w:val="top"/>
          </w:tcPr>
          <w:p>
            <w:pPr>
              <w:spacing w:after="20" w:line="240" w:lineRule="auto"/>
            </w:pPr>
            <w:r>
              <w:rPr>
                <w:rFonts w:ascii="Arial" w:hAnsi="Arial"/>
                <w:b/>
                <w:color w:val="FFFFFF"/>
                <w:sz w:val="15"/>
              </w:rPr>
              <w:t>Top Driver</w:t>
            </w:r>
          </w:p>
        </w:tc>
      </w:tr>
      <w:tr>
        <w:tc>
          <w:tcPr>
            <w:tcW w:type="dxa" w:w="2088"/>
            <w:vAlign w:val="top"/>
          </w:tcPr>
          <w:p>
            <w:pPr>
              <w:spacing w:after="20" w:line="240" w:lineRule="auto"/>
            </w:pPr>
            <w:r>
              <w:rPr>
                <w:rFonts w:ascii="Arial" w:hAnsi="Arial"/>
                <w:b w:val="0"/>
                <w:color w:val="595959"/>
                <w:sz w:val="15"/>
              </w:rPr>
              <w:t>Sticky Late Cycle AI</w:t>
            </w:r>
          </w:p>
        </w:tc>
        <w:tc>
          <w:tcPr>
            <w:tcW w:type="dxa" w:w="936"/>
            <w:vAlign w:val="top"/>
          </w:tcPr>
          <w:p>
            <w:pPr>
              <w:spacing w:after="20" w:line="240" w:lineRule="auto"/>
            </w:pPr>
            <w:r>
              <w:rPr>
                <w:rFonts w:ascii="Arial" w:hAnsi="Arial"/>
                <w:b w:val="0"/>
                <w:color w:val="595959"/>
                <w:sz w:val="15"/>
              </w:rPr>
              <w:t>26.00%</w:t>
            </w:r>
          </w:p>
        </w:tc>
        <w:tc>
          <w:tcPr>
            <w:tcW w:type="dxa" w:w="1296"/>
            <w:vAlign w:val="top"/>
          </w:tcPr>
          <w:p>
            <w:pPr>
              <w:spacing w:after="20" w:line="240" w:lineRule="auto"/>
            </w:pPr>
            <w:r>
              <w:rPr>
                <w:rFonts w:ascii="Arial" w:hAnsi="Arial"/>
                <w:b w:val="0"/>
                <w:color w:val="595959"/>
                <w:sz w:val="15"/>
              </w:rPr>
              <w:t>41.53%</w:t>
            </w:r>
          </w:p>
        </w:tc>
        <w:tc>
          <w:tcPr>
            <w:tcW w:type="dxa" w:w="1440"/>
            <w:vAlign w:val="top"/>
          </w:tcPr>
          <w:p>
            <w:pPr>
              <w:spacing w:after="20" w:line="240" w:lineRule="auto"/>
            </w:pPr>
            <w:r>
              <w:rPr>
                <w:rFonts w:ascii="Arial" w:hAnsi="Arial"/>
                <w:b w:val="0"/>
                <w:color w:val="595959"/>
                <w:sz w:val="15"/>
              </w:rPr>
              <w:t>23.91%</w:t>
            </w:r>
          </w:p>
        </w:tc>
        <w:tc>
          <w:tcPr>
            <w:tcW w:type="dxa" w:w="1296"/>
            <w:vAlign w:val="top"/>
          </w:tcPr>
          <w:p>
            <w:pPr>
              <w:spacing w:after="20" w:line="240" w:lineRule="auto"/>
            </w:pPr>
            <w:r>
              <w:rPr>
                <w:rFonts w:ascii="Arial" w:hAnsi="Arial"/>
                <w:b w:val="0"/>
                <w:color w:val="595959"/>
                <w:sz w:val="15"/>
              </w:rPr>
              <w:t>36.24%</w:t>
            </w:r>
          </w:p>
        </w:tc>
        <w:tc>
          <w:tcPr>
            <w:tcW w:type="dxa" w:w="1080"/>
            <w:vAlign w:val="top"/>
          </w:tcPr>
          <w:p>
            <w:pPr>
              <w:spacing w:after="20" w:line="240" w:lineRule="auto"/>
            </w:pPr>
            <w:r>
              <w:rPr>
                <w:rFonts w:ascii="Arial" w:hAnsi="Arial"/>
                <w:b w:val="0"/>
                <w:color w:val="595959"/>
                <w:sz w:val="15"/>
              </w:rPr>
              <w:t>10.24%</w:t>
            </w:r>
          </w:p>
        </w:tc>
        <w:tc>
          <w:tcPr>
            <w:tcW w:type="dxa" w:w="1152"/>
            <w:vAlign w:val="top"/>
          </w:tcPr>
          <w:p>
            <w:pPr>
              <w:spacing w:after="20" w:line="240" w:lineRule="auto"/>
            </w:pPr>
            <w:r>
              <w:rPr>
                <w:rFonts w:ascii="Arial" w:hAnsi="Arial"/>
                <w:b w:val="0"/>
                <w:color w:val="595959"/>
                <w:sz w:val="15"/>
              </w:rPr>
              <w:t>-</w:t>
            </w:r>
          </w:p>
        </w:tc>
        <w:tc>
          <w:tcPr>
            <w:tcW w:type="dxa" w:w="3096"/>
            <w:vAlign w:val="top"/>
          </w:tcPr>
          <w:p>
            <w:pPr>
              <w:spacing w:after="20" w:line="240" w:lineRule="auto"/>
            </w:pPr>
            <w:r>
              <w:rPr>
                <w:rFonts w:ascii="Arial" w:hAnsi="Arial"/>
                <w:b w:val="0"/>
                <w:color w:val="595959"/>
                <w:sz w:val="15"/>
              </w:rPr>
              <w:t>AI earnings resilience (+0.40)</w:t>
            </w:r>
          </w:p>
        </w:tc>
      </w:tr>
      <w:tr>
        <w:tc>
          <w:tcPr>
            <w:tcW w:type="dxa" w:w="2088"/>
            <w:shd w:fill="F7F9FC"/>
            <w:vAlign w:val="top"/>
          </w:tcPr>
          <w:p>
            <w:pPr>
              <w:spacing w:after="20" w:line="240" w:lineRule="auto"/>
            </w:pPr>
            <w:r>
              <w:rPr>
                <w:rFonts w:ascii="Arial" w:hAnsi="Arial"/>
                <w:b w:val="0"/>
                <w:color w:val="595959"/>
                <w:sz w:val="15"/>
              </w:rPr>
              <w:t>Reopening / Soft Landing</w:t>
            </w:r>
          </w:p>
        </w:tc>
        <w:tc>
          <w:tcPr>
            <w:tcW w:type="dxa" w:w="936"/>
            <w:shd w:fill="F7F9FC"/>
            <w:vAlign w:val="top"/>
          </w:tcPr>
          <w:p>
            <w:pPr>
              <w:spacing w:after="20" w:line="240" w:lineRule="auto"/>
            </w:pPr>
            <w:r>
              <w:rPr>
                <w:rFonts w:ascii="Arial" w:hAnsi="Arial"/>
                <w:b w:val="0"/>
                <w:color w:val="595959"/>
                <w:sz w:val="15"/>
              </w:rPr>
              <w:t>34.00%</w:t>
            </w:r>
          </w:p>
        </w:tc>
        <w:tc>
          <w:tcPr>
            <w:tcW w:type="dxa" w:w="1296"/>
            <w:shd w:fill="F7F9FC"/>
            <w:vAlign w:val="top"/>
          </w:tcPr>
          <w:p>
            <w:pPr>
              <w:spacing w:after="20" w:line="240" w:lineRule="auto"/>
            </w:pPr>
            <w:r>
              <w:rPr>
                <w:rFonts w:ascii="Arial" w:hAnsi="Arial"/>
                <w:b w:val="0"/>
                <w:color w:val="595959"/>
                <w:sz w:val="15"/>
              </w:rPr>
              <w:t>34.46%</w:t>
            </w:r>
          </w:p>
        </w:tc>
        <w:tc>
          <w:tcPr>
            <w:tcW w:type="dxa" w:w="1440"/>
            <w:shd w:fill="F7F9FC"/>
            <w:vAlign w:val="top"/>
          </w:tcPr>
          <w:p>
            <w:pPr>
              <w:spacing w:after="20" w:line="240" w:lineRule="auto"/>
            </w:pPr>
            <w:r>
              <w:rPr>
                <w:rFonts w:ascii="Arial" w:hAnsi="Arial"/>
                <w:b w:val="0"/>
                <w:color w:val="595959"/>
                <w:sz w:val="15"/>
              </w:rPr>
              <w:t>23.16%</w:t>
            </w:r>
          </w:p>
        </w:tc>
        <w:tc>
          <w:tcPr>
            <w:tcW w:type="dxa" w:w="1296"/>
            <w:shd w:fill="F7F9FC"/>
            <w:vAlign w:val="top"/>
          </w:tcPr>
          <w:p>
            <w:pPr>
              <w:spacing w:after="20" w:line="240" w:lineRule="auto"/>
            </w:pPr>
            <w:r>
              <w:rPr>
                <w:rFonts w:ascii="Arial" w:hAnsi="Arial"/>
                <w:b w:val="0"/>
                <w:color w:val="595959"/>
                <w:sz w:val="15"/>
              </w:rPr>
              <w:t>31.07%</w:t>
            </w:r>
          </w:p>
        </w:tc>
        <w:tc>
          <w:tcPr>
            <w:tcW w:type="dxa" w:w="1080"/>
            <w:shd w:fill="F7F9FC"/>
            <w:vAlign w:val="top"/>
          </w:tcPr>
          <w:p>
            <w:pPr>
              <w:spacing w:after="20" w:line="240" w:lineRule="auto"/>
            </w:pPr>
            <w:r>
              <w:rPr>
                <w:rFonts w:ascii="Arial" w:hAnsi="Arial"/>
                <w:b w:val="0"/>
                <w:color w:val="C00000"/>
                <w:sz w:val="15"/>
              </w:rPr>
              <w:t>-2.93%</w:t>
            </w:r>
          </w:p>
        </w:tc>
        <w:tc>
          <w:tcPr>
            <w:tcW w:type="dxa" w:w="1152"/>
            <w:shd w:fill="F7F9FC"/>
            <w:vAlign w:val="top"/>
          </w:tcPr>
          <w:p>
            <w:pPr>
              <w:spacing w:after="20" w:line="240" w:lineRule="auto"/>
            </w:pPr>
            <w:r>
              <w:rPr>
                <w:rFonts w:ascii="Arial" w:hAnsi="Arial"/>
                <w:b w:val="0"/>
                <w:color w:val="595959"/>
                <w:sz w:val="15"/>
              </w:rPr>
              <w:t>-</w:t>
            </w:r>
          </w:p>
        </w:tc>
        <w:tc>
          <w:tcPr>
            <w:tcW w:type="dxa" w:w="3096"/>
            <w:shd w:fill="F7F9FC"/>
            <w:vAlign w:val="top"/>
          </w:tcPr>
          <w:p>
            <w:pPr>
              <w:spacing w:after="20" w:line="240" w:lineRule="auto"/>
            </w:pPr>
            <w:r>
              <w:rPr>
                <w:rFonts w:ascii="Arial" w:hAnsi="Arial"/>
                <w:b w:val="0"/>
                <w:color w:val="595959"/>
                <w:sz w:val="15"/>
              </w:rPr>
              <w:t>Breadth and participation (-0.30)</w:t>
            </w:r>
          </w:p>
        </w:tc>
      </w:tr>
      <w:tr>
        <w:tc>
          <w:tcPr>
            <w:tcW w:type="dxa" w:w="2088"/>
            <w:vAlign w:val="top"/>
          </w:tcPr>
          <w:p>
            <w:pPr>
              <w:spacing w:after="20" w:line="240" w:lineRule="auto"/>
            </w:pPr>
            <w:r>
              <w:rPr>
                <w:rFonts w:ascii="Arial" w:hAnsi="Arial"/>
                <w:b w:val="0"/>
                <w:color w:val="595959"/>
                <w:sz w:val="15"/>
              </w:rPr>
              <w:t>Oil Inflation Tail</w:t>
            </w:r>
          </w:p>
        </w:tc>
        <w:tc>
          <w:tcPr>
            <w:tcW w:type="dxa" w:w="936"/>
            <w:vAlign w:val="top"/>
          </w:tcPr>
          <w:p>
            <w:pPr>
              <w:spacing w:after="20" w:line="240" w:lineRule="auto"/>
            </w:pPr>
            <w:r>
              <w:rPr>
                <w:rFonts w:ascii="Arial" w:hAnsi="Arial"/>
                <w:b w:val="0"/>
                <w:color w:val="595959"/>
                <w:sz w:val="15"/>
              </w:rPr>
              <w:t>20.00%</w:t>
            </w:r>
          </w:p>
        </w:tc>
        <w:tc>
          <w:tcPr>
            <w:tcW w:type="dxa" w:w="1296"/>
            <w:vAlign w:val="top"/>
          </w:tcPr>
          <w:p>
            <w:pPr>
              <w:spacing w:after="20" w:line="240" w:lineRule="auto"/>
            </w:pPr>
            <w:r>
              <w:rPr>
                <w:rFonts w:ascii="Arial" w:hAnsi="Arial"/>
                <w:b w:val="0"/>
                <w:color w:val="595959"/>
                <w:sz w:val="15"/>
              </w:rPr>
              <w:t>14.01%</w:t>
            </w:r>
          </w:p>
        </w:tc>
        <w:tc>
          <w:tcPr>
            <w:tcW w:type="dxa" w:w="1440"/>
            <w:vAlign w:val="top"/>
          </w:tcPr>
          <w:p>
            <w:pPr>
              <w:spacing w:after="20" w:line="240" w:lineRule="auto"/>
            </w:pPr>
            <w:r>
              <w:rPr>
                <w:rFonts w:ascii="Arial" w:hAnsi="Arial"/>
                <w:b w:val="0"/>
                <w:color w:val="595959"/>
                <w:sz w:val="15"/>
              </w:rPr>
              <w:t>17.39%</w:t>
            </w:r>
          </w:p>
        </w:tc>
        <w:tc>
          <w:tcPr>
            <w:tcW w:type="dxa" w:w="1296"/>
            <w:vAlign w:val="top"/>
          </w:tcPr>
          <w:p>
            <w:pPr>
              <w:spacing w:after="20" w:line="240" w:lineRule="auto"/>
            </w:pPr>
            <w:r>
              <w:rPr>
                <w:rFonts w:ascii="Arial" w:hAnsi="Arial"/>
                <w:b w:val="0"/>
                <w:color w:val="595959"/>
                <w:sz w:val="15"/>
              </w:rPr>
              <w:t>15.03%</w:t>
            </w:r>
          </w:p>
        </w:tc>
        <w:tc>
          <w:tcPr>
            <w:tcW w:type="dxa" w:w="1080"/>
            <w:vAlign w:val="top"/>
          </w:tcPr>
          <w:p>
            <w:pPr>
              <w:spacing w:after="20" w:line="240" w:lineRule="auto"/>
            </w:pPr>
            <w:r>
              <w:rPr>
                <w:rFonts w:ascii="Arial" w:hAnsi="Arial"/>
                <w:b w:val="0"/>
                <w:color w:val="C00000"/>
                <w:sz w:val="15"/>
              </w:rPr>
              <w:t>-4.97%</w:t>
            </w:r>
          </w:p>
        </w:tc>
        <w:tc>
          <w:tcPr>
            <w:tcW w:type="dxa" w:w="1152"/>
            <w:vAlign w:val="top"/>
          </w:tcPr>
          <w:p>
            <w:pPr>
              <w:spacing w:after="20" w:line="240" w:lineRule="auto"/>
            </w:pPr>
            <w:r>
              <w:rPr>
                <w:rFonts w:ascii="Arial" w:hAnsi="Arial"/>
                <w:b w:val="0"/>
                <w:color w:val="595959"/>
                <w:sz w:val="15"/>
              </w:rPr>
              <w:t>-</w:t>
            </w:r>
          </w:p>
        </w:tc>
        <w:tc>
          <w:tcPr>
            <w:tcW w:type="dxa" w:w="3096"/>
            <w:vAlign w:val="top"/>
          </w:tcPr>
          <w:p>
            <w:pPr>
              <w:spacing w:after="20" w:line="240" w:lineRule="auto"/>
            </w:pPr>
            <w:r>
              <w:rPr>
                <w:rFonts w:ascii="Arial" w:hAnsi="Arial"/>
                <w:b w:val="0"/>
                <w:color w:val="595959"/>
                <w:sz w:val="15"/>
              </w:rPr>
              <w:t>Oil shock and reopening optionality (+0.28)</w:t>
            </w:r>
          </w:p>
        </w:tc>
      </w:tr>
      <w:tr>
        <w:tc>
          <w:tcPr>
            <w:tcW w:type="dxa" w:w="2088"/>
            <w:shd w:fill="F7F9FC"/>
            <w:vAlign w:val="top"/>
          </w:tcPr>
          <w:p>
            <w:pPr>
              <w:spacing w:after="20" w:line="240" w:lineRule="auto"/>
            </w:pPr>
            <w:r>
              <w:rPr>
                <w:rFonts w:ascii="Arial" w:hAnsi="Arial"/>
                <w:b w:val="0"/>
                <w:color w:val="595959"/>
                <w:sz w:val="15"/>
              </w:rPr>
              <w:t>Late Cycle Risk-Off</w:t>
            </w:r>
          </w:p>
        </w:tc>
        <w:tc>
          <w:tcPr>
            <w:tcW w:type="dxa" w:w="936"/>
            <w:shd w:fill="F7F9FC"/>
            <w:vAlign w:val="top"/>
          </w:tcPr>
          <w:p>
            <w:pPr>
              <w:spacing w:after="20" w:line="240" w:lineRule="auto"/>
            </w:pPr>
            <w:r>
              <w:rPr>
                <w:rFonts w:ascii="Arial" w:hAnsi="Arial"/>
                <w:b w:val="0"/>
                <w:color w:val="595959"/>
                <w:sz w:val="15"/>
              </w:rPr>
              <w:t>10.00%</w:t>
            </w:r>
          </w:p>
        </w:tc>
        <w:tc>
          <w:tcPr>
            <w:tcW w:type="dxa" w:w="1296"/>
            <w:shd w:fill="F7F9FC"/>
            <w:vAlign w:val="top"/>
          </w:tcPr>
          <w:p>
            <w:pPr>
              <w:spacing w:after="20" w:line="240" w:lineRule="auto"/>
            </w:pPr>
            <w:r>
              <w:rPr>
                <w:rFonts w:ascii="Arial" w:hAnsi="Arial"/>
                <w:b w:val="0"/>
                <w:color w:val="595959"/>
                <w:sz w:val="15"/>
              </w:rPr>
              <w:t>5.00%</w:t>
            </w:r>
          </w:p>
        </w:tc>
        <w:tc>
          <w:tcPr>
            <w:tcW w:type="dxa" w:w="1440"/>
            <w:shd w:fill="F7F9FC"/>
            <w:vAlign w:val="top"/>
          </w:tcPr>
          <w:p>
            <w:pPr>
              <w:spacing w:after="20" w:line="240" w:lineRule="auto"/>
            </w:pPr>
            <w:r>
              <w:rPr>
                <w:rFonts w:ascii="Arial" w:hAnsi="Arial"/>
                <w:b w:val="0"/>
                <w:color w:val="595959"/>
                <w:sz w:val="15"/>
              </w:rPr>
              <w:t>32.25%</w:t>
            </w:r>
          </w:p>
        </w:tc>
        <w:tc>
          <w:tcPr>
            <w:tcW w:type="dxa" w:w="1296"/>
            <w:shd w:fill="F7F9FC"/>
            <w:vAlign w:val="top"/>
          </w:tcPr>
          <w:p>
            <w:pPr>
              <w:spacing w:after="20" w:line="240" w:lineRule="auto"/>
            </w:pPr>
            <w:r>
              <w:rPr>
                <w:rFonts w:ascii="Arial" w:hAnsi="Arial"/>
                <w:b w:val="0"/>
                <w:color w:val="595959"/>
                <w:sz w:val="15"/>
              </w:rPr>
              <w:t>13.17%</w:t>
            </w:r>
          </w:p>
        </w:tc>
        <w:tc>
          <w:tcPr>
            <w:tcW w:type="dxa" w:w="1080"/>
            <w:shd w:fill="F7F9FC"/>
            <w:vAlign w:val="top"/>
          </w:tcPr>
          <w:p>
            <w:pPr>
              <w:spacing w:after="20" w:line="240" w:lineRule="auto"/>
            </w:pPr>
            <w:r>
              <w:rPr>
                <w:rFonts w:ascii="Arial" w:hAnsi="Arial"/>
                <w:b w:val="0"/>
                <w:color w:val="595959"/>
                <w:sz w:val="15"/>
              </w:rPr>
              <w:t>3.17%</w:t>
            </w:r>
          </w:p>
        </w:tc>
        <w:tc>
          <w:tcPr>
            <w:tcW w:type="dxa" w:w="1152"/>
            <w:shd w:fill="F7F9FC"/>
            <w:vAlign w:val="top"/>
          </w:tcPr>
          <w:p>
            <w:pPr>
              <w:spacing w:after="20" w:line="240" w:lineRule="auto"/>
            </w:pPr>
            <w:r>
              <w:rPr>
                <w:rFonts w:ascii="Arial" w:hAnsi="Arial"/>
                <w:b w:val="0"/>
                <w:color w:val="595959"/>
                <w:sz w:val="15"/>
              </w:rPr>
              <w:t>floor 5.00%</w:t>
            </w:r>
          </w:p>
        </w:tc>
        <w:tc>
          <w:tcPr>
            <w:tcW w:type="dxa" w:w="3096"/>
            <w:shd w:fill="F7F9FC"/>
            <w:vAlign w:val="top"/>
          </w:tcPr>
          <w:p>
            <w:pPr>
              <w:spacing w:after="20" w:line="240" w:lineRule="auto"/>
            </w:pPr>
            <w:r>
              <w:rPr>
                <w:rFonts w:ascii="Arial" w:hAnsi="Arial"/>
                <w:b w:val="0"/>
                <w:color w:val="595959"/>
                <w:sz w:val="15"/>
              </w:rPr>
              <w:t>Credit layer health (-0.42)</w:t>
            </w:r>
          </w:p>
        </w:tc>
      </w:tr>
      <w:tr>
        <w:tc>
          <w:tcPr>
            <w:tcW w:type="dxa" w:w="2088"/>
            <w:vAlign w:val="top"/>
          </w:tcPr>
          <w:p>
            <w:pPr>
              <w:spacing w:after="20" w:line="240" w:lineRule="auto"/>
            </w:pPr>
            <w:r>
              <w:rPr>
                <w:rFonts w:ascii="Arial" w:hAnsi="Arial"/>
                <w:b w:val="0"/>
                <w:color w:val="595959"/>
                <w:sz w:val="15"/>
              </w:rPr>
              <w:t>AI Capex Rollover</w:t>
            </w:r>
          </w:p>
        </w:tc>
        <w:tc>
          <w:tcPr>
            <w:tcW w:type="dxa" w:w="936"/>
            <w:vAlign w:val="top"/>
          </w:tcPr>
          <w:p>
            <w:pPr>
              <w:spacing w:after="20" w:line="240" w:lineRule="auto"/>
            </w:pPr>
            <w:r>
              <w:rPr>
                <w:rFonts w:ascii="Arial" w:hAnsi="Arial"/>
                <w:b w:val="0"/>
                <w:color w:val="595959"/>
                <w:sz w:val="15"/>
              </w:rPr>
              <w:t>10.00%</w:t>
            </w:r>
          </w:p>
        </w:tc>
        <w:tc>
          <w:tcPr>
            <w:tcW w:type="dxa" w:w="1296"/>
            <w:vAlign w:val="top"/>
          </w:tcPr>
          <w:p>
            <w:pPr>
              <w:spacing w:after="20" w:line="240" w:lineRule="auto"/>
            </w:pPr>
            <w:r>
              <w:rPr>
                <w:rFonts w:ascii="Arial" w:hAnsi="Arial"/>
                <w:b w:val="0"/>
                <w:color w:val="595959"/>
                <w:sz w:val="15"/>
              </w:rPr>
              <w:t>5.00%</w:t>
            </w:r>
          </w:p>
        </w:tc>
        <w:tc>
          <w:tcPr>
            <w:tcW w:type="dxa" w:w="1440"/>
            <w:vAlign w:val="top"/>
          </w:tcPr>
          <w:p>
            <w:pPr>
              <w:spacing w:after="20" w:line="240" w:lineRule="auto"/>
            </w:pPr>
            <w:r>
              <w:rPr>
                <w:rFonts w:ascii="Arial" w:hAnsi="Arial"/>
                <w:b w:val="0"/>
                <w:color w:val="595959"/>
                <w:sz w:val="15"/>
              </w:rPr>
              <w:t>3.29%</w:t>
            </w:r>
          </w:p>
        </w:tc>
        <w:tc>
          <w:tcPr>
            <w:tcW w:type="dxa" w:w="1296"/>
            <w:vAlign w:val="top"/>
          </w:tcPr>
          <w:p>
            <w:pPr>
              <w:spacing w:after="20" w:line="240" w:lineRule="auto"/>
            </w:pPr>
            <w:r>
              <w:rPr>
                <w:rFonts w:ascii="Arial" w:hAnsi="Arial"/>
                <w:b w:val="0"/>
                <w:color w:val="595959"/>
                <w:sz w:val="15"/>
              </w:rPr>
              <w:t>4.49%</w:t>
            </w:r>
          </w:p>
        </w:tc>
        <w:tc>
          <w:tcPr>
            <w:tcW w:type="dxa" w:w="1080"/>
            <w:vAlign w:val="top"/>
          </w:tcPr>
          <w:p>
            <w:pPr>
              <w:spacing w:after="20" w:line="240" w:lineRule="auto"/>
            </w:pPr>
            <w:r>
              <w:rPr>
                <w:rFonts w:ascii="Arial" w:hAnsi="Arial"/>
                <w:b w:val="0"/>
                <w:color w:val="C00000"/>
                <w:sz w:val="15"/>
              </w:rPr>
              <w:t>-5.51%</w:t>
            </w:r>
          </w:p>
        </w:tc>
        <w:tc>
          <w:tcPr>
            <w:tcW w:type="dxa" w:w="1152"/>
            <w:vAlign w:val="top"/>
          </w:tcPr>
          <w:p>
            <w:pPr>
              <w:spacing w:after="20" w:line="240" w:lineRule="auto"/>
            </w:pPr>
            <w:r>
              <w:rPr>
                <w:rFonts w:ascii="Arial" w:hAnsi="Arial"/>
                <w:b w:val="0"/>
                <w:color w:val="595959"/>
                <w:sz w:val="15"/>
              </w:rPr>
              <w:t>floor 5.00%</w:t>
            </w:r>
          </w:p>
        </w:tc>
        <w:tc>
          <w:tcPr>
            <w:tcW w:type="dxa" w:w="3096"/>
            <w:vAlign w:val="top"/>
          </w:tcPr>
          <w:p>
            <w:pPr>
              <w:spacing w:after="20" w:line="240" w:lineRule="auto"/>
            </w:pPr>
            <w:r>
              <w:rPr>
                <w:rFonts w:ascii="Arial" w:hAnsi="Arial"/>
                <w:b w:val="0"/>
                <w:color w:val="595959"/>
                <w:sz w:val="15"/>
              </w:rPr>
              <w:t>AI earnings resilience (-0.34)</w:t>
            </w:r>
          </w:p>
        </w:tc>
      </w:tr>
    </w:tbl>
    <w:p>
      <w:pPr>
        <w:spacing w:after="120"/>
      </w:pPr>
    </w:p>
    <w:p>
      <w:pPr>
        <w:spacing w:before="320" w:after="140"/>
      </w:pPr>
      <w:r>
        <w:rPr>
          <w:rFonts w:ascii="Arial" w:hAnsi="Arial"/>
          <w:b/>
          <w:color w:val="1F4E79"/>
          <w:sz w:val="28"/>
        </w:rPr>
        <w:t>Visual Summary</w:t>
      </w:r>
    </w:p>
    <w:p>
      <w:pPr>
        <w:spacing w:after="40"/>
      </w:pPr>
      <w:r>
        <w:rPr>
          <w:rFonts w:ascii="Arial" w:hAnsi="Arial"/>
          <w:b/>
          <w:color w:val="1F4E79"/>
          <w:sz w:val="17"/>
        </w:rPr>
        <w:t>Scenario Probability Chart</w:t>
      </w:r>
    </w:p>
    <w:p>
      <w:r>
        <w:drawing>
          <wp:inline xmlns:a="http://schemas.openxmlformats.org/drawingml/2006/main" xmlns:pic="http://schemas.openxmlformats.org/drawingml/2006/picture">
            <wp:extent cx="5852160" cy="2426506"/>
            <wp:docPr id="1" name="Picture 1"/>
            <wp:cNvGraphicFramePr>
              <a:graphicFrameLocks noChangeAspect="1"/>
            </wp:cNvGraphicFramePr>
            <a:graphic>
              <a:graphicData uri="http://schemas.openxmlformats.org/drawingml/2006/picture">
                <pic:pic>
                  <pic:nvPicPr>
                    <pic:cNvPr id="0" name="scenario_probabilities.png"/>
                    <pic:cNvPicPr/>
                  </pic:nvPicPr>
                  <pic:blipFill>
                    <a:blip r:embed="rId9"/>
                    <a:stretch>
                      <a:fillRect/>
                    </a:stretch>
                  </pic:blipFill>
                  <pic:spPr>
                    <a:xfrm>
                      <a:off x="0" y="0"/>
                      <a:ext cx="5852160" cy="2426506"/>
                    </a:xfrm>
                    <a:prstGeom prst="rect"/>
                  </pic:spPr>
                </pic:pic>
              </a:graphicData>
            </a:graphic>
          </wp:inline>
        </w:drawing>
      </w:r>
    </w:p>
    <w:p>
      <w:pPr>
        <w:spacing w:after="80"/>
      </w:pPr>
    </w:p>
    <w:p>
      <w:pPr>
        <w:spacing w:after="40"/>
      </w:pPr>
      <w:r>
        <w:rPr>
          <w:rFonts w:ascii="Arial" w:hAnsi="Arial"/>
          <w:b/>
          <w:color w:val="1F4E79"/>
          <w:sz w:val="17"/>
        </w:rPr>
        <w:t>Theme Macro Support Chart</w:t>
      </w:r>
    </w:p>
    <w:p>
      <w:r>
        <w:drawing>
          <wp:inline xmlns:a="http://schemas.openxmlformats.org/drawingml/2006/main" xmlns:pic="http://schemas.openxmlformats.org/drawingml/2006/picture">
            <wp:extent cx="5852160" cy="2426506"/>
            <wp:docPr id="2" name="Picture 2"/>
            <wp:cNvGraphicFramePr>
              <a:graphicFrameLocks noChangeAspect="1"/>
            </wp:cNvGraphicFramePr>
            <a:graphic>
              <a:graphicData uri="http://schemas.openxmlformats.org/drawingml/2006/picture">
                <pic:pic>
                  <pic:nvPicPr>
                    <pic:cNvPr id="0" name="theme_macro_support.png"/>
                    <pic:cNvPicPr/>
                  </pic:nvPicPr>
                  <pic:blipFill>
                    <a:blip r:embed="rId10"/>
                    <a:stretch>
                      <a:fillRect/>
                    </a:stretch>
                  </pic:blipFill>
                  <pic:spPr>
                    <a:xfrm>
                      <a:off x="0" y="0"/>
                      <a:ext cx="5852160" cy="2426506"/>
                    </a:xfrm>
                    <a:prstGeom prst="rect"/>
                  </pic:spPr>
                </pic:pic>
              </a:graphicData>
            </a:graphic>
          </wp:inline>
        </w:drawing>
      </w:r>
    </w:p>
    <w:p>
      <w:pPr>
        <w:spacing w:after="80"/>
      </w:pPr>
    </w:p>
    <w:p>
      <w:pPr>
        <w:spacing w:after="40"/>
      </w:pPr>
      <w:r>
        <w:rPr>
          <w:rFonts w:ascii="Arial" w:hAnsi="Arial"/>
          <w:b/>
          <w:color w:val="1F4E79"/>
          <w:sz w:val="17"/>
        </w:rPr>
        <w:t>Historical Macro Return Profile Chart</w:t>
      </w:r>
    </w:p>
    <w:p>
      <w:r>
        <w:drawing>
          <wp:inline xmlns:a="http://schemas.openxmlformats.org/drawingml/2006/main" xmlns:pic="http://schemas.openxmlformats.org/drawingml/2006/picture">
            <wp:extent cx="5852160" cy="2426506"/>
            <wp:docPr id="3" name="Picture 3"/>
            <wp:cNvGraphicFramePr>
              <a:graphicFrameLocks noChangeAspect="1"/>
            </wp:cNvGraphicFramePr>
            <a:graphic>
              <a:graphicData uri="http://schemas.openxmlformats.org/drawingml/2006/picture">
                <pic:pic>
                  <pic:nvPicPr>
                    <pic:cNvPr id="0" name="historical_macro_forward_returns.png"/>
                    <pic:cNvPicPr/>
                  </pic:nvPicPr>
                  <pic:blipFill>
                    <a:blip r:embed="rId11"/>
                    <a:stretch>
                      <a:fillRect/>
                    </a:stretch>
                  </pic:blipFill>
                  <pic:spPr>
                    <a:xfrm>
                      <a:off x="0" y="0"/>
                      <a:ext cx="5852160" cy="2426506"/>
                    </a:xfrm>
                    <a:prstGeom prst="rect"/>
                  </pic:spPr>
                </pic:pic>
              </a:graphicData>
            </a:graphic>
          </wp:inline>
        </w:drawing>
      </w:r>
    </w:p>
    <w:p>
      <w:pPr>
        <w:spacing w:after="80"/>
      </w:pPr>
    </w:p>
    <w:p>
      <w:pPr>
        <w:spacing w:before="320" w:after="140"/>
      </w:pPr>
      <w:r>
        <w:rPr>
          <w:rFonts w:ascii="Arial" w:hAnsi="Arial"/>
          <w:b/>
          <w:color w:val="1F4E79"/>
          <w:sz w:val="28"/>
        </w:rPr>
        <w:t>Scenario Probability Math</w:t>
      </w:r>
    </w:p>
    <w:p>
      <w:pPr>
        <w:spacing w:before="180" w:after="80"/>
      </w:pPr>
      <w:r>
        <w:rPr>
          <w:rFonts w:ascii="Arial" w:hAnsi="Arial"/>
          <w:b/>
          <w:color w:val="2E75B6"/>
          <w:sz w:val="21"/>
        </w:rPr>
        <w:t>Sticky Late Cycle AI</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Prior</w:t>
            </w:r>
          </w:p>
        </w:tc>
        <w:tc>
          <w:tcPr>
            <w:tcW w:type="dxa" w:w="11520"/>
            <w:vAlign w:val="top"/>
          </w:tcPr>
          <w:p>
            <w:pPr>
              <w:spacing w:after="20" w:line="240" w:lineRule="auto"/>
            </w:pPr>
            <w:r>
              <w:rPr>
                <w:rFonts w:ascii="Arial" w:hAnsi="Arial"/>
                <w:b w:val="0"/>
                <w:color w:val="595959"/>
                <w:sz w:val="15"/>
              </w:rPr>
              <w:t>26.00%</w:t>
            </w:r>
          </w:p>
        </w:tc>
      </w:tr>
      <w:tr>
        <w:tc>
          <w:tcPr>
            <w:tcW w:type="dxa" w:w="2160"/>
            <w:shd w:fill="EAF2F8"/>
            <w:vAlign w:val="top"/>
          </w:tcPr>
          <w:p>
            <w:pPr>
              <w:spacing w:after="20" w:line="240" w:lineRule="auto"/>
            </w:pPr>
            <w:r>
              <w:rPr>
                <w:rFonts w:ascii="Arial" w:hAnsi="Arial"/>
                <w:b/>
                <w:color w:val="1F4E79"/>
                <w:sz w:val="15"/>
              </w:rPr>
              <w:t>Prior score/log score</w:t>
            </w:r>
          </w:p>
        </w:tc>
        <w:tc>
          <w:tcPr>
            <w:tcW w:type="dxa" w:w="11520"/>
            <w:vAlign w:val="top"/>
          </w:tcPr>
          <w:p>
            <w:pPr>
              <w:spacing w:after="20" w:line="240" w:lineRule="auto"/>
            </w:pPr>
            <w:r>
              <w:rPr>
                <w:rFonts w:ascii="Arial" w:hAnsi="Arial"/>
                <w:b w:val="0"/>
                <w:color w:val="C00000"/>
                <w:sz w:val="15"/>
              </w:rPr>
              <w:t>-1.05</w:t>
            </w:r>
          </w:p>
        </w:tc>
      </w:tr>
      <w:tr>
        <w:tc>
          <w:tcPr>
            <w:tcW w:type="dxa" w:w="2160"/>
            <w:shd w:fill="EAF2F8"/>
            <w:vAlign w:val="top"/>
          </w:tcPr>
          <w:p>
            <w:pPr>
              <w:spacing w:after="20" w:line="240" w:lineRule="auto"/>
            </w:pPr>
            <w:r>
              <w:rPr>
                <w:rFonts w:ascii="Arial" w:hAnsi="Arial"/>
                <w:b/>
                <w:color w:val="1F4E79"/>
                <w:sz w:val="15"/>
              </w:rPr>
              <w:t>Raw score before softmax</w:t>
            </w:r>
          </w:p>
        </w:tc>
        <w:tc>
          <w:tcPr>
            <w:tcW w:type="dxa" w:w="11520"/>
            <w:vAlign w:val="top"/>
          </w:tcPr>
          <w:p>
            <w:pPr>
              <w:spacing w:after="20" w:line="240" w:lineRule="auto"/>
            </w:pPr>
            <w:r>
              <w:rPr>
                <w:rFonts w:ascii="Arial" w:hAnsi="Arial"/>
                <w:b w:val="0"/>
                <w:color w:val="375623"/>
                <w:sz w:val="15"/>
              </w:rPr>
              <w:t>+0.11</w:t>
            </w:r>
          </w:p>
        </w:tc>
      </w:tr>
      <w:tr>
        <w:tc>
          <w:tcPr>
            <w:tcW w:type="dxa" w:w="2160"/>
            <w:shd w:fill="EAF2F8"/>
            <w:vAlign w:val="top"/>
          </w:tcPr>
          <w:p>
            <w:pPr>
              <w:spacing w:after="20" w:line="240" w:lineRule="auto"/>
            </w:pPr>
            <w:r>
              <w:rPr>
                <w:rFonts w:ascii="Arial" w:hAnsi="Arial"/>
                <w:b/>
                <w:color w:val="1F4E79"/>
                <w:sz w:val="15"/>
              </w:rPr>
              <w:t>Pre-floor posterior</w:t>
            </w:r>
          </w:p>
        </w:tc>
        <w:tc>
          <w:tcPr>
            <w:tcW w:type="dxa" w:w="11520"/>
            <w:vAlign w:val="top"/>
          </w:tcPr>
          <w:p>
            <w:pPr>
              <w:spacing w:after="20" w:line="240" w:lineRule="auto"/>
            </w:pPr>
            <w:r>
              <w:rPr>
                <w:rFonts w:ascii="Arial" w:hAnsi="Arial"/>
                <w:b w:val="0"/>
                <w:color w:val="595959"/>
                <w:sz w:val="15"/>
              </w:rPr>
              <w:t>43.79%</w:t>
            </w:r>
          </w:p>
        </w:tc>
      </w:tr>
      <w:tr>
        <w:tc>
          <w:tcPr>
            <w:tcW w:type="dxa" w:w="2160"/>
            <w:shd w:fill="EAF2F8"/>
            <w:vAlign w:val="top"/>
          </w:tcPr>
          <w:p>
            <w:pPr>
              <w:spacing w:after="20" w:line="240" w:lineRule="auto"/>
            </w:pPr>
            <w:r>
              <w:rPr>
                <w:rFonts w:ascii="Arial" w:hAnsi="Arial"/>
                <w:b/>
                <w:color w:val="1F4E79"/>
                <w:sz w:val="15"/>
              </w:rPr>
              <w:t>Final posterior</w:t>
            </w:r>
          </w:p>
        </w:tc>
        <w:tc>
          <w:tcPr>
            <w:tcW w:type="dxa" w:w="11520"/>
            <w:vAlign w:val="top"/>
          </w:tcPr>
          <w:p>
            <w:pPr>
              <w:spacing w:after="20" w:line="240" w:lineRule="auto"/>
            </w:pPr>
            <w:r>
              <w:rPr>
                <w:rFonts w:ascii="Arial" w:hAnsi="Arial"/>
                <w:b w:val="0"/>
                <w:color w:val="595959"/>
                <w:sz w:val="15"/>
              </w:rPr>
              <w:t>41.53%</w:t>
            </w:r>
          </w:p>
        </w:tc>
      </w:tr>
      <w:tr>
        <w:tc>
          <w:tcPr>
            <w:tcW w:type="dxa" w:w="2160"/>
            <w:shd w:fill="EAF2F8"/>
            <w:vAlign w:val="top"/>
          </w:tcPr>
          <w:p>
            <w:pPr>
              <w:spacing w:after="20" w:line="240" w:lineRule="auto"/>
            </w:pPr>
            <w:r>
              <w:rPr>
                <w:rFonts w:ascii="Arial" w:hAnsi="Arial"/>
                <w:b/>
                <w:color w:val="1F4E79"/>
                <w:sz w:val="15"/>
              </w:rPr>
              <w:t>Floor applied</w:t>
            </w:r>
          </w:p>
        </w:tc>
        <w:tc>
          <w:tcPr>
            <w:tcW w:type="dxa" w:w="11520"/>
            <w:vAlign w:val="top"/>
          </w:tcPr>
          <w:p>
            <w:pPr>
              <w:spacing w:after="20" w:line="240" w:lineRule="auto"/>
            </w:pPr>
            <w:r>
              <w:rPr>
                <w:rFonts w:ascii="Arial" w:hAnsi="Arial"/>
                <w:b w:val="0"/>
                <w:color w:val="595959"/>
                <w:sz w:val="15"/>
              </w:rPr>
              <w:t>False (5.00%)</w:t>
            </w:r>
          </w:p>
        </w:tc>
      </w:tr>
      <w:tr>
        <w:tc>
          <w:tcPr>
            <w:tcW w:type="dxa" w:w="2160"/>
            <w:shd w:fill="EAF2F8"/>
            <w:vAlign w:val="top"/>
          </w:tcPr>
          <w:p>
            <w:pPr>
              <w:spacing w:after="20" w:line="240" w:lineRule="auto"/>
            </w:pPr>
            <w:r>
              <w:rPr>
                <w:rFonts w:ascii="Arial" w:hAnsi="Arial"/>
                <w:b/>
                <w:color w:val="1F4E79"/>
                <w:sz w:val="15"/>
              </w:rPr>
              <w:t>Cap applied</w:t>
            </w:r>
          </w:p>
        </w:tc>
        <w:tc>
          <w:tcPr>
            <w:tcW w:type="dxa" w:w="11520"/>
            <w:vAlign w:val="top"/>
          </w:tcPr>
          <w:p>
            <w:pPr>
              <w:spacing w:after="20" w:line="240" w:lineRule="auto"/>
            </w:pPr>
            <w:r>
              <w:rPr>
                <w:rFonts w:ascii="Arial" w:hAnsi="Arial"/>
                <w:b w:val="0"/>
                <w:color w:val="595959"/>
                <w:sz w:val="15"/>
              </w:rPr>
              <w:t>False (n/a)</w:t>
            </w:r>
          </w:p>
        </w:tc>
      </w:tr>
    </w:tbl>
    <w:p>
      <w:pPr>
        <w:spacing w:after="120"/>
      </w:pPr>
    </w:p>
    <w:p>
      <w:pPr>
        <w:spacing w:after="40"/>
      </w:pPr>
      <w:r>
        <w:rPr>
          <w:rFonts w:ascii="Arial" w:hAnsi="Arial"/>
          <w:b/>
          <w:color w:val="1F4E79"/>
          <w:sz w:val="17"/>
        </w:rPr>
        <w:t>Contributor Breakdown</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1224"/>
            <w:shd w:fill="1F4E79"/>
            <w:vAlign w:val="top"/>
          </w:tcPr>
          <w:p>
            <w:pPr>
              <w:spacing w:after="20" w:line="240" w:lineRule="auto"/>
            </w:pPr>
            <w:r>
              <w:rPr>
                <w:rFonts w:ascii="Arial" w:hAnsi="Arial"/>
                <w:b/>
                <w:color w:val="FFFFFF"/>
                <w:sz w:val="15"/>
              </w:rPr>
              <w:t>Type</w:t>
            </w:r>
          </w:p>
        </w:tc>
        <w:tc>
          <w:tcPr>
            <w:tcW w:type="dxa" w:w="2088"/>
            <w:shd w:fill="1F4E79"/>
            <w:vAlign w:val="top"/>
          </w:tcPr>
          <w:p>
            <w:pPr>
              <w:spacing w:after="20" w:line="240" w:lineRule="auto"/>
            </w:pPr>
            <w:r>
              <w:rPr>
                <w:rFonts w:ascii="Arial" w:hAnsi="Arial"/>
                <w:b/>
                <w:color w:val="FFFFFF"/>
                <w:sz w:val="15"/>
              </w:rPr>
              <w:t>Input</w:t>
            </w:r>
          </w:p>
        </w:tc>
        <w:tc>
          <w:tcPr>
            <w:tcW w:type="dxa" w:w="1152"/>
            <w:shd w:fill="1F4E79"/>
            <w:vAlign w:val="top"/>
          </w:tcPr>
          <w:p>
            <w:pPr>
              <w:spacing w:after="20" w:line="240" w:lineRule="auto"/>
            </w:pPr>
            <w:r>
              <w:rPr>
                <w:rFonts w:ascii="Arial" w:hAnsi="Arial"/>
                <w:b/>
                <w:color w:val="FFFFFF"/>
                <w:sz w:val="15"/>
              </w:rPr>
              <w:t>Parent</w:t>
            </w:r>
          </w:p>
        </w:tc>
        <w:tc>
          <w:tcPr>
            <w:tcW w:type="dxa" w:w="1008"/>
            <w:shd w:fill="1F4E79"/>
            <w:vAlign w:val="top"/>
          </w:tcPr>
          <w:p>
            <w:pPr>
              <w:spacing w:after="20" w:line="240" w:lineRule="auto"/>
            </w:pPr>
            <w:r>
              <w:rPr>
                <w:rFonts w:ascii="Arial" w:hAnsi="Arial"/>
                <w:b/>
                <w:color w:val="FFFFFF"/>
                <w:sz w:val="15"/>
              </w:rPr>
              <w:t>Contribution</w:t>
            </w:r>
          </w:p>
        </w:tc>
        <w:tc>
          <w:tcPr>
            <w:tcW w:type="dxa" w:w="8208"/>
            <w:shd w:fill="1F4E79"/>
            <w:vAlign w:val="top"/>
          </w:tcPr>
          <w:p>
            <w:pPr>
              <w:spacing w:after="20" w:line="240" w:lineRule="auto"/>
            </w:pPr>
            <w:r>
              <w:rPr>
                <w:rFonts w:ascii="Arial" w:hAnsi="Arial"/>
                <w:b/>
                <w:color w:val="FFFFFF"/>
                <w:sz w:val="15"/>
              </w:rPr>
              <w:t>Short Rationale</w:t>
            </w:r>
          </w:p>
        </w:tc>
      </w:tr>
      <w:tr>
        <w:tc>
          <w:tcPr>
            <w:tcW w:type="dxa" w:w="1224"/>
            <w:vAlign w:val="top"/>
          </w:tcPr>
          <w:p>
            <w:pPr>
              <w:spacing w:after="20" w:line="240" w:lineRule="auto"/>
            </w:pPr>
            <w:r>
              <w:rPr>
                <w:rFonts w:ascii="Arial" w:hAnsi="Arial"/>
                <w:b w:val="0"/>
                <w:color w:val="595959"/>
                <w:sz w:val="15"/>
              </w:rPr>
              <w:t>Regime Driver</w:t>
            </w:r>
          </w:p>
        </w:tc>
        <w:tc>
          <w:tcPr>
            <w:tcW w:type="dxa" w:w="2088"/>
            <w:vAlign w:val="top"/>
          </w:tcPr>
          <w:p>
            <w:pPr>
              <w:spacing w:after="20" w:line="240" w:lineRule="auto"/>
            </w:pPr>
            <w:r>
              <w:rPr>
                <w:rFonts w:ascii="Arial" w:hAnsi="Arial"/>
                <w:b w:val="0"/>
                <w:color w:val="595959"/>
                <w:sz w:val="15"/>
              </w:rPr>
              <w:t>AI earnings resilience</w:t>
            </w:r>
          </w:p>
        </w:tc>
        <w:tc>
          <w:tcPr>
            <w:tcW w:type="dxa" w:w="1152"/>
            <w:vAlign w:val="top"/>
          </w:tcPr>
          <w:p>
            <w:pPr>
              <w:spacing w:after="20" w:line="240" w:lineRule="auto"/>
            </w:pPr>
            <w:r>
              <w:rPr>
                <w:rFonts w:ascii="Arial" w:hAnsi="Arial"/>
                <w:b w:val="0"/>
                <w:color w:val="595959"/>
                <w:sz w:val="15"/>
              </w:rPr>
              <w:t>earnings</w:t>
            </w:r>
          </w:p>
        </w:tc>
        <w:tc>
          <w:tcPr>
            <w:tcW w:type="dxa" w:w="1008"/>
            <w:vAlign w:val="top"/>
          </w:tcPr>
          <w:p>
            <w:pPr>
              <w:spacing w:after="20" w:line="240" w:lineRule="auto"/>
            </w:pPr>
            <w:r>
              <w:rPr>
                <w:rFonts w:ascii="Arial" w:hAnsi="Arial"/>
                <w:b w:val="0"/>
                <w:color w:val="375623"/>
                <w:sz w:val="15"/>
              </w:rPr>
              <w:t>+0.40</w:t>
            </w:r>
          </w:p>
        </w:tc>
        <w:tc>
          <w:tcPr>
            <w:tcW w:type="dxa" w:w="8208"/>
            <w:vAlign w:val="top"/>
          </w:tcPr>
          <w:p>
            <w:pPr>
              <w:spacing w:after="20" w:line="240" w:lineRule="auto"/>
            </w:pPr>
            <w:r>
              <w:rPr>
                <w:rFonts w:ascii="Arial" w:hAnsi="Arial"/>
                <w:b w:val="0"/>
                <w:color w:val="595959"/>
                <w:sz w:val="15"/>
              </w:rPr>
              <w:t>AI earnings resilience supports narrow leadership.</w:t>
            </w:r>
          </w:p>
        </w:tc>
      </w:tr>
      <w:tr>
        <w:tc>
          <w:tcPr>
            <w:tcW w:type="dxa" w:w="1224"/>
            <w:shd w:fill="F7F9FC"/>
            <w:vAlign w:val="top"/>
          </w:tcPr>
          <w:p>
            <w:pPr>
              <w:spacing w:after="20" w:line="240" w:lineRule="auto"/>
            </w:pPr>
            <w:r>
              <w:rPr>
                <w:rFonts w:ascii="Arial" w:hAnsi="Arial"/>
                <w:b w:val="0"/>
                <w:color w:val="595959"/>
                <w:sz w:val="15"/>
              </w:rPr>
              <w:t>Layer</w:t>
            </w:r>
          </w:p>
        </w:tc>
        <w:tc>
          <w:tcPr>
            <w:tcW w:type="dxa" w:w="2088"/>
            <w:shd w:fill="F7F9FC"/>
            <w:vAlign w:val="top"/>
          </w:tcPr>
          <w:p>
            <w:pPr>
              <w:spacing w:after="20" w:line="240" w:lineRule="auto"/>
            </w:pPr>
            <w:r>
              <w:rPr>
                <w:rFonts w:ascii="Arial" w:hAnsi="Arial"/>
                <w:b w:val="0"/>
                <w:color w:val="595959"/>
                <w:sz w:val="15"/>
              </w:rPr>
              <w:t>Breadth and participation</w:t>
            </w:r>
          </w:p>
        </w:tc>
        <w:tc>
          <w:tcPr>
            <w:tcW w:type="dxa" w:w="1152"/>
            <w:shd w:fill="F7F9FC"/>
            <w:vAlign w:val="top"/>
          </w:tcPr>
          <w:p>
            <w:pPr>
              <w:spacing w:after="20" w:line="240" w:lineRule="auto"/>
            </w:pPr>
            <w:r>
              <w:rPr>
                <w:rFonts w:ascii="Arial" w:hAnsi="Arial"/>
                <w:b w:val="0"/>
                <w:color w:val="595959"/>
                <w:sz w:val="15"/>
              </w:rPr>
              <w:t>breadth</w:t>
            </w:r>
          </w:p>
        </w:tc>
        <w:tc>
          <w:tcPr>
            <w:tcW w:type="dxa" w:w="1008"/>
            <w:shd w:fill="F7F9FC"/>
            <w:vAlign w:val="top"/>
          </w:tcPr>
          <w:p>
            <w:pPr>
              <w:spacing w:after="20" w:line="240" w:lineRule="auto"/>
            </w:pPr>
            <w:r>
              <w:rPr>
                <w:rFonts w:ascii="Arial" w:hAnsi="Arial"/>
                <w:b w:val="0"/>
                <w:color w:val="375623"/>
                <w:sz w:val="15"/>
              </w:rPr>
              <w:t>+0.32</w:t>
            </w:r>
          </w:p>
        </w:tc>
        <w:tc>
          <w:tcPr>
            <w:tcW w:type="dxa" w:w="8208"/>
            <w:shd w:fill="F7F9FC"/>
            <w:vAlign w:val="top"/>
          </w:tcPr>
          <w:p>
            <w:pPr>
              <w:spacing w:after="20" w:line="240" w:lineRule="auto"/>
            </w:pPr>
            <w:r>
              <w:rPr>
                <w:rFonts w:ascii="Arial" w:hAnsi="Arial"/>
                <w:b w:val="0"/>
                <w:color w:val="595959"/>
                <w:sz w:val="15"/>
              </w:rPr>
              <w:t>Weak breadth favors narrow leadership persistence.</w:t>
            </w:r>
          </w:p>
        </w:tc>
      </w:tr>
      <w:tr>
        <w:tc>
          <w:tcPr>
            <w:tcW w:type="dxa" w:w="1224"/>
            <w:vAlign w:val="top"/>
          </w:tcPr>
          <w:p>
            <w:pPr>
              <w:spacing w:after="20" w:line="240" w:lineRule="auto"/>
            </w:pPr>
            <w:r>
              <w:rPr>
                <w:rFonts w:ascii="Arial" w:hAnsi="Arial"/>
                <w:b w:val="0"/>
                <w:color w:val="595959"/>
                <w:sz w:val="15"/>
              </w:rPr>
              <w:t>Composite</w:t>
            </w:r>
          </w:p>
        </w:tc>
        <w:tc>
          <w:tcPr>
            <w:tcW w:type="dxa" w:w="2088"/>
            <w:vAlign w:val="top"/>
          </w:tcPr>
          <w:p>
            <w:pPr>
              <w:spacing w:after="20" w:line="240" w:lineRule="auto"/>
            </w:pPr>
            <w:r>
              <w:rPr>
                <w:rFonts w:ascii="Arial" w:hAnsi="Arial"/>
                <w:b w:val="0"/>
                <w:color w:val="595959"/>
                <w:sz w:val="15"/>
              </w:rPr>
              <w:t>Monetary policy composite</w:t>
            </w:r>
          </w:p>
        </w:tc>
        <w:tc>
          <w:tcPr>
            <w:tcW w:type="dxa" w:w="1152"/>
            <w:vAlign w:val="top"/>
          </w:tcPr>
          <w:p>
            <w:pPr>
              <w:spacing w:after="20" w:line="240" w:lineRule="auto"/>
            </w:pPr>
            <w:r>
              <w:rPr>
                <w:rFonts w:ascii="Arial" w:hAnsi="Arial"/>
                <w:b w:val="0"/>
                <w:color w:val="595959"/>
                <w:sz w:val="15"/>
              </w:rPr>
              <w:t>monetary</w:t>
            </w:r>
          </w:p>
        </w:tc>
        <w:tc>
          <w:tcPr>
            <w:tcW w:type="dxa" w:w="1008"/>
            <w:vAlign w:val="top"/>
          </w:tcPr>
          <w:p>
            <w:pPr>
              <w:spacing w:after="20" w:line="240" w:lineRule="auto"/>
            </w:pPr>
            <w:r>
              <w:rPr>
                <w:rFonts w:ascii="Arial" w:hAnsi="Arial"/>
                <w:b w:val="0"/>
                <w:color w:val="375623"/>
                <w:sz w:val="15"/>
              </w:rPr>
              <w:t>+0.16</w:t>
            </w:r>
          </w:p>
        </w:tc>
        <w:tc>
          <w:tcPr>
            <w:tcW w:type="dxa" w:w="8208"/>
            <w:vAlign w:val="top"/>
          </w:tcPr>
          <w:p>
            <w:pPr>
              <w:spacing w:after="20" w:line="240" w:lineRule="auto"/>
            </w:pPr>
            <w:r>
              <w:rPr>
                <w:rFonts w:ascii="Arial" w:hAnsi="Arial"/>
                <w:b w:val="0"/>
                <w:color w:val="595959"/>
                <w:sz w:val="15"/>
              </w:rPr>
              <w:t>Fed hold/hike pricing offsets softer monetary-layer signals.</w:t>
            </w:r>
          </w:p>
        </w:tc>
      </w:tr>
      <w:tr>
        <w:tc>
          <w:tcPr>
            <w:tcW w:type="dxa" w:w="1224"/>
            <w:shd w:fill="F7F9FC"/>
            <w:vAlign w:val="top"/>
          </w:tcPr>
          <w:p>
            <w:pPr>
              <w:spacing w:after="20" w:line="240" w:lineRule="auto"/>
            </w:pPr>
            <w:r>
              <w:rPr>
                <w:rFonts w:ascii="Arial" w:hAnsi="Arial"/>
                <w:b w:val="0"/>
                <w:color w:val="595959"/>
                <w:sz w:val="15"/>
              </w:rPr>
              <w:t>Layer</w:t>
            </w:r>
          </w:p>
        </w:tc>
        <w:tc>
          <w:tcPr>
            <w:tcW w:type="dxa" w:w="2088"/>
            <w:shd w:fill="F7F9FC"/>
            <w:vAlign w:val="top"/>
          </w:tcPr>
          <w:p>
            <w:pPr>
              <w:spacing w:after="20" w:line="240" w:lineRule="auto"/>
            </w:pPr>
            <w:r>
              <w:rPr>
                <w:rFonts w:ascii="Arial" w:hAnsi="Arial"/>
                <w:b w:val="0"/>
                <w:color w:val="595959"/>
                <w:sz w:val="15"/>
              </w:rPr>
              <w:t>Credit layer health</w:t>
            </w:r>
          </w:p>
        </w:tc>
        <w:tc>
          <w:tcPr>
            <w:tcW w:type="dxa" w:w="1152"/>
            <w:shd w:fill="F7F9FC"/>
            <w:vAlign w:val="top"/>
          </w:tcPr>
          <w:p>
            <w:pPr>
              <w:spacing w:after="20" w:line="240" w:lineRule="auto"/>
            </w:pPr>
            <w:r>
              <w:rPr>
                <w:rFonts w:ascii="Arial" w:hAnsi="Arial"/>
                <w:b w:val="0"/>
                <w:color w:val="595959"/>
                <w:sz w:val="15"/>
              </w:rPr>
              <w:t>credit</w:t>
            </w:r>
          </w:p>
        </w:tc>
        <w:tc>
          <w:tcPr>
            <w:tcW w:type="dxa" w:w="1008"/>
            <w:shd w:fill="F7F9FC"/>
            <w:vAlign w:val="top"/>
          </w:tcPr>
          <w:p>
            <w:pPr>
              <w:spacing w:after="20" w:line="240" w:lineRule="auto"/>
            </w:pPr>
            <w:r>
              <w:rPr>
                <w:rFonts w:ascii="Arial" w:hAnsi="Arial"/>
                <w:b w:val="0"/>
                <w:color w:val="375623"/>
                <w:sz w:val="15"/>
              </w:rPr>
              <w:t>+0.15</w:t>
            </w:r>
          </w:p>
        </w:tc>
        <w:tc>
          <w:tcPr>
            <w:tcW w:type="dxa" w:w="8208"/>
            <w:shd w:fill="F7F9FC"/>
            <w:vAlign w:val="top"/>
          </w:tcPr>
          <w:p>
            <w:pPr>
              <w:spacing w:after="20" w:line="240" w:lineRule="auto"/>
            </w:pPr>
            <w:r>
              <w:rPr>
                <w:rFonts w:ascii="Arial" w:hAnsi="Arial"/>
                <w:b w:val="0"/>
                <w:color w:val="595959"/>
                <w:sz w:val="15"/>
              </w:rPr>
              <w:t>Contained spreads allow narrow leadership to persist.</w:t>
            </w:r>
          </w:p>
        </w:tc>
      </w:tr>
      <w:tr>
        <w:tc>
          <w:tcPr>
            <w:tcW w:type="dxa" w:w="1224"/>
            <w:vAlign w:val="top"/>
          </w:tcPr>
          <w:p>
            <w:pPr>
              <w:spacing w:after="20" w:line="240" w:lineRule="auto"/>
            </w:pPr>
            <w:r>
              <w:rPr>
                <w:rFonts w:ascii="Arial" w:hAnsi="Arial"/>
                <w:b w:val="0"/>
                <w:color w:val="595959"/>
                <w:sz w:val="15"/>
              </w:rPr>
              <w:t>Falsifier</w:t>
            </w:r>
          </w:p>
        </w:tc>
        <w:tc>
          <w:tcPr>
            <w:tcW w:type="dxa" w:w="2088"/>
            <w:vAlign w:val="top"/>
          </w:tcPr>
          <w:p>
            <w:pPr>
              <w:spacing w:after="20" w:line="240" w:lineRule="auto"/>
            </w:pPr>
            <w:r>
              <w:rPr>
                <w:rFonts w:ascii="Arial" w:hAnsi="Arial"/>
                <w:b w:val="0"/>
                <w:color w:val="595959"/>
                <w:sz w:val="15"/>
              </w:rPr>
              <w:t>Hyperscaler capex rollover falsifier</w:t>
            </w:r>
          </w:p>
        </w:tc>
        <w:tc>
          <w:tcPr>
            <w:tcW w:type="dxa" w:w="1152"/>
            <w:vAlign w:val="top"/>
          </w:tcPr>
          <w:p>
            <w:pPr>
              <w:spacing w:after="20" w:line="240" w:lineRule="auto"/>
            </w:pPr>
            <w:r>
              <w:rPr>
                <w:rFonts w:ascii="Arial" w:hAnsi="Arial"/>
                <w:b w:val="0"/>
                <w:color w:val="595959"/>
                <w:sz w:val="15"/>
              </w:rPr>
              <w:t>earnings</w:t>
            </w:r>
          </w:p>
        </w:tc>
        <w:tc>
          <w:tcPr>
            <w:tcW w:type="dxa" w:w="1008"/>
            <w:vAlign w:val="top"/>
          </w:tcPr>
          <w:p>
            <w:pPr>
              <w:spacing w:after="20" w:line="240" w:lineRule="auto"/>
            </w:pPr>
            <w:r>
              <w:rPr>
                <w:rFonts w:ascii="Arial" w:hAnsi="Arial"/>
                <w:b w:val="0"/>
                <w:color w:val="375623"/>
                <w:sz w:val="15"/>
              </w:rPr>
              <w:t>+0.11</w:t>
            </w:r>
          </w:p>
        </w:tc>
        <w:tc>
          <w:tcPr>
            <w:tcW w:type="dxa" w:w="8208"/>
            <w:vAlign w:val="top"/>
          </w:tcPr>
          <w:p>
            <w:pPr>
              <w:spacing w:after="20" w:line="240" w:lineRule="auto"/>
            </w:pPr>
            <w:r>
              <w:rPr>
                <w:rFonts w:ascii="Arial" w:hAnsi="Arial"/>
                <w:b w:val="0"/>
                <w:color w:val="595959"/>
                <w:sz w:val="15"/>
              </w:rPr>
              <w:t>Untriggered capex falsifier supports AI leadership persistence.</w:t>
            </w:r>
          </w:p>
        </w:tc>
      </w:tr>
      <w:tr>
        <w:tc>
          <w:tcPr>
            <w:tcW w:type="dxa" w:w="1224"/>
            <w:shd w:fill="F7F9FC"/>
            <w:vAlign w:val="top"/>
          </w:tcPr>
          <w:p>
            <w:pPr>
              <w:spacing w:after="20" w:line="240" w:lineRule="auto"/>
            </w:pPr>
            <w:r>
              <w:rPr>
                <w:rFonts w:ascii="Arial" w:hAnsi="Arial"/>
                <w:b w:val="0"/>
                <w:color w:val="595959"/>
                <w:sz w:val="15"/>
              </w:rPr>
              <w:t>Layer</w:t>
            </w:r>
          </w:p>
        </w:tc>
        <w:tc>
          <w:tcPr>
            <w:tcW w:type="dxa" w:w="2088"/>
            <w:shd w:fill="F7F9FC"/>
            <w:vAlign w:val="top"/>
          </w:tcPr>
          <w:p>
            <w:pPr>
              <w:spacing w:after="20" w:line="240" w:lineRule="auto"/>
            </w:pPr>
            <w:r>
              <w:rPr>
                <w:rFonts w:ascii="Arial" w:hAnsi="Arial"/>
                <w:b w:val="0"/>
                <w:color w:val="595959"/>
                <w:sz w:val="15"/>
              </w:rPr>
              <w:t>Volatility layer summary</w:t>
            </w:r>
          </w:p>
        </w:tc>
        <w:tc>
          <w:tcPr>
            <w:tcW w:type="dxa" w:w="1152"/>
            <w:shd w:fill="F7F9FC"/>
            <w:vAlign w:val="top"/>
          </w:tcPr>
          <w:p>
            <w:pPr>
              <w:spacing w:after="20" w:line="240" w:lineRule="auto"/>
            </w:pPr>
            <w:r>
              <w:rPr>
                <w:rFonts w:ascii="Arial" w:hAnsi="Arial"/>
                <w:b w:val="0"/>
                <w:color w:val="595959"/>
                <w:sz w:val="15"/>
              </w:rPr>
              <w:t>volatility</w:t>
            </w:r>
          </w:p>
        </w:tc>
        <w:tc>
          <w:tcPr>
            <w:tcW w:type="dxa" w:w="1008"/>
            <w:shd w:fill="F7F9FC"/>
            <w:vAlign w:val="top"/>
          </w:tcPr>
          <w:p>
            <w:pPr>
              <w:spacing w:after="20" w:line="240" w:lineRule="auto"/>
            </w:pPr>
            <w:r>
              <w:rPr>
                <w:rFonts w:ascii="Arial" w:hAnsi="Arial"/>
                <w:b w:val="0"/>
                <w:color w:val="375623"/>
                <w:sz w:val="15"/>
              </w:rPr>
              <w:t>+0.06</w:t>
            </w:r>
          </w:p>
        </w:tc>
        <w:tc>
          <w:tcPr>
            <w:tcW w:type="dxa" w:w="8208"/>
            <w:shd w:fill="F7F9FC"/>
            <w:vAlign w:val="top"/>
          </w:tcPr>
          <w:p>
            <w:pPr>
              <w:spacing w:after="20" w:line="240" w:lineRule="auto"/>
            </w:pPr>
            <w:r>
              <w:rPr>
                <w:rFonts w:ascii="Arial" w:hAnsi="Arial"/>
                <w:b w:val="0"/>
                <w:color w:val="595959"/>
                <w:sz w:val="15"/>
              </w:rPr>
              <w:t>Calm volatility allows leadership trends to persist.</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Pct Above 200D</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C00000"/>
                <w:sz w:val="15"/>
              </w:rPr>
              <w:t>-0.04</w:t>
            </w:r>
          </w:p>
        </w:tc>
        <w:tc>
          <w:tcPr>
            <w:tcW w:type="dxa" w:w="8208"/>
            <w:vAlign w:val="top"/>
          </w:tcPr>
          <w:p>
            <w:pPr>
              <w:spacing w:after="20" w:line="240" w:lineRule="auto"/>
            </w:pPr>
            <w:r>
              <w:rPr>
                <w:rFonts w:ascii="Arial" w:hAnsi="Arial"/>
                <w:b w:val="0"/>
                <w:color w:val="595959"/>
                <w:sz w:val="15"/>
              </w:rPr>
              <w:t>pct_above_200d reduces narrow-leadership dependence.</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Sectors Green</w:t>
            </w:r>
          </w:p>
        </w:tc>
        <w:tc>
          <w:tcPr>
            <w:tcW w:type="dxa" w:w="1152"/>
            <w:shd w:fill="F7F9FC"/>
            <w:vAlign w:val="top"/>
          </w:tcPr>
          <w:p>
            <w:pPr>
              <w:spacing w:after="20" w:line="240" w:lineRule="auto"/>
            </w:pPr>
            <w:r>
              <w:rPr>
                <w:rFonts w:ascii="Arial" w:hAnsi="Arial"/>
                <w:b w:val="0"/>
                <w:color w:val="595959"/>
                <w:sz w:val="15"/>
              </w:rPr>
              <w:t>breadth</w:t>
            </w:r>
          </w:p>
        </w:tc>
        <w:tc>
          <w:tcPr>
            <w:tcW w:type="dxa" w:w="1008"/>
            <w:shd w:fill="F7F9FC"/>
            <w:vAlign w:val="top"/>
          </w:tcPr>
          <w:p>
            <w:pPr>
              <w:spacing w:after="20" w:line="240" w:lineRule="auto"/>
            </w:pPr>
            <w:r>
              <w:rPr>
                <w:rFonts w:ascii="Arial" w:hAnsi="Arial"/>
                <w:b w:val="0"/>
                <w:color w:val="C00000"/>
                <w:sz w:val="15"/>
              </w:rPr>
              <w:t>-0.04</w:t>
            </w:r>
          </w:p>
        </w:tc>
        <w:tc>
          <w:tcPr>
            <w:tcW w:type="dxa" w:w="8208"/>
            <w:shd w:fill="F7F9FC"/>
            <w:vAlign w:val="top"/>
          </w:tcPr>
          <w:p>
            <w:pPr>
              <w:spacing w:after="20" w:line="240" w:lineRule="auto"/>
            </w:pPr>
            <w:r>
              <w:rPr>
                <w:rFonts w:ascii="Arial" w:hAnsi="Arial"/>
                <w:b w:val="0"/>
                <w:color w:val="595959"/>
                <w:sz w:val="15"/>
              </w:rPr>
              <w:t>sectors_green reduces narrow-leadership dependence.</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Hy Spread Level</w:t>
            </w:r>
          </w:p>
        </w:tc>
        <w:tc>
          <w:tcPr>
            <w:tcW w:type="dxa" w:w="1152"/>
            <w:vAlign w:val="top"/>
          </w:tcPr>
          <w:p>
            <w:pPr>
              <w:spacing w:after="20" w:line="240" w:lineRule="auto"/>
            </w:pPr>
            <w:r>
              <w:rPr>
                <w:rFonts w:ascii="Arial" w:hAnsi="Arial"/>
                <w:b w:val="0"/>
                <w:color w:val="595959"/>
                <w:sz w:val="15"/>
              </w:rPr>
              <w:t>credit</w:t>
            </w:r>
          </w:p>
        </w:tc>
        <w:tc>
          <w:tcPr>
            <w:tcW w:type="dxa" w:w="1008"/>
            <w:vAlign w:val="top"/>
          </w:tcPr>
          <w:p>
            <w:pPr>
              <w:spacing w:after="20" w:line="240" w:lineRule="auto"/>
            </w:pPr>
            <w:r>
              <w:rPr>
                <w:rFonts w:ascii="Arial" w:hAnsi="Arial"/>
                <w:b w:val="0"/>
                <w:color w:val="375623"/>
                <w:sz w:val="15"/>
              </w:rPr>
              <w:t>+0.03</w:t>
            </w:r>
          </w:p>
        </w:tc>
        <w:tc>
          <w:tcPr>
            <w:tcW w:type="dxa" w:w="8208"/>
            <w:vAlign w:val="top"/>
          </w:tcPr>
          <w:p>
            <w:pPr>
              <w:spacing w:after="20" w:line="240" w:lineRule="auto"/>
            </w:pPr>
            <w:r>
              <w:rPr>
                <w:rFonts w:ascii="Arial" w:hAnsi="Arial"/>
                <w:b w:val="0"/>
                <w:color w:val="595959"/>
                <w:sz w:val="15"/>
              </w:rPr>
              <w:t>Contained spreads allow leadership to persist.</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NFCI inverted</w:t>
            </w:r>
          </w:p>
        </w:tc>
        <w:tc>
          <w:tcPr>
            <w:tcW w:type="dxa" w:w="1152"/>
            <w:shd w:fill="F7F9FC"/>
            <w:vAlign w:val="top"/>
          </w:tcPr>
          <w:p>
            <w:pPr>
              <w:spacing w:after="20" w:line="240" w:lineRule="auto"/>
            </w:pPr>
            <w:r>
              <w:rPr>
                <w:rFonts w:ascii="Arial" w:hAnsi="Arial"/>
                <w:b w:val="0"/>
                <w:color w:val="595959"/>
                <w:sz w:val="15"/>
              </w:rPr>
              <w:t>monetary</w:t>
            </w:r>
          </w:p>
        </w:tc>
        <w:tc>
          <w:tcPr>
            <w:tcW w:type="dxa" w:w="1008"/>
            <w:shd w:fill="F7F9FC"/>
            <w:vAlign w:val="top"/>
          </w:tcPr>
          <w:p>
            <w:pPr>
              <w:spacing w:after="20" w:line="240" w:lineRule="auto"/>
            </w:pPr>
            <w:r>
              <w:rPr>
                <w:rFonts w:ascii="Arial" w:hAnsi="Arial"/>
                <w:b w:val="0"/>
                <w:color w:val="C00000"/>
                <w:sz w:val="15"/>
              </w:rPr>
              <w:t>-0.02</w:t>
            </w:r>
          </w:p>
        </w:tc>
        <w:tc>
          <w:tcPr>
            <w:tcW w:type="dxa" w:w="8208"/>
            <w:shd w:fill="F7F9FC"/>
            <w:vAlign w:val="top"/>
          </w:tcPr>
          <w:p>
            <w:pPr>
              <w:spacing w:after="20" w:line="240" w:lineRule="auto"/>
            </w:pPr>
            <w:r>
              <w:rPr>
                <w:rFonts w:ascii="Arial" w:hAnsi="Arial"/>
                <w:b w:val="0"/>
                <w:color w:val="595959"/>
                <w:sz w:val="15"/>
              </w:rPr>
              <w:t>Easing conditions can reduce narrow-leadership dependence.</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RSP minus SPY participation proxy</w:t>
            </w:r>
          </w:p>
        </w:tc>
        <w:tc>
          <w:tcPr>
            <w:tcW w:type="dxa" w:w="1152"/>
            <w:vAlign w:val="top"/>
          </w:tcPr>
          <w:p>
            <w:pPr>
              <w:spacing w:after="20" w:line="240" w:lineRule="auto"/>
            </w:pPr>
            <w:r>
              <w:rPr>
                <w:rFonts w:ascii="Arial" w:hAnsi="Arial"/>
                <w:b w:val="0"/>
                <w:color w:val="595959"/>
                <w:sz w:val="15"/>
              </w:rPr>
              <w:t>market_state</w:t>
            </w:r>
          </w:p>
        </w:tc>
        <w:tc>
          <w:tcPr>
            <w:tcW w:type="dxa" w:w="1008"/>
            <w:vAlign w:val="top"/>
          </w:tcPr>
          <w:p>
            <w:pPr>
              <w:spacing w:after="20" w:line="240" w:lineRule="auto"/>
            </w:pPr>
            <w:r>
              <w:rPr>
                <w:rFonts w:ascii="Arial" w:hAnsi="Arial"/>
                <w:b w:val="0"/>
                <w:color w:val="375623"/>
                <w:sz w:val="15"/>
              </w:rPr>
              <w:t>+0.01</w:t>
            </w:r>
          </w:p>
        </w:tc>
        <w:tc>
          <w:tcPr>
            <w:tcW w:type="dxa" w:w="8208"/>
            <w:vAlign w:val="top"/>
          </w:tcPr>
          <w:p>
            <w:pPr>
              <w:spacing w:after="20" w:line="240" w:lineRule="auto"/>
            </w:pPr>
            <w:r>
              <w:rPr>
                <w:rFonts w:ascii="Arial" w:hAnsi="Arial"/>
                <w:b w:val="0"/>
                <w:color w:val="595959"/>
                <w:sz w:val="15"/>
              </w:rPr>
              <w:t>RSP underperformance confirms narrow leadership.</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QQQ minus SPY growth leadership</w:t>
            </w:r>
          </w:p>
        </w:tc>
        <w:tc>
          <w:tcPr>
            <w:tcW w:type="dxa" w:w="1152"/>
            <w:shd w:fill="F7F9FC"/>
            <w:vAlign w:val="top"/>
          </w:tcPr>
          <w:p>
            <w:pPr>
              <w:spacing w:after="20" w:line="240" w:lineRule="auto"/>
            </w:pPr>
            <w:r>
              <w:rPr>
                <w:rFonts w:ascii="Arial" w:hAnsi="Arial"/>
                <w:b w:val="0"/>
                <w:color w:val="595959"/>
                <w:sz w:val="15"/>
              </w:rPr>
              <w:t>market_state</w:t>
            </w:r>
          </w:p>
        </w:tc>
        <w:tc>
          <w:tcPr>
            <w:tcW w:type="dxa" w:w="1008"/>
            <w:shd w:fill="F7F9FC"/>
            <w:vAlign w:val="top"/>
          </w:tcPr>
          <w:p>
            <w:pPr>
              <w:spacing w:after="20" w:line="240" w:lineRule="auto"/>
            </w:pPr>
            <w:r>
              <w:rPr>
                <w:rFonts w:ascii="Arial" w:hAnsi="Arial"/>
                <w:b w:val="0"/>
                <w:color w:val="375623"/>
                <w:sz w:val="15"/>
              </w:rPr>
              <w:t>+0.00</w:t>
            </w:r>
          </w:p>
        </w:tc>
        <w:tc>
          <w:tcPr>
            <w:tcW w:type="dxa" w:w="8208"/>
            <w:shd w:fill="F7F9FC"/>
            <w:vAlign w:val="top"/>
          </w:tcPr>
          <w:p>
            <w:pPr>
              <w:spacing w:after="20" w:line="240" w:lineRule="auto"/>
            </w:pPr>
            <w:r>
              <w:rPr>
                <w:rFonts w:ascii="Arial" w:hAnsi="Arial"/>
                <w:b w:val="0"/>
                <w:color w:val="595959"/>
                <w:sz w:val="15"/>
              </w:rPr>
              <w:t>QQQ outperformance supports growth/AI leadership.</w:t>
            </w:r>
          </w:p>
        </w:tc>
      </w:tr>
    </w:tbl>
    <w:p>
      <w:pPr>
        <w:spacing w:after="120"/>
      </w:pPr>
    </w:p>
    <w:p>
      <w:pPr>
        <w:spacing w:before="180" w:after="80"/>
      </w:pPr>
      <w:r>
        <w:rPr>
          <w:rFonts w:ascii="Arial" w:hAnsi="Arial"/>
          <w:b/>
          <w:color w:val="2E75B6"/>
          <w:sz w:val="21"/>
        </w:rPr>
        <w:t>Reopening / Soft Landing</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Prior</w:t>
            </w:r>
          </w:p>
        </w:tc>
        <w:tc>
          <w:tcPr>
            <w:tcW w:type="dxa" w:w="11520"/>
            <w:vAlign w:val="top"/>
          </w:tcPr>
          <w:p>
            <w:pPr>
              <w:spacing w:after="20" w:line="240" w:lineRule="auto"/>
            </w:pPr>
            <w:r>
              <w:rPr>
                <w:rFonts w:ascii="Arial" w:hAnsi="Arial"/>
                <w:b w:val="0"/>
                <w:color w:val="595959"/>
                <w:sz w:val="15"/>
              </w:rPr>
              <w:t>34.00%</w:t>
            </w:r>
          </w:p>
        </w:tc>
      </w:tr>
      <w:tr>
        <w:tc>
          <w:tcPr>
            <w:tcW w:type="dxa" w:w="2160"/>
            <w:shd w:fill="EAF2F8"/>
            <w:vAlign w:val="top"/>
          </w:tcPr>
          <w:p>
            <w:pPr>
              <w:spacing w:after="20" w:line="240" w:lineRule="auto"/>
            </w:pPr>
            <w:r>
              <w:rPr>
                <w:rFonts w:ascii="Arial" w:hAnsi="Arial"/>
                <w:b/>
                <w:color w:val="1F4E79"/>
                <w:sz w:val="15"/>
              </w:rPr>
              <w:t>Prior score/log score</w:t>
            </w:r>
          </w:p>
        </w:tc>
        <w:tc>
          <w:tcPr>
            <w:tcW w:type="dxa" w:w="11520"/>
            <w:vAlign w:val="top"/>
          </w:tcPr>
          <w:p>
            <w:pPr>
              <w:spacing w:after="20" w:line="240" w:lineRule="auto"/>
            </w:pPr>
            <w:r>
              <w:rPr>
                <w:rFonts w:ascii="Arial" w:hAnsi="Arial"/>
                <w:b w:val="0"/>
                <w:color w:val="C00000"/>
                <w:sz w:val="15"/>
              </w:rPr>
              <w:t>-0.66</w:t>
            </w:r>
          </w:p>
        </w:tc>
      </w:tr>
      <w:tr>
        <w:tc>
          <w:tcPr>
            <w:tcW w:type="dxa" w:w="2160"/>
            <w:shd w:fill="EAF2F8"/>
            <w:vAlign w:val="top"/>
          </w:tcPr>
          <w:p>
            <w:pPr>
              <w:spacing w:after="20" w:line="240" w:lineRule="auto"/>
            </w:pPr>
            <w:r>
              <w:rPr>
                <w:rFonts w:ascii="Arial" w:hAnsi="Arial"/>
                <w:b/>
                <w:color w:val="1F4E79"/>
                <w:sz w:val="15"/>
              </w:rPr>
              <w:t>Raw score before softmax</w:t>
            </w:r>
          </w:p>
        </w:tc>
        <w:tc>
          <w:tcPr>
            <w:tcW w:type="dxa" w:w="11520"/>
            <w:vAlign w:val="top"/>
          </w:tcPr>
          <w:p>
            <w:pPr>
              <w:spacing w:after="20" w:line="240" w:lineRule="auto"/>
            </w:pPr>
            <w:r>
              <w:rPr>
                <w:rFonts w:ascii="Arial" w:hAnsi="Arial"/>
                <w:b w:val="0"/>
                <w:color w:val="C00000"/>
                <w:sz w:val="15"/>
              </w:rPr>
              <w:t>-0.08</w:t>
            </w:r>
          </w:p>
        </w:tc>
      </w:tr>
      <w:tr>
        <w:tc>
          <w:tcPr>
            <w:tcW w:type="dxa" w:w="2160"/>
            <w:shd w:fill="EAF2F8"/>
            <w:vAlign w:val="top"/>
          </w:tcPr>
          <w:p>
            <w:pPr>
              <w:spacing w:after="20" w:line="240" w:lineRule="auto"/>
            </w:pPr>
            <w:r>
              <w:rPr>
                <w:rFonts w:ascii="Arial" w:hAnsi="Arial"/>
                <w:b/>
                <w:color w:val="1F4E79"/>
                <w:sz w:val="15"/>
              </w:rPr>
              <w:t>Pre-floor posterior</w:t>
            </w:r>
          </w:p>
        </w:tc>
        <w:tc>
          <w:tcPr>
            <w:tcW w:type="dxa" w:w="11520"/>
            <w:vAlign w:val="top"/>
          </w:tcPr>
          <w:p>
            <w:pPr>
              <w:spacing w:after="20" w:line="240" w:lineRule="auto"/>
            </w:pPr>
            <w:r>
              <w:rPr>
                <w:rFonts w:ascii="Arial" w:hAnsi="Arial"/>
                <w:b w:val="0"/>
                <w:color w:val="595959"/>
                <w:sz w:val="15"/>
              </w:rPr>
              <w:t>36.34%</w:t>
            </w:r>
          </w:p>
        </w:tc>
      </w:tr>
      <w:tr>
        <w:tc>
          <w:tcPr>
            <w:tcW w:type="dxa" w:w="2160"/>
            <w:shd w:fill="EAF2F8"/>
            <w:vAlign w:val="top"/>
          </w:tcPr>
          <w:p>
            <w:pPr>
              <w:spacing w:after="20" w:line="240" w:lineRule="auto"/>
            </w:pPr>
            <w:r>
              <w:rPr>
                <w:rFonts w:ascii="Arial" w:hAnsi="Arial"/>
                <w:b/>
                <w:color w:val="1F4E79"/>
                <w:sz w:val="15"/>
              </w:rPr>
              <w:t>Final posterior</w:t>
            </w:r>
          </w:p>
        </w:tc>
        <w:tc>
          <w:tcPr>
            <w:tcW w:type="dxa" w:w="11520"/>
            <w:vAlign w:val="top"/>
          </w:tcPr>
          <w:p>
            <w:pPr>
              <w:spacing w:after="20" w:line="240" w:lineRule="auto"/>
            </w:pPr>
            <w:r>
              <w:rPr>
                <w:rFonts w:ascii="Arial" w:hAnsi="Arial"/>
                <w:b w:val="0"/>
                <w:color w:val="595959"/>
                <w:sz w:val="15"/>
              </w:rPr>
              <w:t>34.46%</w:t>
            </w:r>
          </w:p>
        </w:tc>
      </w:tr>
      <w:tr>
        <w:tc>
          <w:tcPr>
            <w:tcW w:type="dxa" w:w="2160"/>
            <w:shd w:fill="EAF2F8"/>
            <w:vAlign w:val="top"/>
          </w:tcPr>
          <w:p>
            <w:pPr>
              <w:spacing w:after="20" w:line="240" w:lineRule="auto"/>
            </w:pPr>
            <w:r>
              <w:rPr>
                <w:rFonts w:ascii="Arial" w:hAnsi="Arial"/>
                <w:b/>
                <w:color w:val="1F4E79"/>
                <w:sz w:val="15"/>
              </w:rPr>
              <w:t>Floor applied</w:t>
            </w:r>
          </w:p>
        </w:tc>
        <w:tc>
          <w:tcPr>
            <w:tcW w:type="dxa" w:w="11520"/>
            <w:vAlign w:val="top"/>
          </w:tcPr>
          <w:p>
            <w:pPr>
              <w:spacing w:after="20" w:line="240" w:lineRule="auto"/>
            </w:pPr>
            <w:r>
              <w:rPr>
                <w:rFonts w:ascii="Arial" w:hAnsi="Arial"/>
                <w:b w:val="0"/>
                <w:color w:val="595959"/>
                <w:sz w:val="15"/>
              </w:rPr>
              <w:t>False (5.00%)</w:t>
            </w:r>
          </w:p>
        </w:tc>
      </w:tr>
      <w:tr>
        <w:tc>
          <w:tcPr>
            <w:tcW w:type="dxa" w:w="2160"/>
            <w:shd w:fill="EAF2F8"/>
            <w:vAlign w:val="top"/>
          </w:tcPr>
          <w:p>
            <w:pPr>
              <w:spacing w:after="20" w:line="240" w:lineRule="auto"/>
            </w:pPr>
            <w:r>
              <w:rPr>
                <w:rFonts w:ascii="Arial" w:hAnsi="Arial"/>
                <w:b/>
                <w:color w:val="1F4E79"/>
                <w:sz w:val="15"/>
              </w:rPr>
              <w:t>Cap applied</w:t>
            </w:r>
          </w:p>
        </w:tc>
        <w:tc>
          <w:tcPr>
            <w:tcW w:type="dxa" w:w="11520"/>
            <w:vAlign w:val="top"/>
          </w:tcPr>
          <w:p>
            <w:pPr>
              <w:spacing w:after="20" w:line="240" w:lineRule="auto"/>
            </w:pPr>
            <w:r>
              <w:rPr>
                <w:rFonts w:ascii="Arial" w:hAnsi="Arial"/>
                <w:b w:val="0"/>
                <w:color w:val="595959"/>
                <w:sz w:val="15"/>
              </w:rPr>
              <w:t>False (n/a)</w:t>
            </w:r>
          </w:p>
        </w:tc>
      </w:tr>
    </w:tbl>
    <w:p>
      <w:pPr>
        <w:spacing w:after="120"/>
      </w:pPr>
    </w:p>
    <w:p>
      <w:pPr>
        <w:spacing w:after="40"/>
      </w:pPr>
      <w:r>
        <w:rPr>
          <w:rFonts w:ascii="Arial" w:hAnsi="Arial"/>
          <w:b/>
          <w:color w:val="1F4E79"/>
          <w:sz w:val="17"/>
        </w:rPr>
        <w:t>Contributor Breakdown</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1224"/>
            <w:shd w:fill="1F4E79"/>
            <w:vAlign w:val="top"/>
          </w:tcPr>
          <w:p>
            <w:pPr>
              <w:spacing w:after="20" w:line="240" w:lineRule="auto"/>
            </w:pPr>
            <w:r>
              <w:rPr>
                <w:rFonts w:ascii="Arial" w:hAnsi="Arial"/>
                <w:b/>
                <w:color w:val="FFFFFF"/>
                <w:sz w:val="15"/>
              </w:rPr>
              <w:t>Type</w:t>
            </w:r>
          </w:p>
        </w:tc>
        <w:tc>
          <w:tcPr>
            <w:tcW w:type="dxa" w:w="2088"/>
            <w:shd w:fill="1F4E79"/>
            <w:vAlign w:val="top"/>
          </w:tcPr>
          <w:p>
            <w:pPr>
              <w:spacing w:after="20" w:line="240" w:lineRule="auto"/>
            </w:pPr>
            <w:r>
              <w:rPr>
                <w:rFonts w:ascii="Arial" w:hAnsi="Arial"/>
                <w:b/>
                <w:color w:val="FFFFFF"/>
                <w:sz w:val="15"/>
              </w:rPr>
              <w:t>Input</w:t>
            </w:r>
          </w:p>
        </w:tc>
        <w:tc>
          <w:tcPr>
            <w:tcW w:type="dxa" w:w="1152"/>
            <w:shd w:fill="1F4E79"/>
            <w:vAlign w:val="top"/>
          </w:tcPr>
          <w:p>
            <w:pPr>
              <w:spacing w:after="20" w:line="240" w:lineRule="auto"/>
            </w:pPr>
            <w:r>
              <w:rPr>
                <w:rFonts w:ascii="Arial" w:hAnsi="Arial"/>
                <w:b/>
                <w:color w:val="FFFFFF"/>
                <w:sz w:val="15"/>
              </w:rPr>
              <w:t>Parent</w:t>
            </w:r>
          </w:p>
        </w:tc>
        <w:tc>
          <w:tcPr>
            <w:tcW w:type="dxa" w:w="1008"/>
            <w:shd w:fill="1F4E79"/>
            <w:vAlign w:val="top"/>
          </w:tcPr>
          <w:p>
            <w:pPr>
              <w:spacing w:after="20" w:line="240" w:lineRule="auto"/>
            </w:pPr>
            <w:r>
              <w:rPr>
                <w:rFonts w:ascii="Arial" w:hAnsi="Arial"/>
                <w:b/>
                <w:color w:val="FFFFFF"/>
                <w:sz w:val="15"/>
              </w:rPr>
              <w:t>Contribution</w:t>
            </w:r>
          </w:p>
        </w:tc>
        <w:tc>
          <w:tcPr>
            <w:tcW w:type="dxa" w:w="8208"/>
            <w:shd w:fill="1F4E79"/>
            <w:vAlign w:val="top"/>
          </w:tcPr>
          <w:p>
            <w:pPr>
              <w:spacing w:after="20" w:line="240" w:lineRule="auto"/>
            </w:pPr>
            <w:r>
              <w:rPr>
                <w:rFonts w:ascii="Arial" w:hAnsi="Arial"/>
                <w:b/>
                <w:color w:val="FFFFFF"/>
                <w:sz w:val="15"/>
              </w:rPr>
              <w:t>Short Rationale</w:t>
            </w:r>
          </w:p>
        </w:tc>
      </w:tr>
      <w:tr>
        <w:tc>
          <w:tcPr>
            <w:tcW w:type="dxa" w:w="1224"/>
            <w:vAlign w:val="top"/>
          </w:tcPr>
          <w:p>
            <w:pPr>
              <w:spacing w:after="20" w:line="240" w:lineRule="auto"/>
            </w:pPr>
            <w:r>
              <w:rPr>
                <w:rFonts w:ascii="Arial" w:hAnsi="Arial"/>
                <w:b w:val="0"/>
                <w:color w:val="595959"/>
                <w:sz w:val="15"/>
              </w:rPr>
              <w:t>Layer</w:t>
            </w:r>
          </w:p>
        </w:tc>
        <w:tc>
          <w:tcPr>
            <w:tcW w:type="dxa" w:w="2088"/>
            <w:vAlign w:val="top"/>
          </w:tcPr>
          <w:p>
            <w:pPr>
              <w:spacing w:after="20" w:line="240" w:lineRule="auto"/>
            </w:pPr>
            <w:r>
              <w:rPr>
                <w:rFonts w:ascii="Arial" w:hAnsi="Arial"/>
                <w:b w:val="0"/>
                <w:color w:val="595959"/>
                <w:sz w:val="15"/>
              </w:rPr>
              <w:t>Breadth and participation</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C00000"/>
                <w:sz w:val="15"/>
              </w:rPr>
              <w:t>-0.30</w:t>
            </w:r>
          </w:p>
        </w:tc>
        <w:tc>
          <w:tcPr>
            <w:tcW w:type="dxa" w:w="8208"/>
            <w:vAlign w:val="top"/>
          </w:tcPr>
          <w:p>
            <w:pPr>
              <w:spacing w:after="20" w:line="240" w:lineRule="auto"/>
            </w:pPr>
            <w:r>
              <w:rPr>
                <w:rFonts w:ascii="Arial" w:hAnsi="Arial"/>
                <w:b w:val="0"/>
                <w:color w:val="595959"/>
                <w:sz w:val="15"/>
              </w:rPr>
              <w:t>Soft landing broadening needs participation.</w:t>
            </w:r>
          </w:p>
        </w:tc>
      </w:tr>
      <w:tr>
        <w:tc>
          <w:tcPr>
            <w:tcW w:type="dxa" w:w="1224"/>
            <w:shd w:fill="F7F9FC"/>
            <w:vAlign w:val="top"/>
          </w:tcPr>
          <w:p>
            <w:pPr>
              <w:spacing w:after="20" w:line="240" w:lineRule="auto"/>
            </w:pPr>
            <w:r>
              <w:rPr>
                <w:rFonts w:ascii="Arial" w:hAnsi="Arial"/>
                <w:b w:val="0"/>
                <w:color w:val="595959"/>
                <w:sz w:val="15"/>
              </w:rPr>
              <w:t>Layer</w:t>
            </w:r>
          </w:p>
        </w:tc>
        <w:tc>
          <w:tcPr>
            <w:tcW w:type="dxa" w:w="2088"/>
            <w:shd w:fill="F7F9FC"/>
            <w:vAlign w:val="top"/>
          </w:tcPr>
          <w:p>
            <w:pPr>
              <w:spacing w:after="20" w:line="240" w:lineRule="auto"/>
            </w:pPr>
            <w:r>
              <w:rPr>
                <w:rFonts w:ascii="Arial" w:hAnsi="Arial"/>
                <w:b w:val="0"/>
                <w:color w:val="595959"/>
                <w:sz w:val="15"/>
              </w:rPr>
              <w:t>Credit layer health</w:t>
            </w:r>
          </w:p>
        </w:tc>
        <w:tc>
          <w:tcPr>
            <w:tcW w:type="dxa" w:w="1152"/>
            <w:shd w:fill="F7F9FC"/>
            <w:vAlign w:val="top"/>
          </w:tcPr>
          <w:p>
            <w:pPr>
              <w:spacing w:after="20" w:line="240" w:lineRule="auto"/>
            </w:pPr>
            <w:r>
              <w:rPr>
                <w:rFonts w:ascii="Arial" w:hAnsi="Arial"/>
                <w:b w:val="0"/>
                <w:color w:val="595959"/>
                <w:sz w:val="15"/>
              </w:rPr>
              <w:t>credit</w:t>
            </w:r>
          </w:p>
        </w:tc>
        <w:tc>
          <w:tcPr>
            <w:tcW w:type="dxa" w:w="1008"/>
            <w:shd w:fill="F7F9FC"/>
            <w:vAlign w:val="top"/>
          </w:tcPr>
          <w:p>
            <w:pPr>
              <w:spacing w:after="20" w:line="240" w:lineRule="auto"/>
            </w:pPr>
            <w:r>
              <w:rPr>
                <w:rFonts w:ascii="Arial" w:hAnsi="Arial"/>
                <w:b w:val="0"/>
                <w:color w:val="375623"/>
                <w:sz w:val="15"/>
              </w:rPr>
              <w:t>+0.24</w:t>
            </w:r>
          </w:p>
        </w:tc>
        <w:tc>
          <w:tcPr>
            <w:tcW w:type="dxa" w:w="8208"/>
            <w:shd w:fill="F7F9FC"/>
            <w:vAlign w:val="top"/>
          </w:tcPr>
          <w:p>
            <w:pPr>
              <w:spacing w:after="20" w:line="240" w:lineRule="auto"/>
            </w:pPr>
            <w:r>
              <w:rPr>
                <w:rFonts w:ascii="Arial" w:hAnsi="Arial"/>
                <w:b w:val="0"/>
                <w:color w:val="595959"/>
                <w:sz w:val="15"/>
              </w:rPr>
              <w:t>Tight credit supports soft-landing broadening.</w:t>
            </w:r>
          </w:p>
        </w:tc>
      </w:tr>
      <w:tr>
        <w:tc>
          <w:tcPr>
            <w:tcW w:type="dxa" w:w="1224"/>
            <w:vAlign w:val="top"/>
          </w:tcPr>
          <w:p>
            <w:pPr>
              <w:spacing w:after="20" w:line="240" w:lineRule="auto"/>
            </w:pPr>
            <w:r>
              <w:rPr>
                <w:rFonts w:ascii="Arial" w:hAnsi="Arial"/>
                <w:b w:val="0"/>
                <w:color w:val="595959"/>
                <w:sz w:val="15"/>
              </w:rPr>
              <w:t>Regime Driver</w:t>
            </w:r>
          </w:p>
        </w:tc>
        <w:tc>
          <w:tcPr>
            <w:tcW w:type="dxa" w:w="2088"/>
            <w:vAlign w:val="top"/>
          </w:tcPr>
          <w:p>
            <w:pPr>
              <w:spacing w:after="20" w:line="240" w:lineRule="auto"/>
            </w:pPr>
            <w:r>
              <w:rPr>
                <w:rFonts w:ascii="Arial" w:hAnsi="Arial"/>
                <w:b w:val="0"/>
                <w:color w:val="595959"/>
                <w:sz w:val="15"/>
              </w:rPr>
              <w:t>Oil shock and reopening optionality</w:t>
            </w:r>
          </w:p>
        </w:tc>
        <w:tc>
          <w:tcPr>
            <w:tcW w:type="dxa" w:w="1152"/>
            <w:vAlign w:val="top"/>
          </w:tcPr>
          <w:p>
            <w:pPr>
              <w:spacing w:after="20" w:line="240" w:lineRule="auto"/>
            </w:pPr>
            <w:r>
              <w:rPr>
                <w:rFonts w:ascii="Arial" w:hAnsi="Arial"/>
                <w:b w:val="0"/>
                <w:color w:val="595959"/>
                <w:sz w:val="15"/>
              </w:rPr>
              <w:t>commodities</w:t>
            </w:r>
          </w:p>
        </w:tc>
        <w:tc>
          <w:tcPr>
            <w:tcW w:type="dxa" w:w="1008"/>
            <w:vAlign w:val="top"/>
          </w:tcPr>
          <w:p>
            <w:pPr>
              <w:spacing w:after="20" w:line="240" w:lineRule="auto"/>
            </w:pPr>
            <w:r>
              <w:rPr>
                <w:rFonts w:ascii="Arial" w:hAnsi="Arial"/>
                <w:b w:val="0"/>
                <w:color w:val="375623"/>
                <w:sz w:val="15"/>
              </w:rPr>
              <w:t>+0.22</w:t>
            </w:r>
          </w:p>
        </w:tc>
        <w:tc>
          <w:tcPr>
            <w:tcW w:type="dxa" w:w="8208"/>
            <w:vAlign w:val="top"/>
          </w:tcPr>
          <w:p>
            <w:pPr>
              <w:spacing w:after="20" w:line="240" w:lineRule="auto"/>
            </w:pPr>
            <w:r>
              <w:rPr>
                <w:rFonts w:ascii="Arial" w:hAnsi="Arial"/>
                <w:b w:val="0"/>
                <w:color w:val="595959"/>
                <w:sz w:val="15"/>
              </w:rPr>
              <w:t>Reopening optionality supports soft-landing relief.</w:t>
            </w:r>
          </w:p>
        </w:tc>
      </w:tr>
      <w:tr>
        <w:tc>
          <w:tcPr>
            <w:tcW w:type="dxa" w:w="1224"/>
            <w:shd w:fill="F7F9FC"/>
            <w:vAlign w:val="top"/>
          </w:tcPr>
          <w:p>
            <w:pPr>
              <w:spacing w:after="20" w:line="240" w:lineRule="auto"/>
            </w:pPr>
            <w:r>
              <w:rPr>
                <w:rFonts w:ascii="Arial" w:hAnsi="Arial"/>
                <w:b w:val="0"/>
                <w:color w:val="595959"/>
                <w:sz w:val="15"/>
              </w:rPr>
              <w:t>Composite</w:t>
            </w:r>
          </w:p>
        </w:tc>
        <w:tc>
          <w:tcPr>
            <w:tcW w:type="dxa" w:w="2088"/>
            <w:shd w:fill="F7F9FC"/>
            <w:vAlign w:val="top"/>
          </w:tcPr>
          <w:p>
            <w:pPr>
              <w:spacing w:after="20" w:line="240" w:lineRule="auto"/>
            </w:pPr>
            <w:r>
              <w:rPr>
                <w:rFonts w:ascii="Arial" w:hAnsi="Arial"/>
                <w:b w:val="0"/>
                <w:color w:val="595959"/>
                <w:sz w:val="15"/>
              </w:rPr>
              <w:t>Monetary policy composite</w:t>
            </w:r>
          </w:p>
        </w:tc>
        <w:tc>
          <w:tcPr>
            <w:tcW w:type="dxa" w:w="1152"/>
            <w:shd w:fill="F7F9FC"/>
            <w:vAlign w:val="top"/>
          </w:tcPr>
          <w:p>
            <w:pPr>
              <w:spacing w:after="20" w:line="240" w:lineRule="auto"/>
            </w:pPr>
            <w:r>
              <w:rPr>
                <w:rFonts w:ascii="Arial" w:hAnsi="Arial"/>
                <w:b w:val="0"/>
                <w:color w:val="595959"/>
                <w:sz w:val="15"/>
              </w:rPr>
              <w:t>monetary</w:t>
            </w:r>
          </w:p>
        </w:tc>
        <w:tc>
          <w:tcPr>
            <w:tcW w:type="dxa" w:w="1008"/>
            <w:shd w:fill="F7F9FC"/>
            <w:vAlign w:val="top"/>
          </w:tcPr>
          <w:p>
            <w:pPr>
              <w:spacing w:after="20" w:line="240" w:lineRule="auto"/>
            </w:pPr>
            <w:r>
              <w:rPr>
                <w:rFonts w:ascii="Arial" w:hAnsi="Arial"/>
                <w:b w:val="0"/>
                <w:color w:val="C00000"/>
                <w:sz w:val="15"/>
              </w:rPr>
              <w:t>-0.16</w:t>
            </w:r>
          </w:p>
        </w:tc>
        <w:tc>
          <w:tcPr>
            <w:tcW w:type="dxa" w:w="8208"/>
            <w:shd w:fill="F7F9FC"/>
            <w:vAlign w:val="top"/>
          </w:tcPr>
          <w:p>
            <w:pPr>
              <w:spacing w:after="20" w:line="240" w:lineRule="auto"/>
            </w:pPr>
            <w:r>
              <w:rPr>
                <w:rFonts w:ascii="Arial" w:hAnsi="Arial"/>
                <w:b w:val="0"/>
                <w:color w:val="595959"/>
                <w:sz w:val="15"/>
              </w:rPr>
              <w:t>Policy is not easy enough to fully endorse broadening.</w:t>
            </w:r>
          </w:p>
        </w:tc>
      </w:tr>
      <w:tr>
        <w:tc>
          <w:tcPr>
            <w:tcW w:type="dxa" w:w="1224"/>
            <w:vAlign w:val="top"/>
          </w:tcPr>
          <w:p>
            <w:pPr>
              <w:spacing w:after="20" w:line="240" w:lineRule="auto"/>
            </w:pPr>
            <w:r>
              <w:rPr>
                <w:rFonts w:ascii="Arial" w:hAnsi="Arial"/>
                <w:b w:val="0"/>
                <w:color w:val="595959"/>
                <w:sz w:val="15"/>
              </w:rPr>
              <w:t>Layer</w:t>
            </w:r>
          </w:p>
        </w:tc>
        <w:tc>
          <w:tcPr>
            <w:tcW w:type="dxa" w:w="2088"/>
            <w:vAlign w:val="top"/>
          </w:tcPr>
          <w:p>
            <w:pPr>
              <w:spacing w:after="20" w:line="240" w:lineRule="auto"/>
            </w:pPr>
            <w:r>
              <w:rPr>
                <w:rFonts w:ascii="Arial" w:hAnsi="Arial"/>
                <w:b w:val="0"/>
                <w:color w:val="595959"/>
                <w:sz w:val="15"/>
              </w:rPr>
              <w:t>Volatility layer summary</w:t>
            </w:r>
          </w:p>
        </w:tc>
        <w:tc>
          <w:tcPr>
            <w:tcW w:type="dxa" w:w="1152"/>
            <w:vAlign w:val="top"/>
          </w:tcPr>
          <w:p>
            <w:pPr>
              <w:spacing w:after="20" w:line="240" w:lineRule="auto"/>
            </w:pPr>
            <w:r>
              <w:rPr>
                <w:rFonts w:ascii="Arial" w:hAnsi="Arial"/>
                <w:b w:val="0"/>
                <w:color w:val="595959"/>
                <w:sz w:val="15"/>
              </w:rPr>
              <w:t>volatility</w:t>
            </w:r>
          </w:p>
        </w:tc>
        <w:tc>
          <w:tcPr>
            <w:tcW w:type="dxa" w:w="1008"/>
            <w:vAlign w:val="top"/>
          </w:tcPr>
          <w:p>
            <w:pPr>
              <w:spacing w:after="20" w:line="240" w:lineRule="auto"/>
            </w:pPr>
            <w:r>
              <w:rPr>
                <w:rFonts w:ascii="Arial" w:hAnsi="Arial"/>
                <w:b w:val="0"/>
                <w:color w:val="375623"/>
                <w:sz w:val="15"/>
              </w:rPr>
              <w:t>+0.12</w:t>
            </w:r>
          </w:p>
        </w:tc>
        <w:tc>
          <w:tcPr>
            <w:tcW w:type="dxa" w:w="8208"/>
            <w:vAlign w:val="top"/>
          </w:tcPr>
          <w:p>
            <w:pPr>
              <w:spacing w:after="20" w:line="240" w:lineRule="auto"/>
            </w:pPr>
            <w:r>
              <w:rPr>
                <w:rFonts w:ascii="Arial" w:hAnsi="Arial"/>
                <w:b w:val="0"/>
                <w:color w:val="595959"/>
                <w:sz w:val="15"/>
              </w:rPr>
              <w:t>Orderly volatility supports soft-landing broadening.</w:t>
            </w:r>
          </w:p>
        </w:tc>
      </w:tr>
      <w:tr>
        <w:tc>
          <w:tcPr>
            <w:tcW w:type="dxa" w:w="1224"/>
            <w:shd w:fill="F7F9FC"/>
            <w:vAlign w:val="top"/>
          </w:tcPr>
          <w:p>
            <w:pPr>
              <w:spacing w:after="20" w:line="240" w:lineRule="auto"/>
            </w:pPr>
            <w:r>
              <w:rPr>
                <w:rFonts w:ascii="Arial" w:hAnsi="Arial"/>
                <w:b w:val="0"/>
                <w:color w:val="595959"/>
                <w:sz w:val="15"/>
              </w:rPr>
              <w:t>Layer</w:t>
            </w:r>
          </w:p>
        </w:tc>
        <w:tc>
          <w:tcPr>
            <w:tcW w:type="dxa" w:w="2088"/>
            <w:shd w:fill="F7F9FC"/>
            <w:vAlign w:val="top"/>
          </w:tcPr>
          <w:p>
            <w:pPr>
              <w:spacing w:after="20" w:line="240" w:lineRule="auto"/>
            </w:pPr>
            <w:r>
              <w:rPr>
                <w:rFonts w:ascii="Arial" w:hAnsi="Arial"/>
                <w:b w:val="0"/>
                <w:color w:val="595959"/>
                <w:sz w:val="15"/>
              </w:rPr>
              <w:t>Positioning and hedging</w:t>
            </w:r>
          </w:p>
        </w:tc>
        <w:tc>
          <w:tcPr>
            <w:tcW w:type="dxa" w:w="1152"/>
            <w:shd w:fill="F7F9FC"/>
            <w:vAlign w:val="top"/>
          </w:tcPr>
          <w:p>
            <w:pPr>
              <w:spacing w:after="20" w:line="240" w:lineRule="auto"/>
            </w:pPr>
            <w:r>
              <w:rPr>
                <w:rFonts w:ascii="Arial" w:hAnsi="Arial"/>
                <w:b w:val="0"/>
                <w:color w:val="595959"/>
                <w:sz w:val="15"/>
              </w:rPr>
              <w:t>positioning</w:t>
            </w:r>
          </w:p>
        </w:tc>
        <w:tc>
          <w:tcPr>
            <w:tcW w:type="dxa" w:w="1008"/>
            <w:shd w:fill="F7F9FC"/>
            <w:vAlign w:val="top"/>
          </w:tcPr>
          <w:p>
            <w:pPr>
              <w:spacing w:after="20" w:line="240" w:lineRule="auto"/>
            </w:pPr>
            <w:r>
              <w:rPr>
                <w:rFonts w:ascii="Arial" w:hAnsi="Arial"/>
                <w:b w:val="0"/>
                <w:color w:val="375623"/>
                <w:sz w:val="15"/>
              </w:rPr>
              <w:t>+0.12</w:t>
            </w:r>
          </w:p>
        </w:tc>
        <w:tc>
          <w:tcPr>
            <w:tcW w:type="dxa" w:w="8208"/>
            <w:shd w:fill="F7F9FC"/>
            <w:vAlign w:val="top"/>
          </w:tcPr>
          <w:p>
            <w:pPr>
              <w:spacing w:after="20" w:line="240" w:lineRule="auto"/>
            </w:pPr>
            <w:r>
              <w:rPr>
                <w:rFonts w:ascii="Arial" w:hAnsi="Arial"/>
                <w:b w:val="0"/>
                <w:color w:val="595959"/>
                <w:sz w:val="15"/>
              </w:rPr>
              <w:t>Fearful positioning can create contrarian support.</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Pct Above 200D</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375623"/>
                <w:sz w:val="15"/>
              </w:rPr>
              <w:t>+0.07</w:t>
            </w:r>
          </w:p>
        </w:tc>
        <w:tc>
          <w:tcPr>
            <w:tcW w:type="dxa" w:w="8208"/>
            <w:vAlign w:val="top"/>
          </w:tcPr>
          <w:p>
            <w:pPr>
              <w:spacing w:after="20" w:line="240" w:lineRule="auto"/>
            </w:pPr>
            <w:r>
              <w:rPr>
                <w:rFonts w:ascii="Arial" w:hAnsi="Arial"/>
                <w:b w:val="0"/>
                <w:color w:val="595959"/>
                <w:sz w:val="15"/>
              </w:rPr>
              <w:t>pct_above_200d supports broad participation.</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Sectors Green</w:t>
            </w:r>
          </w:p>
        </w:tc>
        <w:tc>
          <w:tcPr>
            <w:tcW w:type="dxa" w:w="1152"/>
            <w:shd w:fill="F7F9FC"/>
            <w:vAlign w:val="top"/>
          </w:tcPr>
          <w:p>
            <w:pPr>
              <w:spacing w:after="20" w:line="240" w:lineRule="auto"/>
            </w:pPr>
            <w:r>
              <w:rPr>
                <w:rFonts w:ascii="Arial" w:hAnsi="Arial"/>
                <w:b w:val="0"/>
                <w:color w:val="595959"/>
                <w:sz w:val="15"/>
              </w:rPr>
              <w:t>breadth</w:t>
            </w:r>
          </w:p>
        </w:tc>
        <w:tc>
          <w:tcPr>
            <w:tcW w:type="dxa" w:w="1008"/>
            <w:shd w:fill="F7F9FC"/>
            <w:vAlign w:val="top"/>
          </w:tcPr>
          <w:p>
            <w:pPr>
              <w:spacing w:after="20" w:line="240" w:lineRule="auto"/>
            </w:pPr>
            <w:r>
              <w:rPr>
                <w:rFonts w:ascii="Arial" w:hAnsi="Arial"/>
                <w:b w:val="0"/>
                <w:color w:val="375623"/>
                <w:sz w:val="15"/>
              </w:rPr>
              <w:t>+0.07</w:t>
            </w:r>
          </w:p>
        </w:tc>
        <w:tc>
          <w:tcPr>
            <w:tcW w:type="dxa" w:w="8208"/>
            <w:shd w:fill="F7F9FC"/>
            <w:vAlign w:val="top"/>
          </w:tcPr>
          <w:p>
            <w:pPr>
              <w:spacing w:after="20" w:line="240" w:lineRule="auto"/>
            </w:pPr>
            <w:r>
              <w:rPr>
                <w:rFonts w:ascii="Arial" w:hAnsi="Arial"/>
                <w:b w:val="0"/>
                <w:color w:val="595959"/>
                <w:sz w:val="15"/>
              </w:rPr>
              <w:t>sectors_green supports broad participation.</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NFCI inverted</w:t>
            </w:r>
          </w:p>
        </w:tc>
        <w:tc>
          <w:tcPr>
            <w:tcW w:type="dxa" w:w="1152"/>
            <w:vAlign w:val="top"/>
          </w:tcPr>
          <w:p>
            <w:pPr>
              <w:spacing w:after="20" w:line="240" w:lineRule="auto"/>
            </w:pPr>
            <w:r>
              <w:rPr>
                <w:rFonts w:ascii="Arial" w:hAnsi="Arial"/>
                <w:b w:val="0"/>
                <w:color w:val="595959"/>
                <w:sz w:val="15"/>
              </w:rPr>
              <w:t>monetary</w:t>
            </w:r>
          </w:p>
        </w:tc>
        <w:tc>
          <w:tcPr>
            <w:tcW w:type="dxa" w:w="1008"/>
            <w:vAlign w:val="top"/>
          </w:tcPr>
          <w:p>
            <w:pPr>
              <w:spacing w:after="20" w:line="240" w:lineRule="auto"/>
            </w:pPr>
            <w:r>
              <w:rPr>
                <w:rFonts w:ascii="Arial" w:hAnsi="Arial"/>
                <w:b w:val="0"/>
                <w:color w:val="375623"/>
                <w:sz w:val="15"/>
              </w:rPr>
              <w:t>+0.06</w:t>
            </w:r>
          </w:p>
        </w:tc>
        <w:tc>
          <w:tcPr>
            <w:tcW w:type="dxa" w:w="8208"/>
            <w:vAlign w:val="top"/>
          </w:tcPr>
          <w:p>
            <w:pPr>
              <w:spacing w:after="20" w:line="240" w:lineRule="auto"/>
            </w:pPr>
            <w:r>
              <w:rPr>
                <w:rFonts w:ascii="Arial" w:hAnsi="Arial"/>
                <w:b w:val="0"/>
                <w:color w:val="595959"/>
                <w:sz w:val="15"/>
              </w:rPr>
              <w:t>Easier liquidity supports soft-landing broadening.</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Hy Spread Level</w:t>
            </w:r>
          </w:p>
        </w:tc>
        <w:tc>
          <w:tcPr>
            <w:tcW w:type="dxa" w:w="1152"/>
            <w:shd w:fill="F7F9FC"/>
            <w:vAlign w:val="top"/>
          </w:tcPr>
          <w:p>
            <w:pPr>
              <w:spacing w:after="20" w:line="240" w:lineRule="auto"/>
            </w:pPr>
            <w:r>
              <w:rPr>
                <w:rFonts w:ascii="Arial" w:hAnsi="Arial"/>
                <w:b w:val="0"/>
                <w:color w:val="595959"/>
                <w:sz w:val="15"/>
              </w:rPr>
              <w:t>credit</w:t>
            </w:r>
          </w:p>
        </w:tc>
        <w:tc>
          <w:tcPr>
            <w:tcW w:type="dxa" w:w="1008"/>
            <w:shd w:fill="F7F9FC"/>
            <w:vAlign w:val="top"/>
          </w:tcPr>
          <w:p>
            <w:pPr>
              <w:spacing w:after="20" w:line="240" w:lineRule="auto"/>
            </w:pPr>
            <w:r>
              <w:rPr>
                <w:rFonts w:ascii="Arial" w:hAnsi="Arial"/>
                <w:b w:val="0"/>
                <w:color w:val="375623"/>
                <w:sz w:val="15"/>
              </w:rPr>
              <w:t>+0.05</w:t>
            </w:r>
          </w:p>
        </w:tc>
        <w:tc>
          <w:tcPr>
            <w:tcW w:type="dxa" w:w="8208"/>
            <w:shd w:fill="F7F9FC"/>
            <w:vAlign w:val="top"/>
          </w:tcPr>
          <w:p>
            <w:pPr>
              <w:spacing w:after="20" w:line="240" w:lineRule="auto"/>
            </w:pPr>
            <w:r>
              <w:rPr>
                <w:rFonts w:ascii="Arial" w:hAnsi="Arial"/>
                <w:b w:val="0"/>
                <w:color w:val="595959"/>
                <w:sz w:val="15"/>
              </w:rPr>
              <w:t>Tight HY spreads support soft landing.</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Hyg Tlt Ratio Z</w:t>
            </w:r>
          </w:p>
        </w:tc>
        <w:tc>
          <w:tcPr>
            <w:tcW w:type="dxa" w:w="1152"/>
            <w:vAlign w:val="top"/>
          </w:tcPr>
          <w:p>
            <w:pPr>
              <w:spacing w:after="20" w:line="240" w:lineRule="auto"/>
            </w:pPr>
            <w:r>
              <w:rPr>
                <w:rFonts w:ascii="Arial" w:hAnsi="Arial"/>
                <w:b w:val="0"/>
                <w:color w:val="595959"/>
                <w:sz w:val="15"/>
              </w:rPr>
              <w:t>credit</w:t>
            </w:r>
          </w:p>
        </w:tc>
        <w:tc>
          <w:tcPr>
            <w:tcW w:type="dxa" w:w="1008"/>
            <w:vAlign w:val="top"/>
          </w:tcPr>
          <w:p>
            <w:pPr>
              <w:spacing w:after="20" w:line="240" w:lineRule="auto"/>
            </w:pPr>
            <w:r>
              <w:rPr>
                <w:rFonts w:ascii="Arial" w:hAnsi="Arial"/>
                <w:b w:val="0"/>
                <w:color w:val="375623"/>
                <w:sz w:val="15"/>
              </w:rPr>
              <w:t>+0.04</w:t>
            </w:r>
          </w:p>
        </w:tc>
        <w:tc>
          <w:tcPr>
            <w:tcW w:type="dxa" w:w="8208"/>
            <w:vAlign w:val="top"/>
          </w:tcPr>
          <w:p>
            <w:pPr>
              <w:spacing w:after="20" w:line="240" w:lineRule="auto"/>
            </w:pPr>
            <w:r>
              <w:rPr>
                <w:rFonts w:ascii="Arial" w:hAnsi="Arial"/>
                <w:b w:val="0"/>
                <w:color w:val="595959"/>
                <w:sz w:val="15"/>
              </w:rPr>
              <w:t>HYG/TLT confirms credit risk appetite.</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NFCI level</w:t>
            </w:r>
          </w:p>
        </w:tc>
        <w:tc>
          <w:tcPr>
            <w:tcW w:type="dxa" w:w="1152"/>
            <w:shd w:fill="F7F9FC"/>
            <w:vAlign w:val="top"/>
          </w:tcPr>
          <w:p>
            <w:pPr>
              <w:spacing w:after="20" w:line="240" w:lineRule="auto"/>
            </w:pPr>
            <w:r>
              <w:rPr>
                <w:rFonts w:ascii="Arial" w:hAnsi="Arial"/>
                <w:b w:val="0"/>
                <w:color w:val="595959"/>
                <w:sz w:val="15"/>
              </w:rPr>
              <w:t>monetary</w:t>
            </w:r>
          </w:p>
        </w:tc>
        <w:tc>
          <w:tcPr>
            <w:tcW w:type="dxa" w:w="1008"/>
            <w:shd w:fill="F7F9FC"/>
            <w:vAlign w:val="top"/>
          </w:tcPr>
          <w:p>
            <w:pPr>
              <w:spacing w:after="20" w:line="240" w:lineRule="auto"/>
            </w:pPr>
            <w:r>
              <w:rPr>
                <w:rFonts w:ascii="Arial" w:hAnsi="Arial"/>
                <w:b w:val="0"/>
                <w:color w:val="375623"/>
                <w:sz w:val="15"/>
              </w:rPr>
              <w:t>+0.02</w:t>
            </w:r>
          </w:p>
        </w:tc>
        <w:tc>
          <w:tcPr>
            <w:tcW w:type="dxa" w:w="8208"/>
            <w:shd w:fill="F7F9FC"/>
            <w:vAlign w:val="top"/>
          </w:tcPr>
          <w:p>
            <w:pPr>
              <w:spacing w:after="20" w:line="240" w:lineRule="auto"/>
            </w:pPr>
            <w:r>
              <w:rPr>
                <w:rFonts w:ascii="Arial" w:hAnsi="Arial"/>
                <w:b w:val="0"/>
                <w:color w:val="595959"/>
                <w:sz w:val="15"/>
              </w:rPr>
              <w:t>Easy NFCI supports soft landing.</w:t>
            </w:r>
          </w:p>
        </w:tc>
      </w:tr>
    </w:tbl>
    <w:p>
      <w:pPr>
        <w:spacing w:after="120"/>
      </w:pPr>
    </w:p>
    <w:p>
      <w:pPr>
        <w:spacing w:before="180" w:after="80"/>
      </w:pPr>
      <w:r>
        <w:rPr>
          <w:rFonts w:ascii="Arial" w:hAnsi="Arial"/>
          <w:b/>
          <w:color w:val="2E75B6"/>
          <w:sz w:val="21"/>
        </w:rPr>
        <w:t>Oil Inflation Tail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Prior</w:t>
            </w:r>
          </w:p>
        </w:tc>
        <w:tc>
          <w:tcPr>
            <w:tcW w:type="dxa" w:w="11520"/>
            <w:vAlign w:val="top"/>
          </w:tcPr>
          <w:p>
            <w:pPr>
              <w:spacing w:after="20" w:line="240" w:lineRule="auto"/>
            </w:pPr>
            <w:r>
              <w:rPr>
                <w:rFonts w:ascii="Arial" w:hAnsi="Arial"/>
                <w:b w:val="0"/>
                <w:color w:val="595959"/>
                <w:sz w:val="15"/>
              </w:rPr>
              <w:t>20.00%</w:t>
            </w:r>
          </w:p>
        </w:tc>
      </w:tr>
      <w:tr>
        <w:tc>
          <w:tcPr>
            <w:tcW w:type="dxa" w:w="2160"/>
            <w:shd w:fill="EAF2F8"/>
            <w:vAlign w:val="top"/>
          </w:tcPr>
          <w:p>
            <w:pPr>
              <w:spacing w:after="20" w:line="240" w:lineRule="auto"/>
            </w:pPr>
            <w:r>
              <w:rPr>
                <w:rFonts w:ascii="Arial" w:hAnsi="Arial"/>
                <w:b/>
                <w:color w:val="1F4E79"/>
                <w:sz w:val="15"/>
              </w:rPr>
              <w:t>Prior score/log score</w:t>
            </w:r>
          </w:p>
        </w:tc>
        <w:tc>
          <w:tcPr>
            <w:tcW w:type="dxa" w:w="11520"/>
            <w:vAlign w:val="top"/>
          </w:tcPr>
          <w:p>
            <w:pPr>
              <w:spacing w:after="20" w:line="240" w:lineRule="auto"/>
            </w:pPr>
            <w:r>
              <w:rPr>
                <w:rFonts w:ascii="Arial" w:hAnsi="Arial"/>
                <w:b w:val="0"/>
                <w:color w:val="C00000"/>
                <w:sz w:val="15"/>
              </w:rPr>
              <w:t>-1.39</w:t>
            </w:r>
          </w:p>
        </w:tc>
      </w:tr>
      <w:tr>
        <w:tc>
          <w:tcPr>
            <w:tcW w:type="dxa" w:w="2160"/>
            <w:shd w:fill="EAF2F8"/>
            <w:vAlign w:val="top"/>
          </w:tcPr>
          <w:p>
            <w:pPr>
              <w:spacing w:after="20" w:line="240" w:lineRule="auto"/>
            </w:pPr>
            <w:r>
              <w:rPr>
                <w:rFonts w:ascii="Arial" w:hAnsi="Arial"/>
                <w:b/>
                <w:color w:val="1F4E79"/>
                <w:sz w:val="15"/>
              </w:rPr>
              <w:t>Raw score before softmax</w:t>
            </w:r>
          </w:p>
        </w:tc>
        <w:tc>
          <w:tcPr>
            <w:tcW w:type="dxa" w:w="11520"/>
            <w:vAlign w:val="top"/>
          </w:tcPr>
          <w:p>
            <w:pPr>
              <w:spacing w:after="20" w:line="240" w:lineRule="auto"/>
            </w:pPr>
            <w:r>
              <w:rPr>
                <w:rFonts w:ascii="Arial" w:hAnsi="Arial"/>
                <w:b w:val="0"/>
                <w:color w:val="C00000"/>
                <w:sz w:val="15"/>
              </w:rPr>
              <w:t>-0.98</w:t>
            </w:r>
          </w:p>
        </w:tc>
      </w:tr>
      <w:tr>
        <w:tc>
          <w:tcPr>
            <w:tcW w:type="dxa" w:w="2160"/>
            <w:shd w:fill="EAF2F8"/>
            <w:vAlign w:val="top"/>
          </w:tcPr>
          <w:p>
            <w:pPr>
              <w:spacing w:after="20" w:line="240" w:lineRule="auto"/>
            </w:pPr>
            <w:r>
              <w:rPr>
                <w:rFonts w:ascii="Arial" w:hAnsi="Arial"/>
                <w:b/>
                <w:color w:val="1F4E79"/>
                <w:sz w:val="15"/>
              </w:rPr>
              <w:t>Pre-floor posterior</w:t>
            </w:r>
          </w:p>
        </w:tc>
        <w:tc>
          <w:tcPr>
            <w:tcW w:type="dxa" w:w="11520"/>
            <w:vAlign w:val="top"/>
          </w:tcPr>
          <w:p>
            <w:pPr>
              <w:spacing w:after="20" w:line="240" w:lineRule="auto"/>
            </w:pPr>
            <w:r>
              <w:rPr>
                <w:rFonts w:ascii="Arial" w:hAnsi="Arial"/>
                <w:b w:val="0"/>
                <w:color w:val="595959"/>
                <w:sz w:val="15"/>
              </w:rPr>
              <w:t>14.78%</w:t>
            </w:r>
          </w:p>
        </w:tc>
      </w:tr>
      <w:tr>
        <w:tc>
          <w:tcPr>
            <w:tcW w:type="dxa" w:w="2160"/>
            <w:shd w:fill="EAF2F8"/>
            <w:vAlign w:val="top"/>
          </w:tcPr>
          <w:p>
            <w:pPr>
              <w:spacing w:after="20" w:line="240" w:lineRule="auto"/>
            </w:pPr>
            <w:r>
              <w:rPr>
                <w:rFonts w:ascii="Arial" w:hAnsi="Arial"/>
                <w:b/>
                <w:color w:val="1F4E79"/>
                <w:sz w:val="15"/>
              </w:rPr>
              <w:t>Final posterior</w:t>
            </w:r>
          </w:p>
        </w:tc>
        <w:tc>
          <w:tcPr>
            <w:tcW w:type="dxa" w:w="11520"/>
            <w:vAlign w:val="top"/>
          </w:tcPr>
          <w:p>
            <w:pPr>
              <w:spacing w:after="20" w:line="240" w:lineRule="auto"/>
            </w:pPr>
            <w:r>
              <w:rPr>
                <w:rFonts w:ascii="Arial" w:hAnsi="Arial"/>
                <w:b w:val="0"/>
                <w:color w:val="595959"/>
                <w:sz w:val="15"/>
              </w:rPr>
              <w:t>14.01%</w:t>
            </w:r>
          </w:p>
        </w:tc>
      </w:tr>
      <w:tr>
        <w:tc>
          <w:tcPr>
            <w:tcW w:type="dxa" w:w="2160"/>
            <w:shd w:fill="EAF2F8"/>
            <w:vAlign w:val="top"/>
          </w:tcPr>
          <w:p>
            <w:pPr>
              <w:spacing w:after="20" w:line="240" w:lineRule="auto"/>
            </w:pPr>
            <w:r>
              <w:rPr>
                <w:rFonts w:ascii="Arial" w:hAnsi="Arial"/>
                <w:b/>
                <w:color w:val="1F4E79"/>
                <w:sz w:val="15"/>
              </w:rPr>
              <w:t>Floor applied</w:t>
            </w:r>
          </w:p>
        </w:tc>
        <w:tc>
          <w:tcPr>
            <w:tcW w:type="dxa" w:w="11520"/>
            <w:vAlign w:val="top"/>
          </w:tcPr>
          <w:p>
            <w:pPr>
              <w:spacing w:after="20" w:line="240" w:lineRule="auto"/>
            </w:pPr>
            <w:r>
              <w:rPr>
                <w:rFonts w:ascii="Arial" w:hAnsi="Arial"/>
                <w:b w:val="0"/>
                <w:color w:val="595959"/>
                <w:sz w:val="15"/>
              </w:rPr>
              <w:t>False (7.50%)</w:t>
            </w:r>
          </w:p>
        </w:tc>
      </w:tr>
      <w:tr>
        <w:tc>
          <w:tcPr>
            <w:tcW w:type="dxa" w:w="2160"/>
            <w:shd w:fill="EAF2F8"/>
            <w:vAlign w:val="top"/>
          </w:tcPr>
          <w:p>
            <w:pPr>
              <w:spacing w:after="20" w:line="240" w:lineRule="auto"/>
            </w:pPr>
            <w:r>
              <w:rPr>
                <w:rFonts w:ascii="Arial" w:hAnsi="Arial"/>
                <w:b/>
                <w:color w:val="1F4E79"/>
                <w:sz w:val="15"/>
              </w:rPr>
              <w:t>Cap applied</w:t>
            </w:r>
          </w:p>
        </w:tc>
        <w:tc>
          <w:tcPr>
            <w:tcW w:type="dxa" w:w="11520"/>
            <w:vAlign w:val="top"/>
          </w:tcPr>
          <w:p>
            <w:pPr>
              <w:spacing w:after="20" w:line="240" w:lineRule="auto"/>
            </w:pPr>
            <w:r>
              <w:rPr>
                <w:rFonts w:ascii="Arial" w:hAnsi="Arial"/>
                <w:b w:val="0"/>
                <w:color w:val="595959"/>
                <w:sz w:val="15"/>
              </w:rPr>
              <w:t>False (n/a)</w:t>
            </w:r>
          </w:p>
        </w:tc>
      </w:tr>
    </w:tbl>
    <w:p>
      <w:pPr>
        <w:spacing w:after="120"/>
      </w:pPr>
    </w:p>
    <w:p>
      <w:pPr>
        <w:spacing w:after="40"/>
      </w:pPr>
      <w:r>
        <w:rPr>
          <w:rFonts w:ascii="Arial" w:hAnsi="Arial"/>
          <w:b/>
          <w:color w:val="1F4E79"/>
          <w:sz w:val="17"/>
        </w:rPr>
        <w:t>Contributor Breakdown</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1224"/>
            <w:shd w:fill="1F4E79"/>
            <w:vAlign w:val="top"/>
          </w:tcPr>
          <w:p>
            <w:pPr>
              <w:spacing w:after="20" w:line="240" w:lineRule="auto"/>
            </w:pPr>
            <w:r>
              <w:rPr>
                <w:rFonts w:ascii="Arial" w:hAnsi="Arial"/>
                <w:b/>
                <w:color w:val="FFFFFF"/>
                <w:sz w:val="15"/>
              </w:rPr>
              <w:t>Type</w:t>
            </w:r>
          </w:p>
        </w:tc>
        <w:tc>
          <w:tcPr>
            <w:tcW w:type="dxa" w:w="2088"/>
            <w:shd w:fill="1F4E79"/>
            <w:vAlign w:val="top"/>
          </w:tcPr>
          <w:p>
            <w:pPr>
              <w:spacing w:after="20" w:line="240" w:lineRule="auto"/>
            </w:pPr>
            <w:r>
              <w:rPr>
                <w:rFonts w:ascii="Arial" w:hAnsi="Arial"/>
                <w:b/>
                <w:color w:val="FFFFFF"/>
                <w:sz w:val="15"/>
              </w:rPr>
              <w:t>Input</w:t>
            </w:r>
          </w:p>
        </w:tc>
        <w:tc>
          <w:tcPr>
            <w:tcW w:type="dxa" w:w="1152"/>
            <w:shd w:fill="1F4E79"/>
            <w:vAlign w:val="top"/>
          </w:tcPr>
          <w:p>
            <w:pPr>
              <w:spacing w:after="20" w:line="240" w:lineRule="auto"/>
            </w:pPr>
            <w:r>
              <w:rPr>
                <w:rFonts w:ascii="Arial" w:hAnsi="Arial"/>
                <w:b/>
                <w:color w:val="FFFFFF"/>
                <w:sz w:val="15"/>
              </w:rPr>
              <w:t>Parent</w:t>
            </w:r>
          </w:p>
        </w:tc>
        <w:tc>
          <w:tcPr>
            <w:tcW w:type="dxa" w:w="1008"/>
            <w:shd w:fill="1F4E79"/>
            <w:vAlign w:val="top"/>
          </w:tcPr>
          <w:p>
            <w:pPr>
              <w:spacing w:after="20" w:line="240" w:lineRule="auto"/>
            </w:pPr>
            <w:r>
              <w:rPr>
                <w:rFonts w:ascii="Arial" w:hAnsi="Arial"/>
                <w:b/>
                <w:color w:val="FFFFFF"/>
                <w:sz w:val="15"/>
              </w:rPr>
              <w:t>Contribution</w:t>
            </w:r>
          </w:p>
        </w:tc>
        <w:tc>
          <w:tcPr>
            <w:tcW w:type="dxa" w:w="8208"/>
            <w:shd w:fill="1F4E79"/>
            <w:vAlign w:val="top"/>
          </w:tcPr>
          <w:p>
            <w:pPr>
              <w:spacing w:after="20" w:line="240" w:lineRule="auto"/>
            </w:pPr>
            <w:r>
              <w:rPr>
                <w:rFonts w:ascii="Arial" w:hAnsi="Arial"/>
                <w:b/>
                <w:color w:val="FFFFFF"/>
                <w:sz w:val="15"/>
              </w:rPr>
              <w:t>Short Rationale</w:t>
            </w:r>
          </w:p>
        </w:tc>
      </w:tr>
      <w:tr>
        <w:tc>
          <w:tcPr>
            <w:tcW w:type="dxa" w:w="1224"/>
            <w:vAlign w:val="top"/>
          </w:tcPr>
          <w:p>
            <w:pPr>
              <w:spacing w:after="20" w:line="240" w:lineRule="auto"/>
            </w:pPr>
            <w:r>
              <w:rPr>
                <w:rFonts w:ascii="Arial" w:hAnsi="Arial"/>
                <w:b w:val="0"/>
                <w:color w:val="595959"/>
                <w:sz w:val="15"/>
              </w:rPr>
              <w:t>Regime Driver</w:t>
            </w:r>
          </w:p>
        </w:tc>
        <w:tc>
          <w:tcPr>
            <w:tcW w:type="dxa" w:w="2088"/>
            <w:vAlign w:val="top"/>
          </w:tcPr>
          <w:p>
            <w:pPr>
              <w:spacing w:after="20" w:line="240" w:lineRule="auto"/>
            </w:pPr>
            <w:r>
              <w:rPr>
                <w:rFonts w:ascii="Arial" w:hAnsi="Arial"/>
                <w:b w:val="0"/>
                <w:color w:val="595959"/>
                <w:sz w:val="15"/>
              </w:rPr>
              <w:t>Oil shock and reopening optionality</w:t>
            </w:r>
          </w:p>
        </w:tc>
        <w:tc>
          <w:tcPr>
            <w:tcW w:type="dxa" w:w="1152"/>
            <w:vAlign w:val="top"/>
          </w:tcPr>
          <w:p>
            <w:pPr>
              <w:spacing w:after="20" w:line="240" w:lineRule="auto"/>
            </w:pPr>
            <w:r>
              <w:rPr>
                <w:rFonts w:ascii="Arial" w:hAnsi="Arial"/>
                <w:b w:val="0"/>
                <w:color w:val="595959"/>
                <w:sz w:val="15"/>
              </w:rPr>
              <w:t>commodities</w:t>
            </w:r>
          </w:p>
        </w:tc>
        <w:tc>
          <w:tcPr>
            <w:tcW w:type="dxa" w:w="1008"/>
            <w:vAlign w:val="top"/>
          </w:tcPr>
          <w:p>
            <w:pPr>
              <w:spacing w:after="20" w:line="240" w:lineRule="auto"/>
            </w:pPr>
            <w:r>
              <w:rPr>
                <w:rFonts w:ascii="Arial" w:hAnsi="Arial"/>
                <w:b w:val="0"/>
                <w:color w:val="375623"/>
                <w:sz w:val="15"/>
              </w:rPr>
              <w:t>+0.28</w:t>
            </w:r>
          </w:p>
        </w:tc>
        <w:tc>
          <w:tcPr>
            <w:tcW w:type="dxa" w:w="8208"/>
            <w:vAlign w:val="top"/>
          </w:tcPr>
          <w:p>
            <w:pPr>
              <w:spacing w:after="20" w:line="240" w:lineRule="auto"/>
            </w:pPr>
            <w:r>
              <w:rPr>
                <w:rFonts w:ascii="Arial" w:hAnsi="Arial"/>
                <w:b w:val="0"/>
                <w:color w:val="595959"/>
                <w:sz w:val="15"/>
              </w:rPr>
              <w:t>Oil shock language keeps inflation-tail risk alive.</w:t>
            </w:r>
          </w:p>
        </w:tc>
      </w:tr>
      <w:tr>
        <w:tc>
          <w:tcPr>
            <w:tcW w:type="dxa" w:w="1224"/>
            <w:shd w:fill="F7F9FC"/>
            <w:vAlign w:val="top"/>
          </w:tcPr>
          <w:p>
            <w:pPr>
              <w:spacing w:after="20" w:line="240" w:lineRule="auto"/>
            </w:pPr>
            <w:r>
              <w:rPr>
                <w:rFonts w:ascii="Arial" w:hAnsi="Arial"/>
                <w:b w:val="0"/>
                <w:color w:val="595959"/>
                <w:sz w:val="15"/>
              </w:rPr>
              <w:t>Composite</w:t>
            </w:r>
          </w:p>
        </w:tc>
        <w:tc>
          <w:tcPr>
            <w:tcW w:type="dxa" w:w="2088"/>
            <w:shd w:fill="F7F9FC"/>
            <w:vAlign w:val="top"/>
          </w:tcPr>
          <w:p>
            <w:pPr>
              <w:spacing w:after="20" w:line="240" w:lineRule="auto"/>
            </w:pPr>
            <w:r>
              <w:rPr>
                <w:rFonts w:ascii="Arial" w:hAnsi="Arial"/>
                <w:b w:val="0"/>
                <w:color w:val="595959"/>
                <w:sz w:val="15"/>
              </w:rPr>
              <w:t>Monetary policy composite</w:t>
            </w:r>
          </w:p>
        </w:tc>
        <w:tc>
          <w:tcPr>
            <w:tcW w:type="dxa" w:w="1152"/>
            <w:shd w:fill="F7F9FC"/>
            <w:vAlign w:val="top"/>
          </w:tcPr>
          <w:p>
            <w:pPr>
              <w:spacing w:after="20" w:line="240" w:lineRule="auto"/>
            </w:pPr>
            <w:r>
              <w:rPr>
                <w:rFonts w:ascii="Arial" w:hAnsi="Arial"/>
                <w:b w:val="0"/>
                <w:color w:val="595959"/>
                <w:sz w:val="15"/>
              </w:rPr>
              <w:t>monetary</w:t>
            </w:r>
          </w:p>
        </w:tc>
        <w:tc>
          <w:tcPr>
            <w:tcW w:type="dxa" w:w="1008"/>
            <w:shd w:fill="F7F9FC"/>
            <w:vAlign w:val="top"/>
          </w:tcPr>
          <w:p>
            <w:pPr>
              <w:spacing w:after="20" w:line="240" w:lineRule="auto"/>
            </w:pPr>
            <w:r>
              <w:rPr>
                <w:rFonts w:ascii="Arial" w:hAnsi="Arial"/>
                <w:b w:val="0"/>
                <w:color w:val="375623"/>
                <w:sz w:val="15"/>
              </w:rPr>
              <w:t>+0.13</w:t>
            </w:r>
          </w:p>
        </w:tc>
        <w:tc>
          <w:tcPr>
            <w:tcW w:type="dxa" w:w="8208"/>
            <w:shd w:fill="F7F9FC"/>
            <w:vAlign w:val="top"/>
          </w:tcPr>
          <w:p>
            <w:pPr>
              <w:spacing w:after="20" w:line="240" w:lineRule="auto"/>
            </w:pPr>
            <w:r>
              <w:rPr>
                <w:rFonts w:ascii="Arial" w:hAnsi="Arial"/>
                <w:b w:val="0"/>
                <w:color w:val="595959"/>
                <w:sz w:val="15"/>
              </w:rPr>
              <w:t>High hold/hike odds leave less cushion against inflation tails.</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USO return</w:t>
            </w:r>
          </w:p>
        </w:tc>
        <w:tc>
          <w:tcPr>
            <w:tcW w:type="dxa" w:w="1152"/>
            <w:vAlign w:val="top"/>
          </w:tcPr>
          <w:p>
            <w:pPr>
              <w:spacing w:after="20" w:line="240" w:lineRule="auto"/>
            </w:pPr>
            <w:r>
              <w:rPr>
                <w:rFonts w:ascii="Arial" w:hAnsi="Arial"/>
                <w:b w:val="0"/>
                <w:color w:val="595959"/>
                <w:sz w:val="15"/>
              </w:rPr>
              <w:t>market_state</w:t>
            </w:r>
          </w:p>
        </w:tc>
        <w:tc>
          <w:tcPr>
            <w:tcW w:type="dxa" w:w="1008"/>
            <w:vAlign w:val="top"/>
          </w:tcPr>
          <w:p>
            <w:pPr>
              <w:spacing w:after="20" w:line="240" w:lineRule="auto"/>
            </w:pPr>
            <w:r>
              <w:rPr>
                <w:rFonts w:ascii="Arial" w:hAnsi="Arial"/>
                <w:b w:val="0"/>
                <w:color w:val="375623"/>
                <w:sz w:val="15"/>
              </w:rPr>
              <w:t>+0.00</w:t>
            </w:r>
          </w:p>
        </w:tc>
        <w:tc>
          <w:tcPr>
            <w:tcW w:type="dxa" w:w="8208"/>
            <w:vAlign w:val="top"/>
          </w:tcPr>
          <w:p>
            <w:pPr>
              <w:spacing w:after="20" w:line="240" w:lineRule="auto"/>
            </w:pPr>
            <w:r>
              <w:rPr>
                <w:rFonts w:ascii="Arial" w:hAnsi="Arial"/>
                <w:b w:val="0"/>
                <w:color w:val="595959"/>
                <w:sz w:val="15"/>
              </w:rPr>
              <w:t>USO return supports inflation-tail watchlist.</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GLD return</w:t>
            </w:r>
          </w:p>
        </w:tc>
        <w:tc>
          <w:tcPr>
            <w:tcW w:type="dxa" w:w="1152"/>
            <w:shd w:fill="F7F9FC"/>
            <w:vAlign w:val="top"/>
          </w:tcPr>
          <w:p>
            <w:pPr>
              <w:spacing w:after="20" w:line="240" w:lineRule="auto"/>
            </w:pPr>
            <w:r>
              <w:rPr>
                <w:rFonts w:ascii="Arial" w:hAnsi="Arial"/>
                <w:b w:val="0"/>
                <w:color w:val="595959"/>
                <w:sz w:val="15"/>
              </w:rPr>
              <w:t>market_state</w:t>
            </w:r>
          </w:p>
        </w:tc>
        <w:tc>
          <w:tcPr>
            <w:tcW w:type="dxa" w:w="1008"/>
            <w:shd w:fill="F7F9FC"/>
            <w:vAlign w:val="top"/>
          </w:tcPr>
          <w:p>
            <w:pPr>
              <w:spacing w:after="20" w:line="240" w:lineRule="auto"/>
            </w:pPr>
            <w:r>
              <w:rPr>
                <w:rFonts w:ascii="Arial" w:hAnsi="Arial"/>
                <w:b w:val="0"/>
                <w:color w:val="C00000"/>
                <w:sz w:val="15"/>
              </w:rPr>
              <w:t>-0.00</w:t>
            </w:r>
          </w:p>
        </w:tc>
        <w:tc>
          <w:tcPr>
            <w:tcW w:type="dxa" w:w="8208"/>
            <w:shd w:fill="F7F9FC"/>
            <w:vAlign w:val="top"/>
          </w:tcPr>
          <w:p>
            <w:pPr>
              <w:spacing w:after="20" w:line="240" w:lineRule="auto"/>
            </w:pPr>
            <w:r>
              <w:rPr>
                <w:rFonts w:ascii="Arial" w:hAnsi="Arial"/>
                <w:b w:val="0"/>
                <w:color w:val="595959"/>
                <w:sz w:val="15"/>
              </w:rPr>
              <w:t>GLD return pressure reduces inflation-tail tape.</w:t>
            </w:r>
          </w:p>
        </w:tc>
      </w:tr>
    </w:tbl>
    <w:p>
      <w:pPr>
        <w:spacing w:after="120"/>
      </w:pPr>
    </w:p>
    <w:p>
      <w:pPr>
        <w:spacing w:before="180" w:after="80"/>
      </w:pPr>
      <w:r>
        <w:rPr>
          <w:rFonts w:ascii="Arial" w:hAnsi="Arial"/>
          <w:b/>
          <w:color w:val="2E75B6"/>
          <w:sz w:val="21"/>
        </w:rPr>
        <w:t>Late Cycle Risk-Off</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Prior</w:t>
            </w:r>
          </w:p>
        </w:tc>
        <w:tc>
          <w:tcPr>
            <w:tcW w:type="dxa" w:w="11520"/>
            <w:vAlign w:val="top"/>
          </w:tcPr>
          <w:p>
            <w:pPr>
              <w:spacing w:after="20" w:line="240" w:lineRule="auto"/>
            </w:pPr>
            <w:r>
              <w:rPr>
                <w:rFonts w:ascii="Arial" w:hAnsi="Arial"/>
                <w:b w:val="0"/>
                <w:color w:val="595959"/>
                <w:sz w:val="15"/>
              </w:rPr>
              <w:t>10.00%</w:t>
            </w:r>
          </w:p>
        </w:tc>
      </w:tr>
      <w:tr>
        <w:tc>
          <w:tcPr>
            <w:tcW w:type="dxa" w:w="2160"/>
            <w:shd w:fill="EAF2F8"/>
            <w:vAlign w:val="top"/>
          </w:tcPr>
          <w:p>
            <w:pPr>
              <w:spacing w:after="20" w:line="240" w:lineRule="auto"/>
            </w:pPr>
            <w:r>
              <w:rPr>
                <w:rFonts w:ascii="Arial" w:hAnsi="Arial"/>
                <w:b/>
                <w:color w:val="1F4E79"/>
                <w:sz w:val="15"/>
              </w:rPr>
              <w:t>Prior score/log score</w:t>
            </w:r>
          </w:p>
        </w:tc>
        <w:tc>
          <w:tcPr>
            <w:tcW w:type="dxa" w:w="11520"/>
            <w:vAlign w:val="top"/>
          </w:tcPr>
          <w:p>
            <w:pPr>
              <w:spacing w:after="20" w:line="240" w:lineRule="auto"/>
            </w:pPr>
            <w:r>
              <w:rPr>
                <w:rFonts w:ascii="Arial" w:hAnsi="Arial"/>
                <w:b w:val="0"/>
                <w:color w:val="C00000"/>
                <w:sz w:val="15"/>
              </w:rPr>
              <w:t>-2.20</w:t>
            </w:r>
          </w:p>
        </w:tc>
      </w:tr>
      <w:tr>
        <w:tc>
          <w:tcPr>
            <w:tcW w:type="dxa" w:w="2160"/>
            <w:shd w:fill="EAF2F8"/>
            <w:vAlign w:val="top"/>
          </w:tcPr>
          <w:p>
            <w:pPr>
              <w:spacing w:after="20" w:line="240" w:lineRule="auto"/>
            </w:pPr>
            <w:r>
              <w:rPr>
                <w:rFonts w:ascii="Arial" w:hAnsi="Arial"/>
                <w:b/>
                <w:color w:val="1F4E79"/>
                <w:sz w:val="15"/>
              </w:rPr>
              <w:t>Raw score before softmax</w:t>
            </w:r>
          </w:p>
        </w:tc>
        <w:tc>
          <w:tcPr>
            <w:tcW w:type="dxa" w:w="11520"/>
            <w:vAlign w:val="top"/>
          </w:tcPr>
          <w:p>
            <w:pPr>
              <w:spacing w:after="20" w:line="240" w:lineRule="auto"/>
            </w:pPr>
            <w:r>
              <w:rPr>
                <w:rFonts w:ascii="Arial" w:hAnsi="Arial"/>
                <w:b w:val="0"/>
                <w:color w:val="C00000"/>
                <w:sz w:val="15"/>
              </w:rPr>
              <w:t>-2.80</w:t>
            </w:r>
          </w:p>
        </w:tc>
      </w:tr>
      <w:tr>
        <w:tc>
          <w:tcPr>
            <w:tcW w:type="dxa" w:w="2160"/>
            <w:shd w:fill="EAF2F8"/>
            <w:vAlign w:val="top"/>
          </w:tcPr>
          <w:p>
            <w:pPr>
              <w:spacing w:after="20" w:line="240" w:lineRule="auto"/>
            </w:pPr>
            <w:r>
              <w:rPr>
                <w:rFonts w:ascii="Arial" w:hAnsi="Arial"/>
                <w:b/>
                <w:color w:val="1F4E79"/>
                <w:sz w:val="15"/>
              </w:rPr>
              <w:t>Pre-floor posterior</w:t>
            </w:r>
          </w:p>
        </w:tc>
        <w:tc>
          <w:tcPr>
            <w:tcW w:type="dxa" w:w="11520"/>
            <w:vAlign w:val="top"/>
          </w:tcPr>
          <w:p>
            <w:pPr>
              <w:spacing w:after="20" w:line="240" w:lineRule="auto"/>
            </w:pPr>
            <w:r>
              <w:rPr>
                <w:rFonts w:ascii="Arial" w:hAnsi="Arial"/>
                <w:b w:val="0"/>
                <w:color w:val="595959"/>
                <w:sz w:val="15"/>
              </w:rPr>
              <w:t>2.39%</w:t>
            </w:r>
          </w:p>
        </w:tc>
      </w:tr>
      <w:tr>
        <w:tc>
          <w:tcPr>
            <w:tcW w:type="dxa" w:w="2160"/>
            <w:shd w:fill="EAF2F8"/>
            <w:vAlign w:val="top"/>
          </w:tcPr>
          <w:p>
            <w:pPr>
              <w:spacing w:after="20" w:line="240" w:lineRule="auto"/>
            </w:pPr>
            <w:r>
              <w:rPr>
                <w:rFonts w:ascii="Arial" w:hAnsi="Arial"/>
                <w:b/>
                <w:color w:val="1F4E79"/>
                <w:sz w:val="15"/>
              </w:rPr>
              <w:t>Final posterior</w:t>
            </w:r>
          </w:p>
        </w:tc>
        <w:tc>
          <w:tcPr>
            <w:tcW w:type="dxa" w:w="11520"/>
            <w:vAlign w:val="top"/>
          </w:tcPr>
          <w:p>
            <w:pPr>
              <w:spacing w:after="20" w:line="240" w:lineRule="auto"/>
            </w:pPr>
            <w:r>
              <w:rPr>
                <w:rFonts w:ascii="Arial" w:hAnsi="Arial"/>
                <w:b w:val="0"/>
                <w:color w:val="595959"/>
                <w:sz w:val="15"/>
              </w:rPr>
              <w:t>5.00%</w:t>
            </w:r>
          </w:p>
        </w:tc>
      </w:tr>
      <w:tr>
        <w:tc>
          <w:tcPr>
            <w:tcW w:type="dxa" w:w="2160"/>
            <w:shd w:fill="EAF2F8"/>
            <w:vAlign w:val="top"/>
          </w:tcPr>
          <w:p>
            <w:pPr>
              <w:spacing w:after="20" w:line="240" w:lineRule="auto"/>
            </w:pPr>
            <w:r>
              <w:rPr>
                <w:rFonts w:ascii="Arial" w:hAnsi="Arial"/>
                <w:b/>
                <w:color w:val="1F4E79"/>
                <w:sz w:val="15"/>
              </w:rPr>
              <w:t>Floor applied</w:t>
            </w:r>
          </w:p>
        </w:tc>
        <w:tc>
          <w:tcPr>
            <w:tcW w:type="dxa" w:w="11520"/>
            <w:vAlign w:val="top"/>
          </w:tcPr>
          <w:p>
            <w:pPr>
              <w:spacing w:after="20" w:line="240" w:lineRule="auto"/>
            </w:pPr>
            <w:r>
              <w:rPr>
                <w:rFonts w:ascii="Arial" w:hAnsi="Arial"/>
                <w:b w:val="0"/>
                <w:color w:val="595959"/>
                <w:sz w:val="15"/>
              </w:rPr>
              <w:t>True (5.00%)</w:t>
            </w:r>
          </w:p>
        </w:tc>
      </w:tr>
      <w:tr>
        <w:tc>
          <w:tcPr>
            <w:tcW w:type="dxa" w:w="2160"/>
            <w:shd w:fill="EAF2F8"/>
            <w:vAlign w:val="top"/>
          </w:tcPr>
          <w:p>
            <w:pPr>
              <w:spacing w:after="20" w:line="240" w:lineRule="auto"/>
            </w:pPr>
            <w:r>
              <w:rPr>
                <w:rFonts w:ascii="Arial" w:hAnsi="Arial"/>
                <w:b/>
                <w:color w:val="1F4E79"/>
                <w:sz w:val="15"/>
              </w:rPr>
              <w:t>Cap applied</w:t>
            </w:r>
          </w:p>
        </w:tc>
        <w:tc>
          <w:tcPr>
            <w:tcW w:type="dxa" w:w="11520"/>
            <w:vAlign w:val="top"/>
          </w:tcPr>
          <w:p>
            <w:pPr>
              <w:spacing w:after="20" w:line="240" w:lineRule="auto"/>
            </w:pPr>
            <w:r>
              <w:rPr>
                <w:rFonts w:ascii="Arial" w:hAnsi="Arial"/>
                <w:b w:val="0"/>
                <w:color w:val="595959"/>
                <w:sz w:val="15"/>
              </w:rPr>
              <w:t>False (n/a)</w:t>
            </w:r>
          </w:p>
        </w:tc>
      </w:tr>
    </w:tbl>
    <w:p>
      <w:pPr>
        <w:spacing w:after="120"/>
      </w:pPr>
    </w:p>
    <w:p>
      <w:pPr>
        <w:spacing w:after="40"/>
      </w:pPr>
      <w:r>
        <w:rPr>
          <w:rFonts w:ascii="Arial" w:hAnsi="Arial"/>
          <w:b/>
          <w:color w:val="1F4E79"/>
          <w:sz w:val="17"/>
        </w:rPr>
        <w:t>Contributor Breakdown</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1224"/>
            <w:shd w:fill="1F4E79"/>
            <w:vAlign w:val="top"/>
          </w:tcPr>
          <w:p>
            <w:pPr>
              <w:spacing w:after="20" w:line="240" w:lineRule="auto"/>
            </w:pPr>
            <w:r>
              <w:rPr>
                <w:rFonts w:ascii="Arial" w:hAnsi="Arial"/>
                <w:b/>
                <w:color w:val="FFFFFF"/>
                <w:sz w:val="15"/>
              </w:rPr>
              <w:t>Type</w:t>
            </w:r>
          </w:p>
        </w:tc>
        <w:tc>
          <w:tcPr>
            <w:tcW w:type="dxa" w:w="2088"/>
            <w:shd w:fill="1F4E79"/>
            <w:vAlign w:val="top"/>
          </w:tcPr>
          <w:p>
            <w:pPr>
              <w:spacing w:after="20" w:line="240" w:lineRule="auto"/>
            </w:pPr>
            <w:r>
              <w:rPr>
                <w:rFonts w:ascii="Arial" w:hAnsi="Arial"/>
                <w:b/>
                <w:color w:val="FFFFFF"/>
                <w:sz w:val="15"/>
              </w:rPr>
              <w:t>Input</w:t>
            </w:r>
          </w:p>
        </w:tc>
        <w:tc>
          <w:tcPr>
            <w:tcW w:type="dxa" w:w="1152"/>
            <w:shd w:fill="1F4E79"/>
            <w:vAlign w:val="top"/>
          </w:tcPr>
          <w:p>
            <w:pPr>
              <w:spacing w:after="20" w:line="240" w:lineRule="auto"/>
            </w:pPr>
            <w:r>
              <w:rPr>
                <w:rFonts w:ascii="Arial" w:hAnsi="Arial"/>
                <w:b/>
                <w:color w:val="FFFFFF"/>
                <w:sz w:val="15"/>
              </w:rPr>
              <w:t>Parent</w:t>
            </w:r>
          </w:p>
        </w:tc>
        <w:tc>
          <w:tcPr>
            <w:tcW w:type="dxa" w:w="1008"/>
            <w:shd w:fill="1F4E79"/>
            <w:vAlign w:val="top"/>
          </w:tcPr>
          <w:p>
            <w:pPr>
              <w:spacing w:after="20" w:line="240" w:lineRule="auto"/>
            </w:pPr>
            <w:r>
              <w:rPr>
                <w:rFonts w:ascii="Arial" w:hAnsi="Arial"/>
                <w:b/>
                <w:color w:val="FFFFFF"/>
                <w:sz w:val="15"/>
              </w:rPr>
              <w:t>Contribution</w:t>
            </w:r>
          </w:p>
        </w:tc>
        <w:tc>
          <w:tcPr>
            <w:tcW w:type="dxa" w:w="8208"/>
            <w:shd w:fill="1F4E79"/>
            <w:vAlign w:val="top"/>
          </w:tcPr>
          <w:p>
            <w:pPr>
              <w:spacing w:after="20" w:line="240" w:lineRule="auto"/>
            </w:pPr>
            <w:r>
              <w:rPr>
                <w:rFonts w:ascii="Arial" w:hAnsi="Arial"/>
                <w:b/>
                <w:color w:val="FFFFFF"/>
                <w:sz w:val="15"/>
              </w:rPr>
              <w:t>Short Rationale</w:t>
            </w:r>
          </w:p>
        </w:tc>
      </w:tr>
      <w:tr>
        <w:tc>
          <w:tcPr>
            <w:tcW w:type="dxa" w:w="1224"/>
            <w:vAlign w:val="top"/>
          </w:tcPr>
          <w:p>
            <w:pPr>
              <w:spacing w:after="20" w:line="240" w:lineRule="auto"/>
            </w:pPr>
            <w:r>
              <w:rPr>
                <w:rFonts w:ascii="Arial" w:hAnsi="Arial"/>
                <w:b w:val="0"/>
                <w:color w:val="595959"/>
                <w:sz w:val="15"/>
              </w:rPr>
              <w:t>Layer</w:t>
            </w:r>
          </w:p>
        </w:tc>
        <w:tc>
          <w:tcPr>
            <w:tcW w:type="dxa" w:w="2088"/>
            <w:vAlign w:val="top"/>
          </w:tcPr>
          <w:p>
            <w:pPr>
              <w:spacing w:after="20" w:line="240" w:lineRule="auto"/>
            </w:pPr>
            <w:r>
              <w:rPr>
                <w:rFonts w:ascii="Arial" w:hAnsi="Arial"/>
                <w:b w:val="0"/>
                <w:color w:val="595959"/>
                <w:sz w:val="15"/>
              </w:rPr>
              <w:t>Credit layer health</w:t>
            </w:r>
          </w:p>
        </w:tc>
        <w:tc>
          <w:tcPr>
            <w:tcW w:type="dxa" w:w="1152"/>
            <w:vAlign w:val="top"/>
          </w:tcPr>
          <w:p>
            <w:pPr>
              <w:spacing w:after="20" w:line="240" w:lineRule="auto"/>
            </w:pPr>
            <w:r>
              <w:rPr>
                <w:rFonts w:ascii="Arial" w:hAnsi="Arial"/>
                <w:b w:val="0"/>
                <w:color w:val="595959"/>
                <w:sz w:val="15"/>
              </w:rPr>
              <w:t>credit</w:t>
            </w:r>
          </w:p>
        </w:tc>
        <w:tc>
          <w:tcPr>
            <w:tcW w:type="dxa" w:w="1008"/>
            <w:vAlign w:val="top"/>
          </w:tcPr>
          <w:p>
            <w:pPr>
              <w:spacing w:after="20" w:line="240" w:lineRule="auto"/>
            </w:pPr>
            <w:r>
              <w:rPr>
                <w:rFonts w:ascii="Arial" w:hAnsi="Arial"/>
                <w:b w:val="0"/>
                <w:color w:val="C00000"/>
                <w:sz w:val="15"/>
              </w:rPr>
              <w:t>-0.42</w:t>
            </w:r>
          </w:p>
        </w:tc>
        <w:tc>
          <w:tcPr>
            <w:tcW w:type="dxa" w:w="8208"/>
            <w:vAlign w:val="top"/>
          </w:tcPr>
          <w:p>
            <w:pPr>
              <w:spacing w:after="20" w:line="240" w:lineRule="auto"/>
            </w:pPr>
            <w:r>
              <w:rPr>
                <w:rFonts w:ascii="Arial" w:hAnsi="Arial"/>
                <w:b w:val="0"/>
                <w:color w:val="595959"/>
                <w:sz w:val="15"/>
              </w:rPr>
              <w:t>Healthy credit reduces near-term risk-off odds.</w:t>
            </w:r>
          </w:p>
        </w:tc>
      </w:tr>
      <w:tr>
        <w:tc>
          <w:tcPr>
            <w:tcW w:type="dxa" w:w="1224"/>
            <w:shd w:fill="F7F9FC"/>
            <w:vAlign w:val="top"/>
          </w:tcPr>
          <w:p>
            <w:pPr>
              <w:spacing w:after="20" w:line="240" w:lineRule="auto"/>
            </w:pPr>
            <w:r>
              <w:rPr>
                <w:rFonts w:ascii="Arial" w:hAnsi="Arial"/>
                <w:b w:val="0"/>
                <w:color w:val="595959"/>
                <w:sz w:val="15"/>
              </w:rPr>
              <w:t>Layer</w:t>
            </w:r>
          </w:p>
        </w:tc>
        <w:tc>
          <w:tcPr>
            <w:tcW w:type="dxa" w:w="2088"/>
            <w:shd w:fill="F7F9FC"/>
            <w:vAlign w:val="top"/>
          </w:tcPr>
          <w:p>
            <w:pPr>
              <w:spacing w:after="20" w:line="240" w:lineRule="auto"/>
            </w:pPr>
            <w:r>
              <w:rPr>
                <w:rFonts w:ascii="Arial" w:hAnsi="Arial"/>
                <w:b w:val="0"/>
                <w:color w:val="595959"/>
                <w:sz w:val="15"/>
              </w:rPr>
              <w:t>Breadth and participation</w:t>
            </w:r>
          </w:p>
        </w:tc>
        <w:tc>
          <w:tcPr>
            <w:tcW w:type="dxa" w:w="1152"/>
            <w:shd w:fill="F7F9FC"/>
            <w:vAlign w:val="top"/>
          </w:tcPr>
          <w:p>
            <w:pPr>
              <w:spacing w:after="20" w:line="240" w:lineRule="auto"/>
            </w:pPr>
            <w:r>
              <w:rPr>
                <w:rFonts w:ascii="Arial" w:hAnsi="Arial"/>
                <w:b w:val="0"/>
                <w:color w:val="595959"/>
                <w:sz w:val="15"/>
              </w:rPr>
              <w:t>breadth</w:t>
            </w:r>
          </w:p>
        </w:tc>
        <w:tc>
          <w:tcPr>
            <w:tcW w:type="dxa" w:w="1008"/>
            <w:shd w:fill="F7F9FC"/>
            <w:vAlign w:val="top"/>
          </w:tcPr>
          <w:p>
            <w:pPr>
              <w:spacing w:after="20" w:line="240" w:lineRule="auto"/>
            </w:pPr>
            <w:r>
              <w:rPr>
                <w:rFonts w:ascii="Arial" w:hAnsi="Arial"/>
                <w:b w:val="0"/>
                <w:color w:val="375623"/>
                <w:sz w:val="15"/>
              </w:rPr>
              <w:t>+0.24</w:t>
            </w:r>
          </w:p>
        </w:tc>
        <w:tc>
          <w:tcPr>
            <w:tcW w:type="dxa" w:w="8208"/>
            <w:shd w:fill="F7F9FC"/>
            <w:vAlign w:val="top"/>
          </w:tcPr>
          <w:p>
            <w:pPr>
              <w:spacing w:after="20" w:line="240" w:lineRule="auto"/>
            </w:pPr>
            <w:r>
              <w:rPr>
                <w:rFonts w:ascii="Arial" w:hAnsi="Arial"/>
                <w:b w:val="0"/>
                <w:color w:val="595959"/>
                <w:sz w:val="15"/>
              </w:rPr>
              <w:t>Weak breadth raises fragility risk.</w:t>
            </w:r>
          </w:p>
        </w:tc>
      </w:tr>
      <w:tr>
        <w:tc>
          <w:tcPr>
            <w:tcW w:type="dxa" w:w="1224"/>
            <w:vAlign w:val="top"/>
          </w:tcPr>
          <w:p>
            <w:pPr>
              <w:spacing w:after="20" w:line="240" w:lineRule="auto"/>
            </w:pPr>
            <w:r>
              <w:rPr>
                <w:rFonts w:ascii="Arial" w:hAnsi="Arial"/>
                <w:b w:val="0"/>
                <w:color w:val="595959"/>
                <w:sz w:val="15"/>
              </w:rPr>
              <w:t>Layer</w:t>
            </w:r>
          </w:p>
        </w:tc>
        <w:tc>
          <w:tcPr>
            <w:tcW w:type="dxa" w:w="2088"/>
            <w:vAlign w:val="top"/>
          </w:tcPr>
          <w:p>
            <w:pPr>
              <w:spacing w:after="20" w:line="240" w:lineRule="auto"/>
            </w:pPr>
            <w:r>
              <w:rPr>
                <w:rFonts w:ascii="Arial" w:hAnsi="Arial"/>
                <w:b w:val="0"/>
                <w:color w:val="595959"/>
                <w:sz w:val="15"/>
              </w:rPr>
              <w:t>Volatility layer summary</w:t>
            </w:r>
          </w:p>
        </w:tc>
        <w:tc>
          <w:tcPr>
            <w:tcW w:type="dxa" w:w="1152"/>
            <w:vAlign w:val="top"/>
          </w:tcPr>
          <w:p>
            <w:pPr>
              <w:spacing w:after="20" w:line="240" w:lineRule="auto"/>
            </w:pPr>
            <w:r>
              <w:rPr>
                <w:rFonts w:ascii="Arial" w:hAnsi="Arial"/>
                <w:b w:val="0"/>
                <w:color w:val="595959"/>
                <w:sz w:val="15"/>
              </w:rPr>
              <w:t>volatility</w:t>
            </w:r>
          </w:p>
        </w:tc>
        <w:tc>
          <w:tcPr>
            <w:tcW w:type="dxa" w:w="1008"/>
            <w:vAlign w:val="top"/>
          </w:tcPr>
          <w:p>
            <w:pPr>
              <w:spacing w:after="20" w:line="240" w:lineRule="auto"/>
            </w:pPr>
            <w:r>
              <w:rPr>
                <w:rFonts w:ascii="Arial" w:hAnsi="Arial"/>
                <w:b w:val="0"/>
                <w:color w:val="C00000"/>
                <w:sz w:val="15"/>
              </w:rPr>
              <w:t>-0.18</w:t>
            </w:r>
          </w:p>
        </w:tc>
        <w:tc>
          <w:tcPr>
            <w:tcW w:type="dxa" w:w="8208"/>
            <w:vAlign w:val="top"/>
          </w:tcPr>
          <w:p>
            <w:pPr>
              <w:spacing w:after="20" w:line="240" w:lineRule="auto"/>
            </w:pPr>
            <w:r>
              <w:rPr>
                <w:rFonts w:ascii="Arial" w:hAnsi="Arial"/>
                <w:b w:val="0"/>
                <w:color w:val="595959"/>
                <w:sz w:val="15"/>
              </w:rPr>
              <w:t>Orderly volatility structure reduces risk-off odds.</w:t>
            </w:r>
          </w:p>
        </w:tc>
      </w:tr>
      <w:tr>
        <w:tc>
          <w:tcPr>
            <w:tcW w:type="dxa" w:w="1224"/>
            <w:shd w:fill="F7F9FC"/>
            <w:vAlign w:val="top"/>
          </w:tcPr>
          <w:p>
            <w:pPr>
              <w:spacing w:after="20" w:line="240" w:lineRule="auto"/>
            </w:pPr>
            <w:r>
              <w:rPr>
                <w:rFonts w:ascii="Arial" w:hAnsi="Arial"/>
                <w:b w:val="0"/>
                <w:color w:val="595959"/>
                <w:sz w:val="15"/>
              </w:rPr>
              <w:t>Layer</w:t>
            </w:r>
          </w:p>
        </w:tc>
        <w:tc>
          <w:tcPr>
            <w:tcW w:type="dxa" w:w="2088"/>
            <w:shd w:fill="F7F9FC"/>
            <w:vAlign w:val="top"/>
          </w:tcPr>
          <w:p>
            <w:pPr>
              <w:spacing w:after="20" w:line="240" w:lineRule="auto"/>
            </w:pPr>
            <w:r>
              <w:rPr>
                <w:rFonts w:ascii="Arial" w:hAnsi="Arial"/>
                <w:b w:val="0"/>
                <w:color w:val="595959"/>
                <w:sz w:val="15"/>
              </w:rPr>
              <w:t>Positioning and hedging</w:t>
            </w:r>
          </w:p>
        </w:tc>
        <w:tc>
          <w:tcPr>
            <w:tcW w:type="dxa" w:w="1152"/>
            <w:shd w:fill="F7F9FC"/>
            <w:vAlign w:val="top"/>
          </w:tcPr>
          <w:p>
            <w:pPr>
              <w:spacing w:after="20" w:line="240" w:lineRule="auto"/>
            </w:pPr>
            <w:r>
              <w:rPr>
                <w:rFonts w:ascii="Arial" w:hAnsi="Arial"/>
                <w:b w:val="0"/>
                <w:color w:val="595959"/>
                <w:sz w:val="15"/>
              </w:rPr>
              <w:t>positioning</w:t>
            </w:r>
          </w:p>
        </w:tc>
        <w:tc>
          <w:tcPr>
            <w:tcW w:type="dxa" w:w="1008"/>
            <w:shd w:fill="F7F9FC"/>
            <w:vAlign w:val="top"/>
          </w:tcPr>
          <w:p>
            <w:pPr>
              <w:spacing w:after="20" w:line="240" w:lineRule="auto"/>
            </w:pPr>
            <w:r>
              <w:rPr>
                <w:rFonts w:ascii="Arial" w:hAnsi="Arial"/>
                <w:b w:val="0"/>
                <w:color w:val="375623"/>
                <w:sz w:val="15"/>
              </w:rPr>
              <w:t>+0.12</w:t>
            </w:r>
          </w:p>
        </w:tc>
        <w:tc>
          <w:tcPr>
            <w:tcW w:type="dxa" w:w="8208"/>
            <w:shd w:fill="F7F9FC"/>
            <w:vAlign w:val="top"/>
          </w:tcPr>
          <w:p>
            <w:pPr>
              <w:spacing w:after="20" w:line="240" w:lineRule="auto"/>
            </w:pPr>
            <w:r>
              <w:rPr>
                <w:rFonts w:ascii="Arial" w:hAnsi="Arial"/>
                <w:b w:val="0"/>
                <w:color w:val="595959"/>
                <w:sz w:val="15"/>
              </w:rPr>
              <w:t>Elevated hedging also signals fragility.</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Hy Spread Level</w:t>
            </w:r>
          </w:p>
        </w:tc>
        <w:tc>
          <w:tcPr>
            <w:tcW w:type="dxa" w:w="1152"/>
            <w:vAlign w:val="top"/>
          </w:tcPr>
          <w:p>
            <w:pPr>
              <w:spacing w:after="20" w:line="240" w:lineRule="auto"/>
            </w:pPr>
            <w:r>
              <w:rPr>
                <w:rFonts w:ascii="Arial" w:hAnsi="Arial"/>
                <w:b w:val="0"/>
                <w:color w:val="595959"/>
                <w:sz w:val="15"/>
              </w:rPr>
              <w:t>credit</w:t>
            </w:r>
          </w:p>
        </w:tc>
        <w:tc>
          <w:tcPr>
            <w:tcW w:type="dxa" w:w="1008"/>
            <w:vAlign w:val="top"/>
          </w:tcPr>
          <w:p>
            <w:pPr>
              <w:spacing w:after="20" w:line="240" w:lineRule="auto"/>
            </w:pPr>
            <w:r>
              <w:rPr>
                <w:rFonts w:ascii="Arial" w:hAnsi="Arial"/>
                <w:b w:val="0"/>
                <w:color w:val="C00000"/>
                <w:sz w:val="15"/>
              </w:rPr>
              <w:t>-0.07</w:t>
            </w:r>
          </w:p>
        </w:tc>
        <w:tc>
          <w:tcPr>
            <w:tcW w:type="dxa" w:w="8208"/>
            <w:vAlign w:val="top"/>
          </w:tcPr>
          <w:p>
            <w:pPr>
              <w:spacing w:after="20" w:line="240" w:lineRule="auto"/>
            </w:pPr>
            <w:r>
              <w:rPr>
                <w:rFonts w:ascii="Arial" w:hAnsi="Arial"/>
                <w:b w:val="0"/>
                <w:color w:val="595959"/>
                <w:sz w:val="15"/>
              </w:rPr>
              <w:t>Tight HY spreads reduce risk-off odds.</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NFCI inverted</w:t>
            </w:r>
          </w:p>
        </w:tc>
        <w:tc>
          <w:tcPr>
            <w:tcW w:type="dxa" w:w="1152"/>
            <w:shd w:fill="F7F9FC"/>
            <w:vAlign w:val="top"/>
          </w:tcPr>
          <w:p>
            <w:pPr>
              <w:spacing w:after="20" w:line="240" w:lineRule="auto"/>
            </w:pPr>
            <w:r>
              <w:rPr>
                <w:rFonts w:ascii="Arial" w:hAnsi="Arial"/>
                <w:b w:val="0"/>
                <w:color w:val="595959"/>
                <w:sz w:val="15"/>
              </w:rPr>
              <w:t>monetary</w:t>
            </w:r>
          </w:p>
        </w:tc>
        <w:tc>
          <w:tcPr>
            <w:tcW w:type="dxa" w:w="1008"/>
            <w:shd w:fill="F7F9FC"/>
            <w:vAlign w:val="top"/>
          </w:tcPr>
          <w:p>
            <w:pPr>
              <w:spacing w:after="20" w:line="240" w:lineRule="auto"/>
            </w:pPr>
            <w:r>
              <w:rPr>
                <w:rFonts w:ascii="Arial" w:hAnsi="Arial"/>
                <w:b w:val="0"/>
                <w:color w:val="C00000"/>
                <w:sz w:val="15"/>
              </w:rPr>
              <w:t>-0.05</w:t>
            </w:r>
          </w:p>
        </w:tc>
        <w:tc>
          <w:tcPr>
            <w:tcW w:type="dxa" w:w="8208"/>
            <w:shd w:fill="F7F9FC"/>
            <w:vAlign w:val="top"/>
          </w:tcPr>
          <w:p>
            <w:pPr>
              <w:spacing w:after="20" w:line="240" w:lineRule="auto"/>
            </w:pPr>
            <w:r>
              <w:rPr>
                <w:rFonts w:ascii="Arial" w:hAnsi="Arial"/>
                <w:b w:val="0"/>
                <w:color w:val="595959"/>
                <w:sz w:val="15"/>
              </w:rPr>
              <w:t>Easier liquidity reduces break risk.</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Hy Spread Z</w:t>
            </w:r>
          </w:p>
        </w:tc>
        <w:tc>
          <w:tcPr>
            <w:tcW w:type="dxa" w:w="1152"/>
            <w:vAlign w:val="top"/>
          </w:tcPr>
          <w:p>
            <w:pPr>
              <w:spacing w:after="20" w:line="240" w:lineRule="auto"/>
            </w:pPr>
            <w:r>
              <w:rPr>
                <w:rFonts w:ascii="Arial" w:hAnsi="Arial"/>
                <w:b w:val="0"/>
                <w:color w:val="595959"/>
                <w:sz w:val="15"/>
              </w:rPr>
              <w:t>credit</w:t>
            </w:r>
          </w:p>
        </w:tc>
        <w:tc>
          <w:tcPr>
            <w:tcW w:type="dxa" w:w="1008"/>
            <w:vAlign w:val="top"/>
          </w:tcPr>
          <w:p>
            <w:pPr>
              <w:spacing w:after="20" w:line="240" w:lineRule="auto"/>
            </w:pPr>
            <w:r>
              <w:rPr>
                <w:rFonts w:ascii="Arial" w:hAnsi="Arial"/>
                <w:b w:val="0"/>
                <w:color w:val="C00000"/>
                <w:sz w:val="15"/>
              </w:rPr>
              <w:t>-0.05</w:t>
            </w:r>
          </w:p>
        </w:tc>
        <w:tc>
          <w:tcPr>
            <w:tcW w:type="dxa" w:w="8208"/>
            <w:vAlign w:val="top"/>
          </w:tcPr>
          <w:p>
            <w:pPr>
              <w:spacing w:after="20" w:line="240" w:lineRule="auto"/>
            </w:pPr>
            <w:r>
              <w:rPr>
                <w:rFonts w:ascii="Arial" w:hAnsi="Arial"/>
                <w:b w:val="0"/>
                <w:color w:val="595959"/>
                <w:sz w:val="15"/>
              </w:rPr>
              <w:t>HY spreads are tight versus recent history.</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Pct Above 200D</w:t>
            </w:r>
          </w:p>
        </w:tc>
        <w:tc>
          <w:tcPr>
            <w:tcW w:type="dxa" w:w="1152"/>
            <w:shd w:fill="F7F9FC"/>
            <w:vAlign w:val="top"/>
          </w:tcPr>
          <w:p>
            <w:pPr>
              <w:spacing w:after="20" w:line="240" w:lineRule="auto"/>
            </w:pPr>
            <w:r>
              <w:rPr>
                <w:rFonts w:ascii="Arial" w:hAnsi="Arial"/>
                <w:b w:val="0"/>
                <w:color w:val="595959"/>
                <w:sz w:val="15"/>
              </w:rPr>
              <w:t>breadth</w:t>
            </w:r>
          </w:p>
        </w:tc>
        <w:tc>
          <w:tcPr>
            <w:tcW w:type="dxa" w:w="1008"/>
            <w:shd w:fill="F7F9FC"/>
            <w:vAlign w:val="top"/>
          </w:tcPr>
          <w:p>
            <w:pPr>
              <w:spacing w:after="20" w:line="240" w:lineRule="auto"/>
            </w:pPr>
            <w:r>
              <w:rPr>
                <w:rFonts w:ascii="Arial" w:hAnsi="Arial"/>
                <w:b w:val="0"/>
                <w:color w:val="C00000"/>
                <w:sz w:val="15"/>
              </w:rPr>
              <w:t>-0.04</w:t>
            </w:r>
          </w:p>
        </w:tc>
        <w:tc>
          <w:tcPr>
            <w:tcW w:type="dxa" w:w="8208"/>
            <w:shd w:fill="F7F9FC"/>
            <w:vAlign w:val="top"/>
          </w:tcPr>
          <w:p>
            <w:pPr>
              <w:spacing w:after="20" w:line="240" w:lineRule="auto"/>
            </w:pPr>
            <w:r>
              <w:rPr>
                <w:rFonts w:ascii="Arial" w:hAnsi="Arial"/>
                <w:b w:val="0"/>
                <w:color w:val="595959"/>
                <w:sz w:val="15"/>
              </w:rPr>
              <w:t>pct_above_200d lowers market fragility.</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Sectors Green</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C00000"/>
                <w:sz w:val="15"/>
              </w:rPr>
              <w:t>-0.04</w:t>
            </w:r>
          </w:p>
        </w:tc>
        <w:tc>
          <w:tcPr>
            <w:tcW w:type="dxa" w:w="8208"/>
            <w:vAlign w:val="top"/>
          </w:tcPr>
          <w:p>
            <w:pPr>
              <w:spacing w:after="20" w:line="240" w:lineRule="auto"/>
            </w:pPr>
            <w:r>
              <w:rPr>
                <w:rFonts w:ascii="Arial" w:hAnsi="Arial"/>
                <w:b w:val="0"/>
                <w:color w:val="595959"/>
                <w:sz w:val="15"/>
              </w:rPr>
              <w:t>sectors_green lowers market fragility.</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Vix Term Slope</w:t>
            </w:r>
          </w:p>
        </w:tc>
        <w:tc>
          <w:tcPr>
            <w:tcW w:type="dxa" w:w="1152"/>
            <w:shd w:fill="F7F9FC"/>
            <w:vAlign w:val="top"/>
          </w:tcPr>
          <w:p>
            <w:pPr>
              <w:spacing w:after="20" w:line="240" w:lineRule="auto"/>
            </w:pPr>
            <w:r>
              <w:rPr>
                <w:rFonts w:ascii="Arial" w:hAnsi="Arial"/>
                <w:b w:val="0"/>
                <w:color w:val="595959"/>
                <w:sz w:val="15"/>
              </w:rPr>
              <w:t>volatility</w:t>
            </w:r>
          </w:p>
        </w:tc>
        <w:tc>
          <w:tcPr>
            <w:tcW w:type="dxa" w:w="1008"/>
            <w:shd w:fill="F7F9FC"/>
            <w:vAlign w:val="top"/>
          </w:tcPr>
          <w:p>
            <w:pPr>
              <w:spacing w:after="20" w:line="240" w:lineRule="auto"/>
            </w:pPr>
            <w:r>
              <w:rPr>
                <w:rFonts w:ascii="Arial" w:hAnsi="Arial"/>
                <w:b w:val="0"/>
                <w:color w:val="C00000"/>
                <w:sz w:val="15"/>
              </w:rPr>
              <w:t>-0.03</w:t>
            </w:r>
          </w:p>
        </w:tc>
        <w:tc>
          <w:tcPr>
            <w:tcW w:type="dxa" w:w="8208"/>
            <w:shd w:fill="F7F9FC"/>
            <w:vAlign w:val="top"/>
          </w:tcPr>
          <w:p>
            <w:pPr>
              <w:spacing w:after="20" w:line="240" w:lineRule="auto"/>
            </w:pPr>
            <w:r>
              <w:rPr>
                <w:rFonts w:ascii="Arial" w:hAnsi="Arial"/>
                <w:b w:val="0"/>
                <w:color w:val="595959"/>
                <w:sz w:val="15"/>
              </w:rPr>
              <w:t>VIX term structure is in contango.</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Ig Spread Level</w:t>
            </w:r>
          </w:p>
        </w:tc>
        <w:tc>
          <w:tcPr>
            <w:tcW w:type="dxa" w:w="1152"/>
            <w:vAlign w:val="top"/>
          </w:tcPr>
          <w:p>
            <w:pPr>
              <w:spacing w:after="20" w:line="240" w:lineRule="auto"/>
            </w:pPr>
            <w:r>
              <w:rPr>
                <w:rFonts w:ascii="Arial" w:hAnsi="Arial"/>
                <w:b w:val="0"/>
                <w:color w:val="595959"/>
                <w:sz w:val="15"/>
              </w:rPr>
              <w:t>credit</w:t>
            </w:r>
          </w:p>
        </w:tc>
        <w:tc>
          <w:tcPr>
            <w:tcW w:type="dxa" w:w="1008"/>
            <w:vAlign w:val="top"/>
          </w:tcPr>
          <w:p>
            <w:pPr>
              <w:spacing w:after="20" w:line="240" w:lineRule="auto"/>
            </w:pPr>
            <w:r>
              <w:rPr>
                <w:rFonts w:ascii="Arial" w:hAnsi="Arial"/>
                <w:b w:val="0"/>
                <w:color w:val="C00000"/>
                <w:sz w:val="15"/>
              </w:rPr>
              <w:t>-0.03</w:t>
            </w:r>
          </w:p>
        </w:tc>
        <w:tc>
          <w:tcPr>
            <w:tcW w:type="dxa" w:w="8208"/>
            <w:vAlign w:val="top"/>
          </w:tcPr>
          <w:p>
            <w:pPr>
              <w:spacing w:after="20" w:line="240" w:lineRule="auto"/>
            </w:pPr>
            <w:r>
              <w:rPr>
                <w:rFonts w:ascii="Arial" w:hAnsi="Arial"/>
                <w:b w:val="0"/>
                <w:color w:val="595959"/>
                <w:sz w:val="15"/>
              </w:rPr>
              <w:t>Tight IG spreads reduce systemic stress.</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Hyg Tlt Ratio Z</w:t>
            </w:r>
          </w:p>
        </w:tc>
        <w:tc>
          <w:tcPr>
            <w:tcW w:type="dxa" w:w="1152"/>
            <w:shd w:fill="F7F9FC"/>
            <w:vAlign w:val="top"/>
          </w:tcPr>
          <w:p>
            <w:pPr>
              <w:spacing w:after="20" w:line="240" w:lineRule="auto"/>
            </w:pPr>
            <w:r>
              <w:rPr>
                <w:rFonts w:ascii="Arial" w:hAnsi="Arial"/>
                <w:b w:val="0"/>
                <w:color w:val="595959"/>
                <w:sz w:val="15"/>
              </w:rPr>
              <w:t>credit</w:t>
            </w:r>
          </w:p>
        </w:tc>
        <w:tc>
          <w:tcPr>
            <w:tcW w:type="dxa" w:w="1008"/>
            <w:shd w:fill="F7F9FC"/>
            <w:vAlign w:val="top"/>
          </w:tcPr>
          <w:p>
            <w:pPr>
              <w:spacing w:after="20" w:line="240" w:lineRule="auto"/>
            </w:pPr>
            <w:r>
              <w:rPr>
                <w:rFonts w:ascii="Arial" w:hAnsi="Arial"/>
                <w:b w:val="0"/>
                <w:color w:val="C00000"/>
                <w:sz w:val="15"/>
              </w:rPr>
              <w:t>-0.03</w:t>
            </w:r>
          </w:p>
        </w:tc>
        <w:tc>
          <w:tcPr>
            <w:tcW w:type="dxa" w:w="8208"/>
            <w:shd w:fill="F7F9FC"/>
            <w:vAlign w:val="top"/>
          </w:tcPr>
          <w:p>
            <w:pPr>
              <w:spacing w:after="20" w:line="240" w:lineRule="auto"/>
            </w:pPr>
            <w:r>
              <w:rPr>
                <w:rFonts w:ascii="Arial" w:hAnsi="Arial"/>
                <w:b w:val="0"/>
                <w:color w:val="595959"/>
                <w:sz w:val="15"/>
              </w:rPr>
              <w:t>HYG/TLT reduces risk-off pressure.</w:t>
            </w:r>
          </w:p>
        </w:tc>
      </w:tr>
    </w:tbl>
    <w:p>
      <w:pPr>
        <w:spacing w:after="120"/>
      </w:pPr>
    </w:p>
    <w:p>
      <w:pPr>
        <w:spacing w:before="180" w:after="80"/>
      </w:pPr>
      <w:r>
        <w:rPr>
          <w:rFonts w:ascii="Arial" w:hAnsi="Arial"/>
          <w:b/>
          <w:color w:val="2E75B6"/>
          <w:sz w:val="21"/>
        </w:rPr>
        <w:t>AI Capex Rollover</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Prior</w:t>
            </w:r>
          </w:p>
        </w:tc>
        <w:tc>
          <w:tcPr>
            <w:tcW w:type="dxa" w:w="11520"/>
            <w:vAlign w:val="top"/>
          </w:tcPr>
          <w:p>
            <w:pPr>
              <w:spacing w:after="20" w:line="240" w:lineRule="auto"/>
            </w:pPr>
            <w:r>
              <w:rPr>
                <w:rFonts w:ascii="Arial" w:hAnsi="Arial"/>
                <w:b w:val="0"/>
                <w:color w:val="595959"/>
                <w:sz w:val="15"/>
              </w:rPr>
              <w:t>10.00%</w:t>
            </w:r>
          </w:p>
        </w:tc>
      </w:tr>
      <w:tr>
        <w:tc>
          <w:tcPr>
            <w:tcW w:type="dxa" w:w="2160"/>
            <w:shd w:fill="EAF2F8"/>
            <w:vAlign w:val="top"/>
          </w:tcPr>
          <w:p>
            <w:pPr>
              <w:spacing w:after="20" w:line="240" w:lineRule="auto"/>
            </w:pPr>
            <w:r>
              <w:rPr>
                <w:rFonts w:ascii="Arial" w:hAnsi="Arial"/>
                <w:b/>
                <w:color w:val="1F4E79"/>
                <w:sz w:val="15"/>
              </w:rPr>
              <w:t>Prior score/log score</w:t>
            </w:r>
          </w:p>
        </w:tc>
        <w:tc>
          <w:tcPr>
            <w:tcW w:type="dxa" w:w="11520"/>
            <w:vAlign w:val="top"/>
          </w:tcPr>
          <w:p>
            <w:pPr>
              <w:spacing w:after="20" w:line="240" w:lineRule="auto"/>
            </w:pPr>
            <w:r>
              <w:rPr>
                <w:rFonts w:ascii="Arial" w:hAnsi="Arial"/>
                <w:b w:val="0"/>
                <w:color w:val="C00000"/>
                <w:sz w:val="15"/>
              </w:rPr>
              <w:t>-2.20</w:t>
            </w:r>
          </w:p>
        </w:tc>
      </w:tr>
      <w:tr>
        <w:tc>
          <w:tcPr>
            <w:tcW w:type="dxa" w:w="2160"/>
            <w:shd w:fill="EAF2F8"/>
            <w:vAlign w:val="top"/>
          </w:tcPr>
          <w:p>
            <w:pPr>
              <w:spacing w:after="20" w:line="240" w:lineRule="auto"/>
            </w:pPr>
            <w:r>
              <w:rPr>
                <w:rFonts w:ascii="Arial" w:hAnsi="Arial"/>
                <w:b/>
                <w:color w:val="1F4E79"/>
                <w:sz w:val="15"/>
              </w:rPr>
              <w:t>Raw score before softmax</w:t>
            </w:r>
          </w:p>
        </w:tc>
        <w:tc>
          <w:tcPr>
            <w:tcW w:type="dxa" w:w="11520"/>
            <w:vAlign w:val="top"/>
          </w:tcPr>
          <w:p>
            <w:pPr>
              <w:spacing w:after="20" w:line="240" w:lineRule="auto"/>
            </w:pPr>
            <w:r>
              <w:rPr>
                <w:rFonts w:ascii="Arial" w:hAnsi="Arial"/>
                <w:b w:val="0"/>
                <w:color w:val="C00000"/>
                <w:sz w:val="15"/>
              </w:rPr>
              <w:t>-2.68</w:t>
            </w:r>
          </w:p>
        </w:tc>
      </w:tr>
      <w:tr>
        <w:tc>
          <w:tcPr>
            <w:tcW w:type="dxa" w:w="2160"/>
            <w:shd w:fill="EAF2F8"/>
            <w:vAlign w:val="top"/>
          </w:tcPr>
          <w:p>
            <w:pPr>
              <w:spacing w:after="20" w:line="240" w:lineRule="auto"/>
            </w:pPr>
            <w:r>
              <w:rPr>
                <w:rFonts w:ascii="Arial" w:hAnsi="Arial"/>
                <w:b/>
                <w:color w:val="1F4E79"/>
                <w:sz w:val="15"/>
              </w:rPr>
              <w:t>Pre-floor posterior</w:t>
            </w:r>
          </w:p>
        </w:tc>
        <w:tc>
          <w:tcPr>
            <w:tcW w:type="dxa" w:w="11520"/>
            <w:vAlign w:val="top"/>
          </w:tcPr>
          <w:p>
            <w:pPr>
              <w:spacing w:after="20" w:line="240" w:lineRule="auto"/>
            </w:pPr>
            <w:r>
              <w:rPr>
                <w:rFonts w:ascii="Arial" w:hAnsi="Arial"/>
                <w:b w:val="0"/>
                <w:color w:val="595959"/>
                <w:sz w:val="15"/>
              </w:rPr>
              <w:t>2.71%</w:t>
            </w:r>
          </w:p>
        </w:tc>
      </w:tr>
      <w:tr>
        <w:tc>
          <w:tcPr>
            <w:tcW w:type="dxa" w:w="2160"/>
            <w:shd w:fill="EAF2F8"/>
            <w:vAlign w:val="top"/>
          </w:tcPr>
          <w:p>
            <w:pPr>
              <w:spacing w:after="20" w:line="240" w:lineRule="auto"/>
            </w:pPr>
            <w:r>
              <w:rPr>
                <w:rFonts w:ascii="Arial" w:hAnsi="Arial"/>
                <w:b/>
                <w:color w:val="1F4E79"/>
                <w:sz w:val="15"/>
              </w:rPr>
              <w:t>Final posterior</w:t>
            </w:r>
          </w:p>
        </w:tc>
        <w:tc>
          <w:tcPr>
            <w:tcW w:type="dxa" w:w="11520"/>
            <w:vAlign w:val="top"/>
          </w:tcPr>
          <w:p>
            <w:pPr>
              <w:spacing w:after="20" w:line="240" w:lineRule="auto"/>
            </w:pPr>
            <w:r>
              <w:rPr>
                <w:rFonts w:ascii="Arial" w:hAnsi="Arial"/>
                <w:b w:val="0"/>
                <w:color w:val="595959"/>
                <w:sz w:val="15"/>
              </w:rPr>
              <w:t>5.00%</w:t>
            </w:r>
          </w:p>
        </w:tc>
      </w:tr>
      <w:tr>
        <w:tc>
          <w:tcPr>
            <w:tcW w:type="dxa" w:w="2160"/>
            <w:shd w:fill="EAF2F8"/>
            <w:vAlign w:val="top"/>
          </w:tcPr>
          <w:p>
            <w:pPr>
              <w:spacing w:after="20" w:line="240" w:lineRule="auto"/>
            </w:pPr>
            <w:r>
              <w:rPr>
                <w:rFonts w:ascii="Arial" w:hAnsi="Arial"/>
                <w:b/>
                <w:color w:val="1F4E79"/>
                <w:sz w:val="15"/>
              </w:rPr>
              <w:t>Floor applied</w:t>
            </w:r>
          </w:p>
        </w:tc>
        <w:tc>
          <w:tcPr>
            <w:tcW w:type="dxa" w:w="11520"/>
            <w:vAlign w:val="top"/>
          </w:tcPr>
          <w:p>
            <w:pPr>
              <w:spacing w:after="20" w:line="240" w:lineRule="auto"/>
            </w:pPr>
            <w:r>
              <w:rPr>
                <w:rFonts w:ascii="Arial" w:hAnsi="Arial"/>
                <w:b w:val="0"/>
                <w:color w:val="595959"/>
                <w:sz w:val="15"/>
              </w:rPr>
              <w:t>True (5.00%)</w:t>
            </w:r>
          </w:p>
        </w:tc>
      </w:tr>
      <w:tr>
        <w:tc>
          <w:tcPr>
            <w:tcW w:type="dxa" w:w="2160"/>
            <w:shd w:fill="EAF2F8"/>
            <w:vAlign w:val="top"/>
          </w:tcPr>
          <w:p>
            <w:pPr>
              <w:spacing w:after="20" w:line="240" w:lineRule="auto"/>
            </w:pPr>
            <w:r>
              <w:rPr>
                <w:rFonts w:ascii="Arial" w:hAnsi="Arial"/>
                <w:b/>
                <w:color w:val="1F4E79"/>
                <w:sz w:val="15"/>
              </w:rPr>
              <w:t>Cap applied</w:t>
            </w:r>
          </w:p>
        </w:tc>
        <w:tc>
          <w:tcPr>
            <w:tcW w:type="dxa" w:w="11520"/>
            <w:vAlign w:val="top"/>
          </w:tcPr>
          <w:p>
            <w:pPr>
              <w:spacing w:after="20" w:line="240" w:lineRule="auto"/>
            </w:pPr>
            <w:r>
              <w:rPr>
                <w:rFonts w:ascii="Arial" w:hAnsi="Arial"/>
                <w:b w:val="0"/>
                <w:color w:val="595959"/>
                <w:sz w:val="15"/>
              </w:rPr>
              <w:t>False (n/a)</w:t>
            </w:r>
          </w:p>
        </w:tc>
      </w:tr>
    </w:tbl>
    <w:p>
      <w:pPr>
        <w:spacing w:after="120"/>
      </w:pPr>
    </w:p>
    <w:p>
      <w:pPr>
        <w:spacing w:after="40"/>
      </w:pPr>
      <w:r>
        <w:rPr>
          <w:rFonts w:ascii="Arial" w:hAnsi="Arial"/>
          <w:b/>
          <w:color w:val="1F4E79"/>
          <w:sz w:val="17"/>
        </w:rPr>
        <w:t>Contributor Breakdown</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1224"/>
            <w:shd w:fill="1F4E79"/>
            <w:vAlign w:val="top"/>
          </w:tcPr>
          <w:p>
            <w:pPr>
              <w:spacing w:after="20" w:line="240" w:lineRule="auto"/>
            </w:pPr>
            <w:r>
              <w:rPr>
                <w:rFonts w:ascii="Arial" w:hAnsi="Arial"/>
                <w:b/>
                <w:color w:val="FFFFFF"/>
                <w:sz w:val="15"/>
              </w:rPr>
              <w:t>Type</w:t>
            </w:r>
          </w:p>
        </w:tc>
        <w:tc>
          <w:tcPr>
            <w:tcW w:type="dxa" w:w="2088"/>
            <w:shd w:fill="1F4E79"/>
            <w:vAlign w:val="top"/>
          </w:tcPr>
          <w:p>
            <w:pPr>
              <w:spacing w:after="20" w:line="240" w:lineRule="auto"/>
            </w:pPr>
            <w:r>
              <w:rPr>
                <w:rFonts w:ascii="Arial" w:hAnsi="Arial"/>
                <w:b/>
                <w:color w:val="FFFFFF"/>
                <w:sz w:val="15"/>
              </w:rPr>
              <w:t>Input</w:t>
            </w:r>
          </w:p>
        </w:tc>
        <w:tc>
          <w:tcPr>
            <w:tcW w:type="dxa" w:w="1152"/>
            <w:shd w:fill="1F4E79"/>
            <w:vAlign w:val="top"/>
          </w:tcPr>
          <w:p>
            <w:pPr>
              <w:spacing w:after="20" w:line="240" w:lineRule="auto"/>
            </w:pPr>
            <w:r>
              <w:rPr>
                <w:rFonts w:ascii="Arial" w:hAnsi="Arial"/>
                <w:b/>
                <w:color w:val="FFFFFF"/>
                <w:sz w:val="15"/>
              </w:rPr>
              <w:t>Parent</w:t>
            </w:r>
          </w:p>
        </w:tc>
        <w:tc>
          <w:tcPr>
            <w:tcW w:type="dxa" w:w="1008"/>
            <w:shd w:fill="1F4E79"/>
            <w:vAlign w:val="top"/>
          </w:tcPr>
          <w:p>
            <w:pPr>
              <w:spacing w:after="20" w:line="240" w:lineRule="auto"/>
            </w:pPr>
            <w:r>
              <w:rPr>
                <w:rFonts w:ascii="Arial" w:hAnsi="Arial"/>
                <w:b/>
                <w:color w:val="FFFFFF"/>
                <w:sz w:val="15"/>
              </w:rPr>
              <w:t>Contribution</w:t>
            </w:r>
          </w:p>
        </w:tc>
        <w:tc>
          <w:tcPr>
            <w:tcW w:type="dxa" w:w="8208"/>
            <w:shd w:fill="1F4E79"/>
            <w:vAlign w:val="top"/>
          </w:tcPr>
          <w:p>
            <w:pPr>
              <w:spacing w:after="20" w:line="240" w:lineRule="auto"/>
            </w:pPr>
            <w:r>
              <w:rPr>
                <w:rFonts w:ascii="Arial" w:hAnsi="Arial"/>
                <w:b/>
                <w:color w:val="FFFFFF"/>
                <w:sz w:val="15"/>
              </w:rPr>
              <w:t>Short Rationale</w:t>
            </w:r>
          </w:p>
        </w:tc>
      </w:tr>
      <w:tr>
        <w:tc>
          <w:tcPr>
            <w:tcW w:type="dxa" w:w="1224"/>
            <w:vAlign w:val="top"/>
          </w:tcPr>
          <w:p>
            <w:pPr>
              <w:spacing w:after="20" w:line="240" w:lineRule="auto"/>
            </w:pPr>
            <w:r>
              <w:rPr>
                <w:rFonts w:ascii="Arial" w:hAnsi="Arial"/>
                <w:b w:val="0"/>
                <w:color w:val="595959"/>
                <w:sz w:val="15"/>
              </w:rPr>
              <w:t>Regime Driver</w:t>
            </w:r>
          </w:p>
        </w:tc>
        <w:tc>
          <w:tcPr>
            <w:tcW w:type="dxa" w:w="2088"/>
            <w:vAlign w:val="top"/>
          </w:tcPr>
          <w:p>
            <w:pPr>
              <w:spacing w:after="20" w:line="240" w:lineRule="auto"/>
            </w:pPr>
            <w:r>
              <w:rPr>
                <w:rFonts w:ascii="Arial" w:hAnsi="Arial"/>
                <w:b w:val="0"/>
                <w:color w:val="595959"/>
                <w:sz w:val="15"/>
              </w:rPr>
              <w:t>AI earnings resilience</w:t>
            </w:r>
          </w:p>
        </w:tc>
        <w:tc>
          <w:tcPr>
            <w:tcW w:type="dxa" w:w="1152"/>
            <w:vAlign w:val="top"/>
          </w:tcPr>
          <w:p>
            <w:pPr>
              <w:spacing w:after="20" w:line="240" w:lineRule="auto"/>
            </w:pPr>
            <w:r>
              <w:rPr>
                <w:rFonts w:ascii="Arial" w:hAnsi="Arial"/>
                <w:b w:val="0"/>
                <w:color w:val="595959"/>
                <w:sz w:val="15"/>
              </w:rPr>
              <w:t>earnings</w:t>
            </w:r>
          </w:p>
        </w:tc>
        <w:tc>
          <w:tcPr>
            <w:tcW w:type="dxa" w:w="1008"/>
            <w:vAlign w:val="top"/>
          </w:tcPr>
          <w:p>
            <w:pPr>
              <w:spacing w:after="20" w:line="240" w:lineRule="auto"/>
            </w:pPr>
            <w:r>
              <w:rPr>
                <w:rFonts w:ascii="Arial" w:hAnsi="Arial"/>
                <w:b w:val="0"/>
                <w:color w:val="C00000"/>
                <w:sz w:val="15"/>
              </w:rPr>
              <w:t>-0.34</w:t>
            </w:r>
          </w:p>
        </w:tc>
        <w:tc>
          <w:tcPr>
            <w:tcW w:type="dxa" w:w="8208"/>
            <w:vAlign w:val="top"/>
          </w:tcPr>
          <w:p>
            <w:pPr>
              <w:spacing w:after="20" w:line="240" w:lineRule="auto"/>
            </w:pPr>
            <w:r>
              <w:rPr>
                <w:rFonts w:ascii="Arial" w:hAnsi="Arial"/>
                <w:b w:val="0"/>
                <w:color w:val="595959"/>
                <w:sz w:val="15"/>
              </w:rPr>
              <w:t>Resilient AI earnings reduce capex-rollover odds.</w:t>
            </w:r>
          </w:p>
        </w:tc>
      </w:tr>
      <w:tr>
        <w:tc>
          <w:tcPr>
            <w:tcW w:type="dxa" w:w="1224"/>
            <w:shd w:fill="F7F9FC"/>
            <w:vAlign w:val="top"/>
          </w:tcPr>
          <w:p>
            <w:pPr>
              <w:spacing w:after="20" w:line="240" w:lineRule="auto"/>
            </w:pPr>
            <w:r>
              <w:rPr>
                <w:rFonts w:ascii="Arial" w:hAnsi="Arial"/>
                <w:b w:val="0"/>
                <w:color w:val="595959"/>
                <w:sz w:val="15"/>
              </w:rPr>
              <w:t>Falsifier</w:t>
            </w:r>
          </w:p>
        </w:tc>
        <w:tc>
          <w:tcPr>
            <w:tcW w:type="dxa" w:w="2088"/>
            <w:shd w:fill="F7F9FC"/>
            <w:vAlign w:val="top"/>
          </w:tcPr>
          <w:p>
            <w:pPr>
              <w:spacing w:after="20" w:line="240" w:lineRule="auto"/>
            </w:pPr>
            <w:r>
              <w:rPr>
                <w:rFonts w:ascii="Arial" w:hAnsi="Arial"/>
                <w:b w:val="0"/>
                <w:color w:val="595959"/>
                <w:sz w:val="15"/>
              </w:rPr>
              <w:t>Hyperscaler capex rollover falsifier</w:t>
            </w:r>
          </w:p>
        </w:tc>
        <w:tc>
          <w:tcPr>
            <w:tcW w:type="dxa" w:w="1152"/>
            <w:shd w:fill="F7F9FC"/>
            <w:vAlign w:val="top"/>
          </w:tcPr>
          <w:p>
            <w:pPr>
              <w:spacing w:after="20" w:line="240" w:lineRule="auto"/>
            </w:pPr>
            <w:r>
              <w:rPr>
                <w:rFonts w:ascii="Arial" w:hAnsi="Arial"/>
                <w:b w:val="0"/>
                <w:color w:val="595959"/>
                <w:sz w:val="15"/>
              </w:rPr>
              <w:t>earnings</w:t>
            </w:r>
          </w:p>
        </w:tc>
        <w:tc>
          <w:tcPr>
            <w:tcW w:type="dxa" w:w="1008"/>
            <w:shd w:fill="F7F9FC"/>
            <w:vAlign w:val="top"/>
          </w:tcPr>
          <w:p>
            <w:pPr>
              <w:spacing w:after="20" w:line="240" w:lineRule="auto"/>
            </w:pPr>
            <w:r>
              <w:rPr>
                <w:rFonts w:ascii="Arial" w:hAnsi="Arial"/>
                <w:b w:val="0"/>
                <w:color w:val="C00000"/>
                <w:sz w:val="15"/>
              </w:rPr>
              <w:t>-0.14</w:t>
            </w:r>
          </w:p>
        </w:tc>
        <w:tc>
          <w:tcPr>
            <w:tcW w:type="dxa" w:w="8208"/>
            <w:shd w:fill="F7F9FC"/>
            <w:vAlign w:val="top"/>
          </w:tcPr>
          <w:p>
            <w:pPr>
              <w:spacing w:after="20" w:line="240" w:lineRule="auto"/>
            </w:pPr>
            <w:r>
              <w:rPr>
                <w:rFonts w:ascii="Arial" w:hAnsi="Arial"/>
                <w:b w:val="0"/>
                <w:color w:val="595959"/>
                <w:sz w:val="15"/>
              </w:rPr>
              <w:t>Capex rollover falsifier has not triggered.</w:t>
            </w:r>
          </w:p>
        </w:tc>
      </w:tr>
    </w:tbl>
    <w:p>
      <w:pPr>
        <w:spacing w:after="120"/>
      </w:pPr>
    </w:p>
    <w:p>
      <w:pPr>
        <w:spacing w:after="40"/>
      </w:pPr>
      <w:r>
        <w:rPr>
          <w:rFonts w:ascii="Arial" w:hAnsi="Arial"/>
          <w:b w:val="0"/>
          <w:color w:val="595959"/>
          <w:sz w:val="17"/>
        </w:rPr>
        <w:t>No raw component contributors were used for this scenario.</w:t>
      </w:r>
    </w:p>
    <w:p>
      <w:pPr>
        <w:spacing w:before="320" w:after="140"/>
      </w:pPr>
      <w:r>
        <w:rPr>
          <w:rFonts w:ascii="Arial" w:hAnsi="Arial"/>
          <w:b/>
          <w:color w:val="1F4E79"/>
          <w:sz w:val="28"/>
        </w:rPr>
        <w:t>Historical Analogue Calibration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Enabled</w:t>
            </w:r>
          </w:p>
        </w:tc>
        <w:tc>
          <w:tcPr>
            <w:tcW w:type="dxa" w:w="11520"/>
            <w:vAlign w:val="top"/>
          </w:tcPr>
          <w:p>
            <w:pPr>
              <w:spacing w:after="20" w:line="240" w:lineRule="auto"/>
            </w:pPr>
            <w:r>
              <w:rPr>
                <w:rFonts w:ascii="Arial" w:hAnsi="Arial"/>
                <w:b w:val="0"/>
                <w:color w:val="375623"/>
                <w:sz w:val="15"/>
              </w:rPr>
              <w:t>yes</w:t>
            </w:r>
          </w:p>
        </w:tc>
      </w:tr>
      <w:tr>
        <w:tc>
          <w:tcPr>
            <w:tcW w:type="dxa" w:w="2160"/>
            <w:shd w:fill="EAF2F8"/>
            <w:vAlign w:val="top"/>
          </w:tcPr>
          <w:p>
            <w:pPr>
              <w:spacing w:after="20" w:line="240" w:lineRule="auto"/>
            </w:pPr>
            <w:r>
              <w:rPr>
                <w:rFonts w:ascii="Arial" w:hAnsi="Arial"/>
                <w:b/>
                <w:color w:val="1F4E79"/>
                <w:sz w:val="15"/>
              </w:rPr>
              <w:t>Method</w:t>
            </w:r>
          </w:p>
        </w:tc>
        <w:tc>
          <w:tcPr>
            <w:tcW w:type="dxa" w:w="11520"/>
            <w:vAlign w:val="top"/>
          </w:tcPr>
          <w:p>
            <w:pPr>
              <w:spacing w:after="20" w:line="240" w:lineRule="auto"/>
            </w:pPr>
            <w:r>
              <w:rPr>
                <w:rFonts w:ascii="Arial" w:hAnsi="Arial"/>
                <w:b w:val="0"/>
                <w:color w:val="595959"/>
                <w:sz w:val="15"/>
              </w:rPr>
              <w:t>rolling_composite</w:t>
            </w:r>
          </w:p>
        </w:tc>
      </w:tr>
      <w:tr>
        <w:tc>
          <w:tcPr>
            <w:tcW w:type="dxa" w:w="2160"/>
            <w:shd w:fill="EAF2F8"/>
            <w:vAlign w:val="top"/>
          </w:tcPr>
          <w:p>
            <w:pPr>
              <w:spacing w:after="20" w:line="240" w:lineRule="auto"/>
            </w:pPr>
            <w:r>
              <w:rPr>
                <w:rFonts w:ascii="Arial" w:hAnsi="Arial"/>
                <w:b/>
                <w:color w:val="1F4E79"/>
                <w:sz w:val="15"/>
              </w:rPr>
              <w:t>Analogue version</w:t>
            </w:r>
          </w:p>
        </w:tc>
        <w:tc>
          <w:tcPr>
            <w:tcW w:type="dxa" w:w="11520"/>
            <w:vAlign w:val="top"/>
          </w:tcPr>
          <w:p>
            <w:pPr>
              <w:spacing w:after="20" w:line="240" w:lineRule="auto"/>
            </w:pPr>
            <w:r>
              <w:rPr>
                <w:rFonts w:ascii="Arial" w:hAnsi="Arial"/>
                <w:b w:val="0"/>
                <w:color w:val="595959"/>
                <w:sz w:val="15"/>
              </w:rPr>
              <w:t>v2_detailed</w:t>
            </w:r>
          </w:p>
        </w:tc>
      </w:tr>
      <w:tr>
        <w:tc>
          <w:tcPr>
            <w:tcW w:type="dxa" w:w="2160"/>
            <w:shd w:fill="EAF2F8"/>
            <w:vAlign w:val="top"/>
          </w:tcPr>
          <w:p>
            <w:pPr>
              <w:spacing w:after="20" w:line="240" w:lineRule="auto"/>
            </w:pPr>
            <w:r>
              <w:rPr>
                <w:rFonts w:ascii="Arial" w:hAnsi="Arial"/>
                <w:b/>
                <w:color w:val="1F4E79"/>
                <w:sz w:val="15"/>
              </w:rPr>
              <w:t>Conditions summary</w:t>
            </w:r>
          </w:p>
        </w:tc>
        <w:tc>
          <w:tcPr>
            <w:tcW w:type="dxa" w:w="11520"/>
            <w:vAlign w:val="top"/>
          </w:tcPr>
          <w:p>
            <w:pPr>
              <w:spacing w:after="20" w:line="240" w:lineRule="auto"/>
            </w:pPr>
            <w:r>
              <w:rPr>
                <w:rFonts w:ascii="Arial" w:hAnsi="Arial"/>
                <w:b w:val="0"/>
                <w:color w:val="595959"/>
                <w:sz w:val="15"/>
              </w:rPr>
              <w:t>Mixed / Neutral; score avg 55, range 44-66; VIX avg 22.3, range 17.5-31.0; score trajectory sideways</w:t>
            </w:r>
          </w:p>
        </w:tc>
      </w:tr>
      <w:tr>
        <w:tc>
          <w:tcPr>
            <w:tcW w:type="dxa" w:w="2160"/>
            <w:shd w:fill="EAF2F8"/>
            <w:vAlign w:val="top"/>
          </w:tcPr>
          <w:p>
            <w:pPr>
              <w:spacing w:after="20" w:line="240" w:lineRule="auto"/>
            </w:pPr>
            <w:r>
              <w:rPr>
                <w:rFonts w:ascii="Arial" w:hAnsi="Arial"/>
                <w:b/>
                <w:color w:val="1F4E79"/>
                <w:sz w:val="15"/>
              </w:rPr>
              <w:t>Analogues</w:t>
            </w:r>
          </w:p>
        </w:tc>
        <w:tc>
          <w:tcPr>
            <w:tcW w:type="dxa" w:w="11520"/>
            <w:vAlign w:val="top"/>
          </w:tcPr>
          <w:p>
            <w:pPr>
              <w:spacing w:after="20" w:line="240" w:lineRule="auto"/>
            </w:pPr>
            <w:r>
              <w:rPr>
                <w:rFonts w:ascii="Arial" w:hAnsi="Arial"/>
                <w:b w:val="0"/>
                <w:color w:val="595959"/>
                <w:sz w:val="15"/>
              </w:rPr>
              <w:t>50</w:t>
            </w:r>
          </w:p>
        </w:tc>
      </w:tr>
      <w:tr>
        <w:tc>
          <w:tcPr>
            <w:tcW w:type="dxa" w:w="2160"/>
            <w:shd w:fill="EAF2F8"/>
            <w:vAlign w:val="top"/>
          </w:tcPr>
          <w:p>
            <w:pPr>
              <w:spacing w:after="20" w:line="240" w:lineRule="auto"/>
            </w:pPr>
            <w:r>
              <w:rPr>
                <w:rFonts w:ascii="Arial" w:hAnsi="Arial"/>
                <w:b/>
                <w:color w:val="1F4E79"/>
                <w:sz w:val="15"/>
              </w:rPr>
              <w:t>Unique / pooled</w:t>
            </w:r>
          </w:p>
        </w:tc>
        <w:tc>
          <w:tcPr>
            <w:tcW w:type="dxa" w:w="11520"/>
            <w:vAlign w:val="top"/>
          </w:tcPr>
          <w:p>
            <w:pPr>
              <w:spacing w:after="20" w:line="240" w:lineRule="auto"/>
            </w:pPr>
            <w:r>
              <w:rPr>
                <w:rFonts w:ascii="Arial" w:hAnsi="Arial"/>
                <w:b w:val="0"/>
                <w:color w:val="595959"/>
                <w:sz w:val="15"/>
              </w:rPr>
              <w:t>207 / 50</w:t>
            </w:r>
          </w:p>
        </w:tc>
      </w:tr>
      <w:tr>
        <w:tc>
          <w:tcPr>
            <w:tcW w:type="dxa" w:w="2160"/>
            <w:shd w:fill="EAF2F8"/>
            <w:vAlign w:val="top"/>
          </w:tcPr>
          <w:p>
            <w:pPr>
              <w:spacing w:after="20" w:line="240" w:lineRule="auto"/>
            </w:pPr>
            <w:r>
              <w:rPr>
                <w:rFonts w:ascii="Arial" w:hAnsi="Arial"/>
                <w:b/>
                <w:color w:val="1F4E79"/>
                <w:sz w:val="15"/>
              </w:rPr>
              <w:t>Confidence</w:t>
            </w:r>
          </w:p>
        </w:tc>
        <w:tc>
          <w:tcPr>
            <w:tcW w:type="dxa" w:w="11520"/>
            <w:vAlign w:val="top"/>
          </w:tcPr>
          <w:p>
            <w:pPr>
              <w:spacing w:after="20" w:line="240" w:lineRule="auto"/>
            </w:pPr>
            <w:r>
              <w:rPr>
                <w:rFonts w:ascii="Arial" w:hAnsi="Arial"/>
                <w:b w:val="0"/>
                <w:color w:val="595959"/>
                <w:sz w:val="15"/>
              </w:rPr>
              <w:t>0.80</w:t>
            </w:r>
          </w:p>
        </w:tc>
      </w:tr>
      <w:tr>
        <w:tc>
          <w:tcPr>
            <w:tcW w:type="dxa" w:w="2160"/>
            <w:shd w:fill="EAF2F8"/>
            <w:vAlign w:val="top"/>
          </w:tcPr>
          <w:p>
            <w:pPr>
              <w:spacing w:after="20" w:line="240" w:lineRule="auto"/>
            </w:pPr>
            <w:r>
              <w:rPr>
                <w:rFonts w:ascii="Arial" w:hAnsi="Arial"/>
                <w:b/>
                <w:color w:val="1F4E79"/>
                <w:sz w:val="15"/>
              </w:rPr>
              <w:t>Warnings</w:t>
            </w:r>
          </w:p>
        </w:tc>
        <w:tc>
          <w:tcPr>
            <w:tcW w:type="dxa" w:w="11520"/>
            <w:vAlign w:val="top"/>
          </w:tcPr>
          <w:p>
            <w:pPr>
              <w:spacing w:after="20" w:line="240" w:lineRule="auto"/>
            </w:pPr>
            <w:r>
              <w:rPr>
                <w:rFonts w:ascii="Arial" w:hAnsi="Arial"/>
                <w:b w:val="0"/>
                <w:color w:val="C00000"/>
                <w:sz w:val="15"/>
              </w:rPr>
              <w:t>- Macro-horizon drawdown/upside columns unavailable; only return-distribution risk shown.</w:t>
              <w:br/>
              <w:t>- Selected scenario mapping horizon 63d unavailable for one or more analogues; used fallback 21d return.</w:t>
              <w:br/>
              <w:t>- commodities_oil group is missing or sparse while oil-tail calibration may be active.</w:t>
              <w:br/>
              <w:t>- rates_fx group is missing or sparse while Fed path/rates drivers may be active.</w:t>
              <w:br/>
              <w:t>- theme_catalysts group is missing or sparse while AI capex scenario calibration may be active.</w:t>
            </w:r>
          </w:p>
        </w:tc>
      </w:tr>
    </w:tbl>
    <w:p>
      <w:pPr>
        <w:spacing w:after="120"/>
      </w:pPr>
    </w:p>
    <w:p>
      <w:pPr>
        <w:spacing w:before="180" w:after="80"/>
      </w:pPr>
      <w:r>
        <w:rPr>
          <w:rFonts w:ascii="Arial" w:hAnsi="Arial"/>
          <w:b/>
          <w:color w:val="2E75B6"/>
          <w:sz w:val="21"/>
        </w:rPr>
        <w:t>Shock Window Diagnostics</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Mode</w:t>
            </w:r>
          </w:p>
        </w:tc>
        <w:tc>
          <w:tcPr>
            <w:tcW w:type="dxa" w:w="11520"/>
            <w:vAlign w:val="top"/>
          </w:tcPr>
          <w:p>
            <w:pPr>
              <w:spacing w:after="20" w:line="240" w:lineRule="auto"/>
            </w:pPr>
            <w:r>
              <w:rPr>
                <w:rFonts w:ascii="Arial" w:hAnsi="Arial"/>
                <w:b w:val="0"/>
                <w:color w:val="595959"/>
                <w:sz w:val="15"/>
              </w:rPr>
              <w:t>exclude</w:t>
            </w:r>
          </w:p>
        </w:tc>
      </w:tr>
      <w:tr>
        <w:tc>
          <w:tcPr>
            <w:tcW w:type="dxa" w:w="2160"/>
            <w:shd w:fill="EAF2F8"/>
            <w:vAlign w:val="top"/>
          </w:tcPr>
          <w:p>
            <w:pPr>
              <w:spacing w:after="20" w:line="240" w:lineRule="auto"/>
            </w:pPr>
            <w:r>
              <w:rPr>
                <w:rFonts w:ascii="Arial" w:hAnsi="Arial"/>
                <w:b/>
                <w:color w:val="1F4E79"/>
                <w:sz w:val="15"/>
              </w:rPr>
              <w:t>Shock windows applied</w:t>
            </w:r>
          </w:p>
        </w:tc>
        <w:tc>
          <w:tcPr>
            <w:tcW w:type="dxa" w:w="11520"/>
            <w:vAlign w:val="top"/>
          </w:tcPr>
          <w:p>
            <w:pPr>
              <w:spacing w:after="20" w:line="240" w:lineRule="auto"/>
            </w:pPr>
            <w:r>
              <w:rPr>
                <w:rFonts w:ascii="Arial" w:hAnsi="Arial"/>
                <w:b w:val="0"/>
                <w:color w:val="595959"/>
                <w:sz w:val="15"/>
              </w:rPr>
              <w:t>covid_crash 02/19/20 to 04/30/20</w:t>
            </w:r>
          </w:p>
        </w:tc>
      </w:tr>
      <w:tr>
        <w:tc>
          <w:tcPr>
            <w:tcW w:type="dxa" w:w="2160"/>
            <w:shd w:fill="EAF2F8"/>
            <w:vAlign w:val="top"/>
          </w:tcPr>
          <w:p>
            <w:pPr>
              <w:spacing w:after="20" w:line="240" w:lineRule="auto"/>
            </w:pPr>
            <w:r>
              <w:rPr>
                <w:rFonts w:ascii="Arial" w:hAnsi="Arial"/>
                <w:b/>
                <w:color w:val="1F4E79"/>
                <w:sz w:val="15"/>
              </w:rPr>
              <w:t>Rows excluded by horizon</w:t>
            </w:r>
          </w:p>
        </w:tc>
        <w:tc>
          <w:tcPr>
            <w:tcW w:type="dxa" w:w="11520"/>
            <w:vAlign w:val="top"/>
          </w:tcPr>
          <w:p>
            <w:pPr>
              <w:spacing w:after="20" w:line="240" w:lineRule="auto"/>
            </w:pPr>
            <w:r>
              <w:rPr>
                <w:rFonts w:ascii="Arial" w:hAnsi="Arial"/>
                <w:b w:val="0"/>
                <w:color w:val="595959"/>
                <w:sz w:val="15"/>
              </w:rPr>
              <w:t>252d: 1</w:t>
            </w:r>
          </w:p>
        </w:tc>
      </w:tr>
      <w:tr>
        <w:tc>
          <w:tcPr>
            <w:tcW w:type="dxa" w:w="2160"/>
            <w:shd w:fill="EAF2F8"/>
            <w:vAlign w:val="top"/>
          </w:tcPr>
          <w:p>
            <w:pPr>
              <w:spacing w:after="20" w:line="240" w:lineRule="auto"/>
            </w:pPr>
            <w:r>
              <w:rPr>
                <w:rFonts w:ascii="Arial" w:hAnsi="Arial"/>
                <w:b/>
                <w:color w:val="1F4E79"/>
                <w:sz w:val="15"/>
              </w:rPr>
              <w:t>Analogue dates excluded from scenario mapping</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Scenario mapping horizon</w:t>
            </w:r>
          </w:p>
        </w:tc>
        <w:tc>
          <w:tcPr>
            <w:tcW w:type="dxa" w:w="11520"/>
            <w:vAlign w:val="top"/>
          </w:tcPr>
          <w:p>
            <w:pPr>
              <w:spacing w:after="20" w:line="240" w:lineRule="auto"/>
            </w:pPr>
            <w:r>
              <w:rPr>
                <w:rFonts w:ascii="Arial" w:hAnsi="Arial"/>
                <w:b w:val="0"/>
                <w:color w:val="595959"/>
                <w:sz w:val="15"/>
              </w:rPr>
              <w:t>63d</w:t>
            </w:r>
          </w:p>
        </w:tc>
      </w:tr>
      <w:tr>
        <w:tc>
          <w:tcPr>
            <w:tcW w:type="dxa" w:w="2160"/>
            <w:shd w:fill="EAF2F8"/>
            <w:vAlign w:val="top"/>
          </w:tcPr>
          <w:p>
            <w:pPr>
              <w:spacing w:after="20" w:line="240" w:lineRule="auto"/>
            </w:pPr>
            <w:r>
              <w:rPr>
                <w:rFonts w:ascii="Arial" w:hAnsi="Arial"/>
                <w:b/>
                <w:color w:val="1F4E79"/>
                <w:sz w:val="15"/>
              </w:rPr>
              <w:t>Historical probabilities changed</w:t>
            </w:r>
          </w:p>
        </w:tc>
        <w:tc>
          <w:tcPr>
            <w:tcW w:type="dxa" w:w="11520"/>
            <w:vAlign w:val="top"/>
          </w:tcPr>
          <w:p>
            <w:pPr>
              <w:spacing w:after="20" w:line="240" w:lineRule="auto"/>
            </w:pPr>
            <w:r>
              <w:rPr>
                <w:rFonts w:ascii="Arial" w:hAnsi="Arial"/>
                <w:b w:val="0"/>
                <w:color w:val="C00000"/>
                <w:sz w:val="15"/>
              </w:rPr>
              <w:t>no</w:t>
            </w:r>
          </w:p>
        </w:tc>
      </w:tr>
    </w:tbl>
    <w:p>
      <w:pPr>
        <w:spacing w:after="120"/>
      </w:pPr>
    </w:p>
    <w:p>
      <w:pPr>
        <w:spacing w:before="180" w:after="80"/>
      </w:pPr>
      <w:r>
        <w:rPr>
          <w:rFonts w:ascii="Arial" w:hAnsi="Arial"/>
          <w:b/>
          <w:color w:val="2E75B6"/>
          <w:sz w:val="21"/>
        </w:rPr>
        <w:t>Detailed Analogue Match Quality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V1 broad-state weight</w:t>
            </w:r>
          </w:p>
        </w:tc>
        <w:tc>
          <w:tcPr>
            <w:tcW w:type="dxa" w:w="11520"/>
            <w:vAlign w:val="top"/>
          </w:tcPr>
          <w:p>
            <w:pPr>
              <w:spacing w:after="20" w:line="240" w:lineRule="auto"/>
            </w:pPr>
            <w:r>
              <w:rPr>
                <w:rFonts w:ascii="Arial" w:hAnsi="Arial"/>
                <w:b w:val="0"/>
                <w:color w:val="595959"/>
                <w:sz w:val="15"/>
              </w:rPr>
              <w:t>0.40</w:t>
            </w:r>
          </w:p>
        </w:tc>
      </w:tr>
      <w:tr>
        <w:tc>
          <w:tcPr>
            <w:tcW w:type="dxa" w:w="2160"/>
            <w:shd w:fill="EAF2F8"/>
            <w:vAlign w:val="top"/>
          </w:tcPr>
          <w:p>
            <w:pPr>
              <w:spacing w:after="20" w:line="240" w:lineRule="auto"/>
            </w:pPr>
            <w:r>
              <w:rPr>
                <w:rFonts w:ascii="Arial" w:hAnsi="Arial"/>
                <w:b/>
                <w:color w:val="1F4E79"/>
                <w:sz w:val="15"/>
              </w:rPr>
              <w:t>V2 detailed-input weight</w:t>
            </w:r>
          </w:p>
        </w:tc>
        <w:tc>
          <w:tcPr>
            <w:tcW w:type="dxa" w:w="11520"/>
            <w:vAlign w:val="top"/>
          </w:tcPr>
          <w:p>
            <w:pPr>
              <w:spacing w:after="20" w:line="240" w:lineRule="auto"/>
            </w:pPr>
            <w:r>
              <w:rPr>
                <w:rFonts w:ascii="Arial" w:hAnsi="Arial"/>
                <w:b w:val="0"/>
                <w:color w:val="595959"/>
                <w:sz w:val="15"/>
              </w:rPr>
              <w:t>0.60</w:t>
            </w:r>
          </w:p>
        </w:tc>
      </w:tr>
      <w:tr>
        <w:tc>
          <w:tcPr>
            <w:tcW w:type="dxa" w:w="2160"/>
            <w:shd w:fill="EAF2F8"/>
            <w:vAlign w:val="top"/>
          </w:tcPr>
          <w:p>
            <w:pPr>
              <w:spacing w:after="20" w:line="240" w:lineRule="auto"/>
            </w:pPr>
            <w:r>
              <w:rPr>
                <w:rFonts w:ascii="Arial" w:hAnsi="Arial"/>
                <w:b/>
                <w:color w:val="1F4E79"/>
                <w:sz w:val="15"/>
              </w:rPr>
              <w:t>Candidate pool size</w:t>
            </w:r>
          </w:p>
        </w:tc>
        <w:tc>
          <w:tcPr>
            <w:tcW w:type="dxa" w:w="11520"/>
            <w:vAlign w:val="top"/>
          </w:tcPr>
          <w:p>
            <w:pPr>
              <w:spacing w:after="20" w:line="240" w:lineRule="auto"/>
            </w:pPr>
            <w:r>
              <w:rPr>
                <w:rFonts w:ascii="Arial" w:hAnsi="Arial"/>
                <w:b w:val="0"/>
                <w:color w:val="595959"/>
                <w:sz w:val="15"/>
              </w:rPr>
              <w:t>300</w:t>
            </w:r>
          </w:p>
        </w:tc>
      </w:tr>
      <w:tr>
        <w:tc>
          <w:tcPr>
            <w:tcW w:type="dxa" w:w="2160"/>
            <w:shd w:fill="EAF2F8"/>
            <w:vAlign w:val="top"/>
          </w:tcPr>
          <w:p>
            <w:pPr>
              <w:spacing w:after="20" w:line="240" w:lineRule="auto"/>
            </w:pPr>
            <w:r>
              <w:rPr>
                <w:rFonts w:ascii="Arial" w:hAnsi="Arial"/>
                <w:b/>
                <w:color w:val="1F4E79"/>
                <w:sz w:val="15"/>
              </w:rPr>
              <w:t>Effective sample size</w:t>
            </w:r>
          </w:p>
        </w:tc>
        <w:tc>
          <w:tcPr>
            <w:tcW w:type="dxa" w:w="11520"/>
            <w:vAlign w:val="top"/>
          </w:tcPr>
          <w:p>
            <w:pPr>
              <w:spacing w:after="20" w:line="240" w:lineRule="auto"/>
            </w:pPr>
            <w:r>
              <w:rPr>
                <w:rFonts w:ascii="Arial" w:hAnsi="Arial"/>
                <w:b w:val="0"/>
                <w:color w:val="595959"/>
                <w:sz w:val="15"/>
              </w:rPr>
              <w:t>46.10</w:t>
            </w:r>
          </w:p>
        </w:tc>
      </w:tr>
      <w:tr>
        <w:tc>
          <w:tcPr>
            <w:tcW w:type="dxa" w:w="2160"/>
            <w:shd w:fill="EAF2F8"/>
            <w:vAlign w:val="top"/>
          </w:tcPr>
          <w:p>
            <w:pPr>
              <w:spacing w:after="20" w:line="240" w:lineRule="auto"/>
            </w:pPr>
            <w:r>
              <w:rPr>
                <w:rFonts w:ascii="Arial" w:hAnsi="Arial"/>
                <w:b/>
                <w:color w:val="1F4E79"/>
                <w:sz w:val="15"/>
              </w:rPr>
              <w:t>Adjusted deterministic weight</w:t>
            </w:r>
          </w:p>
        </w:tc>
        <w:tc>
          <w:tcPr>
            <w:tcW w:type="dxa" w:w="11520"/>
            <w:vAlign w:val="top"/>
          </w:tcPr>
          <w:p>
            <w:pPr>
              <w:spacing w:after="20" w:line="240" w:lineRule="auto"/>
            </w:pPr>
            <w:r>
              <w:rPr>
                <w:rFonts w:ascii="Arial" w:hAnsi="Arial"/>
                <w:b w:val="0"/>
                <w:color w:val="595959"/>
                <w:sz w:val="15"/>
              </w:rPr>
              <w:t>n/a</w:t>
            </w:r>
          </w:p>
        </w:tc>
      </w:tr>
      <w:tr>
        <w:tc>
          <w:tcPr>
            <w:tcW w:type="dxa" w:w="2160"/>
            <w:shd w:fill="EAF2F8"/>
            <w:vAlign w:val="top"/>
          </w:tcPr>
          <w:p>
            <w:pPr>
              <w:spacing w:after="20" w:line="240" w:lineRule="auto"/>
            </w:pPr>
            <w:r>
              <w:rPr>
                <w:rFonts w:ascii="Arial" w:hAnsi="Arial"/>
                <w:b/>
                <w:color w:val="1F4E79"/>
                <w:sz w:val="15"/>
              </w:rPr>
              <w:t>Adjusted historical weight</w:t>
            </w:r>
          </w:p>
        </w:tc>
        <w:tc>
          <w:tcPr>
            <w:tcW w:type="dxa" w:w="11520"/>
            <w:vAlign w:val="top"/>
          </w:tcPr>
          <w:p>
            <w:pPr>
              <w:spacing w:after="20" w:line="240" w:lineRule="auto"/>
            </w:pPr>
            <w:r>
              <w:rPr>
                <w:rFonts w:ascii="Arial" w:hAnsi="Arial"/>
                <w:b w:val="0"/>
                <w:color w:val="595959"/>
                <w:sz w:val="15"/>
              </w:rPr>
              <w:t>n/a</w:t>
            </w:r>
          </w:p>
        </w:tc>
      </w:tr>
      <w:tr>
        <w:tc>
          <w:tcPr>
            <w:tcW w:type="dxa" w:w="2160"/>
            <w:shd w:fill="EAF2F8"/>
            <w:vAlign w:val="top"/>
          </w:tcPr>
          <w:p>
            <w:pPr>
              <w:spacing w:after="20" w:line="240" w:lineRule="auto"/>
            </w:pPr>
            <w:r>
              <w:rPr>
                <w:rFonts w:ascii="Arial" w:hAnsi="Arial"/>
                <w:b/>
                <w:color w:val="1F4E79"/>
                <w:sz w:val="15"/>
              </w:rPr>
              <w:t>Average detailed similarity</w:t>
            </w:r>
          </w:p>
        </w:tc>
        <w:tc>
          <w:tcPr>
            <w:tcW w:type="dxa" w:w="11520"/>
            <w:vAlign w:val="top"/>
          </w:tcPr>
          <w:p>
            <w:pPr>
              <w:spacing w:after="20" w:line="240" w:lineRule="auto"/>
            </w:pPr>
            <w:r>
              <w:rPr>
                <w:rFonts w:ascii="Arial" w:hAnsi="Arial"/>
                <w:b w:val="0"/>
                <w:color w:val="595959"/>
                <w:sz w:val="15"/>
              </w:rPr>
              <w:t>62.36</w:t>
            </w:r>
          </w:p>
        </w:tc>
      </w:tr>
      <w:tr>
        <w:tc>
          <w:tcPr>
            <w:tcW w:type="dxa" w:w="2160"/>
            <w:shd w:fill="EAF2F8"/>
            <w:vAlign w:val="top"/>
          </w:tcPr>
          <w:p>
            <w:pPr>
              <w:spacing w:after="20" w:line="240" w:lineRule="auto"/>
            </w:pPr>
            <w:r>
              <w:rPr>
                <w:rFonts w:ascii="Arial" w:hAnsi="Arial"/>
                <w:b/>
                <w:color w:val="1F4E79"/>
                <w:sz w:val="15"/>
              </w:rPr>
              <w:t>Average blended similarity</w:t>
            </w:r>
          </w:p>
        </w:tc>
        <w:tc>
          <w:tcPr>
            <w:tcW w:type="dxa" w:w="11520"/>
            <w:vAlign w:val="top"/>
          </w:tcPr>
          <w:p>
            <w:pPr>
              <w:spacing w:after="20" w:line="240" w:lineRule="auto"/>
            </w:pPr>
            <w:r>
              <w:rPr>
                <w:rFonts w:ascii="Arial" w:hAnsi="Arial"/>
                <w:b w:val="0"/>
                <w:color w:val="595959"/>
                <w:sz w:val="15"/>
              </w:rPr>
              <w:t>74.87</w:t>
            </w:r>
          </w:p>
        </w:tc>
      </w:tr>
      <w:tr>
        <w:tc>
          <w:tcPr>
            <w:tcW w:type="dxa" w:w="2160"/>
            <w:shd w:fill="EAF2F8"/>
            <w:vAlign w:val="top"/>
          </w:tcPr>
          <w:p>
            <w:pPr>
              <w:spacing w:after="20" w:line="240" w:lineRule="auto"/>
            </w:pPr>
            <w:r>
              <w:rPr>
                <w:rFonts w:ascii="Arial" w:hAnsi="Arial"/>
                <w:b/>
                <w:color w:val="1F4E79"/>
                <w:sz w:val="15"/>
              </w:rPr>
              <w:t>Strongest groups</w:t>
            </w:r>
          </w:p>
        </w:tc>
        <w:tc>
          <w:tcPr>
            <w:tcW w:type="dxa" w:w="11520"/>
            <w:vAlign w:val="top"/>
          </w:tcPr>
          <w:p>
            <w:pPr>
              <w:spacing w:after="20" w:line="240" w:lineRule="auto"/>
            </w:pPr>
            <w:r>
              <w:rPr>
                <w:rFonts w:ascii="Arial" w:hAnsi="Arial"/>
                <w:b w:val="0"/>
                <w:color w:val="595959"/>
                <w:sz w:val="15"/>
              </w:rPr>
              <w:t>credit, monetary_liquidity, volatility</w:t>
            </w:r>
          </w:p>
        </w:tc>
      </w:tr>
      <w:tr>
        <w:tc>
          <w:tcPr>
            <w:tcW w:type="dxa" w:w="2160"/>
            <w:shd w:fill="EAF2F8"/>
            <w:vAlign w:val="top"/>
          </w:tcPr>
          <w:p>
            <w:pPr>
              <w:spacing w:after="20" w:line="240" w:lineRule="auto"/>
            </w:pPr>
            <w:r>
              <w:rPr>
                <w:rFonts w:ascii="Arial" w:hAnsi="Arial"/>
                <w:b/>
                <w:color w:val="1F4E79"/>
                <w:sz w:val="15"/>
              </w:rPr>
              <w:t>Weakest groups</w:t>
            </w:r>
          </w:p>
        </w:tc>
        <w:tc>
          <w:tcPr>
            <w:tcW w:type="dxa" w:w="11520"/>
            <w:vAlign w:val="top"/>
          </w:tcPr>
          <w:p>
            <w:pPr>
              <w:spacing w:after="20" w:line="240" w:lineRule="auto"/>
            </w:pPr>
            <w:r>
              <w:rPr>
                <w:rFonts w:ascii="Arial" w:hAnsi="Arial"/>
                <w:b w:val="0"/>
                <w:color w:val="595959"/>
                <w:sz w:val="15"/>
              </w:rPr>
              <w:t>positioning, breadth_market_structure, volatility</w:t>
            </w:r>
          </w:p>
        </w:tc>
      </w:tr>
      <w:tr>
        <w:tc>
          <w:tcPr>
            <w:tcW w:type="dxa" w:w="2160"/>
            <w:shd w:fill="EAF2F8"/>
            <w:vAlign w:val="top"/>
          </w:tcPr>
          <w:p>
            <w:pPr>
              <w:spacing w:after="20" w:line="240" w:lineRule="auto"/>
            </w:pPr>
            <w:r>
              <w:rPr>
                <w:rFonts w:ascii="Arial" w:hAnsi="Arial"/>
                <w:b/>
                <w:color w:val="1F4E79"/>
                <w:sz w:val="15"/>
              </w:rPr>
              <w:t>Missing important features</w:t>
            </w:r>
          </w:p>
        </w:tc>
        <w:tc>
          <w:tcPr>
            <w:tcW w:type="dxa" w:w="11520"/>
            <w:vAlign w:val="top"/>
          </w:tcPr>
          <w:p>
            <w:pPr>
              <w:spacing w:after="20" w:line="240" w:lineRule="auto"/>
            </w:pPr>
            <w:r>
              <w:rPr>
                <w:rFonts w:ascii="Arial" w:hAnsi="Arial"/>
                <w:b w:val="0"/>
                <w:color w:val="595959"/>
                <w:sz w:val="15"/>
              </w:rPr>
              <w:t>-</w:t>
            </w:r>
          </w:p>
        </w:tc>
      </w:tr>
    </w:tbl>
    <w:p>
      <w:pPr>
        <w:spacing w:after="120"/>
      </w:pP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gridCol w:w="1746"/>
        <w:gridCol w:w="1746"/>
        <w:gridCol w:w="1746"/>
      </w:tblGrid>
      <w:tr>
        <w:trPr>
          <w:tblHeader w:val="true"/>
        </w:trPr>
        <w:tc>
          <w:tcPr>
            <w:tcW w:type="dxa" w:w="1440"/>
            <w:shd w:fill="1F4E79"/>
            <w:vAlign w:val="top"/>
          </w:tcPr>
          <w:p>
            <w:pPr>
              <w:spacing w:after="20" w:line="240" w:lineRule="auto"/>
            </w:pPr>
            <w:r>
              <w:rPr>
                <w:rFonts w:ascii="Arial" w:hAnsi="Arial"/>
                <w:b/>
                <w:color w:val="FFFFFF"/>
                <w:sz w:val="15"/>
              </w:rPr>
              <w:t>Group</w:t>
            </w:r>
          </w:p>
        </w:tc>
        <w:tc>
          <w:tcPr>
            <w:tcW w:type="dxa" w:w="864"/>
            <w:shd w:fill="1F4E79"/>
            <w:vAlign w:val="top"/>
          </w:tcPr>
          <w:p>
            <w:pPr>
              <w:spacing w:after="20" w:line="240" w:lineRule="auto"/>
            </w:pPr>
            <w:r>
              <w:rPr>
                <w:rFonts w:ascii="Arial" w:hAnsi="Arial"/>
                <w:b/>
                <w:color w:val="FFFFFF"/>
                <w:sz w:val="15"/>
              </w:rPr>
              <w:t>Avg Similarity</w:t>
            </w:r>
          </w:p>
        </w:tc>
        <w:tc>
          <w:tcPr>
            <w:tcW w:type="dxa" w:w="792"/>
            <w:shd w:fill="1F4E79"/>
            <w:vAlign w:val="top"/>
          </w:tcPr>
          <w:p>
            <w:pPr>
              <w:spacing w:after="20" w:line="240" w:lineRule="auto"/>
            </w:pPr>
            <w:r>
              <w:rPr>
                <w:rFonts w:ascii="Arial" w:hAnsi="Arial"/>
                <w:b/>
                <w:color w:val="FFFFFF"/>
                <w:sz w:val="15"/>
              </w:rPr>
              <w:t>Features Used</w:t>
            </w:r>
          </w:p>
        </w:tc>
        <w:tc>
          <w:tcPr>
            <w:tcW w:type="dxa" w:w="936"/>
            <w:shd w:fill="1F4E79"/>
            <w:vAlign w:val="top"/>
          </w:tcPr>
          <w:p>
            <w:pPr>
              <w:spacing w:after="20" w:line="240" w:lineRule="auto"/>
            </w:pPr>
            <w:r>
              <w:rPr>
                <w:rFonts w:ascii="Arial" w:hAnsi="Arial"/>
                <w:b/>
                <w:color w:val="FFFFFF"/>
                <w:sz w:val="15"/>
              </w:rPr>
              <w:t>Features Missing</w:t>
            </w:r>
          </w:p>
        </w:tc>
        <w:tc>
          <w:tcPr>
            <w:tcW w:type="dxa" w:w="792"/>
            <w:shd w:fill="1F4E79"/>
            <w:vAlign w:val="top"/>
          </w:tcPr>
          <w:p>
            <w:pPr>
              <w:spacing w:after="20" w:line="240" w:lineRule="auto"/>
            </w:pPr>
            <w:r>
              <w:rPr>
                <w:rFonts w:ascii="Arial" w:hAnsi="Arial"/>
                <w:b/>
                <w:color w:val="FFFFFF"/>
                <w:sz w:val="15"/>
              </w:rPr>
              <w:t>Coverage</w:t>
            </w:r>
          </w:p>
        </w:tc>
        <w:tc>
          <w:tcPr>
            <w:tcW w:type="dxa" w:w="2520"/>
            <w:shd w:fill="1F4E79"/>
            <w:vAlign w:val="top"/>
          </w:tcPr>
          <w:p>
            <w:pPr>
              <w:spacing w:after="20" w:line="240" w:lineRule="auto"/>
            </w:pPr>
            <w:r>
              <w:rPr>
                <w:rFonts w:ascii="Arial" w:hAnsi="Arial"/>
                <w:b/>
                <w:color w:val="FFFFFF"/>
                <w:sz w:val="15"/>
              </w:rPr>
              <w:t>Used Feature IDs</w:t>
            </w:r>
          </w:p>
        </w:tc>
        <w:tc>
          <w:tcPr>
            <w:tcW w:type="dxa" w:w="2520"/>
            <w:shd w:fill="1F4E79"/>
            <w:vAlign w:val="top"/>
          </w:tcPr>
          <w:p>
            <w:pPr>
              <w:spacing w:after="20" w:line="240" w:lineRule="auto"/>
            </w:pPr>
            <w:r>
              <w:rPr>
                <w:rFonts w:ascii="Arial" w:hAnsi="Arial"/>
                <w:b/>
                <w:color w:val="FFFFFF"/>
                <w:sz w:val="15"/>
              </w:rPr>
              <w:t>Missing Feature IDs</w:t>
            </w:r>
          </w:p>
        </w:tc>
        <w:tc>
          <w:tcPr>
            <w:tcW w:type="dxa" w:w="2736"/>
            <w:shd w:fill="1F4E79"/>
            <w:vAlign w:val="top"/>
          </w:tcPr>
          <w:p>
            <w:pPr>
              <w:spacing w:after="20" w:line="240" w:lineRule="auto"/>
            </w:pPr>
            <w:r>
              <w:rPr>
                <w:rFonts w:ascii="Arial" w:hAnsi="Arial"/>
                <w:b/>
                <w:color w:val="FFFFFF"/>
                <w:sz w:val="15"/>
              </w:rPr>
              <w:t>Interpretation</w:t>
            </w:r>
          </w:p>
        </w:tc>
      </w:tr>
      <w:tr>
        <w:tc>
          <w:tcPr>
            <w:tcW w:type="dxa" w:w="1440"/>
            <w:vAlign w:val="top"/>
          </w:tcPr>
          <w:p>
            <w:pPr>
              <w:spacing w:after="20" w:line="240" w:lineRule="auto"/>
            </w:pPr>
            <w:r>
              <w:rPr>
                <w:rFonts w:ascii="Arial" w:hAnsi="Arial"/>
                <w:b w:val="0"/>
                <w:color w:val="595959"/>
                <w:sz w:val="15"/>
              </w:rPr>
              <w:t>breadth_market_structure</w:t>
            </w:r>
          </w:p>
        </w:tc>
        <w:tc>
          <w:tcPr>
            <w:tcW w:type="dxa" w:w="864"/>
            <w:vAlign w:val="top"/>
          </w:tcPr>
          <w:p>
            <w:pPr>
              <w:spacing w:after="20" w:line="240" w:lineRule="auto"/>
            </w:pPr>
            <w:r>
              <w:rPr>
                <w:rFonts w:ascii="Arial" w:hAnsi="Arial"/>
                <w:b w:val="0"/>
                <w:color w:val="595959"/>
                <w:sz w:val="15"/>
              </w:rPr>
              <w:t>51.69</w:t>
            </w:r>
          </w:p>
        </w:tc>
        <w:tc>
          <w:tcPr>
            <w:tcW w:type="dxa" w:w="792"/>
            <w:vAlign w:val="top"/>
          </w:tcPr>
          <w:p>
            <w:pPr>
              <w:spacing w:after="20" w:line="240" w:lineRule="auto"/>
            </w:pPr>
            <w:r>
              <w:rPr>
                <w:rFonts w:ascii="Arial" w:hAnsi="Arial"/>
                <w:b w:val="0"/>
                <w:color w:val="595959"/>
                <w:sz w:val="15"/>
              </w:rPr>
              <w:t>194</w:t>
            </w:r>
          </w:p>
        </w:tc>
        <w:tc>
          <w:tcPr>
            <w:tcW w:type="dxa" w:w="936"/>
            <w:vAlign w:val="top"/>
          </w:tcPr>
          <w:p>
            <w:pPr>
              <w:spacing w:after="20" w:line="240" w:lineRule="auto"/>
            </w:pPr>
            <w:r>
              <w:rPr>
                <w:rFonts w:ascii="Arial" w:hAnsi="Arial"/>
                <w:b w:val="0"/>
                <w:color w:val="595959"/>
                <w:sz w:val="15"/>
              </w:rPr>
              <w:t>6</w:t>
            </w:r>
          </w:p>
        </w:tc>
        <w:tc>
          <w:tcPr>
            <w:tcW w:type="dxa" w:w="792"/>
            <w:vAlign w:val="top"/>
          </w:tcPr>
          <w:p>
            <w:pPr>
              <w:spacing w:after="20" w:line="240" w:lineRule="auto"/>
            </w:pPr>
            <w:r>
              <w:rPr>
                <w:rFonts w:ascii="Arial" w:hAnsi="Arial"/>
                <w:b w:val="0"/>
                <w:color w:val="595959"/>
                <w:sz w:val="15"/>
              </w:rPr>
              <w:t>0.97</w:t>
            </w:r>
          </w:p>
        </w:tc>
        <w:tc>
          <w:tcPr>
            <w:tcW w:type="dxa" w:w="2520"/>
            <w:vAlign w:val="top"/>
          </w:tcPr>
          <w:p>
            <w:pPr>
              <w:spacing w:after="20" w:line="240" w:lineRule="auto"/>
            </w:pPr>
            <w:r>
              <w:rPr>
                <w:rFonts w:ascii="Arial" w:hAnsi="Arial"/>
                <w:b w:val="0"/>
                <w:color w:val="595959"/>
                <w:sz w:val="15"/>
              </w:rPr>
              <w:t>pct_above_200d, market_breadth, rsp_vs_spy_z</w:t>
            </w:r>
          </w:p>
        </w:tc>
        <w:tc>
          <w:tcPr>
            <w:tcW w:type="dxa" w:w="2520"/>
            <w:vAlign w:val="top"/>
          </w:tcPr>
          <w:p>
            <w:pPr>
              <w:spacing w:after="20" w:line="240" w:lineRule="auto"/>
            </w:pPr>
            <w:r>
              <w:rPr>
                <w:rFonts w:ascii="Arial" w:hAnsi="Arial"/>
                <w:b w:val="0"/>
                <w:color w:val="595959"/>
                <w:sz w:val="15"/>
              </w:rPr>
              <w:t>pct_above_200d, rsp_vs_spy_z</w:t>
            </w:r>
          </w:p>
        </w:tc>
        <w:tc>
          <w:tcPr>
            <w:tcW w:type="dxa" w:w="2736"/>
            <w:vAlign w:val="top"/>
          </w:tcPr>
          <w:p>
            <w:pPr>
              <w:spacing w:after="20" w:line="240" w:lineRule="auto"/>
            </w:pPr>
            <w:r>
              <w:rPr>
                <w:rFonts w:ascii="Arial" w:hAnsi="Arial"/>
                <w:b w:val="0"/>
                <w:color w:val="595959"/>
                <w:sz w:val="15"/>
              </w:rPr>
              <w:t>Good coverage</w:t>
            </w:r>
          </w:p>
        </w:tc>
      </w:tr>
      <w:tr>
        <w:tc>
          <w:tcPr>
            <w:tcW w:type="dxa" w:w="1440"/>
            <w:shd w:fill="F7F9FC"/>
            <w:vAlign w:val="top"/>
          </w:tcPr>
          <w:p>
            <w:pPr>
              <w:spacing w:after="20" w:line="240" w:lineRule="auto"/>
            </w:pPr>
            <w:r>
              <w:rPr>
                <w:rFonts w:ascii="Arial" w:hAnsi="Arial"/>
                <w:b w:val="0"/>
                <w:color w:val="595959"/>
                <w:sz w:val="15"/>
              </w:rPr>
              <w:t>credit</w:t>
            </w:r>
          </w:p>
        </w:tc>
        <w:tc>
          <w:tcPr>
            <w:tcW w:type="dxa" w:w="864"/>
            <w:shd w:fill="F7F9FC"/>
            <w:vAlign w:val="top"/>
          </w:tcPr>
          <w:p>
            <w:pPr>
              <w:spacing w:after="20" w:line="240" w:lineRule="auto"/>
            </w:pPr>
            <w:r>
              <w:rPr>
                <w:rFonts w:ascii="Arial" w:hAnsi="Arial"/>
                <w:b w:val="0"/>
                <w:color w:val="595959"/>
                <w:sz w:val="15"/>
              </w:rPr>
              <w:t>75.24</w:t>
            </w:r>
          </w:p>
        </w:tc>
        <w:tc>
          <w:tcPr>
            <w:tcW w:type="dxa" w:w="792"/>
            <w:shd w:fill="F7F9FC"/>
            <w:vAlign w:val="top"/>
          </w:tcPr>
          <w:p>
            <w:pPr>
              <w:spacing w:after="20" w:line="240" w:lineRule="auto"/>
            </w:pPr>
            <w:r>
              <w:rPr>
                <w:rFonts w:ascii="Arial" w:hAnsi="Arial"/>
                <w:b w:val="0"/>
                <w:color w:val="595959"/>
                <w:sz w:val="15"/>
              </w:rPr>
              <w:t>187</w:t>
            </w:r>
          </w:p>
        </w:tc>
        <w:tc>
          <w:tcPr>
            <w:tcW w:type="dxa" w:w="936"/>
            <w:shd w:fill="F7F9FC"/>
            <w:vAlign w:val="top"/>
          </w:tcPr>
          <w:p>
            <w:pPr>
              <w:spacing w:after="20" w:line="240" w:lineRule="auto"/>
            </w:pPr>
            <w:r>
              <w:rPr>
                <w:rFonts w:ascii="Arial" w:hAnsi="Arial"/>
                <w:b w:val="0"/>
                <w:color w:val="595959"/>
                <w:sz w:val="15"/>
              </w:rPr>
              <w:t>163</w:t>
            </w:r>
          </w:p>
        </w:tc>
        <w:tc>
          <w:tcPr>
            <w:tcW w:type="dxa" w:w="792"/>
            <w:shd w:fill="F7F9FC"/>
            <w:vAlign w:val="top"/>
          </w:tcPr>
          <w:p>
            <w:pPr>
              <w:spacing w:after="20" w:line="240" w:lineRule="auto"/>
            </w:pPr>
            <w:r>
              <w:rPr>
                <w:rFonts w:ascii="Arial" w:hAnsi="Arial"/>
                <w:b w:val="0"/>
                <w:color w:val="595959"/>
                <w:sz w:val="15"/>
              </w:rPr>
              <w:t>0.53</w:t>
            </w:r>
          </w:p>
        </w:tc>
        <w:tc>
          <w:tcPr>
            <w:tcW w:type="dxa" w:w="2520"/>
            <w:shd w:fill="F7F9FC"/>
            <w:vAlign w:val="top"/>
          </w:tcPr>
          <w:p>
            <w:pPr>
              <w:spacing w:after="20" w:line="240" w:lineRule="auto"/>
            </w:pPr>
            <w:r>
              <w:rPr>
                <w:rFonts w:ascii="Arial" w:hAnsi="Arial"/>
                <w:b w:val="0"/>
                <w:color w:val="595959"/>
                <w:sz w:val="15"/>
              </w:rPr>
              <w:t>credit_conditions, hy_spread_z, hyg_tlt_ratio_z</w:t>
            </w:r>
          </w:p>
        </w:tc>
        <w:tc>
          <w:tcPr>
            <w:tcW w:type="dxa" w:w="2520"/>
            <w:shd w:fill="F7F9FC"/>
            <w:vAlign w:val="top"/>
          </w:tcPr>
          <w:p>
            <w:pPr>
              <w:spacing w:after="20" w:line="240" w:lineRule="auto"/>
            </w:pPr>
            <w:r>
              <w:rPr>
                <w:rFonts w:ascii="Arial" w:hAnsi="Arial"/>
                <w:b w:val="0"/>
                <w:color w:val="595959"/>
                <w:sz w:val="15"/>
              </w:rPr>
              <w:t>hy_spread_level, hy_spread_z, hy_spread_chg_4w</w:t>
            </w:r>
          </w:p>
        </w:tc>
        <w:tc>
          <w:tcPr>
            <w:tcW w:type="dxa" w:w="2736"/>
            <w:shd w:fill="F7F9FC"/>
            <w:vAlign w:val="top"/>
          </w:tcPr>
          <w:p>
            <w:pPr>
              <w:spacing w:after="20" w:line="240" w:lineRule="auto"/>
            </w:pPr>
            <w:r>
              <w:rPr>
                <w:rFonts w:ascii="Arial" w:hAnsi="Arial"/>
                <w:b w:val="0"/>
                <w:color w:val="595959"/>
                <w:sz w:val="15"/>
              </w:rPr>
              <w:t>Partial coverage</w:t>
            </w:r>
          </w:p>
        </w:tc>
      </w:tr>
      <w:tr>
        <w:tc>
          <w:tcPr>
            <w:tcW w:type="dxa" w:w="1440"/>
            <w:vAlign w:val="top"/>
          </w:tcPr>
          <w:p>
            <w:pPr>
              <w:spacing w:after="20" w:line="240" w:lineRule="auto"/>
            </w:pPr>
            <w:r>
              <w:rPr>
                <w:rFonts w:ascii="Arial" w:hAnsi="Arial"/>
                <w:b w:val="0"/>
                <w:color w:val="595959"/>
                <w:sz w:val="15"/>
              </w:rPr>
              <w:t>monetary_liquidity</w:t>
            </w:r>
          </w:p>
        </w:tc>
        <w:tc>
          <w:tcPr>
            <w:tcW w:type="dxa" w:w="864"/>
            <w:vAlign w:val="top"/>
          </w:tcPr>
          <w:p>
            <w:pPr>
              <w:spacing w:after="20" w:line="240" w:lineRule="auto"/>
            </w:pPr>
            <w:r>
              <w:rPr>
                <w:rFonts w:ascii="Arial" w:hAnsi="Arial"/>
                <w:b w:val="0"/>
                <w:color w:val="595959"/>
                <w:sz w:val="15"/>
              </w:rPr>
              <w:t>73.62</w:t>
            </w:r>
          </w:p>
        </w:tc>
        <w:tc>
          <w:tcPr>
            <w:tcW w:type="dxa" w:w="792"/>
            <w:vAlign w:val="top"/>
          </w:tcPr>
          <w:p>
            <w:pPr>
              <w:spacing w:after="20" w:line="240" w:lineRule="auto"/>
            </w:pPr>
            <w:r>
              <w:rPr>
                <w:rFonts w:ascii="Arial" w:hAnsi="Arial"/>
                <w:b w:val="0"/>
                <w:color w:val="595959"/>
                <w:sz w:val="15"/>
              </w:rPr>
              <w:t>191</w:t>
            </w:r>
          </w:p>
        </w:tc>
        <w:tc>
          <w:tcPr>
            <w:tcW w:type="dxa" w:w="936"/>
            <w:vAlign w:val="top"/>
          </w:tcPr>
          <w:p>
            <w:pPr>
              <w:spacing w:after="20" w:line="240" w:lineRule="auto"/>
            </w:pPr>
            <w:r>
              <w:rPr>
                <w:rFonts w:ascii="Arial" w:hAnsi="Arial"/>
                <w:b w:val="0"/>
                <w:color w:val="595959"/>
                <w:sz w:val="15"/>
              </w:rPr>
              <w:t>109</w:t>
            </w:r>
          </w:p>
        </w:tc>
        <w:tc>
          <w:tcPr>
            <w:tcW w:type="dxa" w:w="792"/>
            <w:vAlign w:val="top"/>
          </w:tcPr>
          <w:p>
            <w:pPr>
              <w:spacing w:after="20" w:line="240" w:lineRule="auto"/>
            </w:pPr>
            <w:r>
              <w:rPr>
                <w:rFonts w:ascii="Arial" w:hAnsi="Arial"/>
                <w:b w:val="0"/>
                <w:color w:val="595959"/>
                <w:sz w:val="15"/>
              </w:rPr>
              <w:t>0.64</w:t>
            </w:r>
          </w:p>
        </w:tc>
        <w:tc>
          <w:tcPr>
            <w:tcW w:type="dxa" w:w="2520"/>
            <w:vAlign w:val="top"/>
          </w:tcPr>
          <w:p>
            <w:pPr>
              <w:spacing w:after="20" w:line="240" w:lineRule="auto"/>
            </w:pPr>
            <w:r>
              <w:rPr>
                <w:rFonts w:ascii="Arial" w:hAnsi="Arial"/>
                <w:b w:val="0"/>
                <w:color w:val="595959"/>
                <w:sz w:val="15"/>
              </w:rPr>
              <w:t>net_liquidity_z, m2_growth_yoy, nfci_inverted</w:t>
            </w:r>
          </w:p>
        </w:tc>
        <w:tc>
          <w:tcPr>
            <w:tcW w:type="dxa" w:w="2520"/>
            <w:vAlign w:val="top"/>
          </w:tcPr>
          <w:p>
            <w:pPr>
              <w:spacing w:after="20" w:line="240" w:lineRule="auto"/>
            </w:pPr>
            <w:r>
              <w:rPr>
                <w:rFonts w:ascii="Arial" w:hAnsi="Arial"/>
                <w:b w:val="0"/>
                <w:color w:val="595959"/>
                <w:sz w:val="15"/>
              </w:rPr>
              <w:t>net_liquidity, nfci, net_liquidity_z</w:t>
            </w:r>
          </w:p>
        </w:tc>
        <w:tc>
          <w:tcPr>
            <w:tcW w:type="dxa" w:w="2736"/>
            <w:vAlign w:val="top"/>
          </w:tcPr>
          <w:p>
            <w:pPr>
              <w:spacing w:after="20" w:line="240" w:lineRule="auto"/>
            </w:pPr>
            <w:r>
              <w:rPr>
                <w:rFonts w:ascii="Arial" w:hAnsi="Arial"/>
                <w:b w:val="0"/>
                <w:color w:val="595959"/>
                <w:sz w:val="15"/>
              </w:rPr>
              <w:t>Partial coverage</w:t>
            </w:r>
          </w:p>
        </w:tc>
      </w:tr>
      <w:tr>
        <w:tc>
          <w:tcPr>
            <w:tcW w:type="dxa" w:w="1440"/>
            <w:shd w:fill="F7F9FC"/>
            <w:vAlign w:val="top"/>
          </w:tcPr>
          <w:p>
            <w:pPr>
              <w:spacing w:after="20" w:line="240" w:lineRule="auto"/>
            </w:pPr>
            <w:r>
              <w:rPr>
                <w:rFonts w:ascii="Arial" w:hAnsi="Arial"/>
                <w:b w:val="0"/>
                <w:color w:val="595959"/>
                <w:sz w:val="15"/>
              </w:rPr>
              <w:t>positioning</w:t>
            </w:r>
          </w:p>
        </w:tc>
        <w:tc>
          <w:tcPr>
            <w:tcW w:type="dxa" w:w="864"/>
            <w:shd w:fill="F7F9FC"/>
            <w:vAlign w:val="top"/>
          </w:tcPr>
          <w:p>
            <w:pPr>
              <w:spacing w:after="20" w:line="240" w:lineRule="auto"/>
            </w:pPr>
            <w:r>
              <w:rPr>
                <w:rFonts w:ascii="Arial" w:hAnsi="Arial"/>
                <w:b w:val="0"/>
                <w:color w:val="595959"/>
                <w:sz w:val="15"/>
              </w:rPr>
              <w:t>36.19</w:t>
            </w:r>
          </w:p>
        </w:tc>
        <w:tc>
          <w:tcPr>
            <w:tcW w:type="dxa" w:w="792"/>
            <w:shd w:fill="F7F9FC"/>
            <w:vAlign w:val="top"/>
          </w:tcPr>
          <w:p>
            <w:pPr>
              <w:spacing w:after="20" w:line="240" w:lineRule="auto"/>
            </w:pPr>
            <w:r>
              <w:rPr>
                <w:rFonts w:ascii="Arial" w:hAnsi="Arial"/>
                <w:b w:val="0"/>
                <w:color w:val="595959"/>
                <w:sz w:val="15"/>
              </w:rPr>
              <w:t>97</w:t>
            </w:r>
          </w:p>
        </w:tc>
        <w:tc>
          <w:tcPr>
            <w:tcW w:type="dxa" w:w="936"/>
            <w:shd w:fill="F7F9FC"/>
            <w:vAlign w:val="top"/>
          </w:tcPr>
          <w:p>
            <w:pPr>
              <w:spacing w:after="20" w:line="240" w:lineRule="auto"/>
            </w:pPr>
            <w:r>
              <w:rPr>
                <w:rFonts w:ascii="Arial" w:hAnsi="Arial"/>
                <w:b w:val="0"/>
                <w:color w:val="595959"/>
                <w:sz w:val="15"/>
              </w:rPr>
              <w:t>53</w:t>
            </w:r>
          </w:p>
        </w:tc>
        <w:tc>
          <w:tcPr>
            <w:tcW w:type="dxa" w:w="792"/>
            <w:shd w:fill="F7F9FC"/>
            <w:vAlign w:val="top"/>
          </w:tcPr>
          <w:p>
            <w:pPr>
              <w:spacing w:after="20" w:line="240" w:lineRule="auto"/>
            </w:pPr>
            <w:r>
              <w:rPr>
                <w:rFonts w:ascii="Arial" w:hAnsi="Arial"/>
                <w:b w:val="0"/>
                <w:color w:val="595959"/>
                <w:sz w:val="15"/>
              </w:rPr>
              <w:t>0.65</w:t>
            </w:r>
          </w:p>
        </w:tc>
        <w:tc>
          <w:tcPr>
            <w:tcW w:type="dxa" w:w="2520"/>
            <w:shd w:fill="F7F9FC"/>
            <w:vAlign w:val="top"/>
          </w:tcPr>
          <w:p>
            <w:pPr>
              <w:spacing w:after="20" w:line="240" w:lineRule="auto"/>
            </w:pPr>
            <w:r>
              <w:rPr>
                <w:rFonts w:ascii="Arial" w:hAnsi="Arial"/>
                <w:b w:val="0"/>
                <w:color w:val="595959"/>
                <w:sz w:val="15"/>
              </w:rPr>
              <w:t>positioning_hedging, cot_net_large_spec_z</w:t>
            </w:r>
          </w:p>
        </w:tc>
        <w:tc>
          <w:tcPr>
            <w:tcW w:type="dxa" w:w="2520"/>
            <w:shd w:fill="F7F9FC"/>
            <w:vAlign w:val="top"/>
          </w:tcPr>
          <w:p>
            <w:pPr>
              <w:spacing w:after="20" w:line="240" w:lineRule="auto"/>
            </w:pPr>
            <w:r>
              <w:rPr>
                <w:rFonts w:ascii="Arial" w:hAnsi="Arial"/>
                <w:b w:val="0"/>
                <w:color w:val="595959"/>
                <w:sz w:val="15"/>
              </w:rPr>
              <w:t>put_call_5d_ma, cot_net_large_spec_z</w:t>
            </w:r>
          </w:p>
        </w:tc>
        <w:tc>
          <w:tcPr>
            <w:tcW w:type="dxa" w:w="2736"/>
            <w:shd w:fill="F7F9FC"/>
            <w:vAlign w:val="top"/>
          </w:tcPr>
          <w:p>
            <w:pPr>
              <w:spacing w:after="20" w:line="240" w:lineRule="auto"/>
            </w:pPr>
            <w:r>
              <w:rPr>
                <w:rFonts w:ascii="Arial" w:hAnsi="Arial"/>
                <w:b w:val="0"/>
                <w:color w:val="595959"/>
                <w:sz w:val="15"/>
              </w:rPr>
              <w:t>Partial coverage</w:t>
            </w:r>
          </w:p>
        </w:tc>
      </w:tr>
      <w:tr>
        <w:tc>
          <w:tcPr>
            <w:tcW w:type="dxa" w:w="1440"/>
            <w:vAlign w:val="top"/>
          </w:tcPr>
          <w:p>
            <w:pPr>
              <w:spacing w:after="20" w:line="240" w:lineRule="auto"/>
            </w:pPr>
            <w:r>
              <w:rPr>
                <w:rFonts w:ascii="Arial" w:hAnsi="Arial"/>
                <w:b w:val="0"/>
                <w:color w:val="595959"/>
                <w:sz w:val="15"/>
              </w:rPr>
              <w:t>volatility</w:t>
            </w:r>
          </w:p>
        </w:tc>
        <w:tc>
          <w:tcPr>
            <w:tcW w:type="dxa" w:w="864"/>
            <w:vAlign w:val="top"/>
          </w:tcPr>
          <w:p>
            <w:pPr>
              <w:spacing w:after="20" w:line="240" w:lineRule="auto"/>
            </w:pPr>
            <w:r>
              <w:rPr>
                <w:rFonts w:ascii="Arial" w:hAnsi="Arial"/>
                <w:b w:val="0"/>
                <w:color w:val="595959"/>
                <w:sz w:val="15"/>
              </w:rPr>
              <w:t>56.30</w:t>
            </w:r>
          </w:p>
        </w:tc>
        <w:tc>
          <w:tcPr>
            <w:tcW w:type="dxa" w:w="792"/>
            <w:vAlign w:val="top"/>
          </w:tcPr>
          <w:p>
            <w:pPr>
              <w:spacing w:after="20" w:line="240" w:lineRule="auto"/>
            </w:pPr>
            <w:r>
              <w:rPr>
                <w:rFonts w:ascii="Arial" w:hAnsi="Arial"/>
                <w:b w:val="0"/>
                <w:color w:val="595959"/>
                <w:sz w:val="15"/>
              </w:rPr>
              <w:t>296</w:t>
            </w:r>
          </w:p>
        </w:tc>
        <w:tc>
          <w:tcPr>
            <w:tcW w:type="dxa" w:w="936"/>
            <w:vAlign w:val="top"/>
          </w:tcPr>
          <w:p>
            <w:pPr>
              <w:spacing w:after="20" w:line="240" w:lineRule="auto"/>
            </w:pPr>
            <w:r>
              <w:rPr>
                <w:rFonts w:ascii="Arial" w:hAnsi="Arial"/>
                <w:b w:val="0"/>
                <w:color w:val="595959"/>
                <w:sz w:val="15"/>
              </w:rPr>
              <w:t>104</w:t>
            </w:r>
          </w:p>
        </w:tc>
        <w:tc>
          <w:tcPr>
            <w:tcW w:type="dxa" w:w="792"/>
            <w:vAlign w:val="top"/>
          </w:tcPr>
          <w:p>
            <w:pPr>
              <w:spacing w:after="20" w:line="240" w:lineRule="auto"/>
            </w:pPr>
            <w:r>
              <w:rPr>
                <w:rFonts w:ascii="Arial" w:hAnsi="Arial"/>
                <w:b w:val="0"/>
                <w:color w:val="595959"/>
                <w:sz w:val="15"/>
              </w:rPr>
              <w:t>0.74</w:t>
            </w:r>
          </w:p>
        </w:tc>
        <w:tc>
          <w:tcPr>
            <w:tcW w:type="dxa" w:w="2520"/>
            <w:vAlign w:val="top"/>
          </w:tcPr>
          <w:p>
            <w:pPr>
              <w:spacing w:after="20" w:line="240" w:lineRule="auto"/>
            </w:pPr>
            <w:r>
              <w:rPr>
                <w:rFonts w:ascii="Arial" w:hAnsi="Arial"/>
                <w:b w:val="0"/>
                <w:color w:val="595959"/>
                <w:sz w:val="15"/>
              </w:rPr>
              <w:t>vvix_z, vvix_level, vix_term_slope</w:t>
            </w:r>
          </w:p>
        </w:tc>
        <w:tc>
          <w:tcPr>
            <w:tcW w:type="dxa" w:w="2520"/>
            <w:vAlign w:val="top"/>
          </w:tcPr>
          <w:p>
            <w:pPr>
              <w:spacing w:after="20" w:line="240" w:lineRule="auto"/>
            </w:pPr>
            <w:r>
              <w:rPr>
                <w:rFonts w:ascii="Arial" w:hAnsi="Arial"/>
                <w:b w:val="0"/>
                <w:color w:val="595959"/>
                <w:sz w:val="15"/>
              </w:rPr>
              <w:t>put_call_ratio, skew_index, vix_z_20d</w:t>
            </w:r>
          </w:p>
        </w:tc>
        <w:tc>
          <w:tcPr>
            <w:tcW w:type="dxa" w:w="2736"/>
            <w:vAlign w:val="top"/>
          </w:tcPr>
          <w:p>
            <w:pPr>
              <w:spacing w:after="20" w:line="240" w:lineRule="auto"/>
            </w:pPr>
            <w:r>
              <w:rPr>
                <w:rFonts w:ascii="Arial" w:hAnsi="Arial"/>
                <w:b w:val="0"/>
                <w:color w:val="595959"/>
                <w:sz w:val="15"/>
              </w:rPr>
              <w:t>Partial coverage</w:t>
            </w:r>
          </w:p>
        </w:tc>
      </w:tr>
    </w:tbl>
    <w:p>
      <w:pPr>
        <w:spacing w:after="120"/>
      </w:pPr>
    </w:p>
    <w:p>
      <w:pPr>
        <w:spacing w:before="180" w:after="80"/>
      </w:pPr>
      <w:r>
        <w:rPr>
          <w:rFonts w:ascii="Arial" w:hAnsi="Arial"/>
          <w:b/>
          <w:color w:val="2E75B6"/>
          <w:sz w:val="21"/>
        </w:rPr>
        <w:t>Historical Macro Forward Return Stats</w:t>
      </w:r>
    </w:p>
    <w:tbl>
      <w:tblPr>
        <w:tblStyle w:val="TableGrid"/>
        <w:tblW w:type="auto" w:w="0"/>
        <w:jc w:val="center"/>
        <w:tblLayout w:type="fixed"/>
        <w:tblLook w:firstColumn="1" w:firstRow="1" w:lastColumn="0" w:lastRow="0" w:noHBand="0" w:noVBand="1" w:val="04A0"/>
      </w:tblPr>
      <w:tblGrid>
        <w:gridCol w:w="1164"/>
        <w:gridCol w:w="1164"/>
        <w:gridCol w:w="1164"/>
        <w:gridCol w:w="1164"/>
        <w:gridCol w:w="1164"/>
        <w:gridCol w:w="1164"/>
        <w:gridCol w:w="1164"/>
        <w:gridCol w:w="1164"/>
        <w:gridCol w:w="1164"/>
        <w:gridCol w:w="1164"/>
        <w:gridCol w:w="1164"/>
        <w:gridCol w:w="1164"/>
      </w:tblGrid>
      <w:tr>
        <w:trPr>
          <w:tblHeader w:val="true"/>
        </w:trPr>
        <w:tc>
          <w:tcPr>
            <w:tcW w:type="dxa" w:w="1152"/>
            <w:shd w:fill="1F4E79"/>
            <w:vAlign w:val="top"/>
          </w:tcPr>
          <w:p>
            <w:pPr>
              <w:spacing w:after="20" w:line="240" w:lineRule="auto"/>
            </w:pPr>
            <w:r>
              <w:rPr>
                <w:rFonts w:ascii="Arial" w:hAnsi="Arial"/>
                <w:b/>
                <w:color w:val="FFFFFF"/>
                <w:sz w:val="15"/>
              </w:rPr>
              <w:t>Horizon</w:t>
            </w:r>
          </w:p>
        </w:tc>
        <w:tc>
          <w:tcPr>
            <w:tcW w:type="dxa" w:w="504"/>
            <w:shd w:fill="1F4E79"/>
            <w:vAlign w:val="top"/>
          </w:tcPr>
          <w:p>
            <w:pPr>
              <w:spacing w:after="20" w:line="240" w:lineRule="auto"/>
            </w:pPr>
            <w:r>
              <w:rPr>
                <w:rFonts w:ascii="Arial" w:hAnsi="Arial"/>
                <w:b/>
                <w:color w:val="FFFFFF"/>
                <w:sz w:val="15"/>
              </w:rPr>
              <w:t>N</w:t>
            </w:r>
          </w:p>
        </w:tc>
        <w:tc>
          <w:tcPr>
            <w:tcW w:type="dxa" w:w="792"/>
            <w:shd w:fill="1F4E79"/>
            <w:vAlign w:val="top"/>
          </w:tcPr>
          <w:p>
            <w:pPr>
              <w:spacing w:after="20" w:line="240" w:lineRule="auto"/>
            </w:pPr>
            <w:r>
              <w:rPr>
                <w:rFonts w:ascii="Arial" w:hAnsi="Arial"/>
                <w:b/>
                <w:color w:val="FFFFFF"/>
                <w:sz w:val="15"/>
              </w:rPr>
              <w:t>Weight Sum</w:t>
            </w:r>
          </w:p>
        </w:tc>
        <w:tc>
          <w:tcPr>
            <w:tcW w:type="dxa" w:w="720"/>
            <w:shd w:fill="1F4E79"/>
            <w:vAlign w:val="top"/>
          </w:tcPr>
          <w:p>
            <w:pPr>
              <w:spacing w:after="20" w:line="240" w:lineRule="auto"/>
            </w:pPr>
            <w:r>
              <w:rPr>
                <w:rFonts w:ascii="Arial" w:hAnsi="Arial"/>
                <w:b/>
                <w:color w:val="FFFFFF"/>
                <w:sz w:val="15"/>
              </w:rPr>
              <w:t>Median</w:t>
            </w:r>
          </w:p>
        </w:tc>
        <w:tc>
          <w:tcPr>
            <w:tcW w:type="dxa" w:w="720"/>
            <w:shd w:fill="1F4E79"/>
            <w:vAlign w:val="top"/>
          </w:tcPr>
          <w:p>
            <w:pPr>
              <w:spacing w:after="20" w:line="240" w:lineRule="auto"/>
            </w:pPr>
            <w:r>
              <w:rPr>
                <w:rFonts w:ascii="Arial" w:hAnsi="Arial"/>
                <w:b/>
                <w:color w:val="FFFFFF"/>
                <w:sz w:val="15"/>
              </w:rPr>
              <w:t>Mean</w:t>
            </w:r>
          </w:p>
        </w:tc>
        <w:tc>
          <w:tcPr>
            <w:tcW w:type="dxa" w:w="864"/>
            <w:shd w:fill="1F4E79"/>
            <w:vAlign w:val="top"/>
          </w:tcPr>
          <w:p>
            <w:pPr>
              <w:spacing w:after="20" w:line="240" w:lineRule="auto"/>
            </w:pPr>
            <w:r>
              <w:rPr>
                <w:rFonts w:ascii="Arial" w:hAnsi="Arial"/>
                <w:b/>
                <w:color w:val="FFFFFF"/>
                <w:sz w:val="15"/>
              </w:rPr>
              <w:t>% Positive</w:t>
            </w:r>
          </w:p>
        </w:tc>
        <w:tc>
          <w:tcPr>
            <w:tcW w:type="dxa" w:w="648"/>
            <w:shd w:fill="1F4E79"/>
            <w:vAlign w:val="top"/>
          </w:tcPr>
          <w:p>
            <w:pPr>
              <w:spacing w:after="20" w:line="240" w:lineRule="auto"/>
            </w:pPr>
            <w:r>
              <w:rPr>
                <w:rFonts w:ascii="Arial" w:hAnsi="Arial"/>
                <w:b/>
                <w:color w:val="FFFFFF"/>
                <w:sz w:val="15"/>
              </w:rPr>
              <w:t>P10</w:t>
            </w:r>
          </w:p>
        </w:tc>
        <w:tc>
          <w:tcPr>
            <w:tcW w:type="dxa" w:w="648"/>
            <w:shd w:fill="1F4E79"/>
            <w:vAlign w:val="top"/>
          </w:tcPr>
          <w:p>
            <w:pPr>
              <w:spacing w:after="20" w:line="240" w:lineRule="auto"/>
            </w:pPr>
            <w:r>
              <w:rPr>
                <w:rFonts w:ascii="Arial" w:hAnsi="Arial"/>
                <w:b/>
                <w:color w:val="FFFFFF"/>
                <w:sz w:val="15"/>
              </w:rPr>
              <w:t>P25</w:t>
            </w:r>
          </w:p>
        </w:tc>
        <w:tc>
          <w:tcPr>
            <w:tcW w:type="dxa" w:w="648"/>
            <w:shd w:fill="1F4E79"/>
            <w:vAlign w:val="top"/>
          </w:tcPr>
          <w:p>
            <w:pPr>
              <w:spacing w:after="20" w:line="240" w:lineRule="auto"/>
            </w:pPr>
            <w:r>
              <w:rPr>
                <w:rFonts w:ascii="Arial" w:hAnsi="Arial"/>
                <w:b/>
                <w:color w:val="FFFFFF"/>
                <w:sz w:val="15"/>
              </w:rPr>
              <w:t>P75</w:t>
            </w:r>
          </w:p>
        </w:tc>
        <w:tc>
          <w:tcPr>
            <w:tcW w:type="dxa" w:w="648"/>
            <w:shd w:fill="1F4E79"/>
            <w:vAlign w:val="top"/>
          </w:tcPr>
          <w:p>
            <w:pPr>
              <w:spacing w:after="20" w:line="240" w:lineRule="auto"/>
            </w:pPr>
            <w:r>
              <w:rPr>
                <w:rFonts w:ascii="Arial" w:hAnsi="Arial"/>
                <w:b/>
                <w:color w:val="FFFFFF"/>
                <w:sz w:val="15"/>
              </w:rPr>
              <w:t>P90</w:t>
            </w:r>
          </w:p>
        </w:tc>
        <w:tc>
          <w:tcPr>
            <w:tcW w:type="dxa" w:w="720"/>
            <w:shd w:fill="1F4E79"/>
            <w:vAlign w:val="top"/>
          </w:tcPr>
          <w:p>
            <w:pPr>
              <w:spacing w:after="20" w:line="240" w:lineRule="auto"/>
            </w:pPr>
            <w:r>
              <w:rPr>
                <w:rFonts w:ascii="Arial" w:hAnsi="Arial"/>
                <w:b/>
                <w:color w:val="FFFFFF"/>
                <w:sz w:val="15"/>
              </w:rPr>
              <w:t>Worst</w:t>
            </w:r>
          </w:p>
        </w:tc>
        <w:tc>
          <w:tcPr>
            <w:tcW w:type="dxa" w:w="720"/>
            <w:shd w:fill="1F4E79"/>
            <w:vAlign w:val="top"/>
          </w:tcPr>
          <w:p>
            <w:pPr>
              <w:spacing w:after="20" w:line="240" w:lineRule="auto"/>
            </w:pPr>
            <w:r>
              <w:rPr>
                <w:rFonts w:ascii="Arial" w:hAnsi="Arial"/>
                <w:b/>
                <w:color w:val="FFFFFF"/>
                <w:sz w:val="15"/>
              </w:rPr>
              <w:t>Best</w:t>
            </w:r>
          </w:p>
        </w:tc>
      </w:tr>
      <w:tr>
        <w:tc>
          <w:tcPr>
            <w:tcW w:type="dxa" w:w="1152"/>
            <w:vAlign w:val="top"/>
          </w:tcPr>
          <w:p>
            <w:pPr>
              <w:spacing w:after="20" w:line="240" w:lineRule="auto"/>
            </w:pPr>
            <w:r>
              <w:rPr>
                <w:rFonts w:ascii="Arial" w:hAnsi="Arial"/>
                <w:b w:val="0"/>
                <w:color w:val="595959"/>
                <w:sz w:val="15"/>
              </w:rPr>
              <w:t>1M / 21D</w:t>
            </w:r>
          </w:p>
        </w:tc>
        <w:tc>
          <w:tcPr>
            <w:tcW w:type="dxa" w:w="504"/>
            <w:vAlign w:val="top"/>
          </w:tcPr>
          <w:p>
            <w:pPr>
              <w:spacing w:after="20" w:line="240" w:lineRule="auto"/>
            </w:pPr>
            <w:r>
              <w:rPr>
                <w:rFonts w:ascii="Arial" w:hAnsi="Arial"/>
                <w:b w:val="0"/>
                <w:color w:val="595959"/>
                <w:sz w:val="15"/>
              </w:rPr>
              <w:t>50</w:t>
            </w:r>
          </w:p>
        </w:tc>
        <w:tc>
          <w:tcPr>
            <w:tcW w:type="dxa" w:w="792"/>
            <w:vAlign w:val="top"/>
          </w:tcPr>
          <w:p>
            <w:pPr>
              <w:spacing w:after="20" w:line="240" w:lineRule="auto"/>
            </w:pPr>
            <w:r>
              <w:rPr>
                <w:rFonts w:ascii="Arial" w:hAnsi="Arial"/>
                <w:b w:val="0"/>
                <w:color w:val="595959"/>
                <w:sz w:val="15"/>
              </w:rPr>
              <w:t>100.80</w:t>
            </w:r>
          </w:p>
        </w:tc>
        <w:tc>
          <w:tcPr>
            <w:tcW w:type="dxa" w:w="720"/>
            <w:vAlign w:val="top"/>
          </w:tcPr>
          <w:p>
            <w:pPr>
              <w:spacing w:after="20" w:line="240" w:lineRule="auto"/>
            </w:pPr>
            <w:r>
              <w:rPr>
                <w:rFonts w:ascii="Arial" w:hAnsi="Arial"/>
                <w:b w:val="0"/>
                <w:color w:val="C00000"/>
                <w:sz w:val="15"/>
              </w:rPr>
              <w:t>-0.20</w:t>
            </w:r>
          </w:p>
        </w:tc>
        <w:tc>
          <w:tcPr>
            <w:tcW w:type="dxa" w:w="720"/>
            <w:vAlign w:val="top"/>
          </w:tcPr>
          <w:p>
            <w:pPr>
              <w:spacing w:after="20" w:line="240" w:lineRule="auto"/>
            </w:pPr>
            <w:r>
              <w:rPr>
                <w:rFonts w:ascii="Arial" w:hAnsi="Arial"/>
                <w:b w:val="0"/>
                <w:color w:val="C00000"/>
                <w:sz w:val="15"/>
              </w:rPr>
              <w:t>-1.13</w:t>
            </w:r>
          </w:p>
        </w:tc>
        <w:tc>
          <w:tcPr>
            <w:tcW w:type="dxa" w:w="864"/>
            <w:vAlign w:val="top"/>
          </w:tcPr>
          <w:p>
            <w:pPr>
              <w:spacing w:after="20" w:line="240" w:lineRule="auto"/>
            </w:pPr>
            <w:r>
              <w:rPr>
                <w:rFonts w:ascii="Arial" w:hAnsi="Arial"/>
                <w:b w:val="0"/>
                <w:color w:val="595959"/>
                <w:sz w:val="15"/>
              </w:rPr>
              <w:t>48.80</w:t>
            </w:r>
          </w:p>
        </w:tc>
        <w:tc>
          <w:tcPr>
            <w:tcW w:type="dxa" w:w="648"/>
            <w:vAlign w:val="top"/>
          </w:tcPr>
          <w:p>
            <w:pPr>
              <w:spacing w:after="20" w:line="240" w:lineRule="auto"/>
            </w:pPr>
            <w:r>
              <w:rPr>
                <w:rFonts w:ascii="Arial" w:hAnsi="Arial"/>
                <w:b w:val="0"/>
                <w:color w:val="C00000"/>
                <w:sz w:val="15"/>
              </w:rPr>
              <w:t>-6.01</w:t>
            </w:r>
          </w:p>
        </w:tc>
        <w:tc>
          <w:tcPr>
            <w:tcW w:type="dxa" w:w="648"/>
            <w:vAlign w:val="top"/>
          </w:tcPr>
          <w:p>
            <w:pPr>
              <w:spacing w:after="20" w:line="240" w:lineRule="auto"/>
            </w:pPr>
            <w:r>
              <w:rPr>
                <w:rFonts w:ascii="Arial" w:hAnsi="Arial"/>
                <w:b w:val="0"/>
                <w:color w:val="C00000"/>
                <w:sz w:val="15"/>
              </w:rPr>
              <w:t>-3.89</w:t>
            </w:r>
          </w:p>
        </w:tc>
        <w:tc>
          <w:tcPr>
            <w:tcW w:type="dxa" w:w="648"/>
            <w:vAlign w:val="top"/>
          </w:tcPr>
          <w:p>
            <w:pPr>
              <w:spacing w:after="20" w:line="240" w:lineRule="auto"/>
            </w:pPr>
            <w:r>
              <w:rPr>
                <w:rFonts w:ascii="Arial" w:hAnsi="Arial"/>
                <w:b w:val="0"/>
                <w:color w:val="375623"/>
                <w:sz w:val="15"/>
              </w:rPr>
              <w:t>+1.45</w:t>
            </w:r>
          </w:p>
        </w:tc>
        <w:tc>
          <w:tcPr>
            <w:tcW w:type="dxa" w:w="648"/>
            <w:vAlign w:val="top"/>
          </w:tcPr>
          <w:p>
            <w:pPr>
              <w:spacing w:after="20" w:line="240" w:lineRule="auto"/>
            </w:pPr>
            <w:r>
              <w:rPr>
                <w:rFonts w:ascii="Arial" w:hAnsi="Arial"/>
                <w:b w:val="0"/>
                <w:color w:val="375623"/>
                <w:sz w:val="15"/>
              </w:rPr>
              <w:t>+2.95</w:t>
            </w:r>
          </w:p>
        </w:tc>
        <w:tc>
          <w:tcPr>
            <w:tcW w:type="dxa" w:w="720"/>
            <w:vAlign w:val="top"/>
          </w:tcPr>
          <w:p>
            <w:pPr>
              <w:spacing w:after="20" w:line="240" w:lineRule="auto"/>
            </w:pPr>
            <w:r>
              <w:rPr>
                <w:rFonts w:ascii="Arial" w:hAnsi="Arial"/>
                <w:b w:val="0"/>
                <w:color w:val="C00000"/>
                <w:sz w:val="15"/>
              </w:rPr>
              <w:t>-9.21</w:t>
            </w:r>
          </w:p>
        </w:tc>
        <w:tc>
          <w:tcPr>
            <w:tcW w:type="dxa" w:w="720"/>
            <w:vAlign w:val="top"/>
          </w:tcPr>
          <w:p>
            <w:pPr>
              <w:spacing w:after="20" w:line="240" w:lineRule="auto"/>
            </w:pPr>
            <w:r>
              <w:rPr>
                <w:rFonts w:ascii="Arial" w:hAnsi="Arial"/>
                <w:b w:val="0"/>
                <w:color w:val="375623"/>
                <w:sz w:val="15"/>
              </w:rPr>
              <w:t>+4.19</w:t>
            </w:r>
          </w:p>
        </w:tc>
      </w:tr>
      <w:tr>
        <w:tc>
          <w:tcPr>
            <w:tcW w:type="dxa" w:w="1152"/>
            <w:shd w:fill="F7F9FC"/>
            <w:vAlign w:val="top"/>
          </w:tcPr>
          <w:p>
            <w:pPr>
              <w:spacing w:after="20" w:line="240" w:lineRule="auto"/>
            </w:pPr>
            <w:r>
              <w:rPr>
                <w:rFonts w:ascii="Arial" w:hAnsi="Arial"/>
                <w:b w:val="0"/>
                <w:color w:val="595959"/>
                <w:sz w:val="15"/>
              </w:rPr>
              <w:t>3M / 63D</w:t>
            </w:r>
          </w:p>
        </w:tc>
        <w:tc>
          <w:tcPr>
            <w:tcW w:type="dxa" w:w="504"/>
            <w:shd w:fill="F7F9FC"/>
            <w:vAlign w:val="top"/>
          </w:tcPr>
          <w:p>
            <w:pPr>
              <w:spacing w:after="20" w:line="240" w:lineRule="auto"/>
            </w:pPr>
            <w:r>
              <w:rPr>
                <w:rFonts w:ascii="Arial" w:hAnsi="Arial"/>
                <w:b w:val="0"/>
                <w:color w:val="595959"/>
                <w:sz w:val="15"/>
              </w:rPr>
              <w:t>48</w:t>
            </w:r>
          </w:p>
        </w:tc>
        <w:tc>
          <w:tcPr>
            <w:tcW w:type="dxa" w:w="792"/>
            <w:shd w:fill="F7F9FC"/>
            <w:vAlign w:val="top"/>
          </w:tcPr>
          <w:p>
            <w:pPr>
              <w:spacing w:after="20" w:line="240" w:lineRule="auto"/>
            </w:pPr>
            <w:r>
              <w:rPr>
                <w:rFonts w:ascii="Arial" w:hAnsi="Arial"/>
                <w:b w:val="0"/>
                <w:color w:val="595959"/>
                <w:sz w:val="15"/>
              </w:rPr>
              <w:t>97.56</w:t>
            </w:r>
          </w:p>
        </w:tc>
        <w:tc>
          <w:tcPr>
            <w:tcW w:type="dxa" w:w="720"/>
            <w:shd w:fill="F7F9FC"/>
            <w:vAlign w:val="top"/>
          </w:tcPr>
          <w:p>
            <w:pPr>
              <w:spacing w:after="20" w:line="240" w:lineRule="auto"/>
            </w:pPr>
            <w:r>
              <w:rPr>
                <w:rFonts w:ascii="Arial" w:hAnsi="Arial"/>
                <w:b w:val="0"/>
                <w:color w:val="375623"/>
                <w:sz w:val="15"/>
              </w:rPr>
              <w:t>+1.91</w:t>
            </w:r>
          </w:p>
        </w:tc>
        <w:tc>
          <w:tcPr>
            <w:tcW w:type="dxa" w:w="720"/>
            <w:shd w:fill="F7F9FC"/>
            <w:vAlign w:val="top"/>
          </w:tcPr>
          <w:p>
            <w:pPr>
              <w:spacing w:after="20" w:line="240" w:lineRule="auto"/>
            </w:pPr>
            <w:r>
              <w:rPr>
                <w:rFonts w:ascii="Arial" w:hAnsi="Arial"/>
                <w:b w:val="0"/>
                <w:color w:val="C00000"/>
                <w:sz w:val="15"/>
              </w:rPr>
              <w:t>-0.40</w:t>
            </w:r>
          </w:p>
        </w:tc>
        <w:tc>
          <w:tcPr>
            <w:tcW w:type="dxa" w:w="864"/>
            <w:shd w:fill="F7F9FC"/>
            <w:vAlign w:val="top"/>
          </w:tcPr>
          <w:p>
            <w:pPr>
              <w:spacing w:after="20" w:line="240" w:lineRule="auto"/>
            </w:pPr>
            <w:r>
              <w:rPr>
                <w:rFonts w:ascii="Arial" w:hAnsi="Arial"/>
                <w:b w:val="0"/>
                <w:color w:val="595959"/>
                <w:sz w:val="15"/>
              </w:rPr>
              <w:t>62.80</w:t>
            </w:r>
          </w:p>
        </w:tc>
        <w:tc>
          <w:tcPr>
            <w:tcW w:type="dxa" w:w="648"/>
            <w:shd w:fill="F7F9FC"/>
            <w:vAlign w:val="top"/>
          </w:tcPr>
          <w:p>
            <w:pPr>
              <w:spacing w:after="20" w:line="240" w:lineRule="auto"/>
            </w:pPr>
            <w:r>
              <w:rPr>
                <w:rFonts w:ascii="Arial" w:hAnsi="Arial"/>
                <w:b w:val="0"/>
                <w:color w:val="C00000"/>
                <w:sz w:val="15"/>
              </w:rPr>
              <w:t>-8.99</w:t>
            </w:r>
          </w:p>
        </w:tc>
        <w:tc>
          <w:tcPr>
            <w:tcW w:type="dxa" w:w="648"/>
            <w:shd w:fill="F7F9FC"/>
            <w:vAlign w:val="top"/>
          </w:tcPr>
          <w:p>
            <w:pPr>
              <w:spacing w:after="20" w:line="240" w:lineRule="auto"/>
            </w:pPr>
            <w:r>
              <w:rPr>
                <w:rFonts w:ascii="Arial" w:hAnsi="Arial"/>
                <w:b w:val="0"/>
                <w:color w:val="C00000"/>
                <w:sz w:val="15"/>
              </w:rPr>
              <w:t>-3.83</w:t>
            </w:r>
          </w:p>
        </w:tc>
        <w:tc>
          <w:tcPr>
            <w:tcW w:type="dxa" w:w="648"/>
            <w:shd w:fill="F7F9FC"/>
            <w:vAlign w:val="top"/>
          </w:tcPr>
          <w:p>
            <w:pPr>
              <w:spacing w:after="20" w:line="240" w:lineRule="auto"/>
            </w:pPr>
            <w:r>
              <w:rPr>
                <w:rFonts w:ascii="Arial" w:hAnsi="Arial"/>
                <w:b w:val="0"/>
                <w:color w:val="375623"/>
                <w:sz w:val="15"/>
              </w:rPr>
              <w:t>+3.54</w:t>
            </w:r>
          </w:p>
        </w:tc>
        <w:tc>
          <w:tcPr>
            <w:tcW w:type="dxa" w:w="648"/>
            <w:shd w:fill="F7F9FC"/>
            <w:vAlign w:val="top"/>
          </w:tcPr>
          <w:p>
            <w:pPr>
              <w:spacing w:after="20" w:line="240" w:lineRule="auto"/>
            </w:pPr>
            <w:r>
              <w:rPr>
                <w:rFonts w:ascii="Arial" w:hAnsi="Arial"/>
                <w:b w:val="0"/>
                <w:color w:val="375623"/>
                <w:sz w:val="15"/>
              </w:rPr>
              <w:t>+5.96</w:t>
            </w:r>
          </w:p>
        </w:tc>
        <w:tc>
          <w:tcPr>
            <w:tcW w:type="dxa" w:w="720"/>
            <w:shd w:fill="F7F9FC"/>
            <w:vAlign w:val="top"/>
          </w:tcPr>
          <w:p>
            <w:pPr>
              <w:spacing w:after="20" w:line="240" w:lineRule="auto"/>
            </w:pPr>
            <w:r>
              <w:rPr>
                <w:rFonts w:ascii="Arial" w:hAnsi="Arial"/>
                <w:b w:val="0"/>
                <w:color w:val="C00000"/>
                <w:sz w:val="15"/>
              </w:rPr>
              <w:t>-17.57</w:t>
            </w:r>
          </w:p>
        </w:tc>
        <w:tc>
          <w:tcPr>
            <w:tcW w:type="dxa" w:w="720"/>
            <w:shd w:fill="F7F9FC"/>
            <w:vAlign w:val="top"/>
          </w:tcPr>
          <w:p>
            <w:pPr>
              <w:spacing w:after="20" w:line="240" w:lineRule="auto"/>
            </w:pPr>
            <w:r>
              <w:rPr>
                <w:rFonts w:ascii="Arial" w:hAnsi="Arial"/>
                <w:b w:val="0"/>
                <w:color w:val="375623"/>
                <w:sz w:val="15"/>
              </w:rPr>
              <w:t>+11.37</w:t>
            </w:r>
          </w:p>
        </w:tc>
      </w:tr>
      <w:tr>
        <w:tc>
          <w:tcPr>
            <w:tcW w:type="dxa" w:w="1152"/>
            <w:vAlign w:val="top"/>
          </w:tcPr>
          <w:p>
            <w:pPr>
              <w:spacing w:after="20" w:line="240" w:lineRule="auto"/>
            </w:pPr>
            <w:r>
              <w:rPr>
                <w:rFonts w:ascii="Arial" w:hAnsi="Arial"/>
                <w:b w:val="0"/>
                <w:color w:val="595959"/>
                <w:sz w:val="15"/>
              </w:rPr>
              <w:t>6M / 126D</w:t>
            </w:r>
          </w:p>
        </w:tc>
        <w:tc>
          <w:tcPr>
            <w:tcW w:type="dxa" w:w="504"/>
            <w:vAlign w:val="top"/>
          </w:tcPr>
          <w:p>
            <w:pPr>
              <w:spacing w:after="20" w:line="240" w:lineRule="auto"/>
            </w:pPr>
            <w:r>
              <w:rPr>
                <w:rFonts w:ascii="Arial" w:hAnsi="Arial"/>
                <w:b w:val="0"/>
                <w:color w:val="595959"/>
                <w:sz w:val="15"/>
              </w:rPr>
              <w:t>45</w:t>
            </w:r>
          </w:p>
        </w:tc>
        <w:tc>
          <w:tcPr>
            <w:tcW w:type="dxa" w:w="792"/>
            <w:vAlign w:val="top"/>
          </w:tcPr>
          <w:p>
            <w:pPr>
              <w:spacing w:after="20" w:line="240" w:lineRule="auto"/>
            </w:pPr>
            <w:r>
              <w:rPr>
                <w:rFonts w:ascii="Arial" w:hAnsi="Arial"/>
                <w:b w:val="0"/>
                <w:color w:val="595959"/>
                <w:sz w:val="15"/>
              </w:rPr>
              <w:t>91.43</w:t>
            </w:r>
          </w:p>
        </w:tc>
        <w:tc>
          <w:tcPr>
            <w:tcW w:type="dxa" w:w="720"/>
            <w:vAlign w:val="top"/>
          </w:tcPr>
          <w:p>
            <w:pPr>
              <w:spacing w:after="20" w:line="240" w:lineRule="auto"/>
            </w:pPr>
            <w:r>
              <w:rPr>
                <w:rFonts w:ascii="Arial" w:hAnsi="Arial"/>
                <w:b w:val="0"/>
                <w:color w:val="375623"/>
                <w:sz w:val="15"/>
              </w:rPr>
              <w:t>+2.11</w:t>
            </w:r>
          </w:p>
        </w:tc>
        <w:tc>
          <w:tcPr>
            <w:tcW w:type="dxa" w:w="720"/>
            <w:vAlign w:val="top"/>
          </w:tcPr>
          <w:p>
            <w:pPr>
              <w:spacing w:after="20" w:line="240" w:lineRule="auto"/>
            </w:pPr>
            <w:r>
              <w:rPr>
                <w:rFonts w:ascii="Arial" w:hAnsi="Arial"/>
                <w:b w:val="0"/>
                <w:color w:val="375623"/>
                <w:sz w:val="15"/>
              </w:rPr>
              <w:t>+2.40</w:t>
            </w:r>
          </w:p>
        </w:tc>
        <w:tc>
          <w:tcPr>
            <w:tcW w:type="dxa" w:w="864"/>
            <w:vAlign w:val="top"/>
          </w:tcPr>
          <w:p>
            <w:pPr>
              <w:spacing w:after="20" w:line="240" w:lineRule="auto"/>
            </w:pPr>
            <w:r>
              <w:rPr>
                <w:rFonts w:ascii="Arial" w:hAnsi="Arial"/>
                <w:b w:val="0"/>
                <w:color w:val="595959"/>
                <w:sz w:val="15"/>
              </w:rPr>
              <w:t>62.10</w:t>
            </w:r>
          </w:p>
        </w:tc>
        <w:tc>
          <w:tcPr>
            <w:tcW w:type="dxa" w:w="648"/>
            <w:vAlign w:val="top"/>
          </w:tcPr>
          <w:p>
            <w:pPr>
              <w:spacing w:after="20" w:line="240" w:lineRule="auto"/>
            </w:pPr>
            <w:r>
              <w:rPr>
                <w:rFonts w:ascii="Arial" w:hAnsi="Arial"/>
                <w:b w:val="0"/>
                <w:color w:val="C00000"/>
                <w:sz w:val="15"/>
              </w:rPr>
              <w:t>-3.16</w:t>
            </w:r>
          </w:p>
        </w:tc>
        <w:tc>
          <w:tcPr>
            <w:tcW w:type="dxa" w:w="648"/>
            <w:vAlign w:val="top"/>
          </w:tcPr>
          <w:p>
            <w:pPr>
              <w:spacing w:after="20" w:line="240" w:lineRule="auto"/>
            </w:pPr>
            <w:r>
              <w:rPr>
                <w:rFonts w:ascii="Arial" w:hAnsi="Arial"/>
                <w:b w:val="0"/>
                <w:color w:val="C00000"/>
                <w:sz w:val="15"/>
              </w:rPr>
              <w:t>-2.06</w:t>
            </w:r>
          </w:p>
        </w:tc>
        <w:tc>
          <w:tcPr>
            <w:tcW w:type="dxa" w:w="648"/>
            <w:vAlign w:val="top"/>
          </w:tcPr>
          <w:p>
            <w:pPr>
              <w:spacing w:after="20" w:line="240" w:lineRule="auto"/>
            </w:pPr>
            <w:r>
              <w:rPr>
                <w:rFonts w:ascii="Arial" w:hAnsi="Arial"/>
                <w:b w:val="0"/>
                <w:color w:val="375623"/>
                <w:sz w:val="15"/>
              </w:rPr>
              <w:t>+6.21</w:t>
            </w:r>
          </w:p>
        </w:tc>
        <w:tc>
          <w:tcPr>
            <w:tcW w:type="dxa" w:w="648"/>
            <w:vAlign w:val="top"/>
          </w:tcPr>
          <w:p>
            <w:pPr>
              <w:spacing w:after="20" w:line="240" w:lineRule="auto"/>
            </w:pPr>
            <w:r>
              <w:rPr>
                <w:rFonts w:ascii="Arial" w:hAnsi="Arial"/>
                <w:b w:val="0"/>
                <w:color w:val="375623"/>
                <w:sz w:val="15"/>
              </w:rPr>
              <w:t>+8.57</w:t>
            </w:r>
          </w:p>
        </w:tc>
        <w:tc>
          <w:tcPr>
            <w:tcW w:type="dxa" w:w="720"/>
            <w:vAlign w:val="top"/>
          </w:tcPr>
          <w:p>
            <w:pPr>
              <w:spacing w:after="20" w:line="240" w:lineRule="auto"/>
            </w:pPr>
            <w:r>
              <w:rPr>
                <w:rFonts w:ascii="Arial" w:hAnsi="Arial"/>
                <w:b w:val="0"/>
                <w:color w:val="C00000"/>
                <w:sz w:val="15"/>
              </w:rPr>
              <w:t>-5.76</w:t>
            </w:r>
          </w:p>
        </w:tc>
        <w:tc>
          <w:tcPr>
            <w:tcW w:type="dxa" w:w="720"/>
            <w:vAlign w:val="top"/>
          </w:tcPr>
          <w:p>
            <w:pPr>
              <w:spacing w:after="20" w:line="240" w:lineRule="auto"/>
            </w:pPr>
            <w:r>
              <w:rPr>
                <w:rFonts w:ascii="Arial" w:hAnsi="Arial"/>
                <w:b w:val="0"/>
                <w:color w:val="375623"/>
                <w:sz w:val="15"/>
              </w:rPr>
              <w:t>+13.95</w:t>
            </w:r>
          </w:p>
        </w:tc>
      </w:tr>
      <w:tr>
        <w:tc>
          <w:tcPr>
            <w:tcW w:type="dxa" w:w="1152"/>
            <w:shd w:fill="F7F9FC"/>
            <w:vAlign w:val="top"/>
          </w:tcPr>
          <w:p>
            <w:pPr>
              <w:spacing w:after="20" w:line="240" w:lineRule="auto"/>
            </w:pPr>
            <w:r>
              <w:rPr>
                <w:rFonts w:ascii="Arial" w:hAnsi="Arial"/>
                <w:b w:val="0"/>
                <w:color w:val="595959"/>
                <w:sz w:val="15"/>
              </w:rPr>
              <w:t>1Y / 252D</w:t>
            </w:r>
          </w:p>
        </w:tc>
        <w:tc>
          <w:tcPr>
            <w:tcW w:type="dxa" w:w="504"/>
            <w:shd w:fill="F7F9FC"/>
            <w:vAlign w:val="top"/>
          </w:tcPr>
          <w:p>
            <w:pPr>
              <w:spacing w:after="20" w:line="240" w:lineRule="auto"/>
            </w:pPr>
            <w:r>
              <w:rPr>
                <w:rFonts w:ascii="Arial" w:hAnsi="Arial"/>
                <w:b w:val="0"/>
                <w:color w:val="595959"/>
                <w:sz w:val="15"/>
              </w:rPr>
              <w:t>32</w:t>
            </w:r>
          </w:p>
        </w:tc>
        <w:tc>
          <w:tcPr>
            <w:tcW w:type="dxa" w:w="792"/>
            <w:shd w:fill="F7F9FC"/>
            <w:vAlign w:val="top"/>
          </w:tcPr>
          <w:p>
            <w:pPr>
              <w:spacing w:after="20" w:line="240" w:lineRule="auto"/>
            </w:pPr>
            <w:r>
              <w:rPr>
                <w:rFonts w:ascii="Arial" w:hAnsi="Arial"/>
                <w:b w:val="0"/>
                <w:color w:val="595959"/>
                <w:sz w:val="15"/>
              </w:rPr>
              <w:t>60.56</w:t>
            </w:r>
          </w:p>
        </w:tc>
        <w:tc>
          <w:tcPr>
            <w:tcW w:type="dxa" w:w="720"/>
            <w:shd w:fill="F7F9FC"/>
            <w:vAlign w:val="top"/>
          </w:tcPr>
          <w:p>
            <w:pPr>
              <w:spacing w:after="20" w:line="240" w:lineRule="auto"/>
            </w:pPr>
            <w:r>
              <w:rPr>
                <w:rFonts w:ascii="Arial" w:hAnsi="Arial"/>
                <w:b w:val="0"/>
                <w:color w:val="375623"/>
                <w:sz w:val="15"/>
              </w:rPr>
              <w:t>+4.20</w:t>
            </w:r>
          </w:p>
        </w:tc>
        <w:tc>
          <w:tcPr>
            <w:tcW w:type="dxa" w:w="720"/>
            <w:shd w:fill="F7F9FC"/>
            <w:vAlign w:val="top"/>
          </w:tcPr>
          <w:p>
            <w:pPr>
              <w:spacing w:after="20" w:line="240" w:lineRule="auto"/>
            </w:pPr>
            <w:r>
              <w:rPr>
                <w:rFonts w:ascii="Arial" w:hAnsi="Arial"/>
                <w:b w:val="0"/>
                <w:color w:val="375623"/>
                <w:sz w:val="15"/>
              </w:rPr>
              <w:t>+7.66</w:t>
            </w:r>
          </w:p>
        </w:tc>
        <w:tc>
          <w:tcPr>
            <w:tcW w:type="dxa" w:w="864"/>
            <w:shd w:fill="F7F9FC"/>
            <w:vAlign w:val="top"/>
          </w:tcPr>
          <w:p>
            <w:pPr>
              <w:spacing w:after="20" w:line="240" w:lineRule="auto"/>
            </w:pPr>
            <w:r>
              <w:rPr>
                <w:rFonts w:ascii="Arial" w:hAnsi="Arial"/>
                <w:b w:val="0"/>
                <w:color w:val="595959"/>
                <w:sz w:val="15"/>
              </w:rPr>
              <w:t>90.10</w:t>
            </w:r>
          </w:p>
        </w:tc>
        <w:tc>
          <w:tcPr>
            <w:tcW w:type="dxa" w:w="648"/>
            <w:shd w:fill="F7F9FC"/>
            <w:vAlign w:val="top"/>
          </w:tcPr>
          <w:p>
            <w:pPr>
              <w:spacing w:after="20" w:line="240" w:lineRule="auto"/>
            </w:pPr>
            <w:r>
              <w:rPr>
                <w:rFonts w:ascii="Arial" w:hAnsi="Arial"/>
                <w:b w:val="0"/>
                <w:color w:val="C00000"/>
                <w:sz w:val="15"/>
              </w:rPr>
              <w:t>-1.86</w:t>
            </w:r>
          </w:p>
        </w:tc>
        <w:tc>
          <w:tcPr>
            <w:tcW w:type="dxa" w:w="648"/>
            <w:shd w:fill="F7F9FC"/>
            <w:vAlign w:val="top"/>
          </w:tcPr>
          <w:p>
            <w:pPr>
              <w:spacing w:after="20" w:line="240" w:lineRule="auto"/>
            </w:pPr>
            <w:r>
              <w:rPr>
                <w:rFonts w:ascii="Arial" w:hAnsi="Arial"/>
                <w:b w:val="0"/>
                <w:color w:val="375623"/>
                <w:sz w:val="15"/>
              </w:rPr>
              <w:t>+1.86</w:t>
            </w:r>
          </w:p>
        </w:tc>
        <w:tc>
          <w:tcPr>
            <w:tcW w:type="dxa" w:w="648"/>
            <w:shd w:fill="F7F9FC"/>
            <w:vAlign w:val="top"/>
          </w:tcPr>
          <w:p>
            <w:pPr>
              <w:spacing w:after="20" w:line="240" w:lineRule="auto"/>
            </w:pPr>
            <w:r>
              <w:rPr>
                <w:rFonts w:ascii="Arial" w:hAnsi="Arial"/>
                <w:b w:val="0"/>
                <w:color w:val="375623"/>
                <w:sz w:val="15"/>
              </w:rPr>
              <w:t>+12.55</w:t>
            </w:r>
          </w:p>
        </w:tc>
        <w:tc>
          <w:tcPr>
            <w:tcW w:type="dxa" w:w="648"/>
            <w:shd w:fill="F7F9FC"/>
            <w:vAlign w:val="top"/>
          </w:tcPr>
          <w:p>
            <w:pPr>
              <w:spacing w:after="20" w:line="240" w:lineRule="auto"/>
            </w:pPr>
            <w:r>
              <w:rPr>
                <w:rFonts w:ascii="Arial" w:hAnsi="Arial"/>
                <w:b w:val="0"/>
                <w:color w:val="375623"/>
                <w:sz w:val="15"/>
              </w:rPr>
              <w:t>+20.30</w:t>
            </w:r>
          </w:p>
        </w:tc>
        <w:tc>
          <w:tcPr>
            <w:tcW w:type="dxa" w:w="720"/>
            <w:shd w:fill="F7F9FC"/>
            <w:vAlign w:val="top"/>
          </w:tcPr>
          <w:p>
            <w:pPr>
              <w:spacing w:after="20" w:line="240" w:lineRule="auto"/>
            </w:pPr>
            <w:r>
              <w:rPr>
                <w:rFonts w:ascii="Arial" w:hAnsi="Arial"/>
                <w:b w:val="0"/>
                <w:color w:val="C00000"/>
                <w:sz w:val="15"/>
              </w:rPr>
              <w:t>-6.97</w:t>
            </w:r>
          </w:p>
        </w:tc>
        <w:tc>
          <w:tcPr>
            <w:tcW w:type="dxa" w:w="720"/>
            <w:shd w:fill="F7F9FC"/>
            <w:vAlign w:val="top"/>
          </w:tcPr>
          <w:p>
            <w:pPr>
              <w:spacing w:after="20" w:line="240" w:lineRule="auto"/>
            </w:pPr>
            <w:r>
              <w:rPr>
                <w:rFonts w:ascii="Arial" w:hAnsi="Arial"/>
                <w:b w:val="0"/>
                <w:color w:val="375623"/>
                <w:sz w:val="15"/>
              </w:rPr>
              <w:t>+28.22</w:t>
            </w:r>
          </w:p>
        </w:tc>
      </w:tr>
    </w:tbl>
    <w:p>
      <w:pPr>
        <w:spacing w:after="120"/>
      </w:pPr>
    </w:p>
    <w:p>
      <w:r>
        <w:drawing>
          <wp:inline xmlns:a="http://schemas.openxmlformats.org/drawingml/2006/main" xmlns:pic="http://schemas.openxmlformats.org/drawingml/2006/picture">
            <wp:extent cx="5852160" cy="2426506"/>
            <wp:docPr id="4" name="Picture 4"/>
            <wp:cNvGraphicFramePr>
              <a:graphicFrameLocks noChangeAspect="1"/>
            </wp:cNvGraphicFramePr>
            <a:graphic>
              <a:graphicData uri="http://schemas.openxmlformats.org/drawingml/2006/picture">
                <pic:pic>
                  <pic:nvPicPr>
                    <pic:cNvPr id="0" name="historical_macro_forward_returns.png"/>
                    <pic:cNvPicPr/>
                  </pic:nvPicPr>
                  <pic:blipFill>
                    <a:blip r:embed="rId11"/>
                    <a:stretch>
                      <a:fillRect/>
                    </a:stretch>
                  </pic:blipFill>
                  <pic:spPr>
                    <a:xfrm>
                      <a:off x="0" y="0"/>
                      <a:ext cx="5852160" cy="2426506"/>
                    </a:xfrm>
                    <a:prstGeom prst="rect"/>
                  </pic:spPr>
                </pic:pic>
              </a:graphicData>
            </a:graphic>
          </wp:inline>
        </w:drawing>
      </w:r>
    </w:p>
    <w:p>
      <w:pPr>
        <w:spacing w:after="80"/>
      </w:pPr>
    </w:p>
    <w:p>
      <w:pPr>
        <w:spacing w:after="40"/>
      </w:pPr>
      <w:r>
        <w:rPr>
          <w:rFonts w:ascii="Arial" w:hAnsi="Arial"/>
          <w:b w:val="0"/>
          <w:color w:val="595959"/>
          <w:sz w:val="17"/>
        </w:rPr>
        <w:t>Longer horizons naturally have lower sample sizes because recent historical rows do not yet have full forward-return windows, especially 1Y / 252D.</w:t>
      </w:r>
    </w:p>
    <w:p>
      <w:pPr>
        <w:spacing w:before="180" w:after="80"/>
      </w:pPr>
      <w:r>
        <w:rPr>
          <w:rFonts w:ascii="Arial" w:hAnsi="Arial"/>
          <w:b/>
          <w:color w:val="2E75B6"/>
          <w:sz w:val="21"/>
        </w:rPr>
        <w:t>Historical Tactical Forward Return Stats</w:t>
      </w:r>
    </w:p>
    <w:tbl>
      <w:tblPr>
        <w:tblStyle w:val="TableGrid"/>
        <w:tblW w:type="auto" w:w="0"/>
        <w:jc w:val="center"/>
        <w:tblLayout w:type="fixed"/>
        <w:tblLook w:firstColumn="1" w:firstRow="1" w:lastColumn="0" w:lastRow="0" w:noHBand="0" w:noVBand="1" w:val="04A0"/>
      </w:tblPr>
      <w:tblGrid>
        <w:gridCol w:w="1164"/>
        <w:gridCol w:w="1164"/>
        <w:gridCol w:w="1164"/>
        <w:gridCol w:w="1164"/>
        <w:gridCol w:w="1164"/>
        <w:gridCol w:w="1164"/>
        <w:gridCol w:w="1164"/>
        <w:gridCol w:w="1164"/>
        <w:gridCol w:w="1164"/>
        <w:gridCol w:w="1164"/>
        <w:gridCol w:w="1164"/>
        <w:gridCol w:w="1164"/>
      </w:tblGrid>
      <w:tr>
        <w:trPr>
          <w:tblHeader w:val="true"/>
        </w:trPr>
        <w:tc>
          <w:tcPr>
            <w:tcW w:type="dxa" w:w="1152"/>
            <w:shd w:fill="1F4E79"/>
            <w:vAlign w:val="top"/>
          </w:tcPr>
          <w:p>
            <w:pPr>
              <w:spacing w:after="20" w:line="240" w:lineRule="auto"/>
            </w:pPr>
            <w:r>
              <w:rPr>
                <w:rFonts w:ascii="Arial" w:hAnsi="Arial"/>
                <w:b/>
                <w:color w:val="FFFFFF"/>
                <w:sz w:val="15"/>
              </w:rPr>
              <w:t>Horizon</w:t>
            </w:r>
          </w:p>
        </w:tc>
        <w:tc>
          <w:tcPr>
            <w:tcW w:type="dxa" w:w="504"/>
            <w:shd w:fill="1F4E79"/>
            <w:vAlign w:val="top"/>
          </w:tcPr>
          <w:p>
            <w:pPr>
              <w:spacing w:after="20" w:line="240" w:lineRule="auto"/>
            </w:pPr>
            <w:r>
              <w:rPr>
                <w:rFonts w:ascii="Arial" w:hAnsi="Arial"/>
                <w:b/>
                <w:color w:val="FFFFFF"/>
                <w:sz w:val="15"/>
              </w:rPr>
              <w:t>N</w:t>
            </w:r>
          </w:p>
        </w:tc>
        <w:tc>
          <w:tcPr>
            <w:tcW w:type="dxa" w:w="792"/>
            <w:shd w:fill="1F4E79"/>
            <w:vAlign w:val="top"/>
          </w:tcPr>
          <w:p>
            <w:pPr>
              <w:spacing w:after="20" w:line="240" w:lineRule="auto"/>
            </w:pPr>
            <w:r>
              <w:rPr>
                <w:rFonts w:ascii="Arial" w:hAnsi="Arial"/>
                <w:b/>
                <w:color w:val="FFFFFF"/>
                <w:sz w:val="15"/>
              </w:rPr>
              <w:t>Weight Sum</w:t>
            </w:r>
          </w:p>
        </w:tc>
        <w:tc>
          <w:tcPr>
            <w:tcW w:type="dxa" w:w="720"/>
            <w:shd w:fill="1F4E79"/>
            <w:vAlign w:val="top"/>
          </w:tcPr>
          <w:p>
            <w:pPr>
              <w:spacing w:after="20" w:line="240" w:lineRule="auto"/>
            </w:pPr>
            <w:r>
              <w:rPr>
                <w:rFonts w:ascii="Arial" w:hAnsi="Arial"/>
                <w:b/>
                <w:color w:val="FFFFFF"/>
                <w:sz w:val="15"/>
              </w:rPr>
              <w:t>Median</w:t>
            </w:r>
          </w:p>
        </w:tc>
        <w:tc>
          <w:tcPr>
            <w:tcW w:type="dxa" w:w="720"/>
            <w:shd w:fill="1F4E79"/>
            <w:vAlign w:val="top"/>
          </w:tcPr>
          <w:p>
            <w:pPr>
              <w:spacing w:after="20" w:line="240" w:lineRule="auto"/>
            </w:pPr>
            <w:r>
              <w:rPr>
                <w:rFonts w:ascii="Arial" w:hAnsi="Arial"/>
                <w:b/>
                <w:color w:val="FFFFFF"/>
                <w:sz w:val="15"/>
              </w:rPr>
              <w:t>Mean</w:t>
            </w:r>
          </w:p>
        </w:tc>
        <w:tc>
          <w:tcPr>
            <w:tcW w:type="dxa" w:w="864"/>
            <w:shd w:fill="1F4E79"/>
            <w:vAlign w:val="top"/>
          </w:tcPr>
          <w:p>
            <w:pPr>
              <w:spacing w:after="20" w:line="240" w:lineRule="auto"/>
            </w:pPr>
            <w:r>
              <w:rPr>
                <w:rFonts w:ascii="Arial" w:hAnsi="Arial"/>
                <w:b/>
                <w:color w:val="FFFFFF"/>
                <w:sz w:val="15"/>
              </w:rPr>
              <w:t>% Positive</w:t>
            </w:r>
          </w:p>
        </w:tc>
        <w:tc>
          <w:tcPr>
            <w:tcW w:type="dxa" w:w="648"/>
            <w:shd w:fill="1F4E79"/>
            <w:vAlign w:val="top"/>
          </w:tcPr>
          <w:p>
            <w:pPr>
              <w:spacing w:after="20" w:line="240" w:lineRule="auto"/>
            </w:pPr>
            <w:r>
              <w:rPr>
                <w:rFonts w:ascii="Arial" w:hAnsi="Arial"/>
                <w:b/>
                <w:color w:val="FFFFFF"/>
                <w:sz w:val="15"/>
              </w:rPr>
              <w:t>P10</w:t>
            </w:r>
          </w:p>
        </w:tc>
        <w:tc>
          <w:tcPr>
            <w:tcW w:type="dxa" w:w="648"/>
            <w:shd w:fill="1F4E79"/>
            <w:vAlign w:val="top"/>
          </w:tcPr>
          <w:p>
            <w:pPr>
              <w:spacing w:after="20" w:line="240" w:lineRule="auto"/>
            </w:pPr>
            <w:r>
              <w:rPr>
                <w:rFonts w:ascii="Arial" w:hAnsi="Arial"/>
                <w:b/>
                <w:color w:val="FFFFFF"/>
                <w:sz w:val="15"/>
              </w:rPr>
              <w:t>P25</w:t>
            </w:r>
          </w:p>
        </w:tc>
        <w:tc>
          <w:tcPr>
            <w:tcW w:type="dxa" w:w="648"/>
            <w:shd w:fill="1F4E79"/>
            <w:vAlign w:val="top"/>
          </w:tcPr>
          <w:p>
            <w:pPr>
              <w:spacing w:after="20" w:line="240" w:lineRule="auto"/>
            </w:pPr>
            <w:r>
              <w:rPr>
                <w:rFonts w:ascii="Arial" w:hAnsi="Arial"/>
                <w:b/>
                <w:color w:val="FFFFFF"/>
                <w:sz w:val="15"/>
              </w:rPr>
              <w:t>P75</w:t>
            </w:r>
          </w:p>
        </w:tc>
        <w:tc>
          <w:tcPr>
            <w:tcW w:type="dxa" w:w="648"/>
            <w:shd w:fill="1F4E79"/>
            <w:vAlign w:val="top"/>
          </w:tcPr>
          <w:p>
            <w:pPr>
              <w:spacing w:after="20" w:line="240" w:lineRule="auto"/>
            </w:pPr>
            <w:r>
              <w:rPr>
                <w:rFonts w:ascii="Arial" w:hAnsi="Arial"/>
                <w:b/>
                <w:color w:val="FFFFFF"/>
                <w:sz w:val="15"/>
              </w:rPr>
              <w:t>P90</w:t>
            </w:r>
          </w:p>
        </w:tc>
        <w:tc>
          <w:tcPr>
            <w:tcW w:type="dxa" w:w="720"/>
            <w:shd w:fill="1F4E79"/>
            <w:vAlign w:val="top"/>
          </w:tcPr>
          <w:p>
            <w:pPr>
              <w:spacing w:after="20" w:line="240" w:lineRule="auto"/>
            </w:pPr>
            <w:r>
              <w:rPr>
                <w:rFonts w:ascii="Arial" w:hAnsi="Arial"/>
                <w:b/>
                <w:color w:val="FFFFFF"/>
                <w:sz w:val="15"/>
              </w:rPr>
              <w:t>Worst</w:t>
            </w:r>
          </w:p>
        </w:tc>
        <w:tc>
          <w:tcPr>
            <w:tcW w:type="dxa" w:w="720"/>
            <w:shd w:fill="1F4E79"/>
            <w:vAlign w:val="top"/>
          </w:tcPr>
          <w:p>
            <w:pPr>
              <w:spacing w:after="20" w:line="240" w:lineRule="auto"/>
            </w:pPr>
            <w:r>
              <w:rPr>
                <w:rFonts w:ascii="Arial" w:hAnsi="Arial"/>
                <w:b/>
                <w:color w:val="FFFFFF"/>
                <w:sz w:val="15"/>
              </w:rPr>
              <w:t>Best</w:t>
            </w:r>
          </w:p>
        </w:tc>
      </w:tr>
      <w:tr>
        <w:tc>
          <w:tcPr>
            <w:tcW w:type="dxa" w:w="1152"/>
            <w:vAlign w:val="top"/>
          </w:tcPr>
          <w:p>
            <w:pPr>
              <w:spacing w:after="20" w:line="240" w:lineRule="auto"/>
            </w:pPr>
            <w:r>
              <w:rPr>
                <w:rFonts w:ascii="Arial" w:hAnsi="Arial"/>
                <w:b w:val="0"/>
                <w:color w:val="595959"/>
                <w:sz w:val="15"/>
              </w:rPr>
              <w:t>1D</w:t>
            </w:r>
          </w:p>
        </w:tc>
        <w:tc>
          <w:tcPr>
            <w:tcW w:type="dxa" w:w="504"/>
            <w:vAlign w:val="top"/>
          </w:tcPr>
          <w:p>
            <w:pPr>
              <w:spacing w:after="20" w:line="240" w:lineRule="auto"/>
            </w:pPr>
            <w:r>
              <w:rPr>
                <w:rFonts w:ascii="Arial" w:hAnsi="Arial"/>
                <w:b w:val="0"/>
                <w:color w:val="595959"/>
                <w:sz w:val="15"/>
              </w:rPr>
              <w:t>50</w:t>
            </w:r>
          </w:p>
        </w:tc>
        <w:tc>
          <w:tcPr>
            <w:tcW w:type="dxa" w:w="792"/>
            <w:vAlign w:val="top"/>
          </w:tcPr>
          <w:p>
            <w:pPr>
              <w:spacing w:after="20" w:line="240" w:lineRule="auto"/>
            </w:pPr>
            <w:r>
              <w:rPr>
                <w:rFonts w:ascii="Arial" w:hAnsi="Arial"/>
                <w:b w:val="0"/>
                <w:color w:val="595959"/>
                <w:sz w:val="15"/>
              </w:rPr>
              <w:t>100.80</w:t>
            </w:r>
          </w:p>
        </w:tc>
        <w:tc>
          <w:tcPr>
            <w:tcW w:type="dxa" w:w="720"/>
            <w:vAlign w:val="top"/>
          </w:tcPr>
          <w:p>
            <w:pPr>
              <w:spacing w:after="20" w:line="240" w:lineRule="auto"/>
            </w:pPr>
            <w:r>
              <w:rPr>
                <w:rFonts w:ascii="Arial" w:hAnsi="Arial"/>
                <w:b w:val="0"/>
                <w:color w:val="C00000"/>
                <w:sz w:val="15"/>
              </w:rPr>
              <w:t>-0.03</w:t>
            </w:r>
          </w:p>
        </w:tc>
        <w:tc>
          <w:tcPr>
            <w:tcW w:type="dxa" w:w="720"/>
            <w:vAlign w:val="top"/>
          </w:tcPr>
          <w:p>
            <w:pPr>
              <w:spacing w:after="20" w:line="240" w:lineRule="auto"/>
            </w:pPr>
            <w:r>
              <w:rPr>
                <w:rFonts w:ascii="Arial" w:hAnsi="Arial"/>
                <w:b w:val="0"/>
                <w:color w:val="C00000"/>
                <w:sz w:val="15"/>
              </w:rPr>
              <w:t>-0.01</w:t>
            </w:r>
          </w:p>
        </w:tc>
        <w:tc>
          <w:tcPr>
            <w:tcW w:type="dxa" w:w="864"/>
            <w:vAlign w:val="top"/>
          </w:tcPr>
          <w:p>
            <w:pPr>
              <w:spacing w:after="20" w:line="240" w:lineRule="auto"/>
            </w:pPr>
            <w:r>
              <w:rPr>
                <w:rFonts w:ascii="Arial" w:hAnsi="Arial"/>
                <w:b w:val="0"/>
                <w:color w:val="595959"/>
                <w:sz w:val="15"/>
              </w:rPr>
              <w:t>47.00</w:t>
            </w:r>
          </w:p>
        </w:tc>
        <w:tc>
          <w:tcPr>
            <w:tcW w:type="dxa" w:w="648"/>
            <w:vAlign w:val="top"/>
          </w:tcPr>
          <w:p>
            <w:pPr>
              <w:spacing w:after="20" w:line="240" w:lineRule="auto"/>
            </w:pPr>
            <w:r>
              <w:rPr>
                <w:rFonts w:ascii="Arial" w:hAnsi="Arial"/>
                <w:b w:val="0"/>
                <w:color w:val="C00000"/>
                <w:sz w:val="15"/>
              </w:rPr>
              <w:t>-0.73</w:t>
            </w:r>
          </w:p>
        </w:tc>
        <w:tc>
          <w:tcPr>
            <w:tcW w:type="dxa" w:w="648"/>
            <w:vAlign w:val="top"/>
          </w:tcPr>
          <w:p>
            <w:pPr>
              <w:spacing w:after="20" w:line="240" w:lineRule="auto"/>
            </w:pPr>
            <w:r>
              <w:rPr>
                <w:rFonts w:ascii="Arial" w:hAnsi="Arial"/>
                <w:b w:val="0"/>
                <w:color w:val="C00000"/>
                <w:sz w:val="15"/>
              </w:rPr>
              <w:t>-0.34</w:t>
            </w:r>
          </w:p>
        </w:tc>
        <w:tc>
          <w:tcPr>
            <w:tcW w:type="dxa" w:w="648"/>
            <w:vAlign w:val="top"/>
          </w:tcPr>
          <w:p>
            <w:pPr>
              <w:spacing w:after="20" w:line="240" w:lineRule="auto"/>
            </w:pPr>
            <w:r>
              <w:rPr>
                <w:rFonts w:ascii="Arial" w:hAnsi="Arial"/>
                <w:b w:val="0"/>
                <w:color w:val="375623"/>
                <w:sz w:val="15"/>
              </w:rPr>
              <w:t>+0.42</w:t>
            </w:r>
          </w:p>
        </w:tc>
        <w:tc>
          <w:tcPr>
            <w:tcW w:type="dxa" w:w="648"/>
            <w:vAlign w:val="top"/>
          </w:tcPr>
          <w:p>
            <w:pPr>
              <w:spacing w:after="20" w:line="240" w:lineRule="auto"/>
            </w:pPr>
            <w:r>
              <w:rPr>
                <w:rFonts w:ascii="Arial" w:hAnsi="Arial"/>
                <w:b w:val="0"/>
                <w:color w:val="375623"/>
                <w:sz w:val="15"/>
              </w:rPr>
              <w:t>+0.59</w:t>
            </w:r>
          </w:p>
        </w:tc>
        <w:tc>
          <w:tcPr>
            <w:tcW w:type="dxa" w:w="720"/>
            <w:vAlign w:val="top"/>
          </w:tcPr>
          <w:p>
            <w:pPr>
              <w:spacing w:after="20" w:line="240" w:lineRule="auto"/>
            </w:pPr>
            <w:r>
              <w:rPr>
                <w:rFonts w:ascii="Arial" w:hAnsi="Arial"/>
                <w:b w:val="0"/>
                <w:color w:val="C00000"/>
                <w:sz w:val="15"/>
              </w:rPr>
              <w:t>-1.25</w:t>
            </w:r>
          </w:p>
        </w:tc>
        <w:tc>
          <w:tcPr>
            <w:tcW w:type="dxa" w:w="720"/>
            <w:vAlign w:val="top"/>
          </w:tcPr>
          <w:p>
            <w:pPr>
              <w:spacing w:after="20" w:line="240" w:lineRule="auto"/>
            </w:pPr>
            <w:r>
              <w:rPr>
                <w:rFonts w:ascii="Arial" w:hAnsi="Arial"/>
                <w:b w:val="0"/>
                <w:color w:val="375623"/>
                <w:sz w:val="15"/>
              </w:rPr>
              <w:t>+1.47</w:t>
            </w:r>
          </w:p>
        </w:tc>
      </w:tr>
      <w:tr>
        <w:tc>
          <w:tcPr>
            <w:tcW w:type="dxa" w:w="1152"/>
            <w:shd w:fill="F7F9FC"/>
            <w:vAlign w:val="top"/>
          </w:tcPr>
          <w:p>
            <w:pPr>
              <w:spacing w:after="20" w:line="240" w:lineRule="auto"/>
            </w:pPr>
            <w:r>
              <w:rPr>
                <w:rFonts w:ascii="Arial" w:hAnsi="Arial"/>
                <w:b w:val="0"/>
                <w:color w:val="595959"/>
                <w:sz w:val="15"/>
              </w:rPr>
              <w:t>5D</w:t>
            </w:r>
          </w:p>
        </w:tc>
        <w:tc>
          <w:tcPr>
            <w:tcW w:type="dxa" w:w="504"/>
            <w:shd w:fill="F7F9FC"/>
            <w:vAlign w:val="top"/>
          </w:tcPr>
          <w:p>
            <w:pPr>
              <w:spacing w:after="20" w:line="240" w:lineRule="auto"/>
            </w:pPr>
            <w:r>
              <w:rPr>
                <w:rFonts w:ascii="Arial" w:hAnsi="Arial"/>
                <w:b w:val="0"/>
                <w:color w:val="595959"/>
                <w:sz w:val="15"/>
              </w:rPr>
              <w:t>50</w:t>
            </w:r>
          </w:p>
        </w:tc>
        <w:tc>
          <w:tcPr>
            <w:tcW w:type="dxa" w:w="792"/>
            <w:shd w:fill="F7F9FC"/>
            <w:vAlign w:val="top"/>
          </w:tcPr>
          <w:p>
            <w:pPr>
              <w:spacing w:after="20" w:line="240" w:lineRule="auto"/>
            </w:pPr>
            <w:r>
              <w:rPr>
                <w:rFonts w:ascii="Arial" w:hAnsi="Arial"/>
                <w:b w:val="0"/>
                <w:color w:val="595959"/>
                <w:sz w:val="15"/>
              </w:rPr>
              <w:t>100.80</w:t>
            </w:r>
          </w:p>
        </w:tc>
        <w:tc>
          <w:tcPr>
            <w:tcW w:type="dxa" w:w="720"/>
            <w:shd w:fill="F7F9FC"/>
            <w:vAlign w:val="top"/>
          </w:tcPr>
          <w:p>
            <w:pPr>
              <w:spacing w:after="20" w:line="240" w:lineRule="auto"/>
            </w:pPr>
            <w:r>
              <w:rPr>
                <w:rFonts w:ascii="Arial" w:hAnsi="Arial"/>
                <w:b w:val="0"/>
                <w:color w:val="375623"/>
                <w:sz w:val="15"/>
              </w:rPr>
              <w:t>+0.51</w:t>
            </w:r>
          </w:p>
        </w:tc>
        <w:tc>
          <w:tcPr>
            <w:tcW w:type="dxa" w:w="720"/>
            <w:shd w:fill="F7F9FC"/>
            <w:vAlign w:val="top"/>
          </w:tcPr>
          <w:p>
            <w:pPr>
              <w:spacing w:after="20" w:line="240" w:lineRule="auto"/>
            </w:pPr>
            <w:r>
              <w:rPr>
                <w:rFonts w:ascii="Arial" w:hAnsi="Arial"/>
                <w:b w:val="0"/>
                <w:color w:val="375623"/>
                <w:sz w:val="15"/>
              </w:rPr>
              <w:t>+0.20</w:t>
            </w:r>
          </w:p>
        </w:tc>
        <w:tc>
          <w:tcPr>
            <w:tcW w:type="dxa" w:w="864"/>
            <w:shd w:fill="F7F9FC"/>
            <w:vAlign w:val="top"/>
          </w:tcPr>
          <w:p>
            <w:pPr>
              <w:spacing w:after="20" w:line="240" w:lineRule="auto"/>
            </w:pPr>
            <w:r>
              <w:rPr>
                <w:rFonts w:ascii="Arial" w:hAnsi="Arial"/>
                <w:b w:val="0"/>
                <w:color w:val="595959"/>
                <w:sz w:val="15"/>
              </w:rPr>
              <w:t>58.50</w:t>
            </w:r>
          </w:p>
        </w:tc>
        <w:tc>
          <w:tcPr>
            <w:tcW w:type="dxa" w:w="648"/>
            <w:shd w:fill="F7F9FC"/>
            <w:vAlign w:val="top"/>
          </w:tcPr>
          <w:p>
            <w:pPr>
              <w:spacing w:after="20" w:line="240" w:lineRule="auto"/>
            </w:pPr>
            <w:r>
              <w:rPr>
                <w:rFonts w:ascii="Arial" w:hAnsi="Arial"/>
                <w:b w:val="0"/>
                <w:color w:val="C00000"/>
                <w:sz w:val="15"/>
              </w:rPr>
              <w:t>-1.19</w:t>
            </w:r>
          </w:p>
        </w:tc>
        <w:tc>
          <w:tcPr>
            <w:tcW w:type="dxa" w:w="648"/>
            <w:shd w:fill="F7F9FC"/>
            <w:vAlign w:val="top"/>
          </w:tcPr>
          <w:p>
            <w:pPr>
              <w:spacing w:after="20" w:line="240" w:lineRule="auto"/>
            </w:pPr>
            <w:r>
              <w:rPr>
                <w:rFonts w:ascii="Arial" w:hAnsi="Arial"/>
                <w:b w:val="0"/>
                <w:color w:val="C00000"/>
                <w:sz w:val="15"/>
              </w:rPr>
              <w:t>-0.43</w:t>
            </w:r>
          </w:p>
        </w:tc>
        <w:tc>
          <w:tcPr>
            <w:tcW w:type="dxa" w:w="648"/>
            <w:shd w:fill="F7F9FC"/>
            <w:vAlign w:val="top"/>
          </w:tcPr>
          <w:p>
            <w:pPr>
              <w:spacing w:after="20" w:line="240" w:lineRule="auto"/>
            </w:pPr>
            <w:r>
              <w:rPr>
                <w:rFonts w:ascii="Arial" w:hAnsi="Arial"/>
                <w:b w:val="0"/>
                <w:color w:val="375623"/>
                <w:sz w:val="15"/>
              </w:rPr>
              <w:t>+0.88</w:t>
            </w:r>
          </w:p>
        </w:tc>
        <w:tc>
          <w:tcPr>
            <w:tcW w:type="dxa" w:w="648"/>
            <w:shd w:fill="F7F9FC"/>
            <w:vAlign w:val="top"/>
          </w:tcPr>
          <w:p>
            <w:pPr>
              <w:spacing w:after="20" w:line="240" w:lineRule="auto"/>
            </w:pPr>
            <w:r>
              <w:rPr>
                <w:rFonts w:ascii="Arial" w:hAnsi="Arial"/>
                <w:b w:val="0"/>
                <w:color w:val="375623"/>
                <w:sz w:val="15"/>
              </w:rPr>
              <w:t>+1.64</w:t>
            </w:r>
          </w:p>
        </w:tc>
        <w:tc>
          <w:tcPr>
            <w:tcW w:type="dxa" w:w="720"/>
            <w:shd w:fill="F7F9FC"/>
            <w:vAlign w:val="top"/>
          </w:tcPr>
          <w:p>
            <w:pPr>
              <w:spacing w:after="20" w:line="240" w:lineRule="auto"/>
            </w:pPr>
            <w:r>
              <w:rPr>
                <w:rFonts w:ascii="Arial" w:hAnsi="Arial"/>
                <w:b w:val="0"/>
                <w:color w:val="C00000"/>
                <w:sz w:val="15"/>
              </w:rPr>
              <w:t>-4.04</w:t>
            </w:r>
          </w:p>
        </w:tc>
        <w:tc>
          <w:tcPr>
            <w:tcW w:type="dxa" w:w="720"/>
            <w:shd w:fill="F7F9FC"/>
            <w:vAlign w:val="top"/>
          </w:tcPr>
          <w:p>
            <w:pPr>
              <w:spacing w:after="20" w:line="240" w:lineRule="auto"/>
            </w:pPr>
            <w:r>
              <w:rPr>
                <w:rFonts w:ascii="Arial" w:hAnsi="Arial"/>
                <w:b w:val="0"/>
                <w:color w:val="375623"/>
                <w:sz w:val="15"/>
              </w:rPr>
              <w:t>+2.83</w:t>
            </w:r>
          </w:p>
        </w:tc>
      </w:tr>
      <w:tr>
        <w:tc>
          <w:tcPr>
            <w:tcW w:type="dxa" w:w="1152"/>
            <w:vAlign w:val="top"/>
          </w:tcPr>
          <w:p>
            <w:pPr>
              <w:spacing w:after="20" w:line="240" w:lineRule="auto"/>
            </w:pPr>
            <w:r>
              <w:rPr>
                <w:rFonts w:ascii="Arial" w:hAnsi="Arial"/>
                <w:b w:val="0"/>
                <w:color w:val="595959"/>
                <w:sz w:val="15"/>
              </w:rPr>
              <w:t>10D</w:t>
            </w:r>
          </w:p>
        </w:tc>
        <w:tc>
          <w:tcPr>
            <w:tcW w:type="dxa" w:w="504"/>
            <w:vAlign w:val="top"/>
          </w:tcPr>
          <w:p>
            <w:pPr>
              <w:spacing w:after="20" w:line="240" w:lineRule="auto"/>
            </w:pPr>
            <w:r>
              <w:rPr>
                <w:rFonts w:ascii="Arial" w:hAnsi="Arial"/>
                <w:b w:val="0"/>
                <w:color w:val="595959"/>
                <w:sz w:val="15"/>
              </w:rPr>
              <w:t>50</w:t>
            </w:r>
          </w:p>
        </w:tc>
        <w:tc>
          <w:tcPr>
            <w:tcW w:type="dxa" w:w="792"/>
            <w:vAlign w:val="top"/>
          </w:tcPr>
          <w:p>
            <w:pPr>
              <w:spacing w:after="20" w:line="240" w:lineRule="auto"/>
            </w:pPr>
            <w:r>
              <w:rPr>
                <w:rFonts w:ascii="Arial" w:hAnsi="Arial"/>
                <w:b w:val="0"/>
                <w:color w:val="595959"/>
                <w:sz w:val="15"/>
              </w:rPr>
              <w:t>100.80</w:t>
            </w:r>
          </w:p>
        </w:tc>
        <w:tc>
          <w:tcPr>
            <w:tcW w:type="dxa" w:w="720"/>
            <w:vAlign w:val="top"/>
          </w:tcPr>
          <w:p>
            <w:pPr>
              <w:spacing w:after="20" w:line="240" w:lineRule="auto"/>
            </w:pPr>
            <w:r>
              <w:rPr>
                <w:rFonts w:ascii="Arial" w:hAnsi="Arial"/>
                <w:b w:val="0"/>
                <w:color w:val="375623"/>
                <w:sz w:val="15"/>
              </w:rPr>
              <w:t>+0.40</w:t>
            </w:r>
          </w:p>
        </w:tc>
        <w:tc>
          <w:tcPr>
            <w:tcW w:type="dxa" w:w="720"/>
            <w:vAlign w:val="top"/>
          </w:tcPr>
          <w:p>
            <w:pPr>
              <w:spacing w:after="20" w:line="240" w:lineRule="auto"/>
            </w:pPr>
            <w:r>
              <w:rPr>
                <w:rFonts w:ascii="Arial" w:hAnsi="Arial"/>
                <w:b w:val="0"/>
                <w:color w:val="C00000"/>
                <w:sz w:val="15"/>
              </w:rPr>
              <w:t>-0.40</w:t>
            </w:r>
          </w:p>
        </w:tc>
        <w:tc>
          <w:tcPr>
            <w:tcW w:type="dxa" w:w="864"/>
            <w:vAlign w:val="top"/>
          </w:tcPr>
          <w:p>
            <w:pPr>
              <w:spacing w:after="20" w:line="240" w:lineRule="auto"/>
            </w:pPr>
            <w:r>
              <w:rPr>
                <w:rFonts w:ascii="Arial" w:hAnsi="Arial"/>
                <w:b w:val="0"/>
                <w:color w:val="595959"/>
                <w:sz w:val="15"/>
              </w:rPr>
              <w:t>55.60</w:t>
            </w:r>
          </w:p>
        </w:tc>
        <w:tc>
          <w:tcPr>
            <w:tcW w:type="dxa" w:w="648"/>
            <w:vAlign w:val="top"/>
          </w:tcPr>
          <w:p>
            <w:pPr>
              <w:spacing w:after="20" w:line="240" w:lineRule="auto"/>
            </w:pPr>
            <w:r>
              <w:rPr>
                <w:rFonts w:ascii="Arial" w:hAnsi="Arial"/>
                <w:b w:val="0"/>
                <w:color w:val="C00000"/>
                <w:sz w:val="15"/>
              </w:rPr>
              <w:t>-4.75</w:t>
            </w:r>
          </w:p>
        </w:tc>
        <w:tc>
          <w:tcPr>
            <w:tcW w:type="dxa" w:w="648"/>
            <w:vAlign w:val="top"/>
          </w:tcPr>
          <w:p>
            <w:pPr>
              <w:spacing w:after="20" w:line="240" w:lineRule="auto"/>
            </w:pPr>
            <w:r>
              <w:rPr>
                <w:rFonts w:ascii="Arial" w:hAnsi="Arial"/>
                <w:b w:val="0"/>
                <w:color w:val="C00000"/>
                <w:sz w:val="15"/>
              </w:rPr>
              <w:t>-1.46</w:t>
            </w:r>
          </w:p>
        </w:tc>
        <w:tc>
          <w:tcPr>
            <w:tcW w:type="dxa" w:w="648"/>
            <w:vAlign w:val="top"/>
          </w:tcPr>
          <w:p>
            <w:pPr>
              <w:spacing w:after="20" w:line="240" w:lineRule="auto"/>
            </w:pPr>
            <w:r>
              <w:rPr>
                <w:rFonts w:ascii="Arial" w:hAnsi="Arial"/>
                <w:b w:val="0"/>
                <w:color w:val="375623"/>
                <w:sz w:val="15"/>
              </w:rPr>
              <w:t>+1.10</w:t>
            </w:r>
          </w:p>
        </w:tc>
        <w:tc>
          <w:tcPr>
            <w:tcW w:type="dxa" w:w="648"/>
            <w:vAlign w:val="top"/>
          </w:tcPr>
          <w:p>
            <w:pPr>
              <w:spacing w:after="20" w:line="240" w:lineRule="auto"/>
            </w:pPr>
            <w:r>
              <w:rPr>
                <w:rFonts w:ascii="Arial" w:hAnsi="Arial"/>
                <w:b w:val="0"/>
                <w:color w:val="375623"/>
                <w:sz w:val="15"/>
              </w:rPr>
              <w:t>+2.26</w:t>
            </w:r>
          </w:p>
        </w:tc>
        <w:tc>
          <w:tcPr>
            <w:tcW w:type="dxa" w:w="720"/>
            <w:vAlign w:val="top"/>
          </w:tcPr>
          <w:p>
            <w:pPr>
              <w:spacing w:after="20" w:line="240" w:lineRule="auto"/>
            </w:pPr>
            <w:r>
              <w:rPr>
                <w:rFonts w:ascii="Arial" w:hAnsi="Arial"/>
                <w:b w:val="0"/>
                <w:color w:val="C00000"/>
                <w:sz w:val="15"/>
              </w:rPr>
              <w:t>-7.33</w:t>
            </w:r>
          </w:p>
        </w:tc>
        <w:tc>
          <w:tcPr>
            <w:tcW w:type="dxa" w:w="720"/>
            <w:vAlign w:val="top"/>
          </w:tcPr>
          <w:p>
            <w:pPr>
              <w:spacing w:after="20" w:line="240" w:lineRule="auto"/>
            </w:pPr>
            <w:r>
              <w:rPr>
                <w:rFonts w:ascii="Arial" w:hAnsi="Arial"/>
                <w:b w:val="0"/>
                <w:color w:val="375623"/>
                <w:sz w:val="15"/>
              </w:rPr>
              <w:t>+3.43</w:t>
            </w:r>
          </w:p>
        </w:tc>
      </w:tr>
    </w:tbl>
    <w:p>
      <w:pPr>
        <w:spacing w:after="120"/>
      </w:pPr>
    </w:p>
    <w:p>
      <w:pPr>
        <w:spacing w:before="180" w:after="80"/>
      </w:pPr>
      <w:r>
        <w:rPr>
          <w:rFonts w:ascii="Arial" w:hAnsi="Arial"/>
          <w:b/>
          <w:color w:val="2E75B6"/>
          <w:sz w:val="21"/>
        </w:rPr>
        <w:t>Historical Risk Profile by Horizon</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gridCol w:w="1746"/>
        <w:gridCol w:w="1746"/>
        <w:gridCol w:w="1746"/>
      </w:tblGrid>
      <w:tr>
        <w:trPr>
          <w:tblHeader w:val="true"/>
        </w:trPr>
        <w:tc>
          <w:tcPr>
            <w:tcW w:type="dxa" w:w="1224"/>
            <w:shd w:fill="1F4E79"/>
            <w:vAlign w:val="top"/>
          </w:tcPr>
          <w:p>
            <w:pPr>
              <w:spacing w:after="20" w:line="240" w:lineRule="auto"/>
            </w:pPr>
            <w:r>
              <w:rPr>
                <w:rFonts w:ascii="Arial" w:hAnsi="Arial"/>
                <w:b/>
                <w:color w:val="FFFFFF"/>
                <w:sz w:val="15"/>
              </w:rPr>
              <w:t>Horizon</w:t>
            </w:r>
          </w:p>
        </w:tc>
        <w:tc>
          <w:tcPr>
            <w:tcW w:type="dxa" w:w="936"/>
            <w:shd w:fill="1F4E79"/>
            <w:vAlign w:val="top"/>
          </w:tcPr>
          <w:p>
            <w:pPr>
              <w:spacing w:after="20" w:line="240" w:lineRule="auto"/>
            </w:pPr>
            <w:r>
              <w:rPr>
                <w:rFonts w:ascii="Arial" w:hAnsi="Arial"/>
                <w:b/>
                <w:color w:val="FFFFFF"/>
                <w:sz w:val="15"/>
              </w:rPr>
              <w:t>Win Rate</w:t>
            </w:r>
          </w:p>
        </w:tc>
        <w:tc>
          <w:tcPr>
            <w:tcW w:type="dxa" w:w="1008"/>
            <w:shd w:fill="1F4E79"/>
            <w:vAlign w:val="top"/>
          </w:tcPr>
          <w:p>
            <w:pPr>
              <w:spacing w:after="20" w:line="240" w:lineRule="auto"/>
            </w:pPr>
            <w:r>
              <w:rPr>
                <w:rFonts w:ascii="Arial" w:hAnsi="Arial"/>
                <w:b/>
                <w:color w:val="FFFFFF"/>
                <w:sz w:val="15"/>
              </w:rPr>
              <w:t>Median Up</w:t>
            </w:r>
          </w:p>
        </w:tc>
        <w:tc>
          <w:tcPr>
            <w:tcW w:type="dxa" w:w="1080"/>
            <w:shd w:fill="1F4E79"/>
            <w:vAlign w:val="top"/>
          </w:tcPr>
          <w:p>
            <w:pPr>
              <w:spacing w:after="20" w:line="240" w:lineRule="auto"/>
            </w:pPr>
            <w:r>
              <w:rPr>
                <w:rFonts w:ascii="Arial" w:hAnsi="Arial"/>
                <w:b/>
                <w:color w:val="FFFFFF"/>
                <w:sz w:val="15"/>
              </w:rPr>
              <w:t>Median Down</w:t>
            </w:r>
          </w:p>
        </w:tc>
        <w:tc>
          <w:tcPr>
            <w:tcW w:type="dxa" w:w="1224"/>
            <w:shd w:fill="1F4E79"/>
            <w:vAlign w:val="top"/>
          </w:tcPr>
          <w:p>
            <w:pPr>
              <w:spacing w:after="20" w:line="240" w:lineRule="auto"/>
            </w:pPr>
            <w:r>
              <w:rPr>
                <w:rFonts w:ascii="Arial" w:hAnsi="Arial"/>
                <w:b/>
                <w:color w:val="FFFFFF"/>
                <w:sz w:val="15"/>
              </w:rPr>
              <w:t>Expected Value</w:t>
            </w:r>
          </w:p>
        </w:tc>
        <w:tc>
          <w:tcPr>
            <w:tcW w:type="dxa" w:w="1008"/>
            <w:shd w:fill="1F4E79"/>
            <w:vAlign w:val="top"/>
          </w:tcPr>
          <w:p>
            <w:pPr>
              <w:spacing w:after="20" w:line="240" w:lineRule="auto"/>
            </w:pPr>
            <w:r>
              <w:rPr>
                <w:rFonts w:ascii="Arial" w:hAnsi="Arial"/>
                <w:b/>
                <w:color w:val="FFFFFF"/>
                <w:sz w:val="15"/>
              </w:rPr>
              <w:t>P10 Return</w:t>
            </w:r>
          </w:p>
        </w:tc>
        <w:tc>
          <w:tcPr>
            <w:tcW w:type="dxa" w:w="1008"/>
            <w:shd w:fill="1F4E79"/>
            <w:vAlign w:val="top"/>
          </w:tcPr>
          <w:p>
            <w:pPr>
              <w:spacing w:after="20" w:line="240" w:lineRule="auto"/>
            </w:pPr>
            <w:r>
              <w:rPr>
                <w:rFonts w:ascii="Arial" w:hAnsi="Arial"/>
                <w:b/>
                <w:color w:val="FFFFFF"/>
                <w:sz w:val="15"/>
              </w:rPr>
              <w:t>P90 Return</w:t>
            </w:r>
          </w:p>
        </w:tc>
        <w:tc>
          <w:tcPr>
            <w:tcW w:type="dxa" w:w="1152"/>
            <w:shd w:fill="1F4E79"/>
            <w:vAlign w:val="top"/>
          </w:tcPr>
          <w:p>
            <w:pPr>
              <w:spacing w:after="20" w:line="240" w:lineRule="auto"/>
            </w:pPr>
            <w:r>
              <w:rPr>
                <w:rFonts w:ascii="Arial" w:hAnsi="Arial"/>
                <w:b/>
                <w:color w:val="FFFFFF"/>
                <w:sz w:val="15"/>
              </w:rPr>
              <w:t>Worst Return</w:t>
            </w:r>
          </w:p>
        </w:tc>
      </w:tr>
      <w:tr>
        <w:tc>
          <w:tcPr>
            <w:tcW w:type="dxa" w:w="1224"/>
            <w:vAlign w:val="top"/>
          </w:tcPr>
          <w:p>
            <w:pPr>
              <w:spacing w:after="20" w:line="240" w:lineRule="auto"/>
            </w:pPr>
            <w:r>
              <w:rPr>
                <w:rFonts w:ascii="Arial" w:hAnsi="Arial"/>
                <w:b w:val="0"/>
                <w:color w:val="595959"/>
                <w:sz w:val="15"/>
              </w:rPr>
              <w:t>1M / 21D</w:t>
            </w:r>
          </w:p>
        </w:tc>
        <w:tc>
          <w:tcPr>
            <w:tcW w:type="dxa" w:w="936"/>
            <w:vAlign w:val="top"/>
          </w:tcPr>
          <w:p>
            <w:pPr>
              <w:spacing w:after="20" w:line="240" w:lineRule="auto"/>
            </w:pPr>
            <w:r>
              <w:rPr>
                <w:rFonts w:ascii="Arial" w:hAnsi="Arial"/>
                <w:b w:val="0"/>
                <w:color w:val="595959"/>
                <w:sz w:val="15"/>
              </w:rPr>
              <w:t>48.80</w:t>
            </w:r>
          </w:p>
        </w:tc>
        <w:tc>
          <w:tcPr>
            <w:tcW w:type="dxa" w:w="1008"/>
            <w:vAlign w:val="top"/>
          </w:tcPr>
          <w:p>
            <w:pPr>
              <w:spacing w:after="20" w:line="240" w:lineRule="auto"/>
            </w:pPr>
            <w:r>
              <w:rPr>
                <w:rFonts w:ascii="Arial" w:hAnsi="Arial"/>
                <w:b w:val="0"/>
                <w:color w:val="375623"/>
                <w:sz w:val="15"/>
              </w:rPr>
              <w:t>+1.50</w:t>
            </w:r>
          </w:p>
        </w:tc>
        <w:tc>
          <w:tcPr>
            <w:tcW w:type="dxa" w:w="1080"/>
            <w:vAlign w:val="top"/>
          </w:tcPr>
          <w:p>
            <w:pPr>
              <w:spacing w:after="20" w:line="240" w:lineRule="auto"/>
            </w:pPr>
            <w:r>
              <w:rPr>
                <w:rFonts w:ascii="Arial" w:hAnsi="Arial"/>
                <w:b w:val="0"/>
                <w:color w:val="C00000"/>
                <w:sz w:val="15"/>
              </w:rPr>
              <w:t>-3.70</w:t>
            </w:r>
          </w:p>
        </w:tc>
        <w:tc>
          <w:tcPr>
            <w:tcW w:type="dxa" w:w="1224"/>
            <w:vAlign w:val="top"/>
          </w:tcPr>
          <w:p>
            <w:pPr>
              <w:spacing w:after="20" w:line="240" w:lineRule="auto"/>
            </w:pPr>
            <w:r>
              <w:rPr>
                <w:rFonts w:ascii="Arial" w:hAnsi="Arial"/>
                <w:b w:val="0"/>
                <w:color w:val="C00000"/>
                <w:sz w:val="15"/>
              </w:rPr>
              <w:t>-1.16</w:t>
            </w:r>
          </w:p>
        </w:tc>
        <w:tc>
          <w:tcPr>
            <w:tcW w:type="dxa" w:w="1008"/>
            <w:vAlign w:val="top"/>
          </w:tcPr>
          <w:p>
            <w:pPr>
              <w:spacing w:after="20" w:line="240" w:lineRule="auto"/>
            </w:pPr>
            <w:r>
              <w:rPr>
                <w:rFonts w:ascii="Arial" w:hAnsi="Arial"/>
                <w:b w:val="0"/>
                <w:color w:val="C00000"/>
                <w:sz w:val="15"/>
              </w:rPr>
              <w:t>-6.01</w:t>
            </w:r>
          </w:p>
        </w:tc>
        <w:tc>
          <w:tcPr>
            <w:tcW w:type="dxa" w:w="1008"/>
            <w:vAlign w:val="top"/>
          </w:tcPr>
          <w:p>
            <w:pPr>
              <w:spacing w:after="20" w:line="240" w:lineRule="auto"/>
            </w:pPr>
            <w:r>
              <w:rPr>
                <w:rFonts w:ascii="Arial" w:hAnsi="Arial"/>
                <w:b w:val="0"/>
                <w:color w:val="375623"/>
                <w:sz w:val="15"/>
              </w:rPr>
              <w:t>+2.95</w:t>
            </w:r>
          </w:p>
        </w:tc>
        <w:tc>
          <w:tcPr>
            <w:tcW w:type="dxa" w:w="1152"/>
            <w:vAlign w:val="top"/>
          </w:tcPr>
          <w:p>
            <w:pPr>
              <w:spacing w:after="20" w:line="240" w:lineRule="auto"/>
            </w:pPr>
            <w:r>
              <w:rPr>
                <w:rFonts w:ascii="Arial" w:hAnsi="Arial"/>
                <w:b w:val="0"/>
                <w:color w:val="C00000"/>
                <w:sz w:val="15"/>
              </w:rPr>
              <w:t>-9.21</w:t>
            </w:r>
          </w:p>
        </w:tc>
      </w:tr>
      <w:tr>
        <w:tc>
          <w:tcPr>
            <w:tcW w:type="dxa" w:w="1224"/>
            <w:shd w:fill="F7F9FC"/>
            <w:vAlign w:val="top"/>
          </w:tcPr>
          <w:p>
            <w:pPr>
              <w:spacing w:after="20" w:line="240" w:lineRule="auto"/>
            </w:pPr>
            <w:r>
              <w:rPr>
                <w:rFonts w:ascii="Arial" w:hAnsi="Arial"/>
                <w:b w:val="0"/>
                <w:color w:val="595959"/>
                <w:sz w:val="15"/>
              </w:rPr>
              <w:t>3M / 63D</w:t>
            </w:r>
          </w:p>
        </w:tc>
        <w:tc>
          <w:tcPr>
            <w:tcW w:type="dxa" w:w="936"/>
            <w:shd w:fill="F7F9FC"/>
            <w:vAlign w:val="top"/>
          </w:tcPr>
          <w:p>
            <w:pPr>
              <w:spacing w:after="20" w:line="240" w:lineRule="auto"/>
            </w:pPr>
            <w:r>
              <w:rPr>
                <w:rFonts w:ascii="Arial" w:hAnsi="Arial"/>
                <w:b w:val="0"/>
                <w:color w:val="595959"/>
                <w:sz w:val="15"/>
              </w:rPr>
              <w:t>62.80</w:t>
            </w:r>
          </w:p>
        </w:tc>
        <w:tc>
          <w:tcPr>
            <w:tcW w:type="dxa" w:w="1008"/>
            <w:shd w:fill="F7F9FC"/>
            <w:vAlign w:val="top"/>
          </w:tcPr>
          <w:p>
            <w:pPr>
              <w:spacing w:after="20" w:line="240" w:lineRule="auto"/>
            </w:pPr>
            <w:r>
              <w:rPr>
                <w:rFonts w:ascii="Arial" w:hAnsi="Arial"/>
                <w:b w:val="0"/>
                <w:color w:val="375623"/>
                <w:sz w:val="15"/>
              </w:rPr>
              <w:t>+2.96</w:t>
            </w:r>
          </w:p>
        </w:tc>
        <w:tc>
          <w:tcPr>
            <w:tcW w:type="dxa" w:w="1080"/>
            <w:shd w:fill="F7F9FC"/>
            <w:vAlign w:val="top"/>
          </w:tcPr>
          <w:p>
            <w:pPr>
              <w:spacing w:after="20" w:line="240" w:lineRule="auto"/>
            </w:pPr>
            <w:r>
              <w:rPr>
                <w:rFonts w:ascii="Arial" w:hAnsi="Arial"/>
                <w:b w:val="0"/>
                <w:color w:val="C00000"/>
                <w:sz w:val="15"/>
              </w:rPr>
              <w:t>-7.15</w:t>
            </w:r>
          </w:p>
        </w:tc>
        <w:tc>
          <w:tcPr>
            <w:tcW w:type="dxa" w:w="1224"/>
            <w:shd w:fill="F7F9FC"/>
            <w:vAlign w:val="top"/>
          </w:tcPr>
          <w:p>
            <w:pPr>
              <w:spacing w:after="20" w:line="240" w:lineRule="auto"/>
            </w:pPr>
            <w:r>
              <w:rPr>
                <w:rFonts w:ascii="Arial" w:hAnsi="Arial"/>
                <w:b w:val="0"/>
                <w:color w:val="C00000"/>
                <w:sz w:val="15"/>
              </w:rPr>
              <w:t>-0.80</w:t>
            </w:r>
          </w:p>
        </w:tc>
        <w:tc>
          <w:tcPr>
            <w:tcW w:type="dxa" w:w="1008"/>
            <w:shd w:fill="F7F9FC"/>
            <w:vAlign w:val="top"/>
          </w:tcPr>
          <w:p>
            <w:pPr>
              <w:spacing w:after="20" w:line="240" w:lineRule="auto"/>
            </w:pPr>
            <w:r>
              <w:rPr>
                <w:rFonts w:ascii="Arial" w:hAnsi="Arial"/>
                <w:b w:val="0"/>
                <w:color w:val="C00000"/>
                <w:sz w:val="15"/>
              </w:rPr>
              <w:t>-8.99</w:t>
            </w:r>
          </w:p>
        </w:tc>
        <w:tc>
          <w:tcPr>
            <w:tcW w:type="dxa" w:w="1008"/>
            <w:shd w:fill="F7F9FC"/>
            <w:vAlign w:val="top"/>
          </w:tcPr>
          <w:p>
            <w:pPr>
              <w:spacing w:after="20" w:line="240" w:lineRule="auto"/>
            </w:pPr>
            <w:r>
              <w:rPr>
                <w:rFonts w:ascii="Arial" w:hAnsi="Arial"/>
                <w:b w:val="0"/>
                <w:color w:val="375623"/>
                <w:sz w:val="15"/>
              </w:rPr>
              <w:t>+5.96</w:t>
            </w:r>
          </w:p>
        </w:tc>
        <w:tc>
          <w:tcPr>
            <w:tcW w:type="dxa" w:w="1152"/>
            <w:shd w:fill="F7F9FC"/>
            <w:vAlign w:val="top"/>
          </w:tcPr>
          <w:p>
            <w:pPr>
              <w:spacing w:after="20" w:line="240" w:lineRule="auto"/>
            </w:pPr>
            <w:r>
              <w:rPr>
                <w:rFonts w:ascii="Arial" w:hAnsi="Arial"/>
                <w:b w:val="0"/>
                <w:color w:val="C00000"/>
                <w:sz w:val="15"/>
              </w:rPr>
              <w:t>-17.57</w:t>
            </w:r>
          </w:p>
        </w:tc>
      </w:tr>
      <w:tr>
        <w:tc>
          <w:tcPr>
            <w:tcW w:type="dxa" w:w="1224"/>
            <w:vAlign w:val="top"/>
          </w:tcPr>
          <w:p>
            <w:pPr>
              <w:spacing w:after="20" w:line="240" w:lineRule="auto"/>
            </w:pPr>
            <w:r>
              <w:rPr>
                <w:rFonts w:ascii="Arial" w:hAnsi="Arial"/>
                <w:b w:val="0"/>
                <w:color w:val="595959"/>
                <w:sz w:val="15"/>
              </w:rPr>
              <w:t>6M / 126D</w:t>
            </w:r>
          </w:p>
        </w:tc>
        <w:tc>
          <w:tcPr>
            <w:tcW w:type="dxa" w:w="936"/>
            <w:vAlign w:val="top"/>
          </w:tcPr>
          <w:p>
            <w:pPr>
              <w:spacing w:after="20" w:line="240" w:lineRule="auto"/>
            </w:pPr>
            <w:r>
              <w:rPr>
                <w:rFonts w:ascii="Arial" w:hAnsi="Arial"/>
                <w:b w:val="0"/>
                <w:color w:val="595959"/>
                <w:sz w:val="15"/>
              </w:rPr>
              <w:t>62.10</w:t>
            </w:r>
          </w:p>
        </w:tc>
        <w:tc>
          <w:tcPr>
            <w:tcW w:type="dxa" w:w="1008"/>
            <w:vAlign w:val="top"/>
          </w:tcPr>
          <w:p>
            <w:pPr>
              <w:spacing w:after="20" w:line="240" w:lineRule="auto"/>
            </w:pPr>
            <w:r>
              <w:rPr>
                <w:rFonts w:ascii="Arial" w:hAnsi="Arial"/>
                <w:b w:val="0"/>
                <w:color w:val="375623"/>
                <w:sz w:val="15"/>
              </w:rPr>
              <w:t>+5.50</w:t>
            </w:r>
          </w:p>
        </w:tc>
        <w:tc>
          <w:tcPr>
            <w:tcW w:type="dxa" w:w="1080"/>
            <w:vAlign w:val="top"/>
          </w:tcPr>
          <w:p>
            <w:pPr>
              <w:spacing w:after="20" w:line="240" w:lineRule="auto"/>
            </w:pPr>
            <w:r>
              <w:rPr>
                <w:rFonts w:ascii="Arial" w:hAnsi="Arial"/>
                <w:b w:val="0"/>
                <w:color w:val="C00000"/>
                <w:sz w:val="15"/>
              </w:rPr>
              <w:t>-2.50</w:t>
            </w:r>
          </w:p>
        </w:tc>
        <w:tc>
          <w:tcPr>
            <w:tcW w:type="dxa" w:w="1224"/>
            <w:vAlign w:val="top"/>
          </w:tcPr>
          <w:p>
            <w:pPr>
              <w:spacing w:after="20" w:line="240" w:lineRule="auto"/>
            </w:pPr>
            <w:r>
              <w:rPr>
                <w:rFonts w:ascii="Arial" w:hAnsi="Arial"/>
                <w:b w:val="0"/>
                <w:color w:val="375623"/>
                <w:sz w:val="15"/>
              </w:rPr>
              <w:t>+2.47</w:t>
            </w:r>
          </w:p>
        </w:tc>
        <w:tc>
          <w:tcPr>
            <w:tcW w:type="dxa" w:w="1008"/>
            <w:vAlign w:val="top"/>
          </w:tcPr>
          <w:p>
            <w:pPr>
              <w:spacing w:after="20" w:line="240" w:lineRule="auto"/>
            </w:pPr>
            <w:r>
              <w:rPr>
                <w:rFonts w:ascii="Arial" w:hAnsi="Arial"/>
                <w:b w:val="0"/>
                <w:color w:val="C00000"/>
                <w:sz w:val="15"/>
              </w:rPr>
              <w:t>-3.16</w:t>
            </w:r>
          </w:p>
        </w:tc>
        <w:tc>
          <w:tcPr>
            <w:tcW w:type="dxa" w:w="1008"/>
            <w:vAlign w:val="top"/>
          </w:tcPr>
          <w:p>
            <w:pPr>
              <w:spacing w:after="20" w:line="240" w:lineRule="auto"/>
            </w:pPr>
            <w:r>
              <w:rPr>
                <w:rFonts w:ascii="Arial" w:hAnsi="Arial"/>
                <w:b w:val="0"/>
                <w:color w:val="375623"/>
                <w:sz w:val="15"/>
              </w:rPr>
              <w:t>+8.57</w:t>
            </w:r>
          </w:p>
        </w:tc>
        <w:tc>
          <w:tcPr>
            <w:tcW w:type="dxa" w:w="1152"/>
            <w:vAlign w:val="top"/>
          </w:tcPr>
          <w:p>
            <w:pPr>
              <w:spacing w:after="20" w:line="240" w:lineRule="auto"/>
            </w:pPr>
            <w:r>
              <w:rPr>
                <w:rFonts w:ascii="Arial" w:hAnsi="Arial"/>
                <w:b w:val="0"/>
                <w:color w:val="C00000"/>
                <w:sz w:val="15"/>
              </w:rPr>
              <w:t>-5.76</w:t>
            </w:r>
          </w:p>
        </w:tc>
      </w:tr>
      <w:tr>
        <w:tc>
          <w:tcPr>
            <w:tcW w:type="dxa" w:w="1224"/>
            <w:shd w:fill="F7F9FC"/>
            <w:vAlign w:val="top"/>
          </w:tcPr>
          <w:p>
            <w:pPr>
              <w:spacing w:after="20" w:line="240" w:lineRule="auto"/>
            </w:pPr>
            <w:r>
              <w:rPr>
                <w:rFonts w:ascii="Arial" w:hAnsi="Arial"/>
                <w:b w:val="0"/>
                <w:color w:val="595959"/>
                <w:sz w:val="15"/>
              </w:rPr>
              <w:t>1Y / 252D</w:t>
            </w:r>
          </w:p>
        </w:tc>
        <w:tc>
          <w:tcPr>
            <w:tcW w:type="dxa" w:w="936"/>
            <w:shd w:fill="F7F9FC"/>
            <w:vAlign w:val="top"/>
          </w:tcPr>
          <w:p>
            <w:pPr>
              <w:spacing w:after="20" w:line="240" w:lineRule="auto"/>
            </w:pPr>
            <w:r>
              <w:rPr>
                <w:rFonts w:ascii="Arial" w:hAnsi="Arial"/>
                <w:b w:val="0"/>
                <w:color w:val="595959"/>
                <w:sz w:val="15"/>
              </w:rPr>
              <w:t>90.10</w:t>
            </w:r>
          </w:p>
        </w:tc>
        <w:tc>
          <w:tcPr>
            <w:tcW w:type="dxa" w:w="1008"/>
            <w:shd w:fill="F7F9FC"/>
            <w:vAlign w:val="top"/>
          </w:tcPr>
          <w:p>
            <w:pPr>
              <w:spacing w:after="20" w:line="240" w:lineRule="auto"/>
            </w:pPr>
            <w:r>
              <w:rPr>
                <w:rFonts w:ascii="Arial" w:hAnsi="Arial"/>
                <w:b w:val="0"/>
                <w:color w:val="375623"/>
                <w:sz w:val="15"/>
              </w:rPr>
              <w:t>+8.84</w:t>
            </w:r>
          </w:p>
        </w:tc>
        <w:tc>
          <w:tcPr>
            <w:tcW w:type="dxa" w:w="1080"/>
            <w:shd w:fill="F7F9FC"/>
            <w:vAlign w:val="top"/>
          </w:tcPr>
          <w:p>
            <w:pPr>
              <w:spacing w:after="20" w:line="240" w:lineRule="auto"/>
            </w:pPr>
            <w:r>
              <w:rPr>
                <w:rFonts w:ascii="Arial" w:hAnsi="Arial"/>
                <w:b w:val="0"/>
                <w:color w:val="C00000"/>
                <w:sz w:val="15"/>
              </w:rPr>
              <w:t>-6.45</w:t>
            </w:r>
          </w:p>
        </w:tc>
        <w:tc>
          <w:tcPr>
            <w:tcW w:type="dxa" w:w="1224"/>
            <w:shd w:fill="F7F9FC"/>
            <w:vAlign w:val="top"/>
          </w:tcPr>
          <w:p>
            <w:pPr>
              <w:spacing w:after="20" w:line="240" w:lineRule="auto"/>
            </w:pPr>
            <w:r>
              <w:rPr>
                <w:rFonts w:ascii="Arial" w:hAnsi="Arial"/>
                <w:b w:val="0"/>
                <w:color w:val="375623"/>
                <w:sz w:val="15"/>
              </w:rPr>
              <w:t>+7.33</w:t>
            </w:r>
          </w:p>
        </w:tc>
        <w:tc>
          <w:tcPr>
            <w:tcW w:type="dxa" w:w="1008"/>
            <w:shd w:fill="F7F9FC"/>
            <w:vAlign w:val="top"/>
          </w:tcPr>
          <w:p>
            <w:pPr>
              <w:spacing w:after="20" w:line="240" w:lineRule="auto"/>
            </w:pPr>
            <w:r>
              <w:rPr>
                <w:rFonts w:ascii="Arial" w:hAnsi="Arial"/>
                <w:b w:val="0"/>
                <w:color w:val="C00000"/>
                <w:sz w:val="15"/>
              </w:rPr>
              <w:t>-1.86</w:t>
            </w:r>
          </w:p>
        </w:tc>
        <w:tc>
          <w:tcPr>
            <w:tcW w:type="dxa" w:w="1008"/>
            <w:shd w:fill="F7F9FC"/>
            <w:vAlign w:val="top"/>
          </w:tcPr>
          <w:p>
            <w:pPr>
              <w:spacing w:after="20" w:line="240" w:lineRule="auto"/>
            </w:pPr>
            <w:r>
              <w:rPr>
                <w:rFonts w:ascii="Arial" w:hAnsi="Arial"/>
                <w:b w:val="0"/>
                <w:color w:val="375623"/>
                <w:sz w:val="15"/>
              </w:rPr>
              <w:t>+20.30</w:t>
            </w:r>
          </w:p>
        </w:tc>
        <w:tc>
          <w:tcPr>
            <w:tcW w:type="dxa" w:w="1152"/>
            <w:shd w:fill="F7F9FC"/>
            <w:vAlign w:val="top"/>
          </w:tcPr>
          <w:p>
            <w:pPr>
              <w:spacing w:after="20" w:line="240" w:lineRule="auto"/>
            </w:pPr>
            <w:r>
              <w:rPr>
                <w:rFonts w:ascii="Arial" w:hAnsi="Arial"/>
                <w:b w:val="0"/>
                <w:color w:val="C00000"/>
                <w:sz w:val="15"/>
              </w:rPr>
              <w:t>-6.97</w:t>
            </w:r>
          </w:p>
        </w:tc>
      </w:tr>
    </w:tbl>
    <w:p>
      <w:pPr>
        <w:spacing w:after="120"/>
      </w:pPr>
    </w:p>
    <w:p>
      <w:r>
        <w:drawing>
          <wp:inline xmlns:a="http://schemas.openxmlformats.org/drawingml/2006/main" xmlns:pic="http://schemas.openxmlformats.org/drawingml/2006/picture">
            <wp:extent cx="5852160" cy="2426506"/>
            <wp:docPr id="5" name="Picture 5"/>
            <wp:cNvGraphicFramePr>
              <a:graphicFrameLocks noChangeAspect="1"/>
            </wp:cNvGraphicFramePr>
            <a:graphic>
              <a:graphicData uri="http://schemas.openxmlformats.org/drawingml/2006/picture">
                <pic:pic>
                  <pic:nvPicPr>
                    <pic:cNvPr id="0" name="historical_risk_profile.png"/>
                    <pic:cNvPicPr/>
                  </pic:nvPicPr>
                  <pic:blipFill>
                    <a:blip r:embed="rId12"/>
                    <a:stretch>
                      <a:fillRect/>
                    </a:stretch>
                  </pic:blipFill>
                  <pic:spPr>
                    <a:xfrm>
                      <a:off x="0" y="0"/>
                      <a:ext cx="5852160" cy="2426506"/>
                    </a:xfrm>
                    <a:prstGeom prst="rect"/>
                  </pic:spPr>
                </pic:pic>
              </a:graphicData>
            </a:graphic>
          </wp:inline>
        </w:drawing>
      </w:r>
    </w:p>
    <w:p>
      <w:pPr>
        <w:spacing w:after="80"/>
      </w:pPr>
    </w:p>
    <w:p>
      <w:pPr>
        <w:spacing w:before="180" w:after="80"/>
      </w:pPr>
      <w:r>
        <w:rPr>
          <w:rFonts w:ascii="Arial" w:hAnsi="Arial"/>
          <w:b/>
          <w:color w:val="2E75B6"/>
          <w:sz w:val="21"/>
        </w:rPr>
        <w:t>Historical Tactical Risk Snapshot</w:t>
      </w:r>
    </w:p>
    <w:tbl>
      <w:tblPr>
        <w:tblStyle w:val="TableGrid"/>
        <w:tblW w:type="auto" w:w="0"/>
        <w:jc w:val="center"/>
        <w:tblLayout w:type="autofit"/>
        <w:tblLook w:firstColumn="1" w:firstRow="1" w:lastColumn="0" w:lastRow="0" w:noHBand="0" w:noVBand="1" w:val="04A0"/>
      </w:tblPr>
      <w:tblGrid>
        <w:gridCol w:w="6984"/>
        <w:gridCol w:w="6984"/>
      </w:tblGrid>
      <w:tr>
        <w:trPr>
          <w:tblHeader w:val="true"/>
        </w:trPr>
        <w:tc>
          <w:tcPr>
            <w:tcW w:type="dxa" w:w="6984"/>
            <w:shd w:fill="1F4E79"/>
            <w:vAlign w:val="top"/>
          </w:tcPr>
          <w:p>
            <w:pPr>
              <w:spacing w:after="20" w:line="240" w:lineRule="auto"/>
            </w:pPr>
            <w:r>
              <w:rPr>
                <w:rFonts w:ascii="Arial" w:hAnsi="Arial"/>
                <w:b/>
                <w:color w:val="FFFFFF"/>
                <w:sz w:val="15"/>
              </w:rPr>
              <w:t>Metric</w:t>
            </w:r>
          </w:p>
        </w:tc>
        <w:tc>
          <w:tcPr>
            <w:tcW w:type="dxa" w:w="6984"/>
            <w:shd w:fill="1F4E79"/>
            <w:vAlign w:val="top"/>
          </w:tcPr>
          <w:p>
            <w:pPr>
              <w:spacing w:after="20" w:line="240" w:lineRule="auto"/>
            </w:pPr>
            <w:r>
              <w:rPr>
                <w:rFonts w:ascii="Arial" w:hAnsi="Arial"/>
                <w:b/>
                <w:color w:val="FFFFFF"/>
                <w:sz w:val="15"/>
              </w:rPr>
              <w:t>Value</w:t>
            </w:r>
          </w:p>
        </w:tc>
      </w:tr>
      <w:tr>
        <w:tc>
          <w:tcPr>
            <w:tcW w:type="dxa" w:w="6984"/>
            <w:vAlign w:val="top"/>
          </w:tcPr>
          <w:p>
            <w:pPr>
              <w:spacing w:after="20" w:line="240" w:lineRule="auto"/>
            </w:pPr>
            <w:r>
              <w:rPr>
                <w:rFonts w:ascii="Arial" w:hAnsi="Arial"/>
                <w:b w:val="0"/>
                <w:color w:val="595959"/>
                <w:sz w:val="15"/>
              </w:rPr>
              <w:t>Median 5D drawdown</w:t>
            </w:r>
          </w:p>
        </w:tc>
        <w:tc>
          <w:tcPr>
            <w:tcW w:type="dxa" w:w="6984"/>
            <w:vAlign w:val="top"/>
          </w:tcPr>
          <w:p>
            <w:pPr>
              <w:spacing w:after="20" w:line="240" w:lineRule="auto"/>
            </w:pPr>
            <w:r>
              <w:rPr>
                <w:rFonts w:ascii="Arial" w:hAnsi="Arial"/>
                <w:b w:val="0"/>
                <w:color w:val="C00000"/>
                <w:sz w:val="15"/>
              </w:rPr>
              <w:t>-1.13</w:t>
            </w:r>
          </w:p>
        </w:tc>
      </w:tr>
      <w:tr>
        <w:tc>
          <w:tcPr>
            <w:tcW w:type="dxa" w:w="6984"/>
            <w:shd w:fill="F7F9FC"/>
            <w:vAlign w:val="top"/>
          </w:tcPr>
          <w:p>
            <w:pPr>
              <w:spacing w:after="20" w:line="240" w:lineRule="auto"/>
            </w:pPr>
            <w:r>
              <w:rPr>
                <w:rFonts w:ascii="Arial" w:hAnsi="Arial"/>
                <w:b w:val="0"/>
                <w:color w:val="595959"/>
                <w:sz w:val="15"/>
              </w:rPr>
              <w:t>Median 5D upside</w:t>
            </w:r>
          </w:p>
        </w:tc>
        <w:tc>
          <w:tcPr>
            <w:tcW w:type="dxa" w:w="6984"/>
            <w:shd w:fill="F7F9FC"/>
            <w:vAlign w:val="top"/>
          </w:tcPr>
          <w:p>
            <w:pPr>
              <w:spacing w:after="20" w:line="240" w:lineRule="auto"/>
            </w:pPr>
            <w:r>
              <w:rPr>
                <w:rFonts w:ascii="Arial" w:hAnsi="Arial"/>
                <w:b w:val="0"/>
                <w:color w:val="375623"/>
                <w:sz w:val="15"/>
              </w:rPr>
              <w:t>+0.62</w:t>
            </w:r>
          </w:p>
        </w:tc>
      </w:tr>
      <w:tr>
        <w:tc>
          <w:tcPr>
            <w:tcW w:type="dxa" w:w="6984"/>
            <w:vAlign w:val="top"/>
          </w:tcPr>
          <w:p>
            <w:pPr>
              <w:spacing w:after="20" w:line="240" w:lineRule="auto"/>
            </w:pPr>
            <w:r>
              <w:rPr>
                <w:rFonts w:ascii="Arial" w:hAnsi="Arial"/>
                <w:b w:val="0"/>
                <w:color w:val="595959"/>
                <w:sz w:val="15"/>
              </w:rPr>
              <w:t>Reward/risk ratio</w:t>
            </w:r>
          </w:p>
        </w:tc>
        <w:tc>
          <w:tcPr>
            <w:tcW w:type="dxa" w:w="6984"/>
            <w:vAlign w:val="top"/>
          </w:tcPr>
          <w:p>
            <w:pPr>
              <w:spacing w:after="20" w:line="240" w:lineRule="auto"/>
            </w:pPr>
            <w:r>
              <w:rPr>
                <w:rFonts w:ascii="Arial" w:hAnsi="Arial"/>
                <w:b w:val="0"/>
                <w:color w:val="375623"/>
                <w:sz w:val="15"/>
              </w:rPr>
              <w:t>+0.55</w:t>
            </w:r>
          </w:p>
        </w:tc>
      </w:tr>
    </w:tbl>
    <w:p>
      <w:pPr>
        <w:spacing w:after="120"/>
      </w:pPr>
    </w:p>
    <w:p>
      <w:pPr>
        <w:spacing w:before="180" w:after="80"/>
      </w:pPr>
      <w:r>
        <w:rPr>
          <w:rFonts w:ascii="Arial" w:hAnsi="Arial"/>
          <w:b/>
          <w:color w:val="2E75B6"/>
          <w:sz w:val="21"/>
        </w:rPr>
        <w:t>Top Analogue Dates</w:t>
      </w:r>
    </w:p>
    <w:tbl>
      <w:tblPr>
        <w:tblStyle w:val="TableGrid"/>
        <w:tblW w:type="auto" w:w="0"/>
        <w:jc w:val="center"/>
        <w:tblLayout w:type="fixed"/>
        <w:tblLook w:firstColumn="1" w:firstRow="1" w:lastColumn="0" w:lastRow="0" w:noHBand="0" w:noVBand="1" w:val="04A0"/>
      </w:tblPr>
      <w:tblGrid>
        <w:gridCol w:w="931"/>
        <w:gridCol w:w="931"/>
        <w:gridCol w:w="931"/>
        <w:gridCol w:w="931"/>
        <w:gridCol w:w="931"/>
        <w:gridCol w:w="931"/>
        <w:gridCol w:w="931"/>
        <w:gridCol w:w="931"/>
        <w:gridCol w:w="931"/>
        <w:gridCol w:w="931"/>
        <w:gridCol w:w="931"/>
        <w:gridCol w:w="931"/>
        <w:gridCol w:w="931"/>
        <w:gridCol w:w="931"/>
        <w:gridCol w:w="931"/>
      </w:tblGrid>
      <w:tr>
        <w:trPr>
          <w:tblHeader w:val="true"/>
        </w:trPr>
        <w:tc>
          <w:tcPr>
            <w:tcW w:type="dxa" w:w="936"/>
            <w:shd w:fill="1F4E79"/>
            <w:vAlign w:val="top"/>
          </w:tcPr>
          <w:p>
            <w:pPr>
              <w:spacing w:after="20" w:line="240" w:lineRule="auto"/>
            </w:pPr>
            <w:r>
              <w:rPr>
                <w:rFonts w:ascii="Arial" w:hAnsi="Arial"/>
                <w:b/>
                <w:color w:val="FFFFFF"/>
                <w:sz w:val="15"/>
              </w:rPr>
              <w:t>Date</w:t>
            </w:r>
          </w:p>
        </w:tc>
        <w:tc>
          <w:tcPr>
            <w:tcW w:type="dxa" w:w="648"/>
            <w:shd w:fill="1F4E79"/>
            <w:vAlign w:val="top"/>
          </w:tcPr>
          <w:p>
            <w:pPr>
              <w:spacing w:after="20" w:line="240" w:lineRule="auto"/>
            </w:pPr>
            <w:r>
              <w:rPr>
                <w:rFonts w:ascii="Arial" w:hAnsi="Arial"/>
                <w:b/>
                <w:color w:val="FFFFFF"/>
                <w:sz w:val="15"/>
              </w:rPr>
              <w:t>Weight</w:t>
            </w:r>
          </w:p>
        </w:tc>
        <w:tc>
          <w:tcPr>
            <w:tcW w:type="dxa" w:w="792"/>
            <w:shd w:fill="1F4E79"/>
            <w:vAlign w:val="top"/>
          </w:tcPr>
          <w:p>
            <w:pPr>
              <w:spacing w:after="20" w:line="240" w:lineRule="auto"/>
            </w:pPr>
            <w:r>
              <w:rPr>
                <w:rFonts w:ascii="Arial" w:hAnsi="Arial"/>
                <w:b/>
                <w:color w:val="FFFFFF"/>
                <w:sz w:val="15"/>
              </w:rPr>
              <w:t>Env</w:t>
            </w:r>
          </w:p>
        </w:tc>
        <w:tc>
          <w:tcPr>
            <w:tcW w:type="dxa" w:w="648"/>
            <w:shd w:fill="1F4E79"/>
            <w:vAlign w:val="top"/>
          </w:tcPr>
          <w:p>
            <w:pPr>
              <w:spacing w:after="20" w:line="240" w:lineRule="auto"/>
            </w:pPr>
            <w:r>
              <w:rPr>
                <w:rFonts w:ascii="Arial" w:hAnsi="Arial"/>
                <w:b/>
                <w:color w:val="FFFFFF"/>
                <w:sz w:val="15"/>
              </w:rPr>
              <w:t>Score</w:t>
            </w:r>
          </w:p>
        </w:tc>
        <w:tc>
          <w:tcPr>
            <w:tcW w:type="dxa" w:w="648"/>
            <w:shd w:fill="1F4E79"/>
            <w:vAlign w:val="top"/>
          </w:tcPr>
          <w:p>
            <w:pPr>
              <w:spacing w:after="20" w:line="240" w:lineRule="auto"/>
            </w:pPr>
            <w:r>
              <w:rPr>
                <w:rFonts w:ascii="Arial" w:hAnsi="Arial"/>
                <w:b/>
                <w:color w:val="FFFFFF"/>
                <w:sz w:val="15"/>
              </w:rPr>
              <w:t>VIX</w:t>
            </w:r>
          </w:p>
        </w:tc>
        <w:tc>
          <w:tcPr>
            <w:tcW w:type="dxa" w:w="648"/>
            <w:shd w:fill="1F4E79"/>
            <w:vAlign w:val="top"/>
          </w:tcPr>
          <w:p>
            <w:pPr>
              <w:spacing w:after="20" w:line="240" w:lineRule="auto"/>
            </w:pPr>
            <w:r>
              <w:rPr>
                <w:rFonts w:ascii="Arial" w:hAnsi="Arial"/>
                <w:b/>
                <w:color w:val="FFFFFF"/>
                <w:sz w:val="15"/>
              </w:rPr>
              <w:t>Breadth</w:t>
            </w:r>
          </w:p>
        </w:tc>
        <w:tc>
          <w:tcPr>
            <w:tcW w:type="dxa" w:w="720"/>
            <w:shd w:fill="1F4E79"/>
            <w:vAlign w:val="top"/>
          </w:tcPr>
          <w:p>
            <w:pPr>
              <w:spacing w:after="20" w:line="240" w:lineRule="auto"/>
            </w:pPr>
            <w:r>
              <w:rPr>
                <w:rFonts w:ascii="Arial" w:hAnsi="Arial"/>
                <w:b/>
                <w:color w:val="FFFFFF"/>
                <w:sz w:val="15"/>
              </w:rPr>
              <w:t>63D Fwd</w:t>
            </w:r>
          </w:p>
        </w:tc>
        <w:tc>
          <w:tcPr>
            <w:tcW w:type="dxa" w:w="720"/>
            <w:shd w:fill="1F4E79"/>
            <w:vAlign w:val="top"/>
          </w:tcPr>
          <w:p>
            <w:pPr>
              <w:spacing w:after="20" w:line="240" w:lineRule="auto"/>
            </w:pPr>
            <w:r>
              <w:rPr>
                <w:rFonts w:ascii="Arial" w:hAnsi="Arial"/>
                <w:b/>
                <w:color w:val="FFFFFF"/>
                <w:sz w:val="15"/>
              </w:rPr>
              <w:t>21D Fwd</w:t>
            </w:r>
          </w:p>
        </w:tc>
        <w:tc>
          <w:tcPr>
            <w:tcW w:type="dxa" w:w="1512"/>
            <w:shd w:fill="1F4E79"/>
            <w:vAlign w:val="top"/>
          </w:tcPr>
          <w:p>
            <w:pPr>
              <w:spacing w:after="20" w:line="240" w:lineRule="auto"/>
            </w:pPr>
            <w:r>
              <w:rPr>
                <w:rFonts w:ascii="Arial" w:hAnsi="Arial"/>
                <w:b/>
                <w:color w:val="FFFFFF"/>
                <w:sz w:val="15"/>
              </w:rPr>
              <w:t>Scenario</w:t>
            </w:r>
          </w:p>
        </w:tc>
        <w:tc>
          <w:tcPr>
            <w:tcW w:type="dxa" w:w="1224"/>
            <w:shd w:fill="1F4E79"/>
            <w:vAlign w:val="top"/>
          </w:tcPr>
          <w:p>
            <w:pPr>
              <w:spacing w:after="20" w:line="240" w:lineRule="auto"/>
            </w:pPr>
            <w:r>
              <w:rPr>
                <w:rFonts w:ascii="Arial" w:hAnsi="Arial"/>
                <w:b/>
                <w:color w:val="FFFFFF"/>
                <w:sz w:val="15"/>
              </w:rPr>
              <w:t>Map Tag</w:t>
            </w:r>
          </w:p>
        </w:tc>
        <w:tc>
          <w:tcPr>
            <w:tcW w:type="dxa" w:w="648"/>
            <w:shd w:fill="1F4E79"/>
            <w:vAlign w:val="top"/>
          </w:tcPr>
          <w:p>
            <w:pPr>
              <w:spacing w:after="20" w:line="240" w:lineRule="auto"/>
            </w:pPr>
            <w:r>
              <w:rPr>
                <w:rFonts w:ascii="Arial" w:hAnsi="Arial"/>
                <w:b/>
                <w:color w:val="FFFFFF"/>
                <w:sz w:val="15"/>
              </w:rPr>
              <w:t>V1</w:t>
            </w:r>
          </w:p>
        </w:tc>
        <w:tc>
          <w:tcPr>
            <w:tcW w:type="dxa" w:w="648"/>
            <w:shd w:fill="1F4E79"/>
            <w:vAlign w:val="top"/>
          </w:tcPr>
          <w:p>
            <w:pPr>
              <w:spacing w:after="20" w:line="240" w:lineRule="auto"/>
            </w:pPr>
            <w:r>
              <w:rPr>
                <w:rFonts w:ascii="Arial" w:hAnsi="Arial"/>
                <w:b/>
                <w:color w:val="FFFFFF"/>
                <w:sz w:val="15"/>
              </w:rPr>
              <w:t>V2</w:t>
            </w:r>
          </w:p>
        </w:tc>
        <w:tc>
          <w:tcPr>
            <w:tcW w:type="dxa" w:w="648"/>
            <w:shd w:fill="1F4E79"/>
            <w:vAlign w:val="top"/>
          </w:tcPr>
          <w:p>
            <w:pPr>
              <w:spacing w:after="20" w:line="240" w:lineRule="auto"/>
            </w:pPr>
            <w:r>
              <w:rPr>
                <w:rFonts w:ascii="Arial" w:hAnsi="Arial"/>
                <w:b/>
                <w:color w:val="FFFFFF"/>
                <w:sz w:val="15"/>
              </w:rPr>
              <w:t>Blend</w:t>
            </w:r>
          </w:p>
        </w:tc>
        <w:tc>
          <w:tcPr>
            <w:tcW w:type="dxa" w:w="1728"/>
            <w:shd w:fill="1F4E79"/>
            <w:vAlign w:val="top"/>
          </w:tcPr>
          <w:p>
            <w:pPr>
              <w:spacing w:after="20" w:line="240" w:lineRule="auto"/>
            </w:pPr>
            <w:r>
              <w:rPr>
                <w:rFonts w:ascii="Arial" w:hAnsi="Arial"/>
                <w:b/>
                <w:color w:val="FFFFFF"/>
                <w:sz w:val="15"/>
              </w:rPr>
              <w:t>Strong Groups</w:t>
            </w:r>
          </w:p>
        </w:tc>
        <w:tc>
          <w:tcPr>
            <w:tcW w:type="dxa" w:w="1728"/>
            <w:shd w:fill="1F4E79"/>
            <w:vAlign w:val="top"/>
          </w:tcPr>
          <w:p>
            <w:pPr>
              <w:spacing w:after="20" w:line="240" w:lineRule="auto"/>
            </w:pPr>
            <w:r>
              <w:rPr>
                <w:rFonts w:ascii="Arial" w:hAnsi="Arial"/>
                <w:b/>
                <w:color w:val="FFFFFF"/>
                <w:sz w:val="15"/>
              </w:rPr>
              <w:t>Weak Groups</w:t>
            </w:r>
          </w:p>
        </w:tc>
      </w:tr>
      <w:tr>
        <w:tc>
          <w:tcPr>
            <w:tcW w:type="dxa" w:w="936"/>
            <w:vAlign w:val="top"/>
          </w:tcPr>
          <w:p>
            <w:pPr>
              <w:spacing w:after="20" w:line="240" w:lineRule="auto"/>
            </w:pPr>
            <w:r>
              <w:rPr>
                <w:rFonts w:ascii="Arial" w:hAnsi="Arial"/>
                <w:b w:val="0"/>
                <w:color w:val="595959"/>
                <w:sz w:val="15"/>
              </w:rPr>
              <w:t>08/29/25</w:t>
            </w:r>
          </w:p>
        </w:tc>
        <w:tc>
          <w:tcPr>
            <w:tcW w:type="dxa" w:w="648"/>
            <w:vAlign w:val="top"/>
          </w:tcPr>
          <w:p>
            <w:pPr>
              <w:spacing w:after="20" w:line="240" w:lineRule="auto"/>
            </w:pPr>
            <w:r>
              <w:rPr>
                <w:rFonts w:ascii="Arial" w:hAnsi="Arial"/>
                <w:b w:val="0"/>
                <w:color w:val="375623"/>
                <w:sz w:val="15"/>
              </w:rPr>
              <w:t>+3.41</w:t>
            </w:r>
          </w:p>
        </w:tc>
        <w:tc>
          <w:tcPr>
            <w:tcW w:type="dxa" w:w="792"/>
            <w:vAlign w:val="top"/>
          </w:tcPr>
          <w:p>
            <w:pPr>
              <w:spacing w:after="20" w:line="240" w:lineRule="auto"/>
            </w:pPr>
            <w:r>
              <w:rPr>
                <w:rFonts w:ascii="Arial" w:hAnsi="Arial"/>
                <w:b w:val="0"/>
                <w:color w:val="595959"/>
                <w:sz w:val="15"/>
              </w:rPr>
              <w:t>Mixed</w:t>
            </w:r>
          </w:p>
        </w:tc>
        <w:tc>
          <w:tcPr>
            <w:tcW w:type="dxa" w:w="648"/>
            <w:vAlign w:val="top"/>
          </w:tcPr>
          <w:p>
            <w:pPr>
              <w:spacing w:after="20" w:line="240" w:lineRule="auto"/>
            </w:pPr>
            <w:r>
              <w:rPr>
                <w:rFonts w:ascii="Arial" w:hAnsi="Arial"/>
                <w:b w:val="0"/>
                <w:color w:val="375623"/>
                <w:sz w:val="15"/>
              </w:rPr>
              <w:t>+61.80</w:t>
            </w:r>
          </w:p>
        </w:tc>
        <w:tc>
          <w:tcPr>
            <w:tcW w:type="dxa" w:w="648"/>
            <w:vAlign w:val="top"/>
          </w:tcPr>
          <w:p>
            <w:pPr>
              <w:spacing w:after="20" w:line="240" w:lineRule="auto"/>
            </w:pPr>
            <w:r>
              <w:rPr>
                <w:rFonts w:ascii="Arial" w:hAnsi="Arial"/>
                <w:b w:val="0"/>
                <w:color w:val="375623"/>
                <w:sz w:val="15"/>
              </w:rPr>
              <w:t>+15.40</w:t>
            </w:r>
          </w:p>
        </w:tc>
        <w:tc>
          <w:tcPr>
            <w:tcW w:type="dxa" w:w="648"/>
            <w:vAlign w:val="top"/>
          </w:tcPr>
          <w:p>
            <w:pPr>
              <w:spacing w:after="20" w:line="240" w:lineRule="auto"/>
            </w:pPr>
            <w:r>
              <w:rPr>
                <w:rFonts w:ascii="Arial" w:hAnsi="Arial"/>
                <w:b w:val="0"/>
                <w:color w:val="595959"/>
                <w:sz w:val="15"/>
              </w:rPr>
              <w:t>6</w:t>
            </w:r>
          </w:p>
        </w:tc>
        <w:tc>
          <w:tcPr>
            <w:tcW w:type="dxa" w:w="720"/>
            <w:vAlign w:val="top"/>
          </w:tcPr>
          <w:p>
            <w:pPr>
              <w:spacing w:after="20" w:line="240" w:lineRule="auto"/>
            </w:pPr>
            <w:r>
              <w:rPr>
                <w:rFonts w:ascii="Arial" w:hAnsi="Arial"/>
                <w:b w:val="0"/>
                <w:color w:val="375623"/>
                <w:sz w:val="15"/>
              </w:rPr>
              <w:t>+5.94</w:t>
            </w:r>
          </w:p>
        </w:tc>
        <w:tc>
          <w:tcPr>
            <w:tcW w:type="dxa" w:w="720"/>
            <w:vAlign w:val="top"/>
          </w:tcPr>
          <w:p>
            <w:pPr>
              <w:spacing w:after="20" w:line="240" w:lineRule="auto"/>
            </w:pPr>
            <w:r>
              <w:rPr>
                <w:rFonts w:ascii="Arial" w:hAnsi="Arial"/>
                <w:b w:val="0"/>
                <w:color w:val="375623"/>
                <w:sz w:val="15"/>
              </w:rPr>
              <w:t>+3.28</w:t>
            </w:r>
          </w:p>
        </w:tc>
        <w:tc>
          <w:tcPr>
            <w:tcW w:type="dxa" w:w="1512"/>
            <w:vAlign w:val="top"/>
          </w:tcPr>
          <w:p>
            <w:pPr>
              <w:spacing w:after="20" w:line="240" w:lineRule="auto"/>
            </w:pPr>
            <w:r>
              <w:rPr>
                <w:rFonts w:ascii="Arial" w:hAnsi="Arial"/>
                <w:b w:val="0"/>
                <w:color w:val="595959"/>
                <w:sz w:val="15"/>
              </w:rPr>
              <w:t>reopening_soft_landing</w:t>
            </w:r>
          </w:p>
        </w:tc>
        <w:tc>
          <w:tcPr>
            <w:tcW w:type="dxa" w:w="1224"/>
            <w:vAlign w:val="top"/>
          </w:tcPr>
          <w:p>
            <w:pPr>
              <w:spacing w:after="20" w:line="240" w:lineRule="auto"/>
            </w:pPr>
            <w:r>
              <w:rPr>
                <w:rFonts w:ascii="Arial" w:hAnsi="Arial"/>
                <w:b w:val="0"/>
                <w:color w:val="595959"/>
                <w:sz w:val="15"/>
              </w:rPr>
              <w:t>Positive + broad</w:t>
            </w:r>
          </w:p>
        </w:tc>
        <w:tc>
          <w:tcPr>
            <w:tcW w:type="dxa" w:w="648"/>
            <w:vAlign w:val="top"/>
          </w:tcPr>
          <w:p>
            <w:pPr>
              <w:spacing w:after="20" w:line="240" w:lineRule="auto"/>
            </w:pPr>
            <w:r>
              <w:rPr>
                <w:rFonts w:ascii="Arial" w:hAnsi="Arial"/>
                <w:b w:val="0"/>
                <w:color w:val="375623"/>
                <w:sz w:val="15"/>
              </w:rPr>
              <w:t>+91.78</w:t>
            </w:r>
          </w:p>
        </w:tc>
        <w:tc>
          <w:tcPr>
            <w:tcW w:type="dxa" w:w="648"/>
            <w:vAlign w:val="top"/>
          </w:tcPr>
          <w:p>
            <w:pPr>
              <w:spacing w:after="20" w:line="240" w:lineRule="auto"/>
            </w:pPr>
            <w:r>
              <w:rPr>
                <w:rFonts w:ascii="Arial" w:hAnsi="Arial"/>
                <w:b w:val="0"/>
                <w:color w:val="375623"/>
                <w:sz w:val="15"/>
              </w:rPr>
              <w:t>+65.38</w:t>
            </w:r>
          </w:p>
        </w:tc>
        <w:tc>
          <w:tcPr>
            <w:tcW w:type="dxa" w:w="648"/>
            <w:vAlign w:val="top"/>
          </w:tcPr>
          <w:p>
            <w:pPr>
              <w:spacing w:after="20" w:line="240" w:lineRule="auto"/>
            </w:pPr>
            <w:r>
              <w:rPr>
                <w:rFonts w:ascii="Arial" w:hAnsi="Arial"/>
                <w:b w:val="0"/>
                <w:color w:val="375623"/>
                <w:sz w:val="15"/>
              </w:rPr>
              <w:t>+75.94</w:t>
            </w:r>
          </w:p>
        </w:tc>
        <w:tc>
          <w:tcPr>
            <w:tcW w:type="dxa" w:w="1728"/>
            <w:vAlign w:val="top"/>
          </w:tcPr>
          <w:p>
            <w:pPr>
              <w:spacing w:after="20" w:line="240" w:lineRule="auto"/>
            </w:pPr>
            <w:r>
              <w:rPr>
                <w:rFonts w:ascii="Arial" w:hAnsi="Arial"/>
                <w:b w:val="0"/>
                <w:color w:val="595959"/>
                <w:sz w:val="15"/>
              </w:rPr>
              <w:t>monetary_liquidity, volatility, breadth_market_structure</w:t>
            </w:r>
          </w:p>
        </w:tc>
        <w:tc>
          <w:tcPr>
            <w:tcW w:type="dxa" w:w="1728"/>
            <w:vAlign w:val="top"/>
          </w:tcPr>
          <w:p>
            <w:pPr>
              <w:spacing w:after="20" w:line="240" w:lineRule="auto"/>
            </w:pPr>
            <w:r>
              <w:rPr>
                <w:rFonts w:ascii="Arial" w:hAnsi="Arial"/>
                <w:b w:val="0"/>
                <w:color w:val="595959"/>
                <w:sz w:val="15"/>
              </w:rPr>
              <w:t>positioning, credit, breadth_market_structure</w:t>
            </w:r>
          </w:p>
        </w:tc>
      </w:tr>
      <w:tr>
        <w:tc>
          <w:tcPr>
            <w:tcW w:type="dxa" w:w="936"/>
            <w:shd w:fill="F7F9FC"/>
            <w:vAlign w:val="top"/>
          </w:tcPr>
          <w:p>
            <w:pPr>
              <w:spacing w:after="20" w:line="240" w:lineRule="auto"/>
            </w:pPr>
            <w:r>
              <w:rPr>
                <w:rFonts w:ascii="Arial" w:hAnsi="Arial"/>
                <w:b w:val="0"/>
                <w:color w:val="595959"/>
                <w:sz w:val="15"/>
              </w:rPr>
              <w:t>10/08/25</w:t>
            </w:r>
          </w:p>
        </w:tc>
        <w:tc>
          <w:tcPr>
            <w:tcW w:type="dxa" w:w="648"/>
            <w:shd w:fill="F7F9FC"/>
            <w:vAlign w:val="top"/>
          </w:tcPr>
          <w:p>
            <w:pPr>
              <w:spacing w:after="20" w:line="240" w:lineRule="auto"/>
            </w:pPr>
            <w:r>
              <w:rPr>
                <w:rFonts w:ascii="Arial" w:hAnsi="Arial"/>
                <w:b w:val="0"/>
                <w:color w:val="375623"/>
                <w:sz w:val="15"/>
              </w:rPr>
              <w:t>+3.12</w:t>
            </w:r>
          </w:p>
        </w:tc>
        <w:tc>
          <w:tcPr>
            <w:tcW w:type="dxa" w:w="792"/>
            <w:shd w:fill="F7F9FC"/>
            <w:vAlign w:val="top"/>
          </w:tcPr>
          <w:p>
            <w:pPr>
              <w:spacing w:after="20" w:line="240" w:lineRule="auto"/>
            </w:pPr>
            <w:r>
              <w:rPr>
                <w:rFonts w:ascii="Arial" w:hAnsi="Arial"/>
                <w:b w:val="0"/>
                <w:color w:val="595959"/>
                <w:sz w:val="15"/>
              </w:rPr>
              <w:t>Mixed</w:t>
            </w:r>
          </w:p>
        </w:tc>
        <w:tc>
          <w:tcPr>
            <w:tcW w:type="dxa" w:w="648"/>
            <w:shd w:fill="F7F9FC"/>
            <w:vAlign w:val="top"/>
          </w:tcPr>
          <w:p>
            <w:pPr>
              <w:spacing w:after="20" w:line="240" w:lineRule="auto"/>
            </w:pPr>
            <w:r>
              <w:rPr>
                <w:rFonts w:ascii="Arial" w:hAnsi="Arial"/>
                <w:b w:val="0"/>
                <w:color w:val="375623"/>
                <w:sz w:val="15"/>
              </w:rPr>
              <w:t>+55.70</w:t>
            </w:r>
          </w:p>
        </w:tc>
        <w:tc>
          <w:tcPr>
            <w:tcW w:type="dxa" w:w="648"/>
            <w:shd w:fill="F7F9FC"/>
            <w:vAlign w:val="top"/>
          </w:tcPr>
          <w:p>
            <w:pPr>
              <w:spacing w:after="20" w:line="240" w:lineRule="auto"/>
            </w:pPr>
            <w:r>
              <w:rPr>
                <w:rFonts w:ascii="Arial" w:hAnsi="Arial"/>
                <w:b w:val="0"/>
                <w:color w:val="375623"/>
                <w:sz w:val="15"/>
              </w:rPr>
              <w:t>+16.30</w:t>
            </w:r>
          </w:p>
        </w:tc>
        <w:tc>
          <w:tcPr>
            <w:tcW w:type="dxa" w:w="648"/>
            <w:shd w:fill="F7F9FC"/>
            <w:vAlign w:val="top"/>
          </w:tcPr>
          <w:p>
            <w:pPr>
              <w:spacing w:after="20" w:line="240" w:lineRule="auto"/>
            </w:pPr>
            <w:r>
              <w:rPr>
                <w:rFonts w:ascii="Arial" w:hAnsi="Arial"/>
                <w:b w:val="0"/>
                <w:color w:val="595959"/>
                <w:sz w:val="15"/>
              </w:rPr>
              <w:t>6</w:t>
            </w:r>
          </w:p>
        </w:tc>
        <w:tc>
          <w:tcPr>
            <w:tcW w:type="dxa" w:w="720"/>
            <w:shd w:fill="F7F9FC"/>
            <w:vAlign w:val="top"/>
          </w:tcPr>
          <w:p>
            <w:pPr>
              <w:spacing w:after="20" w:line="240" w:lineRule="auto"/>
            </w:pPr>
            <w:r>
              <w:rPr>
                <w:rFonts w:ascii="Arial" w:hAnsi="Arial"/>
                <w:b w:val="0"/>
                <w:color w:val="375623"/>
                <w:sz w:val="15"/>
              </w:rPr>
              <w:t>+2.44</w:t>
            </w:r>
          </w:p>
        </w:tc>
        <w:tc>
          <w:tcPr>
            <w:tcW w:type="dxa" w:w="720"/>
            <w:shd w:fill="F7F9FC"/>
            <w:vAlign w:val="top"/>
          </w:tcPr>
          <w:p>
            <w:pPr>
              <w:spacing w:after="20" w:line="240" w:lineRule="auto"/>
            </w:pPr>
            <w:r>
              <w:rPr>
                <w:rFonts w:ascii="Arial" w:hAnsi="Arial"/>
                <w:b w:val="0"/>
                <w:color w:val="C00000"/>
                <w:sz w:val="15"/>
              </w:rPr>
              <w:t>-0.42</w:t>
            </w:r>
          </w:p>
        </w:tc>
        <w:tc>
          <w:tcPr>
            <w:tcW w:type="dxa" w:w="1512"/>
            <w:shd w:fill="F7F9FC"/>
            <w:vAlign w:val="top"/>
          </w:tcPr>
          <w:p>
            <w:pPr>
              <w:spacing w:after="20" w:line="240" w:lineRule="auto"/>
            </w:pPr>
            <w:r>
              <w:rPr>
                <w:rFonts w:ascii="Arial" w:hAnsi="Arial"/>
                <w:b w:val="0"/>
                <w:color w:val="595959"/>
                <w:sz w:val="15"/>
              </w:rPr>
              <w:t>reopening_soft_landing</w:t>
            </w:r>
          </w:p>
        </w:tc>
        <w:tc>
          <w:tcPr>
            <w:tcW w:type="dxa" w:w="1224"/>
            <w:shd w:fill="F7F9FC"/>
            <w:vAlign w:val="top"/>
          </w:tcPr>
          <w:p>
            <w:pPr>
              <w:spacing w:after="20" w:line="240" w:lineRule="auto"/>
            </w:pPr>
            <w:r>
              <w:rPr>
                <w:rFonts w:ascii="Arial" w:hAnsi="Arial"/>
                <w:b w:val="0"/>
                <w:color w:val="595959"/>
                <w:sz w:val="15"/>
              </w:rPr>
              <w:t>Positive + broad</w:t>
            </w:r>
          </w:p>
        </w:tc>
        <w:tc>
          <w:tcPr>
            <w:tcW w:type="dxa" w:w="648"/>
            <w:shd w:fill="F7F9FC"/>
            <w:vAlign w:val="top"/>
          </w:tcPr>
          <w:p>
            <w:pPr>
              <w:spacing w:after="20" w:line="240" w:lineRule="auto"/>
            </w:pPr>
            <w:r>
              <w:rPr>
                <w:rFonts w:ascii="Arial" w:hAnsi="Arial"/>
                <w:b w:val="0"/>
                <w:color w:val="375623"/>
                <w:sz w:val="15"/>
              </w:rPr>
              <w:t>+91.72</w:t>
            </w:r>
          </w:p>
        </w:tc>
        <w:tc>
          <w:tcPr>
            <w:tcW w:type="dxa" w:w="648"/>
            <w:shd w:fill="F7F9FC"/>
            <w:vAlign w:val="top"/>
          </w:tcPr>
          <w:p>
            <w:pPr>
              <w:spacing w:after="20" w:line="240" w:lineRule="auto"/>
            </w:pPr>
            <w:r>
              <w:rPr>
                <w:rFonts w:ascii="Arial" w:hAnsi="Arial"/>
                <w:b w:val="0"/>
                <w:color w:val="375623"/>
                <w:sz w:val="15"/>
              </w:rPr>
              <w:t>+65.68</w:t>
            </w:r>
          </w:p>
        </w:tc>
        <w:tc>
          <w:tcPr>
            <w:tcW w:type="dxa" w:w="648"/>
            <w:shd w:fill="F7F9FC"/>
            <w:vAlign w:val="top"/>
          </w:tcPr>
          <w:p>
            <w:pPr>
              <w:spacing w:after="20" w:line="240" w:lineRule="auto"/>
            </w:pPr>
            <w:r>
              <w:rPr>
                <w:rFonts w:ascii="Arial" w:hAnsi="Arial"/>
                <w:b w:val="0"/>
                <w:color w:val="375623"/>
                <w:sz w:val="15"/>
              </w:rPr>
              <w:t>+76.10</w:t>
            </w:r>
          </w:p>
        </w:tc>
        <w:tc>
          <w:tcPr>
            <w:tcW w:type="dxa" w:w="1728"/>
            <w:shd w:fill="F7F9FC"/>
            <w:vAlign w:val="top"/>
          </w:tcPr>
          <w:p>
            <w:pPr>
              <w:spacing w:after="20" w:line="240" w:lineRule="auto"/>
            </w:pPr>
            <w:r>
              <w:rPr>
                <w:rFonts w:ascii="Arial" w:hAnsi="Arial"/>
                <w:b w:val="0"/>
                <w:color w:val="595959"/>
                <w:sz w:val="15"/>
              </w:rPr>
              <w:t>monetary_liquidity, credit, volatility</w:t>
            </w:r>
          </w:p>
        </w:tc>
        <w:tc>
          <w:tcPr>
            <w:tcW w:type="dxa" w:w="1728"/>
            <w:shd w:fill="F7F9FC"/>
            <w:vAlign w:val="top"/>
          </w:tcPr>
          <w:p>
            <w:pPr>
              <w:spacing w:after="20" w:line="240" w:lineRule="auto"/>
            </w:pPr>
            <w:r>
              <w:rPr>
                <w:rFonts w:ascii="Arial" w:hAnsi="Arial"/>
                <w:b w:val="0"/>
                <w:color w:val="595959"/>
                <w:sz w:val="15"/>
              </w:rPr>
              <w:t>positioning, breadth_market_structure, volatility</w:t>
            </w:r>
          </w:p>
        </w:tc>
      </w:tr>
      <w:tr>
        <w:tc>
          <w:tcPr>
            <w:tcW w:type="dxa" w:w="936"/>
            <w:vAlign w:val="top"/>
          </w:tcPr>
          <w:p>
            <w:pPr>
              <w:spacing w:after="20" w:line="240" w:lineRule="auto"/>
            </w:pPr>
            <w:r>
              <w:rPr>
                <w:rFonts w:ascii="Arial" w:hAnsi="Arial"/>
                <w:b w:val="0"/>
                <w:color w:val="595959"/>
                <w:sz w:val="15"/>
              </w:rPr>
              <w:t>09/18/25</w:t>
            </w:r>
          </w:p>
        </w:tc>
        <w:tc>
          <w:tcPr>
            <w:tcW w:type="dxa" w:w="648"/>
            <w:vAlign w:val="top"/>
          </w:tcPr>
          <w:p>
            <w:pPr>
              <w:spacing w:after="20" w:line="240" w:lineRule="auto"/>
            </w:pPr>
            <w:r>
              <w:rPr>
                <w:rFonts w:ascii="Arial" w:hAnsi="Arial"/>
                <w:b w:val="0"/>
                <w:color w:val="375623"/>
                <w:sz w:val="15"/>
              </w:rPr>
              <w:t>+2.85</w:t>
            </w:r>
          </w:p>
        </w:tc>
        <w:tc>
          <w:tcPr>
            <w:tcW w:type="dxa" w:w="792"/>
            <w:vAlign w:val="top"/>
          </w:tcPr>
          <w:p>
            <w:pPr>
              <w:spacing w:after="20" w:line="240" w:lineRule="auto"/>
            </w:pPr>
            <w:r>
              <w:rPr>
                <w:rFonts w:ascii="Arial" w:hAnsi="Arial"/>
                <w:b w:val="0"/>
                <w:color w:val="595959"/>
                <w:sz w:val="15"/>
              </w:rPr>
              <w:t>Mixed</w:t>
            </w:r>
          </w:p>
        </w:tc>
        <w:tc>
          <w:tcPr>
            <w:tcW w:type="dxa" w:w="648"/>
            <w:vAlign w:val="top"/>
          </w:tcPr>
          <w:p>
            <w:pPr>
              <w:spacing w:after="20" w:line="240" w:lineRule="auto"/>
            </w:pPr>
            <w:r>
              <w:rPr>
                <w:rFonts w:ascii="Arial" w:hAnsi="Arial"/>
                <w:b w:val="0"/>
                <w:color w:val="375623"/>
                <w:sz w:val="15"/>
              </w:rPr>
              <w:t>+58.60</w:t>
            </w:r>
          </w:p>
        </w:tc>
        <w:tc>
          <w:tcPr>
            <w:tcW w:type="dxa" w:w="648"/>
            <w:vAlign w:val="top"/>
          </w:tcPr>
          <w:p>
            <w:pPr>
              <w:spacing w:after="20" w:line="240" w:lineRule="auto"/>
            </w:pPr>
            <w:r>
              <w:rPr>
                <w:rFonts w:ascii="Arial" w:hAnsi="Arial"/>
                <w:b w:val="0"/>
                <w:color w:val="375623"/>
                <w:sz w:val="15"/>
              </w:rPr>
              <w:t>+15.70</w:t>
            </w:r>
          </w:p>
        </w:tc>
        <w:tc>
          <w:tcPr>
            <w:tcW w:type="dxa" w:w="648"/>
            <w:vAlign w:val="top"/>
          </w:tcPr>
          <w:p>
            <w:pPr>
              <w:spacing w:after="20" w:line="240" w:lineRule="auto"/>
            </w:pPr>
            <w:r>
              <w:rPr>
                <w:rFonts w:ascii="Arial" w:hAnsi="Arial"/>
                <w:b w:val="0"/>
                <w:color w:val="595959"/>
                <w:sz w:val="15"/>
              </w:rPr>
              <w:t>7</w:t>
            </w:r>
          </w:p>
        </w:tc>
        <w:tc>
          <w:tcPr>
            <w:tcW w:type="dxa" w:w="720"/>
            <w:vAlign w:val="top"/>
          </w:tcPr>
          <w:p>
            <w:pPr>
              <w:spacing w:after="20" w:line="240" w:lineRule="auto"/>
            </w:pPr>
            <w:r>
              <w:rPr>
                <w:rFonts w:ascii="Arial" w:hAnsi="Arial"/>
                <w:b w:val="0"/>
                <w:color w:val="375623"/>
                <w:sz w:val="15"/>
              </w:rPr>
              <w:t>+1.38</w:t>
            </w:r>
          </w:p>
        </w:tc>
        <w:tc>
          <w:tcPr>
            <w:tcW w:type="dxa" w:w="720"/>
            <w:vAlign w:val="top"/>
          </w:tcPr>
          <w:p>
            <w:pPr>
              <w:spacing w:after="20" w:line="240" w:lineRule="auto"/>
            </w:pPr>
            <w:r>
              <w:rPr>
                <w:rFonts w:ascii="Arial" w:hAnsi="Arial"/>
                <w:b w:val="0"/>
                <w:color w:val="375623"/>
                <w:sz w:val="15"/>
              </w:rPr>
              <w:t>+0.32</w:t>
            </w:r>
          </w:p>
        </w:tc>
        <w:tc>
          <w:tcPr>
            <w:tcW w:type="dxa" w:w="1512"/>
            <w:vAlign w:val="top"/>
          </w:tcPr>
          <w:p>
            <w:pPr>
              <w:spacing w:after="20" w:line="240" w:lineRule="auto"/>
            </w:pPr>
            <w:r>
              <w:rPr>
                <w:rFonts w:ascii="Arial" w:hAnsi="Arial"/>
                <w:b w:val="0"/>
                <w:color w:val="595959"/>
                <w:sz w:val="15"/>
              </w:rPr>
              <w:t>reopening_soft_landing</w:t>
            </w:r>
          </w:p>
        </w:tc>
        <w:tc>
          <w:tcPr>
            <w:tcW w:type="dxa" w:w="1224"/>
            <w:vAlign w:val="top"/>
          </w:tcPr>
          <w:p>
            <w:pPr>
              <w:spacing w:after="20" w:line="240" w:lineRule="auto"/>
            </w:pPr>
            <w:r>
              <w:rPr>
                <w:rFonts w:ascii="Arial" w:hAnsi="Arial"/>
                <w:b w:val="0"/>
                <w:color w:val="595959"/>
                <w:sz w:val="15"/>
              </w:rPr>
              <w:t>Positive + broad</w:t>
            </w:r>
          </w:p>
        </w:tc>
        <w:tc>
          <w:tcPr>
            <w:tcW w:type="dxa" w:w="648"/>
            <w:vAlign w:val="top"/>
          </w:tcPr>
          <w:p>
            <w:pPr>
              <w:spacing w:after="20" w:line="240" w:lineRule="auto"/>
            </w:pPr>
            <w:r>
              <w:rPr>
                <w:rFonts w:ascii="Arial" w:hAnsi="Arial"/>
                <w:b w:val="0"/>
                <w:color w:val="375623"/>
                <w:sz w:val="15"/>
              </w:rPr>
              <w:t>+91.65</w:t>
            </w:r>
          </w:p>
        </w:tc>
        <w:tc>
          <w:tcPr>
            <w:tcW w:type="dxa" w:w="648"/>
            <w:vAlign w:val="top"/>
          </w:tcPr>
          <w:p>
            <w:pPr>
              <w:spacing w:after="20" w:line="240" w:lineRule="auto"/>
            </w:pPr>
            <w:r>
              <w:rPr>
                <w:rFonts w:ascii="Arial" w:hAnsi="Arial"/>
                <w:b w:val="0"/>
                <w:color w:val="375623"/>
                <w:sz w:val="15"/>
              </w:rPr>
              <w:t>+67.71</w:t>
            </w:r>
          </w:p>
        </w:tc>
        <w:tc>
          <w:tcPr>
            <w:tcW w:type="dxa" w:w="648"/>
            <w:vAlign w:val="top"/>
          </w:tcPr>
          <w:p>
            <w:pPr>
              <w:spacing w:after="20" w:line="240" w:lineRule="auto"/>
            </w:pPr>
            <w:r>
              <w:rPr>
                <w:rFonts w:ascii="Arial" w:hAnsi="Arial"/>
                <w:b w:val="0"/>
                <w:color w:val="375623"/>
                <w:sz w:val="15"/>
              </w:rPr>
              <w:t>+77.29</w:t>
            </w:r>
          </w:p>
        </w:tc>
        <w:tc>
          <w:tcPr>
            <w:tcW w:type="dxa" w:w="1728"/>
            <w:vAlign w:val="top"/>
          </w:tcPr>
          <w:p>
            <w:pPr>
              <w:spacing w:after="20" w:line="240" w:lineRule="auto"/>
            </w:pPr>
            <w:r>
              <w:rPr>
                <w:rFonts w:ascii="Arial" w:hAnsi="Arial"/>
                <w:b w:val="0"/>
                <w:color w:val="595959"/>
                <w:sz w:val="15"/>
              </w:rPr>
              <w:t>monetary_liquidity, volatility, breadth_market_structure</w:t>
            </w:r>
          </w:p>
        </w:tc>
        <w:tc>
          <w:tcPr>
            <w:tcW w:type="dxa" w:w="1728"/>
            <w:vAlign w:val="top"/>
          </w:tcPr>
          <w:p>
            <w:pPr>
              <w:spacing w:after="20" w:line="240" w:lineRule="auto"/>
            </w:pPr>
            <w:r>
              <w:rPr>
                <w:rFonts w:ascii="Arial" w:hAnsi="Arial"/>
                <w:b w:val="0"/>
                <w:color w:val="595959"/>
                <w:sz w:val="15"/>
              </w:rPr>
              <w:t>positioning, credit, breadth_market_structure</w:t>
            </w:r>
          </w:p>
        </w:tc>
      </w:tr>
      <w:tr>
        <w:tc>
          <w:tcPr>
            <w:tcW w:type="dxa" w:w="936"/>
            <w:shd w:fill="F7F9FC"/>
            <w:vAlign w:val="top"/>
          </w:tcPr>
          <w:p>
            <w:pPr>
              <w:spacing w:after="20" w:line="240" w:lineRule="auto"/>
            </w:pPr>
            <w:r>
              <w:rPr>
                <w:rFonts w:ascii="Arial" w:hAnsi="Arial"/>
                <w:b w:val="0"/>
                <w:color w:val="595959"/>
                <w:sz w:val="15"/>
              </w:rPr>
              <w:t>01/23/18</w:t>
            </w:r>
          </w:p>
        </w:tc>
        <w:tc>
          <w:tcPr>
            <w:tcW w:type="dxa" w:w="648"/>
            <w:shd w:fill="F7F9FC"/>
            <w:vAlign w:val="top"/>
          </w:tcPr>
          <w:p>
            <w:pPr>
              <w:spacing w:after="20" w:line="240" w:lineRule="auto"/>
            </w:pPr>
            <w:r>
              <w:rPr>
                <w:rFonts w:ascii="Arial" w:hAnsi="Arial"/>
                <w:b w:val="0"/>
                <w:color w:val="375623"/>
                <w:sz w:val="15"/>
              </w:rPr>
              <w:t>+2.67</w:t>
            </w:r>
          </w:p>
        </w:tc>
        <w:tc>
          <w:tcPr>
            <w:tcW w:type="dxa" w:w="792"/>
            <w:shd w:fill="F7F9FC"/>
            <w:vAlign w:val="top"/>
          </w:tcPr>
          <w:p>
            <w:pPr>
              <w:spacing w:after="20" w:line="240" w:lineRule="auto"/>
            </w:pPr>
            <w:r>
              <w:rPr>
                <w:rFonts w:ascii="Arial" w:hAnsi="Arial"/>
                <w:b w:val="0"/>
                <w:color w:val="595959"/>
                <w:sz w:val="15"/>
              </w:rPr>
              <w:t>Chop / Layer Diver</w:t>
            </w:r>
          </w:p>
        </w:tc>
        <w:tc>
          <w:tcPr>
            <w:tcW w:type="dxa" w:w="648"/>
            <w:shd w:fill="F7F9FC"/>
            <w:vAlign w:val="top"/>
          </w:tcPr>
          <w:p>
            <w:pPr>
              <w:spacing w:after="20" w:line="240" w:lineRule="auto"/>
            </w:pPr>
            <w:r>
              <w:rPr>
                <w:rFonts w:ascii="Arial" w:hAnsi="Arial"/>
                <w:b w:val="0"/>
                <w:color w:val="375623"/>
                <w:sz w:val="15"/>
              </w:rPr>
              <w:t>+58.80</w:t>
            </w:r>
          </w:p>
        </w:tc>
        <w:tc>
          <w:tcPr>
            <w:tcW w:type="dxa" w:w="648"/>
            <w:shd w:fill="F7F9FC"/>
            <w:vAlign w:val="top"/>
          </w:tcPr>
          <w:p>
            <w:pPr>
              <w:spacing w:after="20" w:line="240" w:lineRule="auto"/>
            </w:pPr>
            <w:r>
              <w:rPr>
                <w:rFonts w:ascii="Arial" w:hAnsi="Arial"/>
                <w:b w:val="0"/>
                <w:color w:val="375623"/>
                <w:sz w:val="15"/>
              </w:rPr>
              <w:t>+11.10</w:t>
            </w:r>
          </w:p>
        </w:tc>
        <w:tc>
          <w:tcPr>
            <w:tcW w:type="dxa" w:w="648"/>
            <w:shd w:fill="F7F9FC"/>
            <w:vAlign w:val="top"/>
          </w:tcPr>
          <w:p>
            <w:pPr>
              <w:spacing w:after="20" w:line="240" w:lineRule="auto"/>
            </w:pPr>
            <w:r>
              <w:rPr>
                <w:rFonts w:ascii="Arial" w:hAnsi="Arial"/>
                <w:b w:val="0"/>
                <w:color w:val="595959"/>
                <w:sz w:val="15"/>
              </w:rPr>
              <w:t>6</w:t>
            </w:r>
          </w:p>
        </w:tc>
        <w:tc>
          <w:tcPr>
            <w:tcW w:type="dxa" w:w="720"/>
            <w:shd w:fill="F7F9FC"/>
            <w:vAlign w:val="top"/>
          </w:tcPr>
          <w:p>
            <w:pPr>
              <w:spacing w:after="20" w:line="240" w:lineRule="auto"/>
            </w:pPr>
            <w:r>
              <w:rPr>
                <w:rFonts w:ascii="Arial" w:hAnsi="Arial"/>
                <w:b w:val="0"/>
                <w:color w:val="C00000"/>
                <w:sz w:val="15"/>
              </w:rPr>
              <w:t>-7.17</w:t>
            </w:r>
          </w:p>
        </w:tc>
        <w:tc>
          <w:tcPr>
            <w:tcW w:type="dxa" w:w="720"/>
            <w:shd w:fill="F7F9FC"/>
            <w:vAlign w:val="top"/>
          </w:tcPr>
          <w:p>
            <w:pPr>
              <w:spacing w:after="20" w:line="240" w:lineRule="auto"/>
            </w:pPr>
            <w:r>
              <w:rPr>
                <w:rFonts w:ascii="Arial" w:hAnsi="Arial"/>
                <w:b w:val="0"/>
                <w:color w:val="C00000"/>
                <w:sz w:val="15"/>
              </w:rPr>
              <w:t>-4.55</w:t>
            </w:r>
          </w:p>
        </w:tc>
        <w:tc>
          <w:tcPr>
            <w:tcW w:type="dxa" w:w="1512"/>
            <w:shd w:fill="F7F9FC"/>
            <w:vAlign w:val="top"/>
          </w:tcPr>
          <w:p>
            <w:pPr>
              <w:spacing w:after="20" w:line="240" w:lineRule="auto"/>
            </w:pPr>
            <w:r>
              <w:rPr>
                <w:rFonts w:ascii="Arial" w:hAnsi="Arial"/>
                <w:b w:val="0"/>
                <w:color w:val="595959"/>
                <w:sz w:val="15"/>
              </w:rPr>
              <w:t>late_cycle_risk_off</w:t>
            </w:r>
          </w:p>
        </w:tc>
        <w:tc>
          <w:tcPr>
            <w:tcW w:type="dxa" w:w="1224"/>
            <w:shd w:fill="F7F9FC"/>
            <w:vAlign w:val="top"/>
          </w:tcPr>
          <w:p>
            <w:pPr>
              <w:spacing w:after="20" w:line="240" w:lineRule="auto"/>
            </w:pPr>
            <w:r>
              <w:rPr>
                <w:rFonts w:ascii="Arial" w:hAnsi="Arial"/>
                <w:b w:val="0"/>
                <w:color w:val="595959"/>
                <w:sz w:val="15"/>
              </w:rPr>
              <w:t>Stress drawdown</w:t>
            </w:r>
          </w:p>
        </w:tc>
        <w:tc>
          <w:tcPr>
            <w:tcW w:type="dxa" w:w="648"/>
            <w:shd w:fill="F7F9FC"/>
            <w:vAlign w:val="top"/>
          </w:tcPr>
          <w:p>
            <w:pPr>
              <w:spacing w:after="20" w:line="240" w:lineRule="auto"/>
            </w:pPr>
            <w:r>
              <w:rPr>
                <w:rFonts w:ascii="Arial" w:hAnsi="Arial"/>
                <w:b w:val="0"/>
                <w:color w:val="375623"/>
                <w:sz w:val="15"/>
              </w:rPr>
              <w:t>+90.89</w:t>
            </w:r>
          </w:p>
        </w:tc>
        <w:tc>
          <w:tcPr>
            <w:tcW w:type="dxa" w:w="648"/>
            <w:shd w:fill="F7F9FC"/>
            <w:vAlign w:val="top"/>
          </w:tcPr>
          <w:p>
            <w:pPr>
              <w:spacing w:after="20" w:line="240" w:lineRule="auto"/>
            </w:pPr>
            <w:r>
              <w:rPr>
                <w:rFonts w:ascii="Arial" w:hAnsi="Arial"/>
                <w:b w:val="0"/>
                <w:color w:val="375623"/>
                <w:sz w:val="15"/>
              </w:rPr>
              <w:t>+64.73</w:t>
            </w:r>
          </w:p>
        </w:tc>
        <w:tc>
          <w:tcPr>
            <w:tcW w:type="dxa" w:w="648"/>
            <w:shd w:fill="F7F9FC"/>
            <w:vAlign w:val="top"/>
          </w:tcPr>
          <w:p>
            <w:pPr>
              <w:spacing w:after="20" w:line="240" w:lineRule="auto"/>
            </w:pPr>
            <w:r>
              <w:rPr>
                <w:rFonts w:ascii="Arial" w:hAnsi="Arial"/>
                <w:b w:val="0"/>
                <w:color w:val="375623"/>
                <w:sz w:val="15"/>
              </w:rPr>
              <w:t>+75.19</w:t>
            </w:r>
          </w:p>
        </w:tc>
        <w:tc>
          <w:tcPr>
            <w:tcW w:type="dxa" w:w="1728"/>
            <w:shd w:fill="F7F9FC"/>
            <w:vAlign w:val="top"/>
          </w:tcPr>
          <w:p>
            <w:pPr>
              <w:spacing w:after="20" w:line="240" w:lineRule="auto"/>
            </w:pPr>
            <w:r>
              <w:rPr>
                <w:rFonts w:ascii="Arial" w:hAnsi="Arial"/>
                <w:b w:val="0"/>
                <w:color w:val="595959"/>
                <w:sz w:val="15"/>
              </w:rPr>
              <w:t>monetary_liquidity, credit, volatility</w:t>
            </w:r>
          </w:p>
        </w:tc>
        <w:tc>
          <w:tcPr>
            <w:tcW w:type="dxa" w:w="1728"/>
            <w:shd w:fill="F7F9FC"/>
            <w:vAlign w:val="top"/>
          </w:tcPr>
          <w:p>
            <w:pPr>
              <w:spacing w:after="20" w:line="240" w:lineRule="auto"/>
            </w:pPr>
            <w:r>
              <w:rPr>
                <w:rFonts w:ascii="Arial" w:hAnsi="Arial"/>
                <w:b w:val="0"/>
                <w:color w:val="595959"/>
                <w:sz w:val="15"/>
              </w:rPr>
              <w:t>positioning, breadth_market_structure, volatility</w:t>
            </w:r>
          </w:p>
        </w:tc>
      </w:tr>
      <w:tr>
        <w:tc>
          <w:tcPr>
            <w:tcW w:type="dxa" w:w="936"/>
            <w:vAlign w:val="top"/>
          </w:tcPr>
          <w:p>
            <w:pPr>
              <w:spacing w:after="20" w:line="240" w:lineRule="auto"/>
            </w:pPr>
            <w:r>
              <w:rPr>
                <w:rFonts w:ascii="Arial" w:hAnsi="Arial"/>
                <w:b w:val="0"/>
                <w:color w:val="595959"/>
                <w:sz w:val="15"/>
              </w:rPr>
              <w:t>01/06/10</w:t>
            </w:r>
          </w:p>
        </w:tc>
        <w:tc>
          <w:tcPr>
            <w:tcW w:type="dxa" w:w="648"/>
            <w:vAlign w:val="top"/>
          </w:tcPr>
          <w:p>
            <w:pPr>
              <w:spacing w:after="20" w:line="240" w:lineRule="auto"/>
            </w:pPr>
            <w:r>
              <w:rPr>
                <w:rFonts w:ascii="Arial" w:hAnsi="Arial"/>
                <w:b w:val="0"/>
                <w:color w:val="375623"/>
                <w:sz w:val="15"/>
              </w:rPr>
              <w:t>+2.65</w:t>
            </w:r>
          </w:p>
        </w:tc>
        <w:tc>
          <w:tcPr>
            <w:tcW w:type="dxa" w:w="792"/>
            <w:vAlign w:val="top"/>
          </w:tcPr>
          <w:p>
            <w:pPr>
              <w:spacing w:after="20" w:line="240" w:lineRule="auto"/>
            </w:pPr>
            <w:r>
              <w:rPr>
                <w:rFonts w:ascii="Arial" w:hAnsi="Arial"/>
                <w:b w:val="0"/>
                <w:color w:val="595959"/>
                <w:sz w:val="15"/>
              </w:rPr>
              <w:t>Chop / Layer Diver</w:t>
            </w:r>
          </w:p>
        </w:tc>
        <w:tc>
          <w:tcPr>
            <w:tcW w:type="dxa" w:w="648"/>
            <w:vAlign w:val="top"/>
          </w:tcPr>
          <w:p>
            <w:pPr>
              <w:spacing w:after="20" w:line="240" w:lineRule="auto"/>
            </w:pPr>
            <w:r>
              <w:rPr>
                <w:rFonts w:ascii="Arial" w:hAnsi="Arial"/>
                <w:b w:val="0"/>
                <w:color w:val="375623"/>
                <w:sz w:val="15"/>
              </w:rPr>
              <w:t>+59.90</w:t>
            </w:r>
          </w:p>
        </w:tc>
        <w:tc>
          <w:tcPr>
            <w:tcW w:type="dxa" w:w="648"/>
            <w:vAlign w:val="top"/>
          </w:tcPr>
          <w:p>
            <w:pPr>
              <w:spacing w:after="20" w:line="240" w:lineRule="auto"/>
            </w:pPr>
            <w:r>
              <w:rPr>
                <w:rFonts w:ascii="Arial" w:hAnsi="Arial"/>
                <w:b w:val="0"/>
                <w:color w:val="375623"/>
                <w:sz w:val="15"/>
              </w:rPr>
              <w:t>+19.20</w:t>
            </w:r>
          </w:p>
        </w:tc>
        <w:tc>
          <w:tcPr>
            <w:tcW w:type="dxa" w:w="648"/>
            <w:vAlign w:val="top"/>
          </w:tcPr>
          <w:p>
            <w:pPr>
              <w:spacing w:after="20" w:line="240" w:lineRule="auto"/>
            </w:pPr>
            <w:r>
              <w:rPr>
                <w:rFonts w:ascii="Arial" w:hAnsi="Arial"/>
                <w:b w:val="0"/>
                <w:color w:val="595959"/>
                <w:sz w:val="15"/>
              </w:rPr>
              <w:t>7</w:t>
            </w:r>
          </w:p>
        </w:tc>
        <w:tc>
          <w:tcPr>
            <w:tcW w:type="dxa" w:w="720"/>
            <w:vAlign w:val="top"/>
          </w:tcPr>
          <w:p>
            <w:pPr>
              <w:spacing w:after="20" w:line="240" w:lineRule="auto"/>
            </w:pPr>
            <w:r>
              <w:rPr>
                <w:rFonts w:ascii="Arial" w:hAnsi="Arial"/>
                <w:b w:val="0"/>
                <w:color w:val="375623"/>
                <w:sz w:val="15"/>
              </w:rPr>
              <w:t>+4.45</w:t>
            </w:r>
          </w:p>
        </w:tc>
        <w:tc>
          <w:tcPr>
            <w:tcW w:type="dxa" w:w="720"/>
            <w:vAlign w:val="top"/>
          </w:tcPr>
          <w:p>
            <w:pPr>
              <w:spacing w:after="20" w:line="240" w:lineRule="auto"/>
            </w:pPr>
            <w:r>
              <w:rPr>
                <w:rFonts w:ascii="Arial" w:hAnsi="Arial"/>
                <w:b w:val="0"/>
                <w:color w:val="C00000"/>
                <w:sz w:val="15"/>
              </w:rPr>
              <w:t>-6.20</w:t>
            </w:r>
          </w:p>
        </w:tc>
        <w:tc>
          <w:tcPr>
            <w:tcW w:type="dxa" w:w="1512"/>
            <w:vAlign w:val="top"/>
          </w:tcPr>
          <w:p>
            <w:pPr>
              <w:spacing w:after="20" w:line="240" w:lineRule="auto"/>
            </w:pPr>
            <w:r>
              <w:rPr>
                <w:rFonts w:ascii="Arial" w:hAnsi="Arial"/>
                <w:b w:val="0"/>
                <w:color w:val="595959"/>
                <w:sz w:val="15"/>
              </w:rPr>
              <w:t>oil_inflation_tail</w:t>
            </w:r>
          </w:p>
        </w:tc>
        <w:tc>
          <w:tcPr>
            <w:tcW w:type="dxa" w:w="1224"/>
            <w:vAlign w:val="top"/>
          </w:tcPr>
          <w:p>
            <w:pPr>
              <w:spacing w:after="20" w:line="240" w:lineRule="auto"/>
            </w:pPr>
            <w:r>
              <w:rPr>
                <w:rFonts w:ascii="Arial" w:hAnsi="Arial"/>
                <w:b w:val="0"/>
                <w:color w:val="595959"/>
                <w:sz w:val="15"/>
              </w:rPr>
              <w:t>Energy leadership</w:t>
            </w:r>
          </w:p>
        </w:tc>
        <w:tc>
          <w:tcPr>
            <w:tcW w:type="dxa" w:w="648"/>
            <w:vAlign w:val="top"/>
          </w:tcPr>
          <w:p>
            <w:pPr>
              <w:spacing w:after="20" w:line="240" w:lineRule="auto"/>
            </w:pPr>
            <w:r>
              <w:rPr>
                <w:rFonts w:ascii="Arial" w:hAnsi="Arial"/>
                <w:b w:val="0"/>
                <w:color w:val="375623"/>
                <w:sz w:val="15"/>
              </w:rPr>
              <w:t>+93.94</w:t>
            </w:r>
          </w:p>
        </w:tc>
        <w:tc>
          <w:tcPr>
            <w:tcW w:type="dxa" w:w="648"/>
            <w:vAlign w:val="top"/>
          </w:tcPr>
          <w:p>
            <w:pPr>
              <w:spacing w:after="20" w:line="240" w:lineRule="auto"/>
            </w:pPr>
            <w:r>
              <w:rPr>
                <w:rFonts w:ascii="Arial" w:hAnsi="Arial"/>
                <w:b w:val="0"/>
                <w:color w:val="375623"/>
                <w:sz w:val="15"/>
              </w:rPr>
              <w:t>+62.74</w:t>
            </w:r>
          </w:p>
        </w:tc>
        <w:tc>
          <w:tcPr>
            <w:tcW w:type="dxa" w:w="648"/>
            <w:vAlign w:val="top"/>
          </w:tcPr>
          <w:p>
            <w:pPr>
              <w:spacing w:after="20" w:line="240" w:lineRule="auto"/>
            </w:pPr>
            <w:r>
              <w:rPr>
                <w:rFonts w:ascii="Arial" w:hAnsi="Arial"/>
                <w:b w:val="0"/>
                <w:color w:val="375623"/>
                <w:sz w:val="15"/>
              </w:rPr>
              <w:t>+75.22</w:t>
            </w:r>
          </w:p>
        </w:tc>
        <w:tc>
          <w:tcPr>
            <w:tcW w:type="dxa" w:w="1728"/>
            <w:vAlign w:val="top"/>
          </w:tcPr>
          <w:p>
            <w:pPr>
              <w:spacing w:after="20" w:line="240" w:lineRule="auto"/>
            </w:pPr>
            <w:r>
              <w:rPr>
                <w:rFonts w:ascii="Arial" w:hAnsi="Arial"/>
                <w:b w:val="0"/>
                <w:color w:val="595959"/>
                <w:sz w:val="15"/>
              </w:rPr>
              <w:t>credit, monetary_liquidity, volatility</w:t>
            </w:r>
          </w:p>
        </w:tc>
        <w:tc>
          <w:tcPr>
            <w:tcW w:type="dxa" w:w="1728"/>
            <w:vAlign w:val="top"/>
          </w:tcPr>
          <w:p>
            <w:pPr>
              <w:spacing w:after="20" w:line="240" w:lineRule="auto"/>
            </w:pPr>
            <w:r>
              <w:rPr>
                <w:rFonts w:ascii="Arial" w:hAnsi="Arial"/>
                <w:b w:val="0"/>
                <w:color w:val="595959"/>
                <w:sz w:val="15"/>
              </w:rPr>
              <w:t>positioning, breadth_market_structure, volatility</w:t>
            </w:r>
          </w:p>
        </w:tc>
      </w:tr>
      <w:tr>
        <w:tc>
          <w:tcPr>
            <w:tcW w:type="dxa" w:w="936"/>
            <w:shd w:fill="F7F9FC"/>
            <w:vAlign w:val="top"/>
          </w:tcPr>
          <w:p>
            <w:pPr>
              <w:spacing w:after="20" w:line="240" w:lineRule="auto"/>
            </w:pPr>
            <w:r>
              <w:rPr>
                <w:rFonts w:ascii="Arial" w:hAnsi="Arial"/>
                <w:b w:val="0"/>
                <w:color w:val="595959"/>
                <w:sz w:val="15"/>
              </w:rPr>
              <w:t>01/05/26</w:t>
            </w:r>
          </w:p>
        </w:tc>
        <w:tc>
          <w:tcPr>
            <w:tcW w:type="dxa" w:w="648"/>
            <w:shd w:fill="F7F9FC"/>
            <w:vAlign w:val="top"/>
          </w:tcPr>
          <w:p>
            <w:pPr>
              <w:spacing w:after="20" w:line="240" w:lineRule="auto"/>
            </w:pPr>
            <w:r>
              <w:rPr>
                <w:rFonts w:ascii="Arial" w:hAnsi="Arial"/>
                <w:b w:val="0"/>
                <w:color w:val="375623"/>
                <w:sz w:val="15"/>
              </w:rPr>
              <w:t>+2.65</w:t>
            </w:r>
          </w:p>
        </w:tc>
        <w:tc>
          <w:tcPr>
            <w:tcW w:type="dxa" w:w="792"/>
            <w:shd w:fill="F7F9FC"/>
            <w:vAlign w:val="top"/>
          </w:tcPr>
          <w:p>
            <w:pPr>
              <w:spacing w:after="20" w:line="240" w:lineRule="auto"/>
            </w:pPr>
            <w:r>
              <w:rPr>
                <w:rFonts w:ascii="Arial" w:hAnsi="Arial"/>
                <w:b w:val="0"/>
                <w:color w:val="595959"/>
                <w:sz w:val="15"/>
              </w:rPr>
              <w:t>Chop / Layer Diver</w:t>
            </w:r>
          </w:p>
        </w:tc>
        <w:tc>
          <w:tcPr>
            <w:tcW w:type="dxa" w:w="648"/>
            <w:shd w:fill="F7F9FC"/>
            <w:vAlign w:val="top"/>
          </w:tcPr>
          <w:p>
            <w:pPr>
              <w:spacing w:after="20" w:line="240" w:lineRule="auto"/>
            </w:pPr>
            <w:r>
              <w:rPr>
                <w:rFonts w:ascii="Arial" w:hAnsi="Arial"/>
                <w:b w:val="0"/>
                <w:color w:val="375623"/>
                <w:sz w:val="15"/>
              </w:rPr>
              <w:t>+59.90</w:t>
            </w:r>
          </w:p>
        </w:tc>
        <w:tc>
          <w:tcPr>
            <w:tcW w:type="dxa" w:w="648"/>
            <w:shd w:fill="F7F9FC"/>
            <w:vAlign w:val="top"/>
          </w:tcPr>
          <w:p>
            <w:pPr>
              <w:spacing w:after="20" w:line="240" w:lineRule="auto"/>
            </w:pPr>
            <w:r>
              <w:rPr>
                <w:rFonts w:ascii="Arial" w:hAnsi="Arial"/>
                <w:b w:val="0"/>
                <w:color w:val="375623"/>
                <w:sz w:val="15"/>
              </w:rPr>
              <w:t>+14.90</w:t>
            </w:r>
          </w:p>
        </w:tc>
        <w:tc>
          <w:tcPr>
            <w:tcW w:type="dxa" w:w="648"/>
            <w:shd w:fill="F7F9FC"/>
            <w:vAlign w:val="top"/>
          </w:tcPr>
          <w:p>
            <w:pPr>
              <w:spacing w:after="20" w:line="240" w:lineRule="auto"/>
            </w:pPr>
            <w:r>
              <w:rPr>
                <w:rFonts w:ascii="Arial" w:hAnsi="Arial"/>
                <w:b w:val="0"/>
                <w:color w:val="595959"/>
                <w:sz w:val="15"/>
              </w:rPr>
              <w:t>8</w:t>
            </w:r>
          </w:p>
        </w:tc>
        <w:tc>
          <w:tcPr>
            <w:tcW w:type="dxa" w:w="720"/>
            <w:shd w:fill="F7F9FC"/>
            <w:vAlign w:val="top"/>
          </w:tcPr>
          <w:p>
            <w:pPr>
              <w:spacing w:after="20" w:line="240" w:lineRule="auto"/>
            </w:pPr>
            <w:r>
              <w:rPr>
                <w:rFonts w:ascii="Arial" w:hAnsi="Arial"/>
                <w:b w:val="0"/>
                <w:color w:val="C00000"/>
                <w:sz w:val="15"/>
              </w:rPr>
              <w:t>-4.14</w:t>
            </w:r>
          </w:p>
        </w:tc>
        <w:tc>
          <w:tcPr>
            <w:tcW w:type="dxa" w:w="720"/>
            <w:shd w:fill="F7F9FC"/>
            <w:vAlign w:val="top"/>
          </w:tcPr>
          <w:p>
            <w:pPr>
              <w:spacing w:after="20" w:line="240" w:lineRule="auto"/>
            </w:pPr>
            <w:r>
              <w:rPr>
                <w:rFonts w:ascii="Arial" w:hAnsi="Arial"/>
                <w:b w:val="0"/>
                <w:color w:val="C00000"/>
                <w:sz w:val="15"/>
              </w:rPr>
              <w:t>-0.22</w:t>
            </w:r>
          </w:p>
        </w:tc>
        <w:tc>
          <w:tcPr>
            <w:tcW w:type="dxa" w:w="1512"/>
            <w:shd w:fill="F7F9FC"/>
            <w:vAlign w:val="top"/>
          </w:tcPr>
          <w:p>
            <w:pPr>
              <w:spacing w:after="20" w:line="240" w:lineRule="auto"/>
            </w:pPr>
            <w:r>
              <w:rPr>
                <w:rFonts w:ascii="Arial" w:hAnsi="Arial"/>
                <w:b w:val="0"/>
                <w:color w:val="595959"/>
                <w:sz w:val="15"/>
              </w:rPr>
              <w:t>oil_inflation_tail</w:t>
            </w:r>
          </w:p>
        </w:tc>
        <w:tc>
          <w:tcPr>
            <w:tcW w:type="dxa" w:w="1224"/>
            <w:shd w:fill="F7F9FC"/>
            <w:vAlign w:val="top"/>
          </w:tcPr>
          <w:p>
            <w:pPr>
              <w:spacing w:after="20" w:line="240" w:lineRule="auto"/>
            </w:pPr>
            <w:r>
              <w:rPr>
                <w:rFonts w:ascii="Arial" w:hAnsi="Arial"/>
                <w:b w:val="0"/>
                <w:color w:val="595959"/>
                <w:sz w:val="15"/>
              </w:rPr>
              <w:t>Energy leadership</w:t>
            </w:r>
          </w:p>
        </w:tc>
        <w:tc>
          <w:tcPr>
            <w:tcW w:type="dxa" w:w="648"/>
            <w:shd w:fill="F7F9FC"/>
            <w:vAlign w:val="top"/>
          </w:tcPr>
          <w:p>
            <w:pPr>
              <w:spacing w:after="20" w:line="240" w:lineRule="auto"/>
            </w:pPr>
            <w:r>
              <w:rPr>
                <w:rFonts w:ascii="Arial" w:hAnsi="Arial"/>
                <w:b w:val="0"/>
                <w:color w:val="375623"/>
                <w:sz w:val="15"/>
              </w:rPr>
              <w:t>+94.38</w:t>
            </w:r>
          </w:p>
        </w:tc>
        <w:tc>
          <w:tcPr>
            <w:tcW w:type="dxa" w:w="648"/>
            <w:shd w:fill="F7F9FC"/>
            <w:vAlign w:val="top"/>
          </w:tcPr>
          <w:p>
            <w:pPr>
              <w:spacing w:after="20" w:line="240" w:lineRule="auto"/>
            </w:pPr>
            <w:r>
              <w:rPr>
                <w:rFonts w:ascii="Arial" w:hAnsi="Arial"/>
                <w:b w:val="0"/>
                <w:color w:val="375623"/>
                <w:sz w:val="15"/>
              </w:rPr>
              <w:t>+63.45</w:t>
            </w:r>
          </w:p>
        </w:tc>
        <w:tc>
          <w:tcPr>
            <w:tcW w:type="dxa" w:w="648"/>
            <w:shd w:fill="F7F9FC"/>
            <w:vAlign w:val="top"/>
          </w:tcPr>
          <w:p>
            <w:pPr>
              <w:spacing w:after="20" w:line="240" w:lineRule="auto"/>
            </w:pPr>
            <w:r>
              <w:rPr>
                <w:rFonts w:ascii="Arial" w:hAnsi="Arial"/>
                <w:b w:val="0"/>
                <w:color w:val="375623"/>
                <w:sz w:val="15"/>
              </w:rPr>
              <w:t>+75.82</w:t>
            </w:r>
          </w:p>
        </w:tc>
        <w:tc>
          <w:tcPr>
            <w:tcW w:type="dxa" w:w="1728"/>
            <w:shd w:fill="F7F9FC"/>
            <w:vAlign w:val="top"/>
          </w:tcPr>
          <w:p>
            <w:pPr>
              <w:spacing w:after="20" w:line="240" w:lineRule="auto"/>
            </w:pPr>
            <w:r>
              <w:rPr>
                <w:rFonts w:ascii="Arial" w:hAnsi="Arial"/>
                <w:b w:val="0"/>
                <w:color w:val="595959"/>
                <w:sz w:val="15"/>
              </w:rPr>
              <w:t>monetary_liquidity, breadth_market_structure, credit</w:t>
            </w:r>
          </w:p>
        </w:tc>
        <w:tc>
          <w:tcPr>
            <w:tcW w:type="dxa" w:w="1728"/>
            <w:shd w:fill="F7F9FC"/>
            <w:vAlign w:val="top"/>
          </w:tcPr>
          <w:p>
            <w:pPr>
              <w:spacing w:after="20" w:line="240" w:lineRule="auto"/>
            </w:pPr>
            <w:r>
              <w:rPr>
                <w:rFonts w:ascii="Arial" w:hAnsi="Arial"/>
                <w:b w:val="0"/>
                <w:color w:val="595959"/>
                <w:sz w:val="15"/>
              </w:rPr>
              <w:t>positioning, volatility, credit</w:t>
            </w:r>
          </w:p>
        </w:tc>
      </w:tr>
      <w:tr>
        <w:tc>
          <w:tcPr>
            <w:tcW w:type="dxa" w:w="936"/>
            <w:vAlign w:val="top"/>
          </w:tcPr>
          <w:p>
            <w:pPr>
              <w:spacing w:after="20" w:line="240" w:lineRule="auto"/>
            </w:pPr>
            <w:r>
              <w:rPr>
                <w:rFonts w:ascii="Arial" w:hAnsi="Arial"/>
                <w:b w:val="0"/>
                <w:color w:val="595959"/>
                <w:sz w:val="15"/>
              </w:rPr>
              <w:t>10/20/25</w:t>
            </w:r>
          </w:p>
        </w:tc>
        <w:tc>
          <w:tcPr>
            <w:tcW w:type="dxa" w:w="648"/>
            <w:vAlign w:val="top"/>
          </w:tcPr>
          <w:p>
            <w:pPr>
              <w:spacing w:after="20" w:line="240" w:lineRule="auto"/>
            </w:pPr>
            <w:r>
              <w:rPr>
                <w:rFonts w:ascii="Arial" w:hAnsi="Arial"/>
                <w:b w:val="0"/>
                <w:color w:val="375623"/>
                <w:sz w:val="15"/>
              </w:rPr>
              <w:t>+2.64</w:t>
            </w:r>
          </w:p>
        </w:tc>
        <w:tc>
          <w:tcPr>
            <w:tcW w:type="dxa" w:w="792"/>
            <w:vAlign w:val="top"/>
          </w:tcPr>
          <w:p>
            <w:pPr>
              <w:spacing w:after="20" w:line="240" w:lineRule="auto"/>
            </w:pPr>
            <w:r>
              <w:rPr>
                <w:rFonts w:ascii="Arial" w:hAnsi="Arial"/>
                <w:b w:val="0"/>
                <w:color w:val="595959"/>
                <w:sz w:val="15"/>
              </w:rPr>
              <w:t>Chop / Layer Diver</w:t>
            </w:r>
          </w:p>
        </w:tc>
        <w:tc>
          <w:tcPr>
            <w:tcW w:type="dxa" w:w="648"/>
            <w:vAlign w:val="top"/>
          </w:tcPr>
          <w:p>
            <w:pPr>
              <w:spacing w:after="20" w:line="240" w:lineRule="auto"/>
            </w:pPr>
            <w:r>
              <w:rPr>
                <w:rFonts w:ascii="Arial" w:hAnsi="Arial"/>
                <w:b w:val="0"/>
                <w:color w:val="375623"/>
                <w:sz w:val="15"/>
              </w:rPr>
              <w:t>+56.80</w:t>
            </w:r>
          </w:p>
        </w:tc>
        <w:tc>
          <w:tcPr>
            <w:tcW w:type="dxa" w:w="648"/>
            <w:vAlign w:val="top"/>
          </w:tcPr>
          <w:p>
            <w:pPr>
              <w:spacing w:after="20" w:line="240" w:lineRule="auto"/>
            </w:pPr>
            <w:r>
              <w:rPr>
                <w:rFonts w:ascii="Arial" w:hAnsi="Arial"/>
                <w:b w:val="0"/>
                <w:color w:val="375623"/>
                <w:sz w:val="15"/>
              </w:rPr>
              <w:t>+18.20</w:t>
            </w:r>
          </w:p>
        </w:tc>
        <w:tc>
          <w:tcPr>
            <w:tcW w:type="dxa" w:w="648"/>
            <w:vAlign w:val="top"/>
          </w:tcPr>
          <w:p>
            <w:pPr>
              <w:spacing w:after="20" w:line="240" w:lineRule="auto"/>
            </w:pPr>
            <w:r>
              <w:rPr>
                <w:rFonts w:ascii="Arial" w:hAnsi="Arial"/>
                <w:b w:val="0"/>
                <w:color w:val="595959"/>
                <w:sz w:val="15"/>
              </w:rPr>
              <w:t>9</w:t>
            </w:r>
          </w:p>
        </w:tc>
        <w:tc>
          <w:tcPr>
            <w:tcW w:type="dxa" w:w="720"/>
            <w:vAlign w:val="top"/>
          </w:tcPr>
          <w:p>
            <w:pPr>
              <w:spacing w:after="20" w:line="240" w:lineRule="auto"/>
            </w:pPr>
            <w:r>
              <w:rPr>
                <w:rFonts w:ascii="Arial" w:hAnsi="Arial"/>
                <w:b w:val="0"/>
                <w:color w:val="375623"/>
                <w:sz w:val="15"/>
              </w:rPr>
              <w:t>+2.10</w:t>
            </w:r>
          </w:p>
        </w:tc>
        <w:tc>
          <w:tcPr>
            <w:tcW w:type="dxa" w:w="720"/>
            <w:vAlign w:val="top"/>
          </w:tcPr>
          <w:p>
            <w:pPr>
              <w:spacing w:after="20" w:line="240" w:lineRule="auto"/>
            </w:pPr>
            <w:r>
              <w:rPr>
                <w:rFonts w:ascii="Arial" w:hAnsi="Arial"/>
                <w:b w:val="0"/>
                <w:color w:val="C00000"/>
                <w:sz w:val="15"/>
              </w:rPr>
              <w:t>-1.67</w:t>
            </w:r>
          </w:p>
        </w:tc>
        <w:tc>
          <w:tcPr>
            <w:tcW w:type="dxa" w:w="1512"/>
            <w:vAlign w:val="top"/>
          </w:tcPr>
          <w:p>
            <w:pPr>
              <w:spacing w:after="20" w:line="240" w:lineRule="auto"/>
            </w:pPr>
            <w:r>
              <w:rPr>
                <w:rFonts w:ascii="Arial" w:hAnsi="Arial"/>
                <w:b w:val="0"/>
                <w:color w:val="595959"/>
                <w:sz w:val="15"/>
              </w:rPr>
              <w:t>oil_inflation_tail</w:t>
            </w:r>
          </w:p>
        </w:tc>
        <w:tc>
          <w:tcPr>
            <w:tcW w:type="dxa" w:w="1224"/>
            <w:vAlign w:val="top"/>
          </w:tcPr>
          <w:p>
            <w:pPr>
              <w:spacing w:after="20" w:line="240" w:lineRule="auto"/>
            </w:pPr>
            <w:r>
              <w:rPr>
                <w:rFonts w:ascii="Arial" w:hAnsi="Arial"/>
                <w:b w:val="0"/>
                <w:color w:val="595959"/>
                <w:sz w:val="15"/>
              </w:rPr>
              <w:t>Energy leadership</w:t>
            </w:r>
          </w:p>
        </w:tc>
        <w:tc>
          <w:tcPr>
            <w:tcW w:type="dxa" w:w="648"/>
            <w:vAlign w:val="top"/>
          </w:tcPr>
          <w:p>
            <w:pPr>
              <w:spacing w:after="20" w:line="240" w:lineRule="auto"/>
            </w:pPr>
            <w:r>
              <w:rPr>
                <w:rFonts w:ascii="Arial" w:hAnsi="Arial"/>
                <w:b w:val="0"/>
                <w:color w:val="375623"/>
                <w:sz w:val="15"/>
              </w:rPr>
              <w:t>+97.95</w:t>
            </w:r>
          </w:p>
        </w:tc>
        <w:tc>
          <w:tcPr>
            <w:tcW w:type="dxa" w:w="648"/>
            <w:vAlign w:val="top"/>
          </w:tcPr>
          <w:p>
            <w:pPr>
              <w:spacing w:after="20" w:line="240" w:lineRule="auto"/>
            </w:pPr>
            <w:r>
              <w:rPr>
                <w:rFonts w:ascii="Arial" w:hAnsi="Arial"/>
                <w:b w:val="0"/>
                <w:color w:val="375623"/>
                <w:sz w:val="15"/>
              </w:rPr>
              <w:t>+63.00</w:t>
            </w:r>
          </w:p>
        </w:tc>
        <w:tc>
          <w:tcPr>
            <w:tcW w:type="dxa" w:w="648"/>
            <w:vAlign w:val="top"/>
          </w:tcPr>
          <w:p>
            <w:pPr>
              <w:spacing w:after="20" w:line="240" w:lineRule="auto"/>
            </w:pPr>
            <w:r>
              <w:rPr>
                <w:rFonts w:ascii="Arial" w:hAnsi="Arial"/>
                <w:b w:val="0"/>
                <w:color w:val="375623"/>
                <w:sz w:val="15"/>
              </w:rPr>
              <w:t>+76.98</w:t>
            </w:r>
          </w:p>
        </w:tc>
        <w:tc>
          <w:tcPr>
            <w:tcW w:type="dxa" w:w="1728"/>
            <w:vAlign w:val="top"/>
          </w:tcPr>
          <w:p>
            <w:pPr>
              <w:spacing w:after="20" w:line="240" w:lineRule="auto"/>
            </w:pPr>
            <w:r>
              <w:rPr>
                <w:rFonts w:ascii="Arial" w:hAnsi="Arial"/>
                <w:b w:val="0"/>
                <w:color w:val="595959"/>
                <w:sz w:val="15"/>
              </w:rPr>
              <w:t>monetary_liquidity, breadth_market_structure, volatility</w:t>
            </w:r>
          </w:p>
        </w:tc>
        <w:tc>
          <w:tcPr>
            <w:tcW w:type="dxa" w:w="1728"/>
            <w:vAlign w:val="top"/>
          </w:tcPr>
          <w:p>
            <w:pPr>
              <w:spacing w:after="20" w:line="240" w:lineRule="auto"/>
            </w:pPr>
            <w:r>
              <w:rPr>
                <w:rFonts w:ascii="Arial" w:hAnsi="Arial"/>
                <w:b w:val="0"/>
                <w:color w:val="595959"/>
                <w:sz w:val="15"/>
              </w:rPr>
              <w:t>credit, positioning, volatility</w:t>
            </w:r>
          </w:p>
        </w:tc>
      </w:tr>
      <w:tr>
        <w:tc>
          <w:tcPr>
            <w:tcW w:type="dxa" w:w="936"/>
            <w:shd w:fill="F7F9FC"/>
            <w:vAlign w:val="top"/>
          </w:tcPr>
          <w:p>
            <w:pPr>
              <w:spacing w:after="20" w:line="240" w:lineRule="auto"/>
            </w:pPr>
            <w:r>
              <w:rPr>
                <w:rFonts w:ascii="Arial" w:hAnsi="Arial"/>
                <w:b w:val="0"/>
                <w:color w:val="595959"/>
                <w:sz w:val="15"/>
              </w:rPr>
              <w:t>09/27/18</w:t>
            </w:r>
          </w:p>
        </w:tc>
        <w:tc>
          <w:tcPr>
            <w:tcW w:type="dxa" w:w="648"/>
            <w:shd w:fill="F7F9FC"/>
            <w:vAlign w:val="top"/>
          </w:tcPr>
          <w:p>
            <w:pPr>
              <w:spacing w:after="20" w:line="240" w:lineRule="auto"/>
            </w:pPr>
            <w:r>
              <w:rPr>
                <w:rFonts w:ascii="Arial" w:hAnsi="Arial"/>
                <w:b w:val="0"/>
                <w:color w:val="375623"/>
                <w:sz w:val="15"/>
              </w:rPr>
              <w:t>+2.62</w:t>
            </w:r>
          </w:p>
        </w:tc>
        <w:tc>
          <w:tcPr>
            <w:tcW w:type="dxa" w:w="792"/>
            <w:shd w:fill="F7F9FC"/>
            <w:vAlign w:val="top"/>
          </w:tcPr>
          <w:p>
            <w:pPr>
              <w:spacing w:after="20" w:line="240" w:lineRule="auto"/>
            </w:pPr>
            <w:r>
              <w:rPr>
                <w:rFonts w:ascii="Arial" w:hAnsi="Arial"/>
                <w:b w:val="0"/>
                <w:color w:val="595959"/>
                <w:sz w:val="15"/>
              </w:rPr>
              <w:t>Chop / Layer Diver</w:t>
            </w:r>
          </w:p>
        </w:tc>
        <w:tc>
          <w:tcPr>
            <w:tcW w:type="dxa" w:w="648"/>
            <w:shd w:fill="F7F9FC"/>
            <w:vAlign w:val="top"/>
          </w:tcPr>
          <w:p>
            <w:pPr>
              <w:spacing w:after="20" w:line="240" w:lineRule="auto"/>
            </w:pPr>
            <w:r>
              <w:rPr>
                <w:rFonts w:ascii="Arial" w:hAnsi="Arial"/>
                <w:b w:val="0"/>
                <w:color w:val="375623"/>
                <w:sz w:val="15"/>
              </w:rPr>
              <w:t>+58.10</w:t>
            </w:r>
          </w:p>
        </w:tc>
        <w:tc>
          <w:tcPr>
            <w:tcW w:type="dxa" w:w="648"/>
            <w:shd w:fill="F7F9FC"/>
            <w:vAlign w:val="top"/>
          </w:tcPr>
          <w:p>
            <w:pPr>
              <w:spacing w:after="20" w:line="240" w:lineRule="auto"/>
            </w:pPr>
            <w:r>
              <w:rPr>
                <w:rFonts w:ascii="Arial" w:hAnsi="Arial"/>
                <w:b w:val="0"/>
                <w:color w:val="375623"/>
                <w:sz w:val="15"/>
              </w:rPr>
              <w:t>+12.40</w:t>
            </w:r>
          </w:p>
        </w:tc>
        <w:tc>
          <w:tcPr>
            <w:tcW w:type="dxa" w:w="648"/>
            <w:shd w:fill="F7F9FC"/>
            <w:vAlign w:val="top"/>
          </w:tcPr>
          <w:p>
            <w:pPr>
              <w:spacing w:after="20" w:line="240" w:lineRule="auto"/>
            </w:pPr>
            <w:r>
              <w:rPr>
                <w:rFonts w:ascii="Arial" w:hAnsi="Arial"/>
                <w:b w:val="0"/>
                <w:color w:val="595959"/>
                <w:sz w:val="15"/>
              </w:rPr>
              <w:t>7</w:t>
            </w:r>
          </w:p>
        </w:tc>
        <w:tc>
          <w:tcPr>
            <w:tcW w:type="dxa" w:w="720"/>
            <w:shd w:fill="F7F9FC"/>
            <w:vAlign w:val="top"/>
          </w:tcPr>
          <w:p>
            <w:pPr>
              <w:spacing w:after="20" w:line="240" w:lineRule="auto"/>
            </w:pPr>
            <w:r>
              <w:rPr>
                <w:rFonts w:ascii="Arial" w:hAnsi="Arial"/>
                <w:b w:val="0"/>
                <w:color w:val="C00000"/>
                <w:sz w:val="15"/>
              </w:rPr>
              <w:t>-14.77</w:t>
            </w:r>
          </w:p>
        </w:tc>
        <w:tc>
          <w:tcPr>
            <w:tcW w:type="dxa" w:w="720"/>
            <w:shd w:fill="F7F9FC"/>
            <w:vAlign w:val="top"/>
          </w:tcPr>
          <w:p>
            <w:pPr>
              <w:spacing w:after="20" w:line="240" w:lineRule="auto"/>
            </w:pPr>
            <w:r>
              <w:rPr>
                <w:rFonts w:ascii="Arial" w:hAnsi="Arial"/>
                <w:b w:val="0"/>
                <w:color w:val="C00000"/>
                <w:sz w:val="15"/>
              </w:rPr>
              <w:t>-8.72</w:t>
            </w:r>
          </w:p>
        </w:tc>
        <w:tc>
          <w:tcPr>
            <w:tcW w:type="dxa" w:w="1512"/>
            <w:shd w:fill="F7F9FC"/>
            <w:vAlign w:val="top"/>
          </w:tcPr>
          <w:p>
            <w:pPr>
              <w:spacing w:after="20" w:line="240" w:lineRule="auto"/>
            </w:pPr>
            <w:r>
              <w:rPr>
                <w:rFonts w:ascii="Arial" w:hAnsi="Arial"/>
                <w:b w:val="0"/>
                <w:color w:val="595959"/>
                <w:sz w:val="15"/>
              </w:rPr>
              <w:t>late_cycle_risk_off</w:t>
            </w:r>
          </w:p>
        </w:tc>
        <w:tc>
          <w:tcPr>
            <w:tcW w:type="dxa" w:w="1224"/>
            <w:shd w:fill="F7F9FC"/>
            <w:vAlign w:val="top"/>
          </w:tcPr>
          <w:p>
            <w:pPr>
              <w:spacing w:after="20" w:line="240" w:lineRule="auto"/>
            </w:pPr>
            <w:r>
              <w:rPr>
                <w:rFonts w:ascii="Arial" w:hAnsi="Arial"/>
                <w:b w:val="0"/>
                <w:color w:val="595959"/>
                <w:sz w:val="15"/>
              </w:rPr>
              <w:t>Stress drawdown</w:t>
            </w:r>
          </w:p>
        </w:tc>
        <w:tc>
          <w:tcPr>
            <w:tcW w:type="dxa" w:w="648"/>
            <w:shd w:fill="F7F9FC"/>
            <w:vAlign w:val="top"/>
          </w:tcPr>
          <w:p>
            <w:pPr>
              <w:spacing w:after="20" w:line="240" w:lineRule="auto"/>
            </w:pPr>
            <w:r>
              <w:rPr>
                <w:rFonts w:ascii="Arial" w:hAnsi="Arial"/>
                <w:b w:val="0"/>
                <w:color w:val="375623"/>
                <w:sz w:val="15"/>
              </w:rPr>
              <w:t>+93.00</w:t>
            </w:r>
          </w:p>
        </w:tc>
        <w:tc>
          <w:tcPr>
            <w:tcW w:type="dxa" w:w="648"/>
            <w:shd w:fill="F7F9FC"/>
            <w:vAlign w:val="top"/>
          </w:tcPr>
          <w:p>
            <w:pPr>
              <w:spacing w:after="20" w:line="240" w:lineRule="auto"/>
            </w:pPr>
            <w:r>
              <w:rPr>
                <w:rFonts w:ascii="Arial" w:hAnsi="Arial"/>
                <w:b w:val="0"/>
                <w:color w:val="375623"/>
                <w:sz w:val="15"/>
              </w:rPr>
              <w:t>+61.76</w:t>
            </w:r>
          </w:p>
        </w:tc>
        <w:tc>
          <w:tcPr>
            <w:tcW w:type="dxa" w:w="648"/>
            <w:shd w:fill="F7F9FC"/>
            <w:vAlign w:val="top"/>
          </w:tcPr>
          <w:p>
            <w:pPr>
              <w:spacing w:after="20" w:line="240" w:lineRule="auto"/>
            </w:pPr>
            <w:r>
              <w:rPr>
                <w:rFonts w:ascii="Arial" w:hAnsi="Arial"/>
                <w:b w:val="0"/>
                <w:color w:val="375623"/>
                <w:sz w:val="15"/>
              </w:rPr>
              <w:t>+74.26</w:t>
            </w:r>
          </w:p>
        </w:tc>
        <w:tc>
          <w:tcPr>
            <w:tcW w:type="dxa" w:w="1728"/>
            <w:shd w:fill="F7F9FC"/>
            <w:vAlign w:val="top"/>
          </w:tcPr>
          <w:p>
            <w:pPr>
              <w:spacing w:after="20" w:line="240" w:lineRule="auto"/>
            </w:pPr>
            <w:r>
              <w:rPr>
                <w:rFonts w:ascii="Arial" w:hAnsi="Arial"/>
                <w:b w:val="0"/>
                <w:color w:val="595959"/>
                <w:sz w:val="15"/>
              </w:rPr>
              <w:t>credit, monetary_liquidity, volatility</w:t>
            </w:r>
          </w:p>
        </w:tc>
        <w:tc>
          <w:tcPr>
            <w:tcW w:type="dxa" w:w="1728"/>
            <w:shd w:fill="F7F9FC"/>
            <w:vAlign w:val="top"/>
          </w:tcPr>
          <w:p>
            <w:pPr>
              <w:spacing w:after="20" w:line="240" w:lineRule="auto"/>
            </w:pPr>
            <w:r>
              <w:rPr>
                <w:rFonts w:ascii="Arial" w:hAnsi="Arial"/>
                <w:b w:val="0"/>
                <w:color w:val="595959"/>
                <w:sz w:val="15"/>
              </w:rPr>
              <w:t>positioning, breadth_market_structure, volatility</w:t>
            </w:r>
          </w:p>
        </w:tc>
      </w:tr>
      <w:tr>
        <w:tc>
          <w:tcPr>
            <w:tcW w:type="dxa" w:w="936"/>
            <w:vAlign w:val="top"/>
          </w:tcPr>
          <w:p>
            <w:pPr>
              <w:spacing w:after="20" w:line="240" w:lineRule="auto"/>
            </w:pPr>
            <w:r>
              <w:rPr>
                <w:rFonts w:ascii="Arial" w:hAnsi="Arial"/>
                <w:b w:val="0"/>
                <w:color w:val="595959"/>
                <w:sz w:val="15"/>
              </w:rPr>
              <w:t>03/30/10</w:t>
            </w:r>
          </w:p>
        </w:tc>
        <w:tc>
          <w:tcPr>
            <w:tcW w:type="dxa" w:w="648"/>
            <w:vAlign w:val="top"/>
          </w:tcPr>
          <w:p>
            <w:pPr>
              <w:spacing w:after="20" w:line="240" w:lineRule="auto"/>
            </w:pPr>
            <w:r>
              <w:rPr>
                <w:rFonts w:ascii="Arial" w:hAnsi="Arial"/>
                <w:b w:val="0"/>
                <w:color w:val="375623"/>
                <w:sz w:val="15"/>
              </w:rPr>
              <w:t>+2.61</w:t>
            </w:r>
          </w:p>
        </w:tc>
        <w:tc>
          <w:tcPr>
            <w:tcW w:type="dxa" w:w="792"/>
            <w:vAlign w:val="top"/>
          </w:tcPr>
          <w:p>
            <w:pPr>
              <w:spacing w:after="20" w:line="240" w:lineRule="auto"/>
            </w:pPr>
            <w:r>
              <w:rPr>
                <w:rFonts w:ascii="Arial" w:hAnsi="Arial"/>
                <w:b w:val="0"/>
                <w:color w:val="595959"/>
                <w:sz w:val="15"/>
              </w:rPr>
              <w:t>Mixed</w:t>
            </w:r>
          </w:p>
        </w:tc>
        <w:tc>
          <w:tcPr>
            <w:tcW w:type="dxa" w:w="648"/>
            <w:vAlign w:val="top"/>
          </w:tcPr>
          <w:p>
            <w:pPr>
              <w:spacing w:after="20" w:line="240" w:lineRule="auto"/>
            </w:pPr>
            <w:r>
              <w:rPr>
                <w:rFonts w:ascii="Arial" w:hAnsi="Arial"/>
                <w:b w:val="0"/>
                <w:color w:val="375623"/>
                <w:sz w:val="15"/>
              </w:rPr>
              <w:t>+63.40</w:t>
            </w:r>
          </w:p>
        </w:tc>
        <w:tc>
          <w:tcPr>
            <w:tcW w:type="dxa" w:w="648"/>
            <w:vAlign w:val="top"/>
          </w:tcPr>
          <w:p>
            <w:pPr>
              <w:spacing w:after="20" w:line="240" w:lineRule="auto"/>
            </w:pPr>
            <w:r>
              <w:rPr>
                <w:rFonts w:ascii="Arial" w:hAnsi="Arial"/>
                <w:b w:val="0"/>
                <w:color w:val="375623"/>
                <w:sz w:val="15"/>
              </w:rPr>
              <w:t>+17.10</w:t>
            </w:r>
          </w:p>
        </w:tc>
        <w:tc>
          <w:tcPr>
            <w:tcW w:type="dxa" w:w="648"/>
            <w:vAlign w:val="top"/>
          </w:tcPr>
          <w:p>
            <w:pPr>
              <w:spacing w:after="20" w:line="240" w:lineRule="auto"/>
            </w:pPr>
            <w:r>
              <w:rPr>
                <w:rFonts w:ascii="Arial" w:hAnsi="Arial"/>
                <w:b w:val="0"/>
                <w:color w:val="595959"/>
                <w:sz w:val="15"/>
              </w:rPr>
              <w:t>5</w:t>
            </w:r>
          </w:p>
        </w:tc>
        <w:tc>
          <w:tcPr>
            <w:tcW w:type="dxa" w:w="720"/>
            <w:vAlign w:val="top"/>
          </w:tcPr>
          <w:p>
            <w:pPr>
              <w:spacing w:after="20" w:line="240" w:lineRule="auto"/>
            </w:pPr>
            <w:r>
              <w:rPr>
                <w:rFonts w:ascii="Arial" w:hAnsi="Arial"/>
                <w:b w:val="0"/>
                <w:color w:val="C00000"/>
                <w:sz w:val="15"/>
              </w:rPr>
              <w:t>-11.24</w:t>
            </w:r>
          </w:p>
        </w:tc>
        <w:tc>
          <w:tcPr>
            <w:tcW w:type="dxa" w:w="720"/>
            <w:vAlign w:val="top"/>
          </w:tcPr>
          <w:p>
            <w:pPr>
              <w:spacing w:after="20" w:line="240" w:lineRule="auto"/>
            </w:pPr>
            <w:r>
              <w:rPr>
                <w:rFonts w:ascii="Arial" w:hAnsi="Arial"/>
                <w:b w:val="0"/>
                <w:color w:val="375623"/>
                <w:sz w:val="15"/>
              </w:rPr>
              <w:t>+2.95</w:t>
            </w:r>
          </w:p>
        </w:tc>
        <w:tc>
          <w:tcPr>
            <w:tcW w:type="dxa" w:w="1512"/>
            <w:vAlign w:val="top"/>
          </w:tcPr>
          <w:p>
            <w:pPr>
              <w:spacing w:after="20" w:line="240" w:lineRule="auto"/>
            </w:pPr>
            <w:r>
              <w:rPr>
                <w:rFonts w:ascii="Arial" w:hAnsi="Arial"/>
                <w:b w:val="0"/>
                <w:color w:val="595959"/>
                <w:sz w:val="15"/>
              </w:rPr>
              <w:t>late_cycle_risk_off</w:t>
            </w:r>
          </w:p>
        </w:tc>
        <w:tc>
          <w:tcPr>
            <w:tcW w:type="dxa" w:w="1224"/>
            <w:vAlign w:val="top"/>
          </w:tcPr>
          <w:p>
            <w:pPr>
              <w:spacing w:after="20" w:line="240" w:lineRule="auto"/>
            </w:pPr>
            <w:r>
              <w:rPr>
                <w:rFonts w:ascii="Arial" w:hAnsi="Arial"/>
                <w:b w:val="0"/>
                <w:color w:val="595959"/>
                <w:sz w:val="15"/>
              </w:rPr>
              <w:t>Stress drawdown</w:t>
            </w:r>
          </w:p>
        </w:tc>
        <w:tc>
          <w:tcPr>
            <w:tcW w:type="dxa" w:w="648"/>
            <w:vAlign w:val="top"/>
          </w:tcPr>
          <w:p>
            <w:pPr>
              <w:spacing w:after="20" w:line="240" w:lineRule="auto"/>
            </w:pPr>
            <w:r>
              <w:rPr>
                <w:rFonts w:ascii="Arial" w:hAnsi="Arial"/>
                <w:b w:val="0"/>
                <w:color w:val="375623"/>
                <w:sz w:val="15"/>
              </w:rPr>
              <w:t>+95.83</w:t>
            </w:r>
          </w:p>
        </w:tc>
        <w:tc>
          <w:tcPr>
            <w:tcW w:type="dxa" w:w="648"/>
            <w:vAlign w:val="top"/>
          </w:tcPr>
          <w:p>
            <w:pPr>
              <w:spacing w:after="20" w:line="240" w:lineRule="auto"/>
            </w:pPr>
            <w:r>
              <w:rPr>
                <w:rFonts w:ascii="Arial" w:hAnsi="Arial"/>
                <w:b w:val="0"/>
                <w:color w:val="375623"/>
                <w:sz w:val="15"/>
              </w:rPr>
              <w:t>+69.39</w:t>
            </w:r>
          </w:p>
        </w:tc>
        <w:tc>
          <w:tcPr>
            <w:tcW w:type="dxa" w:w="648"/>
            <w:vAlign w:val="top"/>
          </w:tcPr>
          <w:p>
            <w:pPr>
              <w:spacing w:after="20" w:line="240" w:lineRule="auto"/>
            </w:pPr>
            <w:r>
              <w:rPr>
                <w:rFonts w:ascii="Arial" w:hAnsi="Arial"/>
                <w:b w:val="0"/>
                <w:color w:val="375623"/>
                <w:sz w:val="15"/>
              </w:rPr>
              <w:t>+79.97</w:t>
            </w:r>
          </w:p>
        </w:tc>
        <w:tc>
          <w:tcPr>
            <w:tcW w:type="dxa" w:w="1728"/>
            <w:vAlign w:val="top"/>
          </w:tcPr>
          <w:p>
            <w:pPr>
              <w:spacing w:after="20" w:line="240" w:lineRule="auto"/>
            </w:pPr>
            <w:r>
              <w:rPr>
                <w:rFonts w:ascii="Arial" w:hAnsi="Arial"/>
                <w:b w:val="0"/>
                <w:color w:val="595959"/>
                <w:sz w:val="15"/>
              </w:rPr>
              <w:t>credit, monetary_liquidity, positioning</w:t>
            </w:r>
          </w:p>
        </w:tc>
        <w:tc>
          <w:tcPr>
            <w:tcW w:type="dxa" w:w="1728"/>
            <w:vAlign w:val="top"/>
          </w:tcPr>
          <w:p>
            <w:pPr>
              <w:spacing w:after="20" w:line="240" w:lineRule="auto"/>
            </w:pPr>
            <w:r>
              <w:rPr>
                <w:rFonts w:ascii="Arial" w:hAnsi="Arial"/>
                <w:b w:val="0"/>
                <w:color w:val="595959"/>
                <w:sz w:val="15"/>
              </w:rPr>
              <w:t>breadth_market_structure, volatility, positioning</w:t>
            </w:r>
          </w:p>
        </w:tc>
      </w:tr>
      <w:tr>
        <w:tc>
          <w:tcPr>
            <w:tcW w:type="dxa" w:w="936"/>
            <w:shd w:fill="F7F9FC"/>
            <w:vAlign w:val="top"/>
          </w:tcPr>
          <w:p>
            <w:pPr>
              <w:spacing w:after="20" w:line="240" w:lineRule="auto"/>
            </w:pPr>
            <w:r>
              <w:rPr>
                <w:rFonts w:ascii="Arial" w:hAnsi="Arial"/>
                <w:b w:val="0"/>
                <w:color w:val="595959"/>
                <w:sz w:val="15"/>
              </w:rPr>
              <w:t>09/15/25</w:t>
            </w:r>
          </w:p>
        </w:tc>
        <w:tc>
          <w:tcPr>
            <w:tcW w:type="dxa" w:w="648"/>
            <w:shd w:fill="F7F9FC"/>
            <w:vAlign w:val="top"/>
          </w:tcPr>
          <w:p>
            <w:pPr>
              <w:spacing w:after="20" w:line="240" w:lineRule="auto"/>
            </w:pPr>
            <w:r>
              <w:rPr>
                <w:rFonts w:ascii="Arial" w:hAnsi="Arial"/>
                <w:b w:val="0"/>
                <w:color w:val="375623"/>
                <w:sz w:val="15"/>
              </w:rPr>
              <w:t>+2.59</w:t>
            </w:r>
          </w:p>
        </w:tc>
        <w:tc>
          <w:tcPr>
            <w:tcW w:type="dxa" w:w="792"/>
            <w:shd w:fill="F7F9FC"/>
            <w:vAlign w:val="top"/>
          </w:tcPr>
          <w:p>
            <w:pPr>
              <w:spacing w:after="20" w:line="240" w:lineRule="auto"/>
            </w:pPr>
            <w:r>
              <w:rPr>
                <w:rFonts w:ascii="Arial" w:hAnsi="Arial"/>
                <w:b w:val="0"/>
                <w:color w:val="595959"/>
                <w:sz w:val="15"/>
              </w:rPr>
              <w:t>Mixed</w:t>
            </w:r>
          </w:p>
        </w:tc>
        <w:tc>
          <w:tcPr>
            <w:tcW w:type="dxa" w:w="648"/>
            <w:shd w:fill="F7F9FC"/>
            <w:vAlign w:val="top"/>
          </w:tcPr>
          <w:p>
            <w:pPr>
              <w:spacing w:after="20" w:line="240" w:lineRule="auto"/>
            </w:pPr>
            <w:r>
              <w:rPr>
                <w:rFonts w:ascii="Arial" w:hAnsi="Arial"/>
                <w:b w:val="0"/>
                <w:color w:val="375623"/>
                <w:sz w:val="15"/>
              </w:rPr>
              <w:t>+58.20</w:t>
            </w:r>
          </w:p>
        </w:tc>
        <w:tc>
          <w:tcPr>
            <w:tcW w:type="dxa" w:w="648"/>
            <w:shd w:fill="F7F9FC"/>
            <w:vAlign w:val="top"/>
          </w:tcPr>
          <w:p>
            <w:pPr>
              <w:spacing w:after="20" w:line="240" w:lineRule="auto"/>
            </w:pPr>
            <w:r>
              <w:rPr>
                <w:rFonts w:ascii="Arial" w:hAnsi="Arial"/>
                <w:b w:val="0"/>
                <w:color w:val="375623"/>
                <w:sz w:val="15"/>
              </w:rPr>
              <w:t>+15.70</w:t>
            </w:r>
          </w:p>
        </w:tc>
        <w:tc>
          <w:tcPr>
            <w:tcW w:type="dxa" w:w="648"/>
            <w:shd w:fill="F7F9FC"/>
            <w:vAlign w:val="top"/>
          </w:tcPr>
          <w:p>
            <w:pPr>
              <w:spacing w:after="20" w:line="240" w:lineRule="auto"/>
            </w:pPr>
            <w:r>
              <w:rPr>
                <w:rFonts w:ascii="Arial" w:hAnsi="Arial"/>
                <w:b w:val="0"/>
                <w:color w:val="595959"/>
                <w:sz w:val="15"/>
              </w:rPr>
              <w:t>5</w:t>
            </w:r>
          </w:p>
        </w:tc>
        <w:tc>
          <w:tcPr>
            <w:tcW w:type="dxa" w:w="720"/>
            <w:shd w:fill="F7F9FC"/>
            <w:vAlign w:val="top"/>
          </w:tcPr>
          <w:p>
            <w:pPr>
              <w:spacing w:after="20" w:line="240" w:lineRule="auto"/>
            </w:pPr>
            <w:r>
              <w:rPr>
                <w:rFonts w:ascii="Arial" w:hAnsi="Arial"/>
                <w:b w:val="0"/>
                <w:color w:val="375623"/>
                <w:sz w:val="15"/>
              </w:rPr>
              <w:t>+3.15</w:t>
            </w:r>
          </w:p>
        </w:tc>
        <w:tc>
          <w:tcPr>
            <w:tcW w:type="dxa" w:w="720"/>
            <w:shd w:fill="F7F9FC"/>
            <w:vAlign w:val="top"/>
          </w:tcPr>
          <w:p>
            <w:pPr>
              <w:spacing w:after="20" w:line="240" w:lineRule="auto"/>
            </w:pPr>
            <w:r>
              <w:rPr>
                <w:rFonts w:ascii="Arial" w:hAnsi="Arial"/>
                <w:b w:val="0"/>
                <w:color w:val="375623"/>
                <w:sz w:val="15"/>
              </w:rPr>
              <w:t>+0.20</w:t>
            </w:r>
          </w:p>
        </w:tc>
        <w:tc>
          <w:tcPr>
            <w:tcW w:type="dxa" w:w="1512"/>
            <w:shd w:fill="F7F9FC"/>
            <w:vAlign w:val="top"/>
          </w:tcPr>
          <w:p>
            <w:pPr>
              <w:spacing w:after="20" w:line="240" w:lineRule="auto"/>
            </w:pPr>
            <w:r>
              <w:rPr>
                <w:rFonts w:ascii="Arial" w:hAnsi="Arial"/>
                <w:b w:val="0"/>
                <w:color w:val="595959"/>
                <w:sz w:val="15"/>
              </w:rPr>
              <w:t>sticky_late_cycle_ai</w:t>
            </w:r>
          </w:p>
        </w:tc>
        <w:tc>
          <w:tcPr>
            <w:tcW w:type="dxa" w:w="1224"/>
            <w:shd w:fill="F7F9FC"/>
            <w:vAlign w:val="top"/>
          </w:tcPr>
          <w:p>
            <w:pPr>
              <w:spacing w:after="20" w:line="240" w:lineRule="auto"/>
            </w:pPr>
            <w:r>
              <w:rPr>
                <w:rFonts w:ascii="Arial" w:hAnsi="Arial"/>
                <w:b w:val="0"/>
                <w:color w:val="595959"/>
                <w:sz w:val="15"/>
              </w:rPr>
              <w:t>Positive + narrow</w:t>
            </w:r>
          </w:p>
        </w:tc>
        <w:tc>
          <w:tcPr>
            <w:tcW w:type="dxa" w:w="648"/>
            <w:shd w:fill="F7F9FC"/>
            <w:vAlign w:val="top"/>
          </w:tcPr>
          <w:p>
            <w:pPr>
              <w:spacing w:after="20" w:line="240" w:lineRule="auto"/>
            </w:pPr>
            <w:r>
              <w:rPr>
                <w:rFonts w:ascii="Arial" w:hAnsi="Arial"/>
                <w:b w:val="0"/>
                <w:color w:val="375623"/>
                <w:sz w:val="15"/>
              </w:rPr>
              <w:t>+92.04</w:t>
            </w:r>
          </w:p>
        </w:tc>
        <w:tc>
          <w:tcPr>
            <w:tcW w:type="dxa" w:w="648"/>
            <w:shd w:fill="F7F9FC"/>
            <w:vAlign w:val="top"/>
          </w:tcPr>
          <w:p>
            <w:pPr>
              <w:spacing w:after="20" w:line="240" w:lineRule="auto"/>
            </w:pPr>
            <w:r>
              <w:rPr>
                <w:rFonts w:ascii="Arial" w:hAnsi="Arial"/>
                <w:b w:val="0"/>
                <w:color w:val="375623"/>
                <w:sz w:val="15"/>
              </w:rPr>
              <w:t>+63.50</w:t>
            </w:r>
          </w:p>
        </w:tc>
        <w:tc>
          <w:tcPr>
            <w:tcW w:type="dxa" w:w="648"/>
            <w:shd w:fill="F7F9FC"/>
            <w:vAlign w:val="top"/>
          </w:tcPr>
          <w:p>
            <w:pPr>
              <w:spacing w:after="20" w:line="240" w:lineRule="auto"/>
            </w:pPr>
            <w:r>
              <w:rPr>
                <w:rFonts w:ascii="Arial" w:hAnsi="Arial"/>
                <w:b w:val="0"/>
                <w:color w:val="375623"/>
                <w:sz w:val="15"/>
              </w:rPr>
              <w:t>+74.92</w:t>
            </w:r>
          </w:p>
        </w:tc>
        <w:tc>
          <w:tcPr>
            <w:tcW w:type="dxa" w:w="1728"/>
            <w:shd w:fill="F7F9FC"/>
            <w:vAlign w:val="top"/>
          </w:tcPr>
          <w:p>
            <w:pPr>
              <w:spacing w:after="20" w:line="240" w:lineRule="auto"/>
            </w:pPr>
            <w:r>
              <w:rPr>
                <w:rFonts w:ascii="Arial" w:hAnsi="Arial"/>
                <w:b w:val="0"/>
                <w:color w:val="595959"/>
                <w:sz w:val="15"/>
              </w:rPr>
              <w:t>monetary_liquidity, credit, volatility</w:t>
            </w:r>
          </w:p>
        </w:tc>
        <w:tc>
          <w:tcPr>
            <w:tcW w:type="dxa" w:w="1728"/>
            <w:shd w:fill="F7F9FC"/>
            <w:vAlign w:val="top"/>
          </w:tcPr>
          <w:p>
            <w:pPr>
              <w:spacing w:after="20" w:line="240" w:lineRule="auto"/>
            </w:pPr>
            <w:r>
              <w:rPr>
                <w:rFonts w:ascii="Arial" w:hAnsi="Arial"/>
                <w:b w:val="0"/>
                <w:color w:val="595959"/>
                <w:sz w:val="15"/>
              </w:rPr>
              <w:t>breadth_market_structure, positioning, volatility</w:t>
            </w:r>
          </w:p>
        </w:tc>
      </w:tr>
    </w:tbl>
    <w:p>
      <w:pPr>
        <w:spacing w:after="120"/>
      </w:pPr>
    </w:p>
    <w:p>
      <w:pPr>
        <w:spacing w:before="180" w:after="80"/>
      </w:pPr>
      <w:r>
        <w:rPr>
          <w:rFonts w:ascii="Arial" w:hAnsi="Arial"/>
          <w:b/>
          <w:color w:val="2E75B6"/>
          <w:sz w:val="21"/>
        </w:rPr>
        <w:t>Scenario Calibration</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gridCol w:w="1746"/>
        <w:gridCol w:w="1746"/>
        <w:gridCol w:w="1746"/>
      </w:tblGrid>
      <w:tr>
        <w:trPr>
          <w:tblHeader w:val="true"/>
        </w:trPr>
        <w:tc>
          <w:tcPr>
            <w:tcW w:type="dxa" w:w="1944"/>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Deterministic Probability</w:t>
            </w:r>
          </w:p>
        </w:tc>
        <w:tc>
          <w:tcPr>
            <w:tcW w:type="dxa" w:w="1080"/>
            <w:shd w:fill="1F4E79"/>
            <w:vAlign w:val="top"/>
          </w:tcPr>
          <w:p>
            <w:pPr>
              <w:spacing w:after="20" w:line="240" w:lineRule="auto"/>
            </w:pPr>
            <w:r>
              <w:rPr>
                <w:rFonts w:ascii="Arial" w:hAnsi="Arial"/>
                <w:b/>
                <w:color w:val="FFFFFF"/>
                <w:sz w:val="15"/>
              </w:rPr>
              <w:t>Historical Probability</w:t>
            </w:r>
          </w:p>
        </w:tc>
        <w:tc>
          <w:tcPr>
            <w:tcW w:type="dxa" w:w="1080"/>
            <w:shd w:fill="1F4E79"/>
            <w:vAlign w:val="top"/>
          </w:tcPr>
          <w:p>
            <w:pPr>
              <w:spacing w:after="20" w:line="240" w:lineRule="auto"/>
            </w:pPr>
            <w:r>
              <w:rPr>
                <w:rFonts w:ascii="Arial" w:hAnsi="Arial"/>
                <w:b/>
                <w:color w:val="FFFFFF"/>
                <w:sz w:val="15"/>
              </w:rPr>
              <w:t>Blended Probability</w:t>
            </w:r>
          </w:p>
        </w:tc>
        <w:tc>
          <w:tcPr>
            <w:tcW w:type="dxa" w:w="936"/>
            <w:shd w:fill="1F4E79"/>
            <w:vAlign w:val="top"/>
          </w:tcPr>
          <w:p>
            <w:pPr>
              <w:spacing w:after="20" w:line="240" w:lineRule="auto"/>
            </w:pPr>
            <w:r>
              <w:rPr>
                <w:rFonts w:ascii="Arial" w:hAnsi="Arial"/>
                <w:b/>
                <w:color w:val="FFFFFF"/>
                <w:sz w:val="15"/>
              </w:rPr>
              <w:t>Analog Effect</w:t>
            </w:r>
          </w:p>
        </w:tc>
        <w:tc>
          <w:tcPr>
            <w:tcW w:type="dxa" w:w="936"/>
            <w:shd w:fill="1F4E79"/>
            <w:vAlign w:val="top"/>
          </w:tcPr>
          <w:p>
            <w:pPr>
              <w:spacing w:after="20" w:line="240" w:lineRule="auto"/>
            </w:pPr>
            <w:r>
              <w:rPr>
                <w:rFonts w:ascii="Arial" w:hAnsi="Arial"/>
                <w:b/>
                <w:color w:val="FFFFFF"/>
                <w:sz w:val="15"/>
              </w:rPr>
              <w:t>Supporting Analogues</w:t>
            </w:r>
          </w:p>
        </w:tc>
        <w:tc>
          <w:tcPr>
            <w:tcW w:type="dxa" w:w="792"/>
            <w:shd w:fill="1F4E79"/>
            <w:vAlign w:val="top"/>
          </w:tcPr>
          <w:p>
            <w:pPr>
              <w:spacing w:after="20" w:line="240" w:lineRule="auto"/>
            </w:pPr>
            <w:r>
              <w:rPr>
                <w:rFonts w:ascii="Arial" w:hAnsi="Arial"/>
                <w:b/>
                <w:color w:val="FFFFFF"/>
                <w:sz w:val="15"/>
              </w:rPr>
              <w:t>Confidence</w:t>
            </w:r>
          </w:p>
        </w:tc>
        <w:tc>
          <w:tcPr>
            <w:tcW w:type="dxa" w:w="6048"/>
            <w:shd w:fill="1F4E79"/>
            <w:vAlign w:val="top"/>
          </w:tcPr>
          <w:p>
            <w:pPr>
              <w:spacing w:after="20" w:line="240" w:lineRule="auto"/>
            </w:pPr>
            <w:r>
              <w:rPr>
                <w:rFonts w:ascii="Arial" w:hAnsi="Arial"/>
                <w:b/>
                <w:color w:val="FFFFFF"/>
                <w:sz w:val="15"/>
              </w:rPr>
              <w:t>Rationale</w:t>
            </w:r>
          </w:p>
        </w:tc>
      </w:tr>
      <w:tr>
        <w:tc>
          <w:tcPr>
            <w:tcW w:type="dxa" w:w="1944"/>
            <w:vAlign w:val="top"/>
          </w:tcPr>
          <w:p>
            <w:pPr>
              <w:spacing w:after="20" w:line="240" w:lineRule="auto"/>
            </w:pPr>
            <w:r>
              <w:rPr>
                <w:rFonts w:ascii="Arial" w:hAnsi="Arial"/>
                <w:b w:val="0"/>
                <w:color w:val="595959"/>
                <w:sz w:val="15"/>
              </w:rPr>
              <w:t>Sticky Late Cycle AI</w:t>
            </w:r>
          </w:p>
        </w:tc>
        <w:tc>
          <w:tcPr>
            <w:tcW w:type="dxa" w:w="1080"/>
            <w:vAlign w:val="top"/>
          </w:tcPr>
          <w:p>
            <w:pPr>
              <w:spacing w:after="20" w:line="240" w:lineRule="auto"/>
            </w:pPr>
            <w:r>
              <w:rPr>
                <w:rFonts w:ascii="Arial" w:hAnsi="Arial"/>
                <w:b w:val="0"/>
                <w:color w:val="595959"/>
                <w:sz w:val="15"/>
              </w:rPr>
              <w:t>41.53%</w:t>
            </w:r>
          </w:p>
        </w:tc>
        <w:tc>
          <w:tcPr>
            <w:tcW w:type="dxa" w:w="1080"/>
            <w:vAlign w:val="top"/>
          </w:tcPr>
          <w:p>
            <w:pPr>
              <w:spacing w:after="20" w:line="240" w:lineRule="auto"/>
            </w:pPr>
            <w:r>
              <w:rPr>
                <w:rFonts w:ascii="Arial" w:hAnsi="Arial"/>
                <w:b w:val="0"/>
                <w:color w:val="595959"/>
                <w:sz w:val="15"/>
              </w:rPr>
              <w:t>23.91%</w:t>
            </w:r>
          </w:p>
        </w:tc>
        <w:tc>
          <w:tcPr>
            <w:tcW w:type="dxa" w:w="1080"/>
            <w:vAlign w:val="top"/>
          </w:tcPr>
          <w:p>
            <w:pPr>
              <w:spacing w:after="20" w:line="240" w:lineRule="auto"/>
            </w:pPr>
            <w:r>
              <w:rPr>
                <w:rFonts w:ascii="Arial" w:hAnsi="Arial"/>
                <w:b w:val="0"/>
                <w:color w:val="595959"/>
                <w:sz w:val="15"/>
              </w:rPr>
              <w:t>36.24%</w:t>
            </w:r>
          </w:p>
        </w:tc>
        <w:tc>
          <w:tcPr>
            <w:tcW w:type="dxa" w:w="936"/>
            <w:vAlign w:val="top"/>
          </w:tcPr>
          <w:p>
            <w:pPr>
              <w:spacing w:after="20" w:line="240" w:lineRule="auto"/>
            </w:pPr>
            <w:r>
              <w:rPr>
                <w:rFonts w:ascii="Arial" w:hAnsi="Arial"/>
                <w:b w:val="0"/>
                <w:color w:val="C00000"/>
                <w:sz w:val="15"/>
              </w:rPr>
              <w:t>-5.29%</w:t>
            </w:r>
          </w:p>
        </w:tc>
        <w:tc>
          <w:tcPr>
            <w:tcW w:type="dxa" w:w="936"/>
            <w:vAlign w:val="top"/>
          </w:tcPr>
          <w:p>
            <w:pPr>
              <w:spacing w:after="20" w:line="240" w:lineRule="auto"/>
            </w:pPr>
            <w:r>
              <w:rPr>
                <w:rFonts w:ascii="Arial" w:hAnsi="Arial"/>
                <w:b w:val="0"/>
                <w:color w:val="595959"/>
                <w:sz w:val="15"/>
              </w:rPr>
              <w:t>11</w:t>
            </w:r>
          </w:p>
        </w:tc>
        <w:tc>
          <w:tcPr>
            <w:tcW w:type="dxa" w:w="792"/>
            <w:vAlign w:val="top"/>
          </w:tcPr>
          <w:p>
            <w:pPr>
              <w:spacing w:after="20" w:line="240" w:lineRule="auto"/>
            </w:pPr>
            <w:r>
              <w:rPr>
                <w:rFonts w:ascii="Arial" w:hAnsi="Arial"/>
                <w:b w:val="0"/>
                <w:color w:val="595959"/>
                <w:sz w:val="15"/>
              </w:rPr>
              <w:t>0.55</w:t>
            </w:r>
          </w:p>
        </w:tc>
        <w:tc>
          <w:tcPr>
            <w:tcW w:type="dxa" w:w="6048"/>
            <w:vAlign w:val="top"/>
          </w:tcPr>
          <w:p>
            <w:pPr>
              <w:spacing w:after="20" w:line="240" w:lineRule="auto"/>
            </w:pPr>
            <w:r>
              <w:rPr>
                <w:rFonts w:ascii="Arial" w:hAnsi="Arial"/>
                <w:b w:val="0"/>
                <w:color w:val="595959"/>
                <w:sz w:val="15"/>
              </w:rPr>
              <w:t>Sticky Late Cycle AI received 11 mapped analogue(s), weighted support 24.096. Historical probability 23.9%; deterministic probability 41.5%; blended probability 36.2%.</w:t>
            </w:r>
          </w:p>
        </w:tc>
      </w:tr>
      <w:tr>
        <w:tc>
          <w:tcPr>
            <w:tcW w:type="dxa" w:w="1944"/>
            <w:shd w:fill="F7F9FC"/>
            <w:vAlign w:val="top"/>
          </w:tcPr>
          <w:p>
            <w:pPr>
              <w:spacing w:after="20" w:line="240" w:lineRule="auto"/>
            </w:pPr>
            <w:r>
              <w:rPr>
                <w:rFonts w:ascii="Arial" w:hAnsi="Arial"/>
                <w:b w:val="0"/>
                <w:color w:val="595959"/>
                <w:sz w:val="15"/>
              </w:rPr>
              <w:t>Reopening / Soft Landing</w:t>
            </w:r>
          </w:p>
        </w:tc>
        <w:tc>
          <w:tcPr>
            <w:tcW w:type="dxa" w:w="1080"/>
            <w:shd w:fill="F7F9FC"/>
            <w:vAlign w:val="top"/>
          </w:tcPr>
          <w:p>
            <w:pPr>
              <w:spacing w:after="20" w:line="240" w:lineRule="auto"/>
            </w:pPr>
            <w:r>
              <w:rPr>
                <w:rFonts w:ascii="Arial" w:hAnsi="Arial"/>
                <w:b w:val="0"/>
                <w:color w:val="595959"/>
                <w:sz w:val="15"/>
              </w:rPr>
              <w:t>34.46%</w:t>
            </w:r>
          </w:p>
        </w:tc>
        <w:tc>
          <w:tcPr>
            <w:tcW w:type="dxa" w:w="1080"/>
            <w:shd w:fill="F7F9FC"/>
            <w:vAlign w:val="top"/>
          </w:tcPr>
          <w:p>
            <w:pPr>
              <w:spacing w:after="20" w:line="240" w:lineRule="auto"/>
            </w:pPr>
            <w:r>
              <w:rPr>
                <w:rFonts w:ascii="Arial" w:hAnsi="Arial"/>
                <w:b w:val="0"/>
                <w:color w:val="595959"/>
                <w:sz w:val="15"/>
              </w:rPr>
              <w:t>23.16%</w:t>
            </w:r>
          </w:p>
        </w:tc>
        <w:tc>
          <w:tcPr>
            <w:tcW w:type="dxa" w:w="1080"/>
            <w:shd w:fill="F7F9FC"/>
            <w:vAlign w:val="top"/>
          </w:tcPr>
          <w:p>
            <w:pPr>
              <w:spacing w:after="20" w:line="240" w:lineRule="auto"/>
            </w:pPr>
            <w:r>
              <w:rPr>
                <w:rFonts w:ascii="Arial" w:hAnsi="Arial"/>
                <w:b w:val="0"/>
                <w:color w:val="595959"/>
                <w:sz w:val="15"/>
              </w:rPr>
              <w:t>31.07%</w:t>
            </w:r>
          </w:p>
        </w:tc>
        <w:tc>
          <w:tcPr>
            <w:tcW w:type="dxa" w:w="936"/>
            <w:shd w:fill="F7F9FC"/>
            <w:vAlign w:val="top"/>
          </w:tcPr>
          <w:p>
            <w:pPr>
              <w:spacing w:after="20" w:line="240" w:lineRule="auto"/>
            </w:pPr>
            <w:r>
              <w:rPr>
                <w:rFonts w:ascii="Arial" w:hAnsi="Arial"/>
                <w:b w:val="0"/>
                <w:color w:val="C00000"/>
                <w:sz w:val="15"/>
              </w:rPr>
              <w:t>-3.39%</w:t>
            </w:r>
          </w:p>
        </w:tc>
        <w:tc>
          <w:tcPr>
            <w:tcW w:type="dxa" w:w="936"/>
            <w:shd w:fill="F7F9FC"/>
            <w:vAlign w:val="top"/>
          </w:tcPr>
          <w:p>
            <w:pPr>
              <w:spacing w:after="20" w:line="240" w:lineRule="auto"/>
            </w:pPr>
            <w:r>
              <w:rPr>
                <w:rFonts w:ascii="Arial" w:hAnsi="Arial"/>
                <w:b w:val="0"/>
                <w:color w:val="595959"/>
                <w:sz w:val="15"/>
              </w:rPr>
              <w:t>11</w:t>
            </w:r>
          </w:p>
        </w:tc>
        <w:tc>
          <w:tcPr>
            <w:tcW w:type="dxa" w:w="792"/>
            <w:shd w:fill="F7F9FC"/>
            <w:vAlign w:val="top"/>
          </w:tcPr>
          <w:p>
            <w:pPr>
              <w:spacing w:after="20" w:line="240" w:lineRule="auto"/>
            </w:pPr>
            <w:r>
              <w:rPr>
                <w:rFonts w:ascii="Arial" w:hAnsi="Arial"/>
                <w:b w:val="0"/>
                <w:color w:val="595959"/>
                <w:sz w:val="15"/>
              </w:rPr>
              <w:t>0.69</w:t>
            </w:r>
          </w:p>
        </w:tc>
        <w:tc>
          <w:tcPr>
            <w:tcW w:type="dxa" w:w="6048"/>
            <w:shd w:fill="F7F9FC"/>
            <w:vAlign w:val="top"/>
          </w:tcPr>
          <w:p>
            <w:pPr>
              <w:spacing w:after="20" w:line="240" w:lineRule="auto"/>
            </w:pPr>
            <w:r>
              <w:rPr>
                <w:rFonts w:ascii="Arial" w:hAnsi="Arial"/>
                <w:b w:val="0"/>
                <w:color w:val="595959"/>
                <w:sz w:val="15"/>
              </w:rPr>
              <w:t>Reopening / Soft Landing received 11 mapped analogue(s), weighted support 23.348. Historical probability 23.2%; deterministic probability 34.5%; blended probability 31.1%.</w:t>
            </w:r>
          </w:p>
        </w:tc>
      </w:tr>
      <w:tr>
        <w:tc>
          <w:tcPr>
            <w:tcW w:type="dxa" w:w="1944"/>
            <w:vAlign w:val="top"/>
          </w:tcPr>
          <w:p>
            <w:pPr>
              <w:spacing w:after="20" w:line="240" w:lineRule="auto"/>
            </w:pPr>
            <w:r>
              <w:rPr>
                <w:rFonts w:ascii="Arial" w:hAnsi="Arial"/>
                <w:b w:val="0"/>
                <w:color w:val="595959"/>
                <w:sz w:val="15"/>
              </w:rPr>
              <w:t>Oil Inflation Tail</w:t>
            </w:r>
          </w:p>
        </w:tc>
        <w:tc>
          <w:tcPr>
            <w:tcW w:type="dxa" w:w="1080"/>
            <w:vAlign w:val="top"/>
          </w:tcPr>
          <w:p>
            <w:pPr>
              <w:spacing w:after="20" w:line="240" w:lineRule="auto"/>
            </w:pPr>
            <w:r>
              <w:rPr>
                <w:rFonts w:ascii="Arial" w:hAnsi="Arial"/>
                <w:b w:val="0"/>
                <w:color w:val="595959"/>
                <w:sz w:val="15"/>
              </w:rPr>
              <w:t>14.01%</w:t>
            </w:r>
          </w:p>
        </w:tc>
        <w:tc>
          <w:tcPr>
            <w:tcW w:type="dxa" w:w="1080"/>
            <w:vAlign w:val="top"/>
          </w:tcPr>
          <w:p>
            <w:pPr>
              <w:spacing w:after="20" w:line="240" w:lineRule="auto"/>
            </w:pPr>
            <w:r>
              <w:rPr>
                <w:rFonts w:ascii="Arial" w:hAnsi="Arial"/>
                <w:b w:val="0"/>
                <w:color w:val="595959"/>
                <w:sz w:val="15"/>
              </w:rPr>
              <w:t>17.39%</w:t>
            </w:r>
          </w:p>
        </w:tc>
        <w:tc>
          <w:tcPr>
            <w:tcW w:type="dxa" w:w="1080"/>
            <w:vAlign w:val="top"/>
          </w:tcPr>
          <w:p>
            <w:pPr>
              <w:spacing w:after="20" w:line="240" w:lineRule="auto"/>
            </w:pPr>
            <w:r>
              <w:rPr>
                <w:rFonts w:ascii="Arial" w:hAnsi="Arial"/>
                <w:b w:val="0"/>
                <w:color w:val="595959"/>
                <w:sz w:val="15"/>
              </w:rPr>
              <w:t>15.03%</w:t>
            </w:r>
          </w:p>
        </w:tc>
        <w:tc>
          <w:tcPr>
            <w:tcW w:type="dxa" w:w="936"/>
            <w:vAlign w:val="top"/>
          </w:tcPr>
          <w:p>
            <w:pPr>
              <w:spacing w:after="20" w:line="240" w:lineRule="auto"/>
            </w:pPr>
            <w:r>
              <w:rPr>
                <w:rFonts w:ascii="Arial" w:hAnsi="Arial"/>
                <w:b w:val="0"/>
                <w:color w:val="595959"/>
                <w:sz w:val="15"/>
              </w:rPr>
              <w:t>1.01%</w:t>
            </w:r>
          </w:p>
        </w:tc>
        <w:tc>
          <w:tcPr>
            <w:tcW w:type="dxa" w:w="936"/>
            <w:vAlign w:val="top"/>
          </w:tcPr>
          <w:p>
            <w:pPr>
              <w:spacing w:after="20" w:line="240" w:lineRule="auto"/>
            </w:pPr>
            <w:r>
              <w:rPr>
                <w:rFonts w:ascii="Arial" w:hAnsi="Arial"/>
                <w:b w:val="0"/>
                <w:color w:val="595959"/>
                <w:sz w:val="15"/>
              </w:rPr>
              <w:t>8</w:t>
            </w:r>
          </w:p>
        </w:tc>
        <w:tc>
          <w:tcPr>
            <w:tcW w:type="dxa" w:w="792"/>
            <w:vAlign w:val="top"/>
          </w:tcPr>
          <w:p>
            <w:pPr>
              <w:spacing w:after="20" w:line="240" w:lineRule="auto"/>
            </w:pPr>
            <w:r>
              <w:rPr>
                <w:rFonts w:ascii="Arial" w:hAnsi="Arial"/>
                <w:b w:val="0"/>
                <w:color w:val="595959"/>
                <w:sz w:val="15"/>
              </w:rPr>
              <w:t>0.45</w:t>
            </w:r>
          </w:p>
        </w:tc>
        <w:tc>
          <w:tcPr>
            <w:tcW w:type="dxa" w:w="6048"/>
            <w:vAlign w:val="top"/>
          </w:tcPr>
          <w:p>
            <w:pPr>
              <w:spacing w:after="20" w:line="240" w:lineRule="auto"/>
            </w:pPr>
            <w:r>
              <w:rPr>
                <w:rFonts w:ascii="Arial" w:hAnsi="Arial"/>
                <w:b w:val="0"/>
                <w:color w:val="595959"/>
                <w:sz w:val="15"/>
              </w:rPr>
              <w:t>Oil Inflation Tail received 8 mapped analogue(s), weighted support 17.528. Historical probability 17.4%; deterministic probability 14.0%; blended probability 15.0%.</w:t>
            </w:r>
          </w:p>
        </w:tc>
      </w:tr>
      <w:tr>
        <w:tc>
          <w:tcPr>
            <w:tcW w:type="dxa" w:w="1944"/>
            <w:shd w:fill="F7F9FC"/>
            <w:vAlign w:val="top"/>
          </w:tcPr>
          <w:p>
            <w:pPr>
              <w:spacing w:after="20" w:line="240" w:lineRule="auto"/>
            </w:pPr>
            <w:r>
              <w:rPr>
                <w:rFonts w:ascii="Arial" w:hAnsi="Arial"/>
                <w:b w:val="0"/>
                <w:color w:val="595959"/>
                <w:sz w:val="15"/>
              </w:rPr>
              <w:t>Late Cycle Risk-Off</w:t>
            </w:r>
          </w:p>
        </w:tc>
        <w:tc>
          <w:tcPr>
            <w:tcW w:type="dxa" w:w="1080"/>
            <w:shd w:fill="F7F9FC"/>
            <w:vAlign w:val="top"/>
          </w:tcPr>
          <w:p>
            <w:pPr>
              <w:spacing w:after="20" w:line="240" w:lineRule="auto"/>
            </w:pPr>
            <w:r>
              <w:rPr>
                <w:rFonts w:ascii="Arial" w:hAnsi="Arial"/>
                <w:b w:val="0"/>
                <w:color w:val="595959"/>
                <w:sz w:val="15"/>
              </w:rPr>
              <w:t>5.00%</w:t>
            </w:r>
          </w:p>
        </w:tc>
        <w:tc>
          <w:tcPr>
            <w:tcW w:type="dxa" w:w="1080"/>
            <w:shd w:fill="F7F9FC"/>
            <w:vAlign w:val="top"/>
          </w:tcPr>
          <w:p>
            <w:pPr>
              <w:spacing w:after="20" w:line="240" w:lineRule="auto"/>
            </w:pPr>
            <w:r>
              <w:rPr>
                <w:rFonts w:ascii="Arial" w:hAnsi="Arial"/>
                <w:b w:val="0"/>
                <w:color w:val="595959"/>
                <w:sz w:val="15"/>
              </w:rPr>
              <w:t>32.25%</w:t>
            </w:r>
          </w:p>
        </w:tc>
        <w:tc>
          <w:tcPr>
            <w:tcW w:type="dxa" w:w="1080"/>
            <w:shd w:fill="F7F9FC"/>
            <w:vAlign w:val="top"/>
          </w:tcPr>
          <w:p>
            <w:pPr>
              <w:spacing w:after="20" w:line="240" w:lineRule="auto"/>
            </w:pPr>
            <w:r>
              <w:rPr>
                <w:rFonts w:ascii="Arial" w:hAnsi="Arial"/>
                <w:b w:val="0"/>
                <w:color w:val="595959"/>
                <w:sz w:val="15"/>
              </w:rPr>
              <w:t>13.17%</w:t>
            </w:r>
          </w:p>
        </w:tc>
        <w:tc>
          <w:tcPr>
            <w:tcW w:type="dxa" w:w="936"/>
            <w:shd w:fill="F7F9FC"/>
            <w:vAlign w:val="top"/>
          </w:tcPr>
          <w:p>
            <w:pPr>
              <w:spacing w:after="20" w:line="240" w:lineRule="auto"/>
            </w:pPr>
            <w:r>
              <w:rPr>
                <w:rFonts w:ascii="Arial" w:hAnsi="Arial"/>
                <w:b w:val="0"/>
                <w:color w:val="595959"/>
                <w:sz w:val="15"/>
              </w:rPr>
              <w:t>8.17%</w:t>
            </w:r>
          </w:p>
        </w:tc>
        <w:tc>
          <w:tcPr>
            <w:tcW w:type="dxa" w:w="936"/>
            <w:shd w:fill="F7F9FC"/>
            <w:vAlign w:val="top"/>
          </w:tcPr>
          <w:p>
            <w:pPr>
              <w:spacing w:after="20" w:line="240" w:lineRule="auto"/>
            </w:pPr>
            <w:r>
              <w:rPr>
                <w:rFonts w:ascii="Arial" w:hAnsi="Arial"/>
                <w:b w:val="0"/>
                <w:color w:val="595959"/>
                <w:sz w:val="15"/>
              </w:rPr>
              <w:t>18</w:t>
            </w:r>
          </w:p>
        </w:tc>
        <w:tc>
          <w:tcPr>
            <w:tcW w:type="dxa" w:w="792"/>
            <w:shd w:fill="F7F9FC"/>
            <w:vAlign w:val="top"/>
          </w:tcPr>
          <w:p>
            <w:pPr>
              <w:spacing w:after="20" w:line="240" w:lineRule="auto"/>
            </w:pPr>
            <w:r>
              <w:rPr>
                <w:rFonts w:ascii="Arial" w:hAnsi="Arial"/>
                <w:b w:val="0"/>
                <w:color w:val="595959"/>
                <w:sz w:val="15"/>
              </w:rPr>
              <w:t>0.64</w:t>
            </w:r>
          </w:p>
        </w:tc>
        <w:tc>
          <w:tcPr>
            <w:tcW w:type="dxa" w:w="6048"/>
            <w:shd w:fill="F7F9FC"/>
            <w:vAlign w:val="top"/>
          </w:tcPr>
          <w:p>
            <w:pPr>
              <w:spacing w:after="20" w:line="240" w:lineRule="auto"/>
            </w:pPr>
            <w:r>
              <w:rPr>
                <w:rFonts w:ascii="Arial" w:hAnsi="Arial"/>
                <w:b w:val="0"/>
                <w:color w:val="595959"/>
                <w:sz w:val="15"/>
              </w:rPr>
              <w:t>Late Cycle Risk-Off received 18 mapped analogue(s), weighted support 32.503. Historical probability 32.2%; deterministic probability 5.0%; blended probability 13.2%.</w:t>
            </w:r>
          </w:p>
        </w:tc>
      </w:tr>
      <w:tr>
        <w:tc>
          <w:tcPr>
            <w:tcW w:type="dxa" w:w="1944"/>
            <w:vAlign w:val="top"/>
          </w:tcPr>
          <w:p>
            <w:pPr>
              <w:spacing w:after="20" w:line="240" w:lineRule="auto"/>
            </w:pPr>
            <w:r>
              <w:rPr>
                <w:rFonts w:ascii="Arial" w:hAnsi="Arial"/>
                <w:b w:val="0"/>
                <w:color w:val="595959"/>
                <w:sz w:val="15"/>
              </w:rPr>
              <w:t>AI Capex Rollover</w:t>
            </w:r>
          </w:p>
        </w:tc>
        <w:tc>
          <w:tcPr>
            <w:tcW w:type="dxa" w:w="1080"/>
            <w:vAlign w:val="top"/>
          </w:tcPr>
          <w:p>
            <w:pPr>
              <w:spacing w:after="20" w:line="240" w:lineRule="auto"/>
            </w:pPr>
            <w:r>
              <w:rPr>
                <w:rFonts w:ascii="Arial" w:hAnsi="Arial"/>
                <w:b w:val="0"/>
                <w:color w:val="595959"/>
                <w:sz w:val="15"/>
              </w:rPr>
              <w:t>5.00%</w:t>
            </w:r>
          </w:p>
        </w:tc>
        <w:tc>
          <w:tcPr>
            <w:tcW w:type="dxa" w:w="1080"/>
            <w:vAlign w:val="top"/>
          </w:tcPr>
          <w:p>
            <w:pPr>
              <w:spacing w:after="20" w:line="240" w:lineRule="auto"/>
            </w:pPr>
            <w:r>
              <w:rPr>
                <w:rFonts w:ascii="Arial" w:hAnsi="Arial"/>
                <w:b w:val="0"/>
                <w:color w:val="595959"/>
                <w:sz w:val="15"/>
              </w:rPr>
              <w:t>3.29%</w:t>
            </w:r>
          </w:p>
        </w:tc>
        <w:tc>
          <w:tcPr>
            <w:tcW w:type="dxa" w:w="1080"/>
            <w:vAlign w:val="top"/>
          </w:tcPr>
          <w:p>
            <w:pPr>
              <w:spacing w:after="20" w:line="240" w:lineRule="auto"/>
            </w:pPr>
            <w:r>
              <w:rPr>
                <w:rFonts w:ascii="Arial" w:hAnsi="Arial"/>
                <w:b w:val="0"/>
                <w:color w:val="595959"/>
                <w:sz w:val="15"/>
              </w:rPr>
              <w:t>4.49%</w:t>
            </w:r>
          </w:p>
        </w:tc>
        <w:tc>
          <w:tcPr>
            <w:tcW w:type="dxa" w:w="936"/>
            <w:vAlign w:val="top"/>
          </w:tcPr>
          <w:p>
            <w:pPr>
              <w:spacing w:after="20" w:line="240" w:lineRule="auto"/>
            </w:pPr>
            <w:r>
              <w:rPr>
                <w:rFonts w:ascii="Arial" w:hAnsi="Arial"/>
                <w:b w:val="0"/>
                <w:color w:val="C00000"/>
                <w:sz w:val="15"/>
              </w:rPr>
              <w:t>-0.51%</w:t>
            </w:r>
          </w:p>
        </w:tc>
        <w:tc>
          <w:tcPr>
            <w:tcW w:type="dxa" w:w="936"/>
            <w:vAlign w:val="top"/>
          </w:tcPr>
          <w:p>
            <w:pPr>
              <w:spacing w:after="20" w:line="240" w:lineRule="auto"/>
            </w:pPr>
            <w:r>
              <w:rPr>
                <w:rFonts w:ascii="Arial" w:hAnsi="Arial"/>
                <w:b w:val="0"/>
                <w:color w:val="595959"/>
                <w:sz w:val="15"/>
              </w:rPr>
              <w:t>2</w:t>
            </w:r>
          </w:p>
        </w:tc>
        <w:tc>
          <w:tcPr>
            <w:tcW w:type="dxa" w:w="792"/>
            <w:vAlign w:val="top"/>
          </w:tcPr>
          <w:p>
            <w:pPr>
              <w:spacing w:after="20" w:line="240" w:lineRule="auto"/>
            </w:pPr>
            <w:r>
              <w:rPr>
                <w:rFonts w:ascii="Arial" w:hAnsi="Arial"/>
                <w:b w:val="0"/>
                <w:color w:val="595959"/>
                <w:sz w:val="15"/>
              </w:rPr>
              <w:t>0.45</w:t>
            </w:r>
          </w:p>
        </w:tc>
        <w:tc>
          <w:tcPr>
            <w:tcW w:type="dxa" w:w="6048"/>
            <w:vAlign w:val="top"/>
          </w:tcPr>
          <w:p>
            <w:pPr>
              <w:spacing w:after="20" w:line="240" w:lineRule="auto"/>
            </w:pPr>
            <w:r>
              <w:rPr>
                <w:rFonts w:ascii="Arial" w:hAnsi="Arial"/>
                <w:b w:val="0"/>
                <w:color w:val="595959"/>
                <w:sz w:val="15"/>
              </w:rPr>
              <w:t>AI Capex Rollover received 2 mapped analogue(s), weighted support 3.320. Historical probability 3.3%; deterministic probability 5.0%; blended probability 4.5%. Mapping confidence is structurally lower without explicit historical AI capex/theme labels.</w:t>
            </w:r>
          </w:p>
        </w:tc>
      </w:tr>
    </w:tbl>
    <w:p>
      <w:pPr>
        <w:spacing w:after="120"/>
      </w:pPr>
    </w:p>
    <w:p>
      <w:r>
        <w:drawing>
          <wp:inline xmlns:a="http://schemas.openxmlformats.org/drawingml/2006/main" xmlns:pic="http://schemas.openxmlformats.org/drawingml/2006/picture">
            <wp:extent cx="5852160" cy="2426506"/>
            <wp:docPr id="6" name="Picture 6"/>
            <wp:cNvGraphicFramePr>
              <a:graphicFrameLocks noChangeAspect="1"/>
            </wp:cNvGraphicFramePr>
            <a:graphic>
              <a:graphicData uri="http://schemas.openxmlformats.org/drawingml/2006/picture">
                <pic:pic>
                  <pic:nvPicPr>
                    <pic:cNvPr id="0" name="scenario_calibration.png"/>
                    <pic:cNvPicPr/>
                  </pic:nvPicPr>
                  <pic:blipFill>
                    <a:blip r:embed="rId13"/>
                    <a:stretch>
                      <a:fillRect/>
                    </a:stretch>
                  </pic:blipFill>
                  <pic:spPr>
                    <a:xfrm>
                      <a:off x="0" y="0"/>
                      <a:ext cx="5852160" cy="2426506"/>
                    </a:xfrm>
                    <a:prstGeom prst="rect"/>
                  </pic:spPr>
                </pic:pic>
              </a:graphicData>
            </a:graphic>
          </wp:inline>
        </w:drawing>
      </w:r>
    </w:p>
    <w:p>
      <w:pPr>
        <w:spacing w:after="80"/>
      </w:pPr>
    </w:p>
    <w:p>
      <w:pPr>
        <w:spacing w:before="180" w:after="80"/>
      </w:pPr>
      <w:r>
        <w:rPr>
          <w:rFonts w:ascii="Arial" w:hAnsi="Arial"/>
          <w:b/>
          <w:color w:val="2E75B6"/>
          <w:sz w:val="21"/>
        </w:rPr>
        <w:t>Historical Calibration Methodology</w:t>
      </w:r>
    </w:p>
    <w:p>
      <w:pPr>
        <w:spacing w:after="40"/>
      </w:pPr>
      <w:r>
        <w:rPr>
          <w:rFonts w:ascii="Arial" w:hAnsi="Arial"/>
          <w:b w:val="0"/>
          <w:color w:val="595959"/>
          <w:sz w:val="17"/>
        </w:rPr>
        <w:t>Historical analogue calibration is a second-stage probability adjustment; deterministic input-signal math is retained unchanged.</w:t>
      </w:r>
    </w:p>
    <w:p>
      <w:pPr>
        <w:spacing w:after="40"/>
      </w:pPr>
      <w:r>
        <w:rPr>
          <w:rFonts w:ascii="Arial" w:hAnsi="Arial"/>
          <w:b w:val="0"/>
          <w:color w:val="595959"/>
          <w:sz w:val="17"/>
        </w:rPr>
        <w:t>Analogue-implied scenario probabilities are computed from weighted analogue counts after deterministic rule-based scenario mapping.</w:t>
      </w:r>
    </w:p>
    <w:p>
      <w:pPr>
        <w:spacing w:after="40"/>
      </w:pPr>
      <w:r>
        <w:rPr>
          <w:rFonts w:ascii="Arial" w:hAnsi="Arial"/>
          <w:b w:val="0"/>
          <w:color w:val="595959"/>
          <w:sz w:val="17"/>
        </w:rPr>
        <w:t>blended_probability_s = deterministic_weight × deterministic_probability_s + historical_weight × historical_probability_s</w:t>
      </w:r>
    </w:p>
    <w:p>
      <w:pPr>
        <w:spacing w:after="40"/>
      </w:pPr>
      <w:r>
        <w:rPr>
          <w:rFonts w:ascii="Arial" w:hAnsi="Arial"/>
          <w:b w:val="0"/>
          <w:color w:val="595959"/>
          <w:sz w:val="17"/>
        </w:rPr>
        <w:t>Blended probabilities are renormalized and then used to recompute theme, sector, and factor rankings when calibration is enabled.</w:t>
      </w:r>
    </w:p>
    <w:p>
      <w:pPr>
        <w:spacing w:after="40"/>
      </w:pPr>
      <w:r>
        <w:rPr>
          <w:rFonts w:ascii="Arial" w:hAnsi="Arial"/>
          <w:b w:val="0"/>
          <w:color w:val="595959"/>
          <w:sz w:val="17"/>
        </w:rPr>
        <w:t>The current/as-of market state is assigned full analogue lookup weight. Prior lookback days are included to capture path context and are exponentially downweighted.</w:t>
      </w:r>
    </w:p>
    <w:p>
      <w:pPr>
        <w:spacing w:after="40"/>
      </w:pPr>
      <w:r>
        <w:rPr>
          <w:rFonts w:ascii="Arial" w:hAnsi="Arial"/>
          <w:b w:val="0"/>
          <w:color w:val="595959"/>
          <w:sz w:val="17"/>
        </w:rPr>
        <w:t>Historical scenario mapping is approximate until the historical feature store includes explicit scenario labels and theme/basket forward returns.</w:t>
      </w:r>
    </w:p>
    <w:p>
      <w:pPr>
        <w:spacing w:after="40"/>
      </w:pPr>
      <w:r>
        <w:rPr>
          <w:rFonts w:ascii="Arial" w:hAnsi="Arial"/>
          <w:b w:val="0"/>
          <w:color w:val="595959"/>
          <w:sz w:val="17"/>
        </w:rPr>
        <w:t>AI capex rollover and oil-tail mappings are lower confidence when explicit AI, semis, oil, or commodity forward features are unavailable.</w:t>
      </w:r>
    </w:p>
    <w:p>
      <w:pPr>
        <w:spacing w:after="40"/>
      </w:pPr>
      <w:r>
        <w:rPr>
          <w:rFonts w:ascii="Arial" w:hAnsi="Arial"/>
          <w:b w:val="0"/>
          <w:color w:val="595959"/>
          <w:sz w:val="17"/>
        </w:rPr>
        <w:t>Shock-window filtering removes horizon-specific forward returns whose forward windows overlap configured exogenous shock periods.</w:t>
      </w:r>
    </w:p>
    <w:p>
      <w:pPr>
        <w:spacing w:before="320" w:after="140"/>
      </w:pPr>
      <w:r>
        <w:rPr>
          <w:rFonts w:ascii="Arial" w:hAnsi="Arial"/>
          <w:b/>
          <w:color w:val="1F4E79"/>
          <w:sz w:val="28"/>
        </w:rPr>
        <w:t>Forecast Input Set</w:t>
      </w:r>
    </w:p>
    <w:p>
      <w:pPr>
        <w:spacing w:after="40"/>
      </w:pPr>
      <w:r>
        <w:rPr>
          <w:rFonts w:ascii="Arial" w:hAnsi="Arial"/>
          <w:b w:val="0"/>
          <w:color w:val="595959"/>
          <w:sz w:val="17"/>
        </w:rPr>
        <w:t>Thematic agent current-regime YAML saved to: data/agent_system/reports/macro_forecasts/current_regime_2026-06-05.yaml</w:t>
      </w:r>
    </w:p>
    <w:p>
      <w:pPr>
        <w:spacing w:after="40"/>
      </w:pPr>
      <w:r>
        <w:rPr>
          <w:rFonts w:ascii="Arial" w:hAnsi="Arial"/>
          <w:b w:val="0"/>
          <w:color w:val="595959"/>
          <w:sz w:val="17"/>
        </w:rPr>
        <w:t>Full input diagnostic matrix saved to: data/agent_system/diagnostics/input_matrix_2026-06-05.csv</w:t>
      </w:r>
    </w:p>
    <w:p>
      <w:pPr>
        <w:spacing w:after="40"/>
      </w:pPr>
      <w:r>
        <w:rPr>
          <w:rFonts w:ascii="Arial" w:hAnsi="Arial"/>
          <w:b w:val="0"/>
          <w:color w:val="595959"/>
          <w:sz w:val="17"/>
        </w:rPr>
        <w:t>Full input ingestion audit saved to: data/agent_system/diagnostics/input_ingestion_audit_2026-06-05.csv</w:t>
      </w:r>
    </w:p>
    <w:p>
      <w:pPr>
        <w:spacing w:before="180" w:after="80"/>
      </w:pPr>
      <w:r>
        <w:rPr>
          <w:rFonts w:ascii="Arial" w:hAnsi="Arial"/>
          <w:b/>
          <w:color w:val="2E75B6"/>
          <w:sz w:val="21"/>
        </w:rPr>
        <w:t>Input Audit Warnings</w:t>
      </w:r>
    </w:p>
    <w:p>
      <w:pPr>
        <w:spacing w:after="40"/>
      </w:pPr>
      <w:r>
        <w:rPr>
          <w:rFonts w:ascii="Arial" w:hAnsi="Arial"/>
          <w:b w:val="0"/>
          <w:color w:val="595959"/>
          <w:sz w:val="17"/>
        </w:rPr>
        <w:t>put_call_ratio source unresolved; do not interpret as Cboe equity put/call.</w:t>
      </w:r>
    </w:p>
    <w:p>
      <w:pPr>
        <w:spacing w:after="40"/>
      </w:pPr>
      <w:r>
        <w:rPr>
          <w:rFonts w:ascii="Arial" w:hAnsi="Arial"/>
          <w:b w:val="0"/>
          <w:color w:val="595959"/>
          <w:sz w:val="17"/>
        </w:rPr>
        <w:t>Spot put_call_ratio equals 5D MA; verify these are not duplicated.</w:t>
      </w:r>
    </w:p>
    <w:p>
      <w:pPr>
        <w:spacing w:after="40"/>
      </w:pPr>
      <w:r>
        <w:rPr>
          <w:rFonts w:ascii="Arial" w:hAnsi="Arial"/>
          <w:b w:val="0"/>
          <w:color w:val="595959"/>
          <w:sz w:val="17"/>
        </w:rPr>
        <w:t>Cboe equity put/call not ingested; current volatility/positioning interpretation may be incomplete.</w:t>
      </w:r>
    </w:p>
    <w:p>
      <w:pPr>
        <w:spacing w:after="40"/>
      </w:pPr>
      <w:r>
        <w:rPr>
          <w:rFonts w:ascii="Arial" w:hAnsi="Arial"/>
          <w:b w:val="0"/>
          <w:color w:val="595959"/>
          <w:sz w:val="17"/>
        </w:rPr>
        <w:t>put_call_ratio equals put_call_5d_ma; verify duplication.</w:t>
      </w:r>
    </w:p>
    <w:p>
      <w:pPr>
        <w:spacing w:before="180" w:after="80"/>
      </w:pPr>
      <w:r>
        <w:rPr>
          <w:rFonts w:ascii="Arial" w:hAnsi="Arial"/>
          <w:b/>
          <w:color w:val="2E75B6"/>
          <w:sz w:val="21"/>
        </w:rPr>
        <w:t>Input Provenance Summary</w:t>
      </w:r>
    </w:p>
    <w:tbl>
      <w:tblPr>
        <w:tblStyle w:val="TableGrid"/>
        <w:tblW w:type="auto" w:w="0"/>
        <w:jc w:val="center"/>
        <w:tblLayout w:type="fixed"/>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872"/>
            <w:shd w:fill="1F4E79"/>
            <w:vAlign w:val="top"/>
          </w:tcPr>
          <w:p>
            <w:pPr>
              <w:spacing w:after="20" w:line="240" w:lineRule="auto"/>
            </w:pPr>
            <w:r>
              <w:rPr>
                <w:rFonts w:ascii="Arial" w:hAnsi="Arial"/>
                <w:b/>
                <w:color w:val="FFFFFF"/>
                <w:sz w:val="15"/>
              </w:rPr>
              <w:t>Input</w:t>
            </w:r>
          </w:p>
        </w:tc>
        <w:tc>
          <w:tcPr>
            <w:tcW w:type="dxa" w:w="936"/>
            <w:shd w:fill="1F4E79"/>
            <w:vAlign w:val="top"/>
          </w:tcPr>
          <w:p>
            <w:pPr>
              <w:spacing w:after="20" w:line="240" w:lineRule="auto"/>
            </w:pPr>
            <w:r>
              <w:rPr>
                <w:rFonts w:ascii="Arial" w:hAnsi="Arial"/>
                <w:b/>
                <w:color w:val="FFFFFF"/>
                <w:sz w:val="15"/>
              </w:rPr>
              <w:t>Value</w:t>
            </w:r>
          </w:p>
        </w:tc>
        <w:tc>
          <w:tcPr>
            <w:tcW w:type="dxa" w:w="2952"/>
            <w:shd w:fill="1F4E79"/>
            <w:vAlign w:val="top"/>
          </w:tcPr>
          <w:p>
            <w:pPr>
              <w:spacing w:after="20" w:line="240" w:lineRule="auto"/>
            </w:pPr>
            <w:r>
              <w:rPr>
                <w:rFonts w:ascii="Arial" w:hAnsi="Arial"/>
                <w:b/>
                <w:color w:val="FFFFFF"/>
                <w:sz w:val="15"/>
              </w:rPr>
              <w:t>Source</w:t>
            </w:r>
          </w:p>
        </w:tc>
        <w:tc>
          <w:tcPr>
            <w:tcW w:type="dxa" w:w="1008"/>
            <w:shd w:fill="1F4E79"/>
            <w:vAlign w:val="top"/>
          </w:tcPr>
          <w:p>
            <w:pPr>
              <w:spacing w:after="20" w:line="240" w:lineRule="auto"/>
            </w:pPr>
            <w:r>
              <w:rPr>
                <w:rFonts w:ascii="Arial" w:hAnsi="Arial"/>
                <w:b/>
                <w:color w:val="FFFFFF"/>
                <w:sz w:val="15"/>
              </w:rPr>
              <w:t>Observed Date</w:t>
            </w:r>
          </w:p>
        </w:tc>
        <w:tc>
          <w:tcPr>
            <w:tcW w:type="dxa" w:w="1728"/>
            <w:shd w:fill="1F4E79"/>
            <w:vAlign w:val="top"/>
          </w:tcPr>
          <w:p>
            <w:pPr>
              <w:spacing w:after="20" w:line="240" w:lineRule="auto"/>
            </w:pPr>
            <w:r>
              <w:rPr>
                <w:rFonts w:ascii="Arial" w:hAnsi="Arial"/>
                <w:b/>
                <w:color w:val="FFFFFF"/>
                <w:sz w:val="15"/>
              </w:rPr>
              <w:t>Lookback</w:t>
            </w:r>
          </w:p>
        </w:tc>
        <w:tc>
          <w:tcPr>
            <w:tcW w:type="dxa" w:w="1080"/>
            <w:shd w:fill="1F4E79"/>
            <w:vAlign w:val="top"/>
          </w:tcPr>
          <w:p>
            <w:pPr>
              <w:spacing w:after="20" w:line="240" w:lineRule="auto"/>
            </w:pPr>
            <w:r>
              <w:rPr>
                <w:rFonts w:ascii="Arial" w:hAnsi="Arial"/>
                <w:b/>
                <w:color w:val="FFFFFF"/>
                <w:sz w:val="15"/>
              </w:rPr>
              <w:t>Freshness</w:t>
            </w:r>
          </w:p>
        </w:tc>
        <w:tc>
          <w:tcPr>
            <w:tcW w:type="dxa" w:w="4176"/>
            <w:shd w:fill="1F4E79"/>
            <w:vAlign w:val="top"/>
          </w:tcPr>
          <w:p>
            <w:pPr>
              <w:spacing w:after="20" w:line="240" w:lineRule="auto"/>
            </w:pPr>
            <w:r>
              <w:rPr>
                <w:rFonts w:ascii="Arial" w:hAnsi="Arial"/>
                <w:b/>
                <w:color w:val="FFFFFF"/>
                <w:sz w:val="15"/>
              </w:rPr>
              <w:t>Audit Status</w:t>
            </w:r>
          </w:p>
        </w:tc>
      </w:tr>
      <w:tr>
        <w:tc>
          <w:tcPr>
            <w:tcW w:type="dxa" w:w="1872"/>
            <w:vAlign w:val="top"/>
          </w:tcPr>
          <w:p>
            <w:pPr>
              <w:spacing w:after="20" w:line="240" w:lineRule="auto"/>
            </w:pPr>
            <w:r>
              <w:rPr>
                <w:rFonts w:ascii="Arial" w:hAnsi="Arial"/>
                <w:b w:val="0"/>
                <w:color w:val="595959"/>
                <w:sz w:val="15"/>
              </w:rPr>
              <w:t>VIX level</w:t>
            </w:r>
          </w:p>
        </w:tc>
        <w:tc>
          <w:tcPr>
            <w:tcW w:type="dxa" w:w="936"/>
            <w:vAlign w:val="top"/>
          </w:tcPr>
          <w:p>
            <w:pPr>
              <w:spacing w:after="20" w:line="240" w:lineRule="auto"/>
            </w:pPr>
            <w:r>
              <w:rPr>
                <w:rFonts w:ascii="Arial" w:hAnsi="Arial"/>
                <w:b w:val="0"/>
                <w:color w:val="595959"/>
                <w:sz w:val="15"/>
              </w:rPr>
              <w:t>18.79</w:t>
            </w:r>
          </w:p>
        </w:tc>
        <w:tc>
          <w:tcPr>
            <w:tcW w:type="dxa" w:w="2952"/>
            <w:vAlign w:val="top"/>
          </w:tcPr>
          <w:p>
            <w:pPr>
              <w:spacing w:after="20" w:line="240" w:lineRule="auto"/>
            </w:pPr>
            <w:r>
              <w:rPr>
                <w:rFonts w:ascii="Arial" w:hAnsi="Arial"/>
                <w:b w:val="0"/>
                <w:color w:val="595959"/>
                <w:sz w:val="15"/>
              </w:rPr>
              <w:t>RegimeInputs volatility data fetch.RegimeInputs.vix_level</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VIX term slope</w:t>
            </w:r>
          </w:p>
        </w:tc>
        <w:tc>
          <w:tcPr>
            <w:tcW w:type="dxa" w:w="936"/>
            <w:shd w:fill="F7F9FC"/>
            <w:vAlign w:val="top"/>
          </w:tcPr>
          <w:p>
            <w:pPr>
              <w:spacing w:after="20" w:line="240" w:lineRule="auto"/>
            </w:pPr>
            <w:r>
              <w:rPr>
                <w:rFonts w:ascii="Arial" w:hAnsi="Arial"/>
                <w:b w:val="0"/>
                <w:color w:val="595959"/>
                <w:sz w:val="15"/>
              </w:rPr>
              <w:t>2.34</w:t>
            </w:r>
          </w:p>
        </w:tc>
        <w:tc>
          <w:tcPr>
            <w:tcW w:type="dxa" w:w="2952"/>
            <w:shd w:fill="F7F9FC"/>
            <w:vAlign w:val="top"/>
          </w:tcPr>
          <w:p>
            <w:pPr>
              <w:spacing w:after="20" w:line="240" w:lineRule="auto"/>
            </w:pPr>
            <w:r>
              <w:rPr>
                <w:rFonts w:ascii="Arial" w:hAnsi="Arial"/>
                <w:b w:val="0"/>
                <w:color w:val="595959"/>
                <w:sz w:val="15"/>
              </w:rPr>
              <w:t>RegimeInputs volatility data fetch.RegimeInputs.vix_term_slope</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current VIX3M - VIX</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Put/call ratio</w:t>
            </w:r>
          </w:p>
        </w:tc>
        <w:tc>
          <w:tcPr>
            <w:tcW w:type="dxa" w:w="936"/>
            <w:vAlign w:val="top"/>
          </w:tcPr>
          <w:p>
            <w:pPr>
              <w:spacing w:after="20" w:line="240" w:lineRule="auto"/>
            </w:pPr>
            <w:r>
              <w:rPr>
                <w:rFonts w:ascii="Arial" w:hAnsi="Arial"/>
                <w:b w:val="0"/>
                <w:color w:val="595959"/>
                <w:sz w:val="15"/>
              </w:rPr>
              <w:t>0.84</w:t>
            </w:r>
          </w:p>
        </w:tc>
        <w:tc>
          <w:tcPr>
            <w:tcW w:type="dxa" w:w="2952"/>
            <w:vAlign w:val="top"/>
          </w:tcPr>
          <w:p>
            <w:pPr>
              <w:spacing w:after="20" w:line="240" w:lineRule="auto"/>
            </w:pPr>
            <w:r>
              <w:rPr>
                <w:rFonts w:ascii="Arial" w:hAnsi="Arial"/>
                <w:b w:val="0"/>
                <w:color w:val="595959"/>
                <w:sz w:val="15"/>
              </w:rPr>
              <w:t>Internal generic put/call input.RegimeInputs.put_call_ratio</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source_ambiguous;duplicated_value</w:t>
            </w:r>
          </w:p>
        </w:tc>
      </w:tr>
      <w:tr>
        <w:tc>
          <w:tcPr>
            <w:tcW w:type="dxa" w:w="1872"/>
            <w:shd w:fill="F7F9FC"/>
            <w:vAlign w:val="top"/>
          </w:tcPr>
          <w:p>
            <w:pPr>
              <w:spacing w:after="20" w:line="240" w:lineRule="auto"/>
            </w:pPr>
            <w:r>
              <w:rPr>
                <w:rFonts w:ascii="Arial" w:hAnsi="Arial"/>
                <w:b w:val="0"/>
                <w:color w:val="595959"/>
                <w:sz w:val="15"/>
              </w:rPr>
              <w:t>Put/call 5D average</w:t>
            </w:r>
          </w:p>
        </w:tc>
        <w:tc>
          <w:tcPr>
            <w:tcW w:type="dxa" w:w="936"/>
            <w:shd w:fill="F7F9FC"/>
            <w:vAlign w:val="top"/>
          </w:tcPr>
          <w:p>
            <w:pPr>
              <w:spacing w:after="20" w:line="240" w:lineRule="auto"/>
            </w:pPr>
            <w:r>
              <w:rPr>
                <w:rFonts w:ascii="Arial" w:hAnsi="Arial"/>
                <w:b w:val="0"/>
                <w:color w:val="595959"/>
                <w:sz w:val="15"/>
              </w:rPr>
              <w:t>0.84</w:t>
            </w:r>
          </w:p>
        </w:tc>
        <w:tc>
          <w:tcPr>
            <w:tcW w:type="dxa" w:w="2952"/>
            <w:shd w:fill="F7F9FC"/>
            <w:vAlign w:val="top"/>
          </w:tcPr>
          <w:p>
            <w:pPr>
              <w:spacing w:after="20" w:line="240" w:lineRule="auto"/>
            </w:pPr>
            <w:r>
              <w:rPr>
                <w:rFonts w:ascii="Arial" w:hAnsi="Arial"/>
                <w:b w:val="0"/>
                <w:color w:val="595959"/>
                <w:sz w:val="15"/>
              </w:rPr>
              <w:t>Internal generic put/call input.RegimeInputs.put_call_ratio</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5 trading days</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source_ambiguous;duplicated_value</w:t>
            </w:r>
          </w:p>
        </w:tc>
      </w:tr>
      <w:tr>
        <w:tc>
          <w:tcPr>
            <w:tcW w:type="dxa" w:w="1872"/>
            <w:vAlign w:val="top"/>
          </w:tcPr>
          <w:p>
            <w:pPr>
              <w:spacing w:after="20" w:line="240" w:lineRule="auto"/>
            </w:pPr>
            <w:r>
              <w:rPr>
                <w:rFonts w:ascii="Arial" w:hAnsi="Arial"/>
                <w:b w:val="0"/>
                <w:color w:val="595959"/>
                <w:sz w:val="15"/>
              </w:rPr>
              <w:t>HY spread level</w:t>
            </w:r>
          </w:p>
        </w:tc>
        <w:tc>
          <w:tcPr>
            <w:tcW w:type="dxa" w:w="936"/>
            <w:vAlign w:val="top"/>
          </w:tcPr>
          <w:p>
            <w:pPr>
              <w:spacing w:after="20" w:line="240" w:lineRule="auto"/>
            </w:pPr>
            <w:r>
              <w:rPr>
                <w:rFonts w:ascii="Arial" w:hAnsi="Arial"/>
                <w:b w:val="0"/>
                <w:color w:val="595959"/>
                <w:sz w:val="15"/>
              </w:rPr>
              <w:t>280.00</w:t>
            </w:r>
          </w:p>
        </w:tc>
        <w:tc>
          <w:tcPr>
            <w:tcW w:type="dxa" w:w="2952"/>
            <w:vAlign w:val="top"/>
          </w:tcPr>
          <w:p>
            <w:pPr>
              <w:spacing w:after="20" w:line="240" w:lineRule="auto"/>
            </w:pPr>
            <w:r>
              <w:rPr>
                <w:rFonts w:ascii="Arial" w:hAnsi="Arial"/>
                <w:b w:val="0"/>
                <w:color w:val="595959"/>
                <w:sz w:val="15"/>
              </w:rPr>
              <w:t>RegimeInputs credit spread data fetch.RegimeInputs.hy_spread_level</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IG spread level</w:t>
            </w:r>
          </w:p>
        </w:tc>
        <w:tc>
          <w:tcPr>
            <w:tcW w:type="dxa" w:w="936"/>
            <w:shd w:fill="F7F9FC"/>
            <w:vAlign w:val="top"/>
          </w:tcPr>
          <w:p>
            <w:pPr>
              <w:spacing w:after="20" w:line="240" w:lineRule="auto"/>
            </w:pPr>
            <w:r>
              <w:rPr>
                <w:rFonts w:ascii="Arial" w:hAnsi="Arial"/>
                <w:b w:val="0"/>
                <w:color w:val="595959"/>
                <w:sz w:val="15"/>
              </w:rPr>
              <w:t>75.00</w:t>
            </w:r>
          </w:p>
        </w:tc>
        <w:tc>
          <w:tcPr>
            <w:tcW w:type="dxa" w:w="2952"/>
            <w:shd w:fill="F7F9FC"/>
            <w:vAlign w:val="top"/>
          </w:tcPr>
          <w:p>
            <w:pPr>
              <w:spacing w:after="20" w:line="240" w:lineRule="auto"/>
            </w:pPr>
            <w:r>
              <w:rPr>
                <w:rFonts w:ascii="Arial" w:hAnsi="Arial"/>
                <w:b w:val="0"/>
                <w:color w:val="595959"/>
                <w:sz w:val="15"/>
              </w:rPr>
              <w:t>RegimeInputs credit spread data fetch.RegimeInputs.ig_spread_level</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RSP minus SPY</w:t>
            </w:r>
          </w:p>
        </w:tc>
        <w:tc>
          <w:tcPr>
            <w:tcW w:type="dxa" w:w="936"/>
            <w:vAlign w:val="top"/>
          </w:tcPr>
          <w:p>
            <w:pPr>
              <w:spacing w:after="20" w:line="240" w:lineRule="auto"/>
            </w:pPr>
            <w:r>
              <w:rPr>
                <w:rFonts w:ascii="Arial" w:hAnsi="Arial"/>
                <w:b w:val="0"/>
                <w:color w:val="C00000"/>
                <w:sz w:val="15"/>
              </w:rPr>
              <w:t>-2.47</w:t>
            </w:r>
          </w:p>
        </w:tc>
        <w:tc>
          <w:tcPr>
            <w:tcW w:type="dxa" w:w="2952"/>
            <w:vAlign w:val="top"/>
          </w:tcPr>
          <w:p>
            <w:pPr>
              <w:spacing w:after="20" w:line="240" w:lineRule="auto"/>
            </w:pPr>
            <w:r>
              <w:rPr>
                <w:rFonts w:ascii="Arial" w:hAnsi="Arial"/>
                <w:b w:val="0"/>
                <w:color w:val="595959"/>
                <w:sz w:val="15"/>
              </w:rPr>
              <w:t>MarketState cross-asset/tape builder.MarketState.rsp_minus_spy</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3M / 63 trading days</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HYG minus TLT</w:t>
            </w:r>
          </w:p>
        </w:tc>
        <w:tc>
          <w:tcPr>
            <w:tcW w:type="dxa" w:w="936"/>
            <w:shd w:fill="F7F9FC"/>
            <w:vAlign w:val="top"/>
          </w:tcPr>
          <w:p>
            <w:pPr>
              <w:spacing w:after="20" w:line="240" w:lineRule="auto"/>
            </w:pPr>
            <w:r>
              <w:rPr>
                <w:rFonts w:ascii="Arial" w:hAnsi="Arial"/>
                <w:b w:val="0"/>
                <w:color w:val="595959"/>
                <w:sz w:val="15"/>
              </w:rPr>
              <w:t>2.35</w:t>
            </w:r>
          </w:p>
        </w:tc>
        <w:tc>
          <w:tcPr>
            <w:tcW w:type="dxa" w:w="2952"/>
            <w:shd w:fill="F7F9FC"/>
            <w:vAlign w:val="top"/>
          </w:tcPr>
          <w:p>
            <w:pPr>
              <w:spacing w:after="20" w:line="240" w:lineRule="auto"/>
            </w:pPr>
            <w:r>
              <w:rPr>
                <w:rFonts w:ascii="Arial" w:hAnsi="Arial"/>
                <w:b w:val="0"/>
                <w:color w:val="595959"/>
                <w:sz w:val="15"/>
              </w:rPr>
              <w:t>MarketState cross-asset/tape builder.MarketState.hyg_minus_tlt</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3M / 63 trading days</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 above 200D</w:t>
            </w:r>
          </w:p>
        </w:tc>
        <w:tc>
          <w:tcPr>
            <w:tcW w:type="dxa" w:w="936"/>
            <w:vAlign w:val="top"/>
          </w:tcPr>
          <w:p>
            <w:pPr>
              <w:spacing w:after="20" w:line="240" w:lineRule="auto"/>
            </w:pPr>
            <w:r>
              <w:rPr>
                <w:rFonts w:ascii="Arial" w:hAnsi="Arial"/>
                <w:b w:val="0"/>
                <w:color w:val="595959"/>
                <w:sz w:val="15"/>
              </w:rPr>
              <w:t>81.80</w:t>
            </w:r>
          </w:p>
        </w:tc>
        <w:tc>
          <w:tcPr>
            <w:tcW w:type="dxa" w:w="2952"/>
            <w:vAlign w:val="top"/>
          </w:tcPr>
          <w:p>
            <w:pPr>
              <w:spacing w:after="20" w:line="240" w:lineRule="auto"/>
            </w:pPr>
            <w:r>
              <w:rPr>
                <w:rFonts w:ascii="Arial" w:hAnsi="Arial"/>
                <w:b w:val="0"/>
                <w:color w:val="595959"/>
                <w:sz w:val="15"/>
              </w:rPr>
              <w:t>RegimeInputs.RegimeInputs.pct_above_200d</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200 trading days</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Sectors green</w:t>
            </w:r>
          </w:p>
        </w:tc>
        <w:tc>
          <w:tcPr>
            <w:tcW w:type="dxa" w:w="936"/>
            <w:shd w:fill="F7F9FC"/>
            <w:vAlign w:val="top"/>
          </w:tcPr>
          <w:p>
            <w:pPr>
              <w:spacing w:after="20" w:line="240" w:lineRule="auto"/>
            </w:pPr>
            <w:r>
              <w:rPr>
                <w:rFonts w:ascii="Arial" w:hAnsi="Arial"/>
                <w:b w:val="0"/>
                <w:color w:val="595959"/>
                <w:sz w:val="15"/>
              </w:rPr>
              <w:t>9.00</w:t>
            </w:r>
          </w:p>
        </w:tc>
        <w:tc>
          <w:tcPr>
            <w:tcW w:type="dxa" w:w="2952"/>
            <w:shd w:fill="F7F9FC"/>
            <w:vAlign w:val="top"/>
          </w:tcPr>
          <w:p>
            <w:pPr>
              <w:spacing w:after="20" w:line="240" w:lineRule="auto"/>
            </w:pPr>
            <w:r>
              <w:rPr>
                <w:rFonts w:ascii="Arial" w:hAnsi="Arial"/>
                <w:b w:val="0"/>
                <w:color w:val="595959"/>
                <w:sz w:val="15"/>
              </w:rPr>
              <w:t>MarketState cross-asset/tape builder.MarketState.sectors_green</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Net liquidity z-score</w:t>
            </w:r>
          </w:p>
        </w:tc>
        <w:tc>
          <w:tcPr>
            <w:tcW w:type="dxa" w:w="936"/>
            <w:vAlign w:val="top"/>
          </w:tcPr>
          <w:p>
            <w:pPr>
              <w:spacing w:after="20" w:line="240" w:lineRule="auto"/>
            </w:pPr>
            <w:r>
              <w:rPr>
                <w:rFonts w:ascii="Arial" w:hAnsi="Arial"/>
                <w:b w:val="0"/>
                <w:color w:val="595959"/>
                <w:sz w:val="15"/>
              </w:rPr>
              <w:t>0.33</w:t>
            </w:r>
          </w:p>
        </w:tc>
        <w:tc>
          <w:tcPr>
            <w:tcW w:type="dxa" w:w="2952"/>
            <w:vAlign w:val="top"/>
          </w:tcPr>
          <w:p>
            <w:pPr>
              <w:spacing w:after="20" w:line="240" w:lineRule="auto"/>
            </w:pPr>
            <w:r>
              <w:rPr>
                <w:rFonts w:ascii="Arial" w:hAnsi="Arial"/>
                <w:b w:val="0"/>
                <w:color w:val="595959"/>
                <w:sz w:val="15"/>
              </w:rPr>
              <w:t>RegimeInputs macro data fetch.RegimeInputs.net_liquidity_z</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52 weeks</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NFCI level</w:t>
            </w:r>
          </w:p>
        </w:tc>
        <w:tc>
          <w:tcPr>
            <w:tcW w:type="dxa" w:w="936"/>
            <w:shd w:fill="F7F9FC"/>
            <w:vAlign w:val="top"/>
          </w:tcPr>
          <w:p>
            <w:pPr>
              <w:spacing w:after="20" w:line="240" w:lineRule="auto"/>
            </w:pPr>
            <w:r>
              <w:rPr>
                <w:rFonts w:ascii="Arial" w:hAnsi="Arial"/>
                <w:b w:val="0"/>
                <w:color w:val="C00000"/>
                <w:sz w:val="15"/>
              </w:rPr>
              <w:t>-0.51</w:t>
            </w:r>
          </w:p>
        </w:tc>
        <w:tc>
          <w:tcPr>
            <w:tcW w:type="dxa" w:w="2952"/>
            <w:shd w:fill="F7F9FC"/>
            <w:vAlign w:val="top"/>
          </w:tcPr>
          <w:p>
            <w:pPr>
              <w:spacing w:after="20" w:line="240" w:lineRule="auto"/>
            </w:pPr>
            <w:r>
              <w:rPr>
                <w:rFonts w:ascii="Arial" w:hAnsi="Arial"/>
                <w:b w:val="0"/>
                <w:color w:val="595959"/>
                <w:sz w:val="15"/>
              </w:rPr>
              <w:t>RegimeInputs macro data fetch.RegimeInputs.nfci</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Fed hold/hike probability</w:t>
            </w:r>
          </w:p>
        </w:tc>
        <w:tc>
          <w:tcPr>
            <w:tcW w:type="dxa" w:w="936"/>
            <w:vAlign w:val="top"/>
          </w:tcPr>
          <w:p>
            <w:pPr>
              <w:spacing w:after="20" w:line="240" w:lineRule="auto"/>
            </w:pPr>
            <w:r>
              <w:rPr>
                <w:rFonts w:ascii="Arial" w:hAnsi="Arial"/>
                <w:b w:val="0"/>
                <w:color w:val="595959"/>
                <w:sz w:val="15"/>
              </w:rPr>
              <w:t>0.80</w:t>
            </w:r>
          </w:p>
        </w:tc>
        <w:tc>
          <w:tcPr>
            <w:tcW w:type="dxa" w:w="2952"/>
            <w:vAlign w:val="top"/>
          </w:tcPr>
          <w:p>
            <w:pPr>
              <w:spacing w:after="20" w:line="240" w:lineRule="auto"/>
            </w:pPr>
            <w:r>
              <w:rPr>
                <w:rFonts w:ascii="Arial" w:hAnsi="Arial"/>
                <w:b w:val="0"/>
                <w:color w:val="595959"/>
                <w:sz w:val="15"/>
              </w:rPr>
              <w:t>RegimeState.RegimeState.fed_path</w:t>
            </w:r>
          </w:p>
        </w:tc>
        <w:tc>
          <w:tcPr>
            <w:tcW w:type="dxa" w:w="1008"/>
            <w:vAlign w:val="top"/>
          </w:tcPr>
          <w:p>
            <w:pPr>
              <w:spacing w:after="20" w:line="240" w:lineRule="auto"/>
            </w:pPr>
            <w:r>
              <w:rPr>
                <w:rFonts w:ascii="Arial" w:hAnsi="Arial"/>
                <w:b w:val="0"/>
                <w:color w:val="595959"/>
                <w:sz w:val="15"/>
              </w:rPr>
              <w:t>06/12/26</w:t>
            </w:r>
          </w:p>
        </w:tc>
        <w:tc>
          <w:tcPr>
            <w:tcW w:type="dxa" w:w="1728"/>
            <w:vAlign w:val="top"/>
          </w:tcPr>
          <w:p>
            <w:pPr>
              <w:spacing w:after="20" w:line="240" w:lineRule="auto"/>
            </w:pPr>
            <w:r>
              <w:rPr>
                <w:rFonts w:ascii="Arial" w:hAnsi="Arial"/>
                <w:b w:val="0"/>
                <w:color w:val="595959"/>
                <w:sz w:val="15"/>
              </w:rPr>
              <w:t>?</w:t>
            </w:r>
          </w:p>
        </w:tc>
        <w:tc>
          <w:tcPr>
            <w:tcW w:type="dxa" w:w="1080"/>
            <w:vAlign w:val="top"/>
          </w:tcPr>
          <w:p>
            <w:pPr>
              <w:spacing w:after="20" w:line="240" w:lineRule="auto"/>
            </w:pPr>
            <w:r>
              <w:rPr>
                <w:rFonts w:ascii="Arial" w:hAnsi="Arial"/>
                <w:b w:val="0"/>
                <w:color w:val="595959"/>
                <w:sz w:val="15"/>
              </w:rPr>
              <w:t>unknown</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USO return</w:t>
            </w:r>
          </w:p>
        </w:tc>
        <w:tc>
          <w:tcPr>
            <w:tcW w:type="dxa" w:w="936"/>
            <w:shd w:fill="F7F9FC"/>
            <w:vAlign w:val="top"/>
          </w:tcPr>
          <w:p>
            <w:pPr>
              <w:spacing w:after="20" w:line="240" w:lineRule="auto"/>
            </w:pPr>
            <w:r>
              <w:rPr>
                <w:rFonts w:ascii="Arial" w:hAnsi="Arial"/>
                <w:b w:val="0"/>
                <w:color w:val="595959"/>
                <w:sz w:val="15"/>
              </w:rPr>
              <w:t>5.38</w:t>
            </w:r>
          </w:p>
        </w:tc>
        <w:tc>
          <w:tcPr>
            <w:tcW w:type="dxa" w:w="2952"/>
            <w:shd w:fill="F7F9FC"/>
            <w:vAlign w:val="top"/>
          </w:tcPr>
          <w:p>
            <w:pPr>
              <w:spacing w:after="20" w:line="240" w:lineRule="auto"/>
            </w:pPr>
            <w:r>
              <w:rPr>
                <w:rFonts w:ascii="Arial" w:hAnsi="Arial"/>
                <w:b w:val="0"/>
                <w:color w:val="595959"/>
                <w:sz w:val="15"/>
              </w:rPr>
              <w:t>MarketState cross-asset/tape builder.MarketState.market_tape_uso_return</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3M / 63 trading days</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QQQ minus SPY</w:t>
            </w:r>
          </w:p>
        </w:tc>
        <w:tc>
          <w:tcPr>
            <w:tcW w:type="dxa" w:w="936"/>
            <w:vAlign w:val="top"/>
          </w:tcPr>
          <w:p>
            <w:pPr>
              <w:spacing w:after="20" w:line="240" w:lineRule="auto"/>
            </w:pPr>
            <w:r>
              <w:rPr>
                <w:rFonts w:ascii="Arial" w:hAnsi="Arial"/>
                <w:b w:val="0"/>
                <w:color w:val="595959"/>
                <w:sz w:val="15"/>
              </w:rPr>
              <w:t>9.46</w:t>
            </w:r>
          </w:p>
        </w:tc>
        <w:tc>
          <w:tcPr>
            <w:tcW w:type="dxa" w:w="2952"/>
            <w:vAlign w:val="top"/>
          </w:tcPr>
          <w:p>
            <w:pPr>
              <w:spacing w:after="20" w:line="240" w:lineRule="auto"/>
            </w:pPr>
            <w:r>
              <w:rPr>
                <w:rFonts w:ascii="Arial" w:hAnsi="Arial"/>
                <w:b w:val="0"/>
                <w:color w:val="595959"/>
                <w:sz w:val="15"/>
              </w:rPr>
              <w:t>MarketState cross-asset/tape builder.MarketState.qqq_minus_spy</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3M / 63 trading days</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IWM minus SPY</w:t>
            </w:r>
          </w:p>
        </w:tc>
        <w:tc>
          <w:tcPr>
            <w:tcW w:type="dxa" w:w="936"/>
            <w:shd w:fill="F7F9FC"/>
            <w:vAlign w:val="top"/>
          </w:tcPr>
          <w:p>
            <w:pPr>
              <w:spacing w:after="20" w:line="240" w:lineRule="auto"/>
            </w:pPr>
            <w:r>
              <w:rPr>
                <w:rFonts w:ascii="Arial" w:hAnsi="Arial"/>
                <w:b w:val="0"/>
                <w:color w:val="595959"/>
                <w:sz w:val="15"/>
              </w:rPr>
              <w:t>7.18</w:t>
            </w:r>
          </w:p>
        </w:tc>
        <w:tc>
          <w:tcPr>
            <w:tcW w:type="dxa" w:w="2952"/>
            <w:shd w:fill="F7F9FC"/>
            <w:vAlign w:val="top"/>
          </w:tcPr>
          <w:p>
            <w:pPr>
              <w:spacing w:after="20" w:line="240" w:lineRule="auto"/>
            </w:pPr>
            <w:r>
              <w:rPr>
                <w:rFonts w:ascii="Arial" w:hAnsi="Arial"/>
                <w:b w:val="0"/>
                <w:color w:val="595959"/>
                <w:sz w:val="15"/>
              </w:rPr>
              <w:t>MarketState cross-asset/tape builder.MarketState.iwm_minus_spy</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3M / 63 trading days</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bl>
    <w:p>
      <w:pPr>
        <w:spacing w:after="120"/>
      </w:pPr>
    </w:p>
    <w:p>
      <w:pPr>
        <w:spacing w:before="180" w:after="80"/>
      </w:pPr>
      <w:r>
        <w:rPr>
          <w:rFonts w:ascii="Arial" w:hAnsi="Arial"/>
          <w:b/>
          <w:color w:val="2E75B6"/>
          <w:sz w:val="21"/>
        </w:rPr>
        <w:t>Layer Summary Signals</w:t>
      </w:r>
    </w:p>
    <w:tbl>
      <w:tblPr>
        <w:tblStyle w:val="TableGrid"/>
        <w:tblW w:type="auto" w:w="0"/>
        <w:jc w:val="center"/>
        <w:tblLayout w:type="fixed"/>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008"/>
            <w:shd w:fill="1F4E79"/>
            <w:vAlign w:val="top"/>
          </w:tcPr>
          <w:p>
            <w:pPr>
              <w:spacing w:after="20" w:line="240" w:lineRule="auto"/>
            </w:pPr>
            <w:r>
              <w:rPr>
                <w:rFonts w:ascii="Arial" w:hAnsi="Arial"/>
                <w:b/>
                <w:color w:val="FFFFFF"/>
                <w:sz w:val="15"/>
              </w:rPr>
              <w:t>Layer</w:t>
            </w:r>
          </w:p>
        </w:tc>
        <w:tc>
          <w:tcPr>
            <w:tcW w:type="dxa" w:w="792"/>
            <w:shd w:fill="1F4E79"/>
            <w:vAlign w:val="top"/>
          </w:tcPr>
          <w:p>
            <w:pPr>
              <w:spacing w:after="20" w:line="240" w:lineRule="auto"/>
            </w:pPr>
            <w:r>
              <w:rPr>
                <w:rFonts w:ascii="Arial" w:hAnsi="Arial"/>
                <w:b/>
                <w:color w:val="FFFFFF"/>
                <w:sz w:val="15"/>
              </w:rPr>
              <w:t>Score</w:t>
            </w:r>
          </w:p>
        </w:tc>
        <w:tc>
          <w:tcPr>
            <w:tcW w:type="dxa" w:w="1152"/>
            <w:shd w:fill="1F4E79"/>
            <w:vAlign w:val="top"/>
          </w:tcPr>
          <w:p>
            <w:pPr>
              <w:spacing w:after="20" w:line="240" w:lineRule="auto"/>
            </w:pPr>
            <w:r>
              <w:rPr>
                <w:rFonts w:ascii="Arial" w:hAnsi="Arial"/>
                <w:b/>
                <w:color w:val="FFFFFF"/>
                <w:sz w:val="15"/>
              </w:rPr>
              <w:t>Status</w:t>
            </w:r>
          </w:p>
        </w:tc>
        <w:tc>
          <w:tcPr>
            <w:tcW w:type="dxa" w:w="1224"/>
            <w:shd w:fill="1F4E79"/>
            <w:vAlign w:val="top"/>
          </w:tcPr>
          <w:p>
            <w:pPr>
              <w:spacing w:after="20" w:line="240" w:lineRule="auto"/>
            </w:pPr>
            <w:r>
              <w:rPr>
                <w:rFonts w:ascii="Arial" w:hAnsi="Arial"/>
                <w:b/>
                <w:color w:val="FFFFFF"/>
                <w:sz w:val="15"/>
              </w:rPr>
              <w:t>Confidence/Data Quality</w:t>
            </w:r>
          </w:p>
        </w:tc>
        <w:tc>
          <w:tcPr>
            <w:tcW w:type="dxa" w:w="792"/>
            <w:shd w:fill="1F4E79"/>
            <w:vAlign w:val="top"/>
          </w:tcPr>
          <w:p>
            <w:pPr>
              <w:spacing w:after="20" w:line="240" w:lineRule="auto"/>
            </w:pPr>
            <w:r>
              <w:rPr>
                <w:rFonts w:ascii="Arial" w:hAnsi="Arial"/>
                <w:b/>
                <w:color w:val="FFFFFF"/>
                <w:sz w:val="15"/>
              </w:rPr>
              <w:t>Used in Math?</w:t>
            </w:r>
          </w:p>
        </w:tc>
        <w:tc>
          <w:tcPr>
            <w:tcW w:type="dxa" w:w="6264"/>
            <w:shd w:fill="1F4E79"/>
            <w:vAlign w:val="top"/>
          </w:tcPr>
          <w:p>
            <w:pPr>
              <w:spacing w:after="20" w:line="240" w:lineRule="auto"/>
            </w:pPr>
            <w:r>
              <w:rPr>
                <w:rFonts w:ascii="Arial" w:hAnsi="Arial"/>
                <w:b/>
                <w:color w:val="FFFFFF"/>
                <w:sz w:val="15"/>
              </w:rPr>
              <w:t>Key Signals</w:t>
            </w:r>
          </w:p>
        </w:tc>
        <w:tc>
          <w:tcPr>
            <w:tcW w:type="dxa" w:w="2736"/>
            <w:shd w:fill="1F4E79"/>
            <w:vAlign w:val="top"/>
          </w:tcPr>
          <w:p>
            <w:pPr>
              <w:spacing w:after="20" w:line="240" w:lineRule="auto"/>
            </w:pPr>
            <w:r>
              <w:rPr>
                <w:rFonts w:ascii="Arial" w:hAnsi="Arial"/>
                <w:b/>
                <w:color w:val="FFFFFF"/>
                <w:sz w:val="15"/>
              </w:rPr>
              <w:t>Raw Components Attached</w:t>
            </w:r>
          </w:p>
        </w:tc>
      </w:tr>
      <w:tr>
        <w:tc>
          <w:tcPr>
            <w:tcW w:type="dxa" w:w="1008"/>
            <w:vAlign w:val="top"/>
          </w:tcPr>
          <w:p>
            <w:pPr>
              <w:spacing w:after="20" w:line="240" w:lineRule="auto"/>
            </w:pPr>
            <w:r>
              <w:rPr>
                <w:rFonts w:ascii="Arial" w:hAnsi="Arial"/>
                <w:b w:val="0"/>
                <w:color w:val="595959"/>
                <w:sz w:val="15"/>
              </w:rPr>
              <w:t>monetary</w:t>
            </w:r>
          </w:p>
        </w:tc>
        <w:tc>
          <w:tcPr>
            <w:tcW w:type="dxa" w:w="792"/>
            <w:vAlign w:val="top"/>
          </w:tcPr>
          <w:p>
            <w:pPr>
              <w:spacing w:after="20" w:line="240" w:lineRule="auto"/>
            </w:pPr>
            <w:r>
              <w:rPr>
                <w:rFonts w:ascii="Arial" w:hAnsi="Arial"/>
                <w:b w:val="0"/>
                <w:color w:val="595959"/>
                <w:sz w:val="15"/>
              </w:rPr>
              <w:t>5.59</w:t>
            </w:r>
          </w:p>
        </w:tc>
        <w:tc>
          <w:tcPr>
            <w:tcW w:type="dxa" w:w="1152"/>
            <w:vAlign w:val="top"/>
          </w:tcPr>
          <w:p>
            <w:pPr>
              <w:spacing w:after="20" w:line="240" w:lineRule="auto"/>
            </w:pPr>
            <w:r>
              <w:rPr>
                <w:rFonts w:ascii="Arial" w:hAnsi="Arial"/>
                <w:b w:val="0"/>
                <w:color w:val="595959"/>
                <w:sz w:val="15"/>
              </w:rPr>
              <w:t>mixed/improving</w:t>
            </w:r>
          </w:p>
        </w:tc>
        <w:tc>
          <w:tcPr>
            <w:tcW w:type="dxa" w:w="1224"/>
            <w:vAlign w:val="top"/>
          </w:tcPr>
          <w:p>
            <w:pPr>
              <w:spacing w:after="20" w:line="240" w:lineRule="auto"/>
            </w:pPr>
            <w:r>
              <w:rPr>
                <w:rFonts w:ascii="Arial" w:hAnsi="Arial"/>
                <w:b w:val="0"/>
                <w:color w:val="595959"/>
                <w:sz w:val="15"/>
              </w:rPr>
              <w:t>0.75/high</w:t>
            </w:r>
          </w:p>
        </w:tc>
        <w:tc>
          <w:tcPr>
            <w:tcW w:type="dxa" w:w="792"/>
            <w:vAlign w:val="top"/>
          </w:tcPr>
          <w:p>
            <w:pPr>
              <w:spacing w:after="20" w:line="240" w:lineRule="auto"/>
            </w:pPr>
            <w:r>
              <w:rPr>
                <w:rFonts w:ascii="Arial" w:hAnsi="Arial"/>
                <w:b w:val="0"/>
                <w:color w:val="C00000"/>
                <w:sz w:val="15"/>
              </w:rPr>
              <w:t>no</w:t>
            </w:r>
          </w:p>
        </w:tc>
        <w:tc>
          <w:tcPr>
            <w:tcW w:type="dxa" w:w="6264"/>
            <w:vAlign w:val="top"/>
          </w:tcPr>
          <w:p>
            <w:pPr>
              <w:spacing w:after="20" w:line="240" w:lineRule="auto"/>
            </w:pPr>
            <w:r>
              <w:rPr>
                <w:rFonts w:ascii="Arial" w:hAnsi="Arial"/>
                <w:b w:val="0"/>
                <w:color w:val="595959"/>
                <w:sz w:val="15"/>
              </w:rPr>
              <w:t>NFCI: -0.51 | inverted +0.82 | M2 YoY +4.72% | net liquidity z +0.33 | source=RegimeInputs/FRED | observed_date=2026-06-05</w:t>
            </w:r>
          </w:p>
        </w:tc>
        <w:tc>
          <w:tcPr>
            <w:tcW w:type="dxa" w:w="2736"/>
            <w:vAlign w:val="top"/>
          </w:tcPr>
          <w:p>
            <w:pPr>
              <w:spacing w:after="20" w:line="240" w:lineRule="auto"/>
            </w:pPr>
            <w:r>
              <w:rPr>
                <w:rFonts w:ascii="Arial" w:hAnsi="Arial"/>
                <w:b w:val="0"/>
                <w:color w:val="595959"/>
                <w:sz w:val="15"/>
              </w:rPr>
              <w:t>fed_path, net_liquidity, net_liquidity_z, nfci, nfci_inverted, m2_growth_yoy</w:t>
            </w:r>
          </w:p>
        </w:tc>
      </w:tr>
      <w:tr>
        <w:tc>
          <w:tcPr>
            <w:tcW w:type="dxa" w:w="1008"/>
            <w:shd w:fill="F7F9FC"/>
            <w:vAlign w:val="top"/>
          </w:tcPr>
          <w:p>
            <w:pPr>
              <w:spacing w:after="20" w:line="240" w:lineRule="auto"/>
            </w:pPr>
            <w:r>
              <w:rPr>
                <w:rFonts w:ascii="Arial" w:hAnsi="Arial"/>
                <w:b w:val="0"/>
                <w:color w:val="595959"/>
                <w:sz w:val="15"/>
              </w:rPr>
              <w:t>credit</w:t>
            </w:r>
          </w:p>
        </w:tc>
        <w:tc>
          <w:tcPr>
            <w:tcW w:type="dxa" w:w="792"/>
            <w:shd w:fill="F7F9FC"/>
            <w:vAlign w:val="top"/>
          </w:tcPr>
          <w:p>
            <w:pPr>
              <w:spacing w:after="20" w:line="240" w:lineRule="auto"/>
            </w:pPr>
            <w:r>
              <w:rPr>
                <w:rFonts w:ascii="Arial" w:hAnsi="Arial"/>
                <w:b w:val="0"/>
                <w:color w:val="595959"/>
                <w:sz w:val="15"/>
              </w:rPr>
              <w:t>8.26</w:t>
            </w:r>
          </w:p>
        </w:tc>
        <w:tc>
          <w:tcPr>
            <w:tcW w:type="dxa" w:w="1152"/>
            <w:shd w:fill="F7F9FC"/>
            <w:vAlign w:val="top"/>
          </w:tcPr>
          <w:p>
            <w:pPr>
              <w:spacing w:after="20" w:line="240" w:lineRule="auto"/>
            </w:pPr>
            <w:r>
              <w:rPr>
                <w:rFonts w:ascii="Arial" w:hAnsi="Arial"/>
                <w:b w:val="0"/>
                <w:color w:val="595959"/>
                <w:sz w:val="15"/>
              </w:rPr>
              <w:t>bullish/stable</w:t>
            </w:r>
          </w:p>
        </w:tc>
        <w:tc>
          <w:tcPr>
            <w:tcW w:type="dxa" w:w="1224"/>
            <w:shd w:fill="F7F9FC"/>
            <w:vAlign w:val="top"/>
          </w:tcPr>
          <w:p>
            <w:pPr>
              <w:spacing w:after="20" w:line="240" w:lineRule="auto"/>
            </w:pPr>
            <w:r>
              <w:rPr>
                <w:rFonts w:ascii="Arial" w:hAnsi="Arial"/>
                <w:b w:val="0"/>
                <w:color w:val="595959"/>
                <w:sz w:val="15"/>
              </w:rPr>
              <w:t>1.00/high</w:t>
            </w:r>
          </w:p>
        </w:tc>
        <w:tc>
          <w:tcPr>
            <w:tcW w:type="dxa" w:w="792"/>
            <w:shd w:fill="F7F9FC"/>
            <w:vAlign w:val="top"/>
          </w:tcPr>
          <w:p>
            <w:pPr>
              <w:spacing w:after="20" w:line="240" w:lineRule="auto"/>
            </w:pPr>
            <w:r>
              <w:rPr>
                <w:rFonts w:ascii="Arial" w:hAnsi="Arial"/>
                <w:b w:val="0"/>
                <w:color w:val="375623"/>
                <w:sz w:val="15"/>
              </w:rPr>
              <w:t>yes</w:t>
            </w:r>
          </w:p>
        </w:tc>
        <w:tc>
          <w:tcPr>
            <w:tcW w:type="dxa" w:w="6264"/>
            <w:shd w:fill="F7F9FC"/>
            <w:vAlign w:val="top"/>
          </w:tcPr>
          <w:p>
            <w:pPr>
              <w:spacing w:after="20" w:line="240" w:lineRule="auto"/>
            </w:pPr>
            <w:r>
              <w:rPr>
                <w:rFonts w:ascii="Arial" w:hAnsi="Arial"/>
                <w:b w:val="0"/>
                <w:color w:val="595959"/>
                <w:sz w:val="15"/>
              </w:rPr>
              <w:t>HY OAS: 280 bps | z -0.64 | 4W chg +0 bps | IG OAS 75 bps | source=RegimeInputs/FRED | observed_date=2026-06-05</w:t>
            </w:r>
          </w:p>
        </w:tc>
        <w:tc>
          <w:tcPr>
            <w:tcW w:type="dxa" w:w="2736"/>
            <w:shd w:fill="F7F9FC"/>
            <w:vAlign w:val="top"/>
          </w:tcPr>
          <w:p>
            <w:pPr>
              <w:spacing w:after="20" w:line="240" w:lineRule="auto"/>
            </w:pPr>
            <w:r>
              <w:rPr>
                <w:rFonts w:ascii="Arial" w:hAnsi="Arial"/>
                <w:b w:val="0"/>
                <w:color w:val="595959"/>
                <w:sz w:val="15"/>
              </w:rPr>
              <w:t>hy_spread_level, hy_spread_z, hy_spread_chg_4w, ig_spread_level, ig_spread_z, hyg_tlt_ratio_z</w:t>
            </w:r>
          </w:p>
        </w:tc>
      </w:tr>
      <w:tr>
        <w:tc>
          <w:tcPr>
            <w:tcW w:type="dxa" w:w="1008"/>
            <w:vAlign w:val="top"/>
          </w:tcPr>
          <w:p>
            <w:pPr>
              <w:spacing w:after="20" w:line="240" w:lineRule="auto"/>
            </w:pPr>
            <w:r>
              <w:rPr>
                <w:rFonts w:ascii="Arial" w:hAnsi="Arial"/>
                <w:b w:val="0"/>
                <w:color w:val="595959"/>
                <w:sz w:val="15"/>
              </w:rPr>
              <w:t>volatility</w:t>
            </w:r>
          </w:p>
        </w:tc>
        <w:tc>
          <w:tcPr>
            <w:tcW w:type="dxa" w:w="792"/>
            <w:vAlign w:val="top"/>
          </w:tcPr>
          <w:p>
            <w:pPr>
              <w:spacing w:after="20" w:line="240" w:lineRule="auto"/>
            </w:pPr>
            <w:r>
              <w:rPr>
                <w:rFonts w:ascii="Arial" w:hAnsi="Arial"/>
                <w:b w:val="0"/>
                <w:color w:val="595959"/>
                <w:sz w:val="15"/>
              </w:rPr>
              <w:t>7.26</w:t>
            </w:r>
          </w:p>
        </w:tc>
        <w:tc>
          <w:tcPr>
            <w:tcW w:type="dxa" w:w="1152"/>
            <w:vAlign w:val="top"/>
          </w:tcPr>
          <w:p>
            <w:pPr>
              <w:spacing w:after="20" w:line="240" w:lineRule="auto"/>
            </w:pPr>
            <w:r>
              <w:rPr>
                <w:rFonts w:ascii="Arial" w:hAnsi="Arial"/>
                <w:b w:val="0"/>
                <w:color w:val="595959"/>
                <w:sz w:val="15"/>
              </w:rPr>
              <w:t>bullish/stable</w:t>
            </w:r>
          </w:p>
        </w:tc>
        <w:tc>
          <w:tcPr>
            <w:tcW w:type="dxa" w:w="1224"/>
            <w:vAlign w:val="top"/>
          </w:tcPr>
          <w:p>
            <w:pPr>
              <w:spacing w:after="20" w:line="240" w:lineRule="auto"/>
            </w:pPr>
            <w:r>
              <w:rPr>
                <w:rFonts w:ascii="Arial" w:hAnsi="Arial"/>
                <w:b w:val="0"/>
                <w:color w:val="595959"/>
                <w:sz w:val="15"/>
              </w:rPr>
              <w:t>1.00/high</w:t>
            </w:r>
          </w:p>
        </w:tc>
        <w:tc>
          <w:tcPr>
            <w:tcW w:type="dxa" w:w="792"/>
            <w:vAlign w:val="top"/>
          </w:tcPr>
          <w:p>
            <w:pPr>
              <w:spacing w:after="20" w:line="240" w:lineRule="auto"/>
            </w:pPr>
            <w:r>
              <w:rPr>
                <w:rFonts w:ascii="Arial" w:hAnsi="Arial"/>
                <w:b w:val="0"/>
                <w:color w:val="375623"/>
                <w:sz w:val="15"/>
              </w:rPr>
              <w:t>yes</w:t>
            </w:r>
          </w:p>
        </w:tc>
        <w:tc>
          <w:tcPr>
            <w:tcW w:type="dxa" w:w="6264"/>
            <w:vAlign w:val="top"/>
          </w:tcPr>
          <w:p>
            <w:pPr>
              <w:spacing w:after="20" w:line="240" w:lineRule="auto"/>
            </w:pPr>
            <w:r>
              <w:rPr>
                <w:rFonts w:ascii="Arial" w:hAnsi="Arial"/>
                <w:b w:val="0"/>
                <w:color w:val="595959"/>
                <w:sz w:val="15"/>
              </w:rPr>
              <w:t>VIX: 18.79 | z20D +0.61 | term slope +2.34 | source=RegimeInputs.vix_level | observed_date=2026-06-05</w:t>
            </w:r>
          </w:p>
        </w:tc>
        <w:tc>
          <w:tcPr>
            <w:tcW w:type="dxa" w:w="2736"/>
            <w:vAlign w:val="top"/>
          </w:tcPr>
          <w:p>
            <w:pPr>
              <w:spacing w:after="20" w:line="240" w:lineRule="auto"/>
            </w:pPr>
            <w:r>
              <w:rPr>
                <w:rFonts w:ascii="Arial" w:hAnsi="Arial"/>
                <w:b w:val="0"/>
                <w:color w:val="595959"/>
                <w:sz w:val="15"/>
              </w:rPr>
              <w:t>vix_level, vix_z_20d, vix_term_slope, vvix_level, vvix_z, put_call_ratio, skew_index</w:t>
            </w:r>
          </w:p>
        </w:tc>
      </w:tr>
      <w:tr>
        <w:tc>
          <w:tcPr>
            <w:tcW w:type="dxa" w:w="1008"/>
            <w:shd w:fill="F7F9FC"/>
            <w:vAlign w:val="top"/>
          </w:tcPr>
          <w:p>
            <w:pPr>
              <w:spacing w:after="20" w:line="240" w:lineRule="auto"/>
            </w:pPr>
            <w:r>
              <w:rPr>
                <w:rFonts w:ascii="Arial" w:hAnsi="Arial"/>
                <w:b w:val="0"/>
                <w:color w:val="595959"/>
                <w:sz w:val="15"/>
              </w:rPr>
              <w:t>breadth</w:t>
            </w:r>
          </w:p>
        </w:tc>
        <w:tc>
          <w:tcPr>
            <w:tcW w:type="dxa" w:w="792"/>
            <w:shd w:fill="F7F9FC"/>
            <w:vAlign w:val="top"/>
          </w:tcPr>
          <w:p>
            <w:pPr>
              <w:spacing w:after="20" w:line="240" w:lineRule="auto"/>
            </w:pPr>
            <w:r>
              <w:rPr>
                <w:rFonts w:ascii="Arial" w:hAnsi="Arial"/>
                <w:b w:val="0"/>
                <w:color w:val="595959"/>
                <w:sz w:val="15"/>
              </w:rPr>
              <w:t>4.39</w:t>
            </w:r>
          </w:p>
        </w:tc>
        <w:tc>
          <w:tcPr>
            <w:tcW w:type="dxa" w:w="1152"/>
            <w:shd w:fill="F7F9FC"/>
            <w:vAlign w:val="top"/>
          </w:tcPr>
          <w:p>
            <w:pPr>
              <w:spacing w:after="20" w:line="240" w:lineRule="auto"/>
            </w:pPr>
            <w:r>
              <w:rPr>
                <w:rFonts w:ascii="Arial" w:hAnsi="Arial"/>
                <w:b w:val="0"/>
                <w:color w:val="595959"/>
                <w:sz w:val="15"/>
              </w:rPr>
              <w:t>bearish/deteriorating</w:t>
            </w:r>
          </w:p>
        </w:tc>
        <w:tc>
          <w:tcPr>
            <w:tcW w:type="dxa" w:w="1224"/>
            <w:shd w:fill="F7F9FC"/>
            <w:vAlign w:val="top"/>
          </w:tcPr>
          <w:p>
            <w:pPr>
              <w:spacing w:after="20" w:line="240" w:lineRule="auto"/>
            </w:pPr>
            <w:r>
              <w:rPr>
                <w:rFonts w:ascii="Arial" w:hAnsi="Arial"/>
                <w:b w:val="0"/>
                <w:color w:val="595959"/>
                <w:sz w:val="15"/>
              </w:rPr>
              <w:t>0.90/high</w:t>
            </w:r>
          </w:p>
        </w:tc>
        <w:tc>
          <w:tcPr>
            <w:tcW w:type="dxa" w:w="792"/>
            <w:shd w:fill="F7F9FC"/>
            <w:vAlign w:val="top"/>
          </w:tcPr>
          <w:p>
            <w:pPr>
              <w:spacing w:after="20" w:line="240" w:lineRule="auto"/>
            </w:pPr>
            <w:r>
              <w:rPr>
                <w:rFonts w:ascii="Arial" w:hAnsi="Arial"/>
                <w:b w:val="0"/>
                <w:color w:val="375623"/>
                <w:sz w:val="15"/>
              </w:rPr>
              <w:t>yes</w:t>
            </w:r>
          </w:p>
        </w:tc>
        <w:tc>
          <w:tcPr>
            <w:tcW w:type="dxa" w:w="6264"/>
            <w:shd w:fill="F7F9FC"/>
            <w:vAlign w:val="top"/>
          </w:tcPr>
          <w:p>
            <w:pPr>
              <w:spacing w:after="20" w:line="240" w:lineRule="auto"/>
            </w:pPr>
            <w:r>
              <w:rPr>
                <w:rFonts w:ascii="Arial" w:hAnsi="Arial"/>
                <w:b w:val="0"/>
                <w:color w:val="595959"/>
                <w:sz w:val="15"/>
              </w:rPr>
              <w:t>RSP-SPY: -2.47 pp over 3M / 63 trading days | RSP +9.81%, SPY +12.28% | source=MarketState.cross_asset_returns | observed_date=2026-06-05</w:t>
            </w:r>
          </w:p>
        </w:tc>
        <w:tc>
          <w:tcPr>
            <w:tcW w:type="dxa" w:w="2736"/>
            <w:shd w:fill="F7F9FC"/>
            <w:vAlign w:val="top"/>
          </w:tcPr>
          <w:p>
            <w:pPr>
              <w:spacing w:after="20" w:line="240" w:lineRule="auto"/>
            </w:pPr>
            <w:r>
              <w:rPr>
                <w:rFonts w:ascii="Arial" w:hAnsi="Arial"/>
                <w:b w:val="0"/>
                <w:color w:val="595959"/>
                <w:sz w:val="15"/>
              </w:rPr>
              <w:t>pct_above_200d, sectors_green, rsp_vs_spy_z</w:t>
            </w:r>
          </w:p>
        </w:tc>
      </w:tr>
      <w:tr>
        <w:tc>
          <w:tcPr>
            <w:tcW w:type="dxa" w:w="1008"/>
            <w:vAlign w:val="top"/>
          </w:tcPr>
          <w:p>
            <w:pPr>
              <w:spacing w:after="20" w:line="240" w:lineRule="auto"/>
            </w:pPr>
            <w:r>
              <w:rPr>
                <w:rFonts w:ascii="Arial" w:hAnsi="Arial"/>
                <w:b w:val="0"/>
                <w:color w:val="595959"/>
                <w:sz w:val="15"/>
              </w:rPr>
              <w:t>positioning</w:t>
            </w:r>
          </w:p>
        </w:tc>
        <w:tc>
          <w:tcPr>
            <w:tcW w:type="dxa" w:w="792"/>
            <w:vAlign w:val="top"/>
          </w:tcPr>
          <w:p>
            <w:pPr>
              <w:spacing w:after="20" w:line="240" w:lineRule="auto"/>
            </w:pPr>
            <w:r>
              <w:rPr>
                <w:rFonts w:ascii="Arial" w:hAnsi="Arial"/>
                <w:b w:val="0"/>
                <w:color w:val="595959"/>
                <w:sz w:val="15"/>
              </w:rPr>
              <w:t>7.25</w:t>
            </w:r>
          </w:p>
        </w:tc>
        <w:tc>
          <w:tcPr>
            <w:tcW w:type="dxa" w:w="1152"/>
            <w:vAlign w:val="top"/>
          </w:tcPr>
          <w:p>
            <w:pPr>
              <w:spacing w:after="20" w:line="240" w:lineRule="auto"/>
            </w:pPr>
            <w:r>
              <w:rPr>
                <w:rFonts w:ascii="Arial" w:hAnsi="Arial"/>
                <w:b w:val="0"/>
                <w:color w:val="595959"/>
                <w:sz w:val="15"/>
              </w:rPr>
              <w:t>mixed/stable</w:t>
            </w:r>
          </w:p>
        </w:tc>
        <w:tc>
          <w:tcPr>
            <w:tcW w:type="dxa" w:w="1224"/>
            <w:vAlign w:val="top"/>
          </w:tcPr>
          <w:p>
            <w:pPr>
              <w:spacing w:after="20" w:line="240" w:lineRule="auto"/>
            </w:pPr>
            <w:r>
              <w:rPr>
                <w:rFonts w:ascii="Arial" w:hAnsi="Arial"/>
                <w:b w:val="0"/>
                <w:color w:val="595959"/>
                <w:sz w:val="15"/>
              </w:rPr>
              <w:t>1.00/high</w:t>
            </w:r>
          </w:p>
        </w:tc>
        <w:tc>
          <w:tcPr>
            <w:tcW w:type="dxa" w:w="792"/>
            <w:vAlign w:val="top"/>
          </w:tcPr>
          <w:p>
            <w:pPr>
              <w:spacing w:after="20" w:line="240" w:lineRule="auto"/>
            </w:pPr>
            <w:r>
              <w:rPr>
                <w:rFonts w:ascii="Arial" w:hAnsi="Arial"/>
                <w:b w:val="0"/>
                <w:color w:val="375623"/>
                <w:sz w:val="15"/>
              </w:rPr>
              <w:t>yes</w:t>
            </w:r>
          </w:p>
        </w:tc>
        <w:tc>
          <w:tcPr>
            <w:tcW w:type="dxa" w:w="6264"/>
            <w:vAlign w:val="top"/>
          </w:tcPr>
          <w:p>
            <w:pPr>
              <w:spacing w:after="20" w:line="240" w:lineRule="auto"/>
            </w:pPr>
            <w:r>
              <w:rPr>
                <w:rFonts w:ascii="Arial" w:hAnsi="Arial"/>
                <w:b w:val="0"/>
                <w:color w:val="595959"/>
                <w:sz w:val="15"/>
              </w:rPr>
              <w:t>Generic put/call ratio: 0.84 | field=put_call_ratio | 5D MA 0.84 | source=RegimeInputs.put_call_ratio | observed_date=2026-06-05 | Cboe equity unresolved</w:t>
            </w:r>
          </w:p>
        </w:tc>
        <w:tc>
          <w:tcPr>
            <w:tcW w:type="dxa" w:w="2736"/>
            <w:vAlign w:val="top"/>
          </w:tcPr>
          <w:p>
            <w:pPr>
              <w:spacing w:after="20" w:line="240" w:lineRule="auto"/>
            </w:pPr>
            <w:r>
              <w:rPr>
                <w:rFonts w:ascii="Arial" w:hAnsi="Arial"/>
                <w:b w:val="0"/>
                <w:color w:val="595959"/>
                <w:sz w:val="15"/>
              </w:rPr>
              <w:t>put_call_5d_ma, cot_net_large_spec_z</w:t>
            </w:r>
          </w:p>
        </w:tc>
      </w:tr>
    </w:tbl>
    <w:p>
      <w:pPr>
        <w:spacing w:after="120"/>
      </w:pPr>
    </w:p>
    <w:p>
      <w:pPr>
        <w:spacing w:before="180" w:after="80"/>
      </w:pPr>
      <w:r>
        <w:rPr>
          <w:rFonts w:ascii="Arial" w:hAnsi="Arial"/>
          <w:b/>
          <w:color w:val="2E75B6"/>
          <w:sz w:val="21"/>
        </w:rPr>
        <w:t>Raw Input Coverage Summary</w:t>
      </w:r>
    </w:p>
    <w:tbl>
      <w:tblPr>
        <w:tblStyle w:val="TableGrid"/>
        <w:tblW w:type="auto" w:w="0"/>
        <w:jc w:val="center"/>
        <w:tblLayout w:type="autofit"/>
        <w:tblLook w:firstColumn="1" w:firstRow="1" w:lastColumn="0" w:lastRow="0" w:noHBand="0" w:noVBand="1" w:val="04A0"/>
      </w:tblPr>
      <w:tblGrid>
        <w:gridCol w:w="2328"/>
        <w:gridCol w:w="2328"/>
        <w:gridCol w:w="2328"/>
        <w:gridCol w:w="2328"/>
        <w:gridCol w:w="2328"/>
        <w:gridCol w:w="2328"/>
      </w:tblGrid>
      <w:tr>
        <w:trPr>
          <w:tblHeader w:val="true"/>
        </w:trPr>
        <w:tc>
          <w:tcPr>
            <w:tcW w:type="dxa" w:w="2328"/>
            <w:shd w:fill="1F4E79"/>
            <w:vAlign w:val="top"/>
          </w:tcPr>
          <w:p>
            <w:pPr>
              <w:spacing w:after="20" w:line="240" w:lineRule="auto"/>
            </w:pPr>
            <w:r>
              <w:rPr>
                <w:rFonts w:ascii="Arial" w:hAnsi="Arial"/>
                <w:b/>
                <w:color w:val="FFFFFF"/>
                <w:sz w:val="15"/>
              </w:rPr>
              <w:t>Parent Layer</w:t>
            </w:r>
          </w:p>
        </w:tc>
        <w:tc>
          <w:tcPr>
            <w:tcW w:type="dxa" w:w="2328"/>
            <w:shd w:fill="1F4E79"/>
            <w:vAlign w:val="top"/>
          </w:tcPr>
          <w:p>
            <w:pPr>
              <w:spacing w:after="20" w:line="240" w:lineRule="auto"/>
            </w:pPr>
            <w:r>
              <w:rPr>
                <w:rFonts w:ascii="Arial" w:hAnsi="Arial"/>
                <w:b/>
                <w:color w:val="FFFFFF"/>
                <w:sz w:val="15"/>
              </w:rPr>
              <w:t>Expected Raw Inputs</w:t>
            </w:r>
          </w:p>
        </w:tc>
        <w:tc>
          <w:tcPr>
            <w:tcW w:type="dxa" w:w="2328"/>
            <w:shd w:fill="1F4E79"/>
            <w:vAlign w:val="top"/>
          </w:tcPr>
          <w:p>
            <w:pPr>
              <w:spacing w:after="20" w:line="240" w:lineRule="auto"/>
            </w:pPr>
            <w:r>
              <w:rPr>
                <w:rFonts w:ascii="Arial" w:hAnsi="Arial"/>
                <w:b/>
                <w:color w:val="FFFFFF"/>
                <w:sz w:val="15"/>
              </w:rPr>
              <w:t>Available Raw Inputs</w:t>
            </w:r>
          </w:p>
        </w:tc>
        <w:tc>
          <w:tcPr>
            <w:tcW w:type="dxa" w:w="2328"/>
            <w:shd w:fill="1F4E79"/>
            <w:vAlign w:val="top"/>
          </w:tcPr>
          <w:p>
            <w:pPr>
              <w:spacing w:after="20" w:line="240" w:lineRule="auto"/>
            </w:pPr>
            <w:r>
              <w:rPr>
                <w:rFonts w:ascii="Arial" w:hAnsi="Arial"/>
                <w:b/>
                <w:color w:val="FFFFFF"/>
                <w:sz w:val="15"/>
              </w:rPr>
              <w:t>Used in Deterministic Math</w:t>
            </w:r>
          </w:p>
        </w:tc>
        <w:tc>
          <w:tcPr>
            <w:tcW w:type="dxa" w:w="2328"/>
            <w:shd w:fill="1F4E79"/>
            <w:vAlign w:val="top"/>
          </w:tcPr>
          <w:p>
            <w:pPr>
              <w:spacing w:after="20" w:line="240" w:lineRule="auto"/>
            </w:pPr>
            <w:r>
              <w:rPr>
                <w:rFonts w:ascii="Arial" w:hAnsi="Arial"/>
                <w:b/>
                <w:color w:val="FFFFFF"/>
                <w:sz w:val="15"/>
              </w:rPr>
              <w:t>Used in Historical Similarity</w:t>
            </w:r>
          </w:p>
        </w:tc>
        <w:tc>
          <w:tcPr>
            <w:tcW w:type="dxa" w:w="2328"/>
            <w:shd w:fill="1F4E79"/>
            <w:vAlign w:val="top"/>
          </w:tcPr>
          <w:p>
            <w:pPr>
              <w:spacing w:after="20" w:line="240" w:lineRule="auto"/>
            </w:pPr>
            <w:r>
              <w:rPr>
                <w:rFonts w:ascii="Arial" w:hAnsi="Arial"/>
                <w:b/>
                <w:color w:val="FFFFFF"/>
                <w:sz w:val="15"/>
              </w:rPr>
              <w:t>Missing Inputs</w:t>
            </w:r>
          </w:p>
        </w:tc>
      </w:tr>
      <w:tr>
        <w:tc>
          <w:tcPr>
            <w:tcW w:type="dxa" w:w="2328"/>
            <w:vAlign w:val="top"/>
          </w:tcPr>
          <w:p>
            <w:pPr>
              <w:spacing w:after="20" w:line="240" w:lineRule="auto"/>
            </w:pPr>
            <w:r>
              <w:rPr>
                <w:rFonts w:ascii="Arial" w:hAnsi="Arial"/>
                <w:b w:val="0"/>
                <w:color w:val="595959"/>
                <w:sz w:val="15"/>
              </w:rPr>
              <w:t>Monetary</w:t>
            </w:r>
          </w:p>
        </w:tc>
        <w:tc>
          <w:tcPr>
            <w:tcW w:type="dxa" w:w="2328"/>
            <w:vAlign w:val="top"/>
          </w:tcPr>
          <w:p>
            <w:pPr>
              <w:spacing w:after="20" w:line="240" w:lineRule="auto"/>
            </w:pPr>
            <w:r>
              <w:rPr>
                <w:rFonts w:ascii="Arial" w:hAnsi="Arial"/>
                <w:b w:val="0"/>
                <w:color w:val="595959"/>
                <w:sz w:val="15"/>
              </w:rPr>
              <w:t>6</w:t>
            </w:r>
          </w:p>
        </w:tc>
        <w:tc>
          <w:tcPr>
            <w:tcW w:type="dxa" w:w="2328"/>
            <w:vAlign w:val="top"/>
          </w:tcPr>
          <w:p>
            <w:pPr>
              <w:spacing w:after="20" w:line="240" w:lineRule="auto"/>
            </w:pPr>
            <w:r>
              <w:rPr>
                <w:rFonts w:ascii="Arial" w:hAnsi="Arial"/>
                <w:b w:val="0"/>
                <w:color w:val="595959"/>
                <w:sz w:val="15"/>
              </w:rPr>
              <w:t>6</w:t>
            </w:r>
          </w:p>
        </w:tc>
        <w:tc>
          <w:tcPr>
            <w:tcW w:type="dxa" w:w="2328"/>
            <w:vAlign w:val="top"/>
          </w:tcPr>
          <w:p>
            <w:pPr>
              <w:spacing w:after="20" w:line="240" w:lineRule="auto"/>
            </w:pPr>
            <w:r>
              <w:rPr>
                <w:rFonts w:ascii="Arial" w:hAnsi="Arial"/>
                <w:b w:val="0"/>
                <w:color w:val="595959"/>
                <w:sz w:val="15"/>
              </w:rPr>
              <w:t>5</w:t>
            </w:r>
          </w:p>
        </w:tc>
        <w:tc>
          <w:tcPr>
            <w:tcW w:type="dxa" w:w="2328"/>
            <w:vAlign w:val="top"/>
          </w:tcPr>
          <w:p>
            <w:pPr>
              <w:spacing w:after="20" w:line="240" w:lineRule="auto"/>
            </w:pPr>
            <w:r>
              <w:rPr>
                <w:rFonts w:ascii="Arial" w:hAnsi="Arial"/>
                <w:b w:val="0"/>
                <w:color w:val="595959"/>
                <w:sz w:val="15"/>
              </w:rPr>
              <w:t>5</w:t>
            </w:r>
          </w:p>
        </w:tc>
        <w:tc>
          <w:tcPr>
            <w:tcW w:type="dxa" w:w="2328"/>
            <w:vAlign w:val="top"/>
          </w:tcPr>
          <w:p>
            <w:pPr>
              <w:spacing w:after="20" w:line="240" w:lineRule="auto"/>
            </w:pPr>
            <w:r>
              <w:rPr>
                <w:rFonts w:ascii="Arial" w:hAnsi="Arial"/>
                <w:b w:val="0"/>
                <w:color w:val="595959"/>
                <w:sz w:val="15"/>
              </w:rPr>
              <w:t>fci_z</w:t>
            </w:r>
          </w:p>
        </w:tc>
      </w:tr>
      <w:tr>
        <w:tc>
          <w:tcPr>
            <w:tcW w:type="dxa" w:w="2328"/>
            <w:shd w:fill="F7F9FC"/>
            <w:vAlign w:val="top"/>
          </w:tcPr>
          <w:p>
            <w:pPr>
              <w:spacing w:after="20" w:line="240" w:lineRule="auto"/>
            </w:pPr>
            <w:r>
              <w:rPr>
                <w:rFonts w:ascii="Arial" w:hAnsi="Arial"/>
                <w:b w:val="0"/>
                <w:color w:val="595959"/>
                <w:sz w:val="15"/>
              </w:rPr>
              <w:t>Credit</w:t>
            </w:r>
          </w:p>
        </w:tc>
        <w:tc>
          <w:tcPr>
            <w:tcW w:type="dxa" w:w="2328"/>
            <w:shd w:fill="F7F9FC"/>
            <w:vAlign w:val="top"/>
          </w:tcPr>
          <w:p>
            <w:pPr>
              <w:spacing w:after="20" w:line="240" w:lineRule="auto"/>
            </w:pPr>
            <w:r>
              <w:rPr>
                <w:rFonts w:ascii="Arial" w:hAnsi="Arial"/>
                <w:b w:val="0"/>
                <w:color w:val="595959"/>
                <w:sz w:val="15"/>
              </w:rPr>
              <w:t>6</w:t>
            </w:r>
          </w:p>
        </w:tc>
        <w:tc>
          <w:tcPr>
            <w:tcW w:type="dxa" w:w="2328"/>
            <w:shd w:fill="F7F9FC"/>
            <w:vAlign w:val="top"/>
          </w:tcPr>
          <w:p>
            <w:pPr>
              <w:spacing w:after="20" w:line="240" w:lineRule="auto"/>
            </w:pPr>
            <w:r>
              <w:rPr>
                <w:rFonts w:ascii="Arial" w:hAnsi="Arial"/>
                <w:b w:val="0"/>
                <w:color w:val="595959"/>
                <w:sz w:val="15"/>
              </w:rPr>
              <w:t>6</w:t>
            </w:r>
          </w:p>
        </w:tc>
        <w:tc>
          <w:tcPr>
            <w:tcW w:type="dxa" w:w="2328"/>
            <w:shd w:fill="F7F9FC"/>
            <w:vAlign w:val="top"/>
          </w:tcPr>
          <w:p>
            <w:pPr>
              <w:spacing w:after="20" w:line="240" w:lineRule="auto"/>
            </w:pPr>
            <w:r>
              <w:rPr>
                <w:rFonts w:ascii="Arial" w:hAnsi="Arial"/>
                <w:b w:val="0"/>
                <w:color w:val="595959"/>
                <w:sz w:val="15"/>
              </w:rPr>
              <w:t>6</w:t>
            </w:r>
          </w:p>
        </w:tc>
        <w:tc>
          <w:tcPr>
            <w:tcW w:type="dxa" w:w="2328"/>
            <w:shd w:fill="F7F9FC"/>
            <w:vAlign w:val="top"/>
          </w:tcPr>
          <w:p>
            <w:pPr>
              <w:spacing w:after="20" w:line="240" w:lineRule="auto"/>
            </w:pPr>
            <w:r>
              <w:rPr>
                <w:rFonts w:ascii="Arial" w:hAnsi="Arial"/>
                <w:b w:val="0"/>
                <w:color w:val="595959"/>
                <w:sz w:val="15"/>
              </w:rPr>
              <w:t>6</w:t>
            </w:r>
          </w:p>
        </w:tc>
        <w:tc>
          <w:tcPr>
            <w:tcW w:type="dxa" w:w="2328"/>
            <w:shd w:fill="F7F9FC"/>
            <w:vAlign w:val="top"/>
          </w:tcPr>
          <w:p>
            <w:pPr>
              <w:spacing w:after="20" w:line="240" w:lineRule="auto"/>
            </w:pPr>
            <w:r>
              <w:rPr>
                <w:rFonts w:ascii="Arial" w:hAnsi="Arial"/>
                <w:b w:val="0"/>
                <w:color w:val="595959"/>
                <w:sz w:val="15"/>
              </w:rPr>
              <w:t>-</w:t>
            </w:r>
          </w:p>
        </w:tc>
      </w:tr>
      <w:tr>
        <w:tc>
          <w:tcPr>
            <w:tcW w:type="dxa" w:w="2328"/>
            <w:vAlign w:val="top"/>
          </w:tcPr>
          <w:p>
            <w:pPr>
              <w:spacing w:after="20" w:line="240" w:lineRule="auto"/>
            </w:pPr>
            <w:r>
              <w:rPr>
                <w:rFonts w:ascii="Arial" w:hAnsi="Arial"/>
                <w:b w:val="0"/>
                <w:color w:val="595959"/>
                <w:sz w:val="15"/>
              </w:rPr>
              <w:t>Volatility</w:t>
            </w:r>
          </w:p>
        </w:tc>
        <w:tc>
          <w:tcPr>
            <w:tcW w:type="dxa" w:w="2328"/>
            <w:vAlign w:val="top"/>
          </w:tcPr>
          <w:p>
            <w:pPr>
              <w:spacing w:after="20" w:line="240" w:lineRule="auto"/>
            </w:pPr>
            <w:r>
              <w:rPr>
                <w:rFonts w:ascii="Arial" w:hAnsi="Arial"/>
                <w:b w:val="0"/>
                <w:color w:val="595959"/>
                <w:sz w:val="15"/>
              </w:rPr>
              <w:t>7</w:t>
            </w:r>
          </w:p>
        </w:tc>
        <w:tc>
          <w:tcPr>
            <w:tcW w:type="dxa" w:w="2328"/>
            <w:vAlign w:val="top"/>
          </w:tcPr>
          <w:p>
            <w:pPr>
              <w:spacing w:after="20" w:line="240" w:lineRule="auto"/>
            </w:pPr>
            <w:r>
              <w:rPr>
                <w:rFonts w:ascii="Arial" w:hAnsi="Arial"/>
                <w:b w:val="0"/>
                <w:color w:val="595959"/>
                <w:sz w:val="15"/>
              </w:rPr>
              <w:t>7</w:t>
            </w:r>
          </w:p>
        </w:tc>
        <w:tc>
          <w:tcPr>
            <w:tcW w:type="dxa" w:w="2328"/>
            <w:vAlign w:val="top"/>
          </w:tcPr>
          <w:p>
            <w:pPr>
              <w:spacing w:after="20" w:line="240" w:lineRule="auto"/>
            </w:pPr>
            <w:r>
              <w:rPr>
                <w:rFonts w:ascii="Arial" w:hAnsi="Arial"/>
                <w:b w:val="0"/>
                <w:color w:val="595959"/>
                <w:sz w:val="15"/>
              </w:rPr>
              <w:t>7</w:t>
            </w:r>
          </w:p>
        </w:tc>
        <w:tc>
          <w:tcPr>
            <w:tcW w:type="dxa" w:w="2328"/>
            <w:vAlign w:val="top"/>
          </w:tcPr>
          <w:p>
            <w:pPr>
              <w:spacing w:after="20" w:line="240" w:lineRule="auto"/>
            </w:pPr>
            <w:r>
              <w:rPr>
                <w:rFonts w:ascii="Arial" w:hAnsi="Arial"/>
                <w:b w:val="0"/>
                <w:color w:val="595959"/>
                <w:sz w:val="15"/>
              </w:rPr>
              <w:t>7</w:t>
            </w:r>
          </w:p>
        </w:tc>
        <w:tc>
          <w:tcPr>
            <w:tcW w:type="dxa" w:w="2328"/>
            <w:vAlign w:val="top"/>
          </w:tcPr>
          <w:p>
            <w:pPr>
              <w:spacing w:after="20" w:line="240" w:lineRule="auto"/>
            </w:pPr>
            <w:r>
              <w:rPr>
                <w:rFonts w:ascii="Arial" w:hAnsi="Arial"/>
                <w:b w:val="0"/>
                <w:color w:val="595959"/>
                <w:sz w:val="15"/>
              </w:rPr>
              <w:t>-</w:t>
            </w:r>
          </w:p>
        </w:tc>
      </w:tr>
      <w:tr>
        <w:tc>
          <w:tcPr>
            <w:tcW w:type="dxa" w:w="2328"/>
            <w:shd w:fill="F7F9FC"/>
            <w:vAlign w:val="top"/>
          </w:tcPr>
          <w:p>
            <w:pPr>
              <w:spacing w:after="20" w:line="240" w:lineRule="auto"/>
            </w:pPr>
            <w:r>
              <w:rPr>
                <w:rFonts w:ascii="Arial" w:hAnsi="Arial"/>
                <w:b w:val="0"/>
                <w:color w:val="595959"/>
                <w:sz w:val="15"/>
              </w:rPr>
              <w:t>Breadth</w:t>
            </w:r>
          </w:p>
        </w:tc>
        <w:tc>
          <w:tcPr>
            <w:tcW w:type="dxa" w:w="2328"/>
            <w:shd w:fill="F7F9FC"/>
            <w:vAlign w:val="top"/>
          </w:tcPr>
          <w:p>
            <w:pPr>
              <w:spacing w:after="20" w:line="240" w:lineRule="auto"/>
            </w:pPr>
            <w:r>
              <w:rPr>
                <w:rFonts w:ascii="Arial" w:hAnsi="Arial"/>
                <w:b w:val="0"/>
                <w:color w:val="595959"/>
                <w:sz w:val="15"/>
              </w:rPr>
              <w:t>5</w:t>
            </w:r>
          </w:p>
        </w:tc>
        <w:tc>
          <w:tcPr>
            <w:tcW w:type="dxa" w:w="2328"/>
            <w:shd w:fill="F7F9FC"/>
            <w:vAlign w:val="top"/>
          </w:tcPr>
          <w:p>
            <w:pPr>
              <w:spacing w:after="20" w:line="240" w:lineRule="auto"/>
            </w:pPr>
            <w:r>
              <w:rPr>
                <w:rFonts w:ascii="Arial" w:hAnsi="Arial"/>
                <w:b w:val="0"/>
                <w:color w:val="595959"/>
                <w:sz w:val="15"/>
              </w:rPr>
              <w:t>3</w:t>
            </w:r>
          </w:p>
        </w:tc>
        <w:tc>
          <w:tcPr>
            <w:tcW w:type="dxa" w:w="2328"/>
            <w:shd w:fill="F7F9FC"/>
            <w:vAlign w:val="top"/>
          </w:tcPr>
          <w:p>
            <w:pPr>
              <w:spacing w:after="20" w:line="240" w:lineRule="auto"/>
            </w:pPr>
            <w:r>
              <w:rPr>
                <w:rFonts w:ascii="Arial" w:hAnsi="Arial"/>
                <w:b w:val="0"/>
                <w:color w:val="595959"/>
                <w:sz w:val="15"/>
              </w:rPr>
              <w:t>3</w:t>
            </w:r>
          </w:p>
        </w:tc>
        <w:tc>
          <w:tcPr>
            <w:tcW w:type="dxa" w:w="2328"/>
            <w:shd w:fill="F7F9FC"/>
            <w:vAlign w:val="top"/>
          </w:tcPr>
          <w:p>
            <w:pPr>
              <w:spacing w:after="20" w:line="240" w:lineRule="auto"/>
            </w:pPr>
            <w:r>
              <w:rPr>
                <w:rFonts w:ascii="Arial" w:hAnsi="Arial"/>
                <w:b w:val="0"/>
                <w:color w:val="595959"/>
                <w:sz w:val="15"/>
              </w:rPr>
              <w:t>3</w:t>
            </w:r>
          </w:p>
        </w:tc>
        <w:tc>
          <w:tcPr>
            <w:tcW w:type="dxa" w:w="2328"/>
            <w:shd w:fill="F7F9FC"/>
            <w:vAlign w:val="top"/>
          </w:tcPr>
          <w:p>
            <w:pPr>
              <w:spacing w:after="20" w:line="240" w:lineRule="auto"/>
            </w:pPr>
            <w:r>
              <w:rPr>
                <w:rFonts w:ascii="Arial" w:hAnsi="Arial"/>
                <w:b w:val="0"/>
                <w:color w:val="595959"/>
                <w:sz w:val="15"/>
              </w:rPr>
              <w:t>new_highs_minus_lows_z, adl_slope</w:t>
            </w:r>
          </w:p>
        </w:tc>
      </w:tr>
      <w:tr>
        <w:tc>
          <w:tcPr>
            <w:tcW w:type="dxa" w:w="2328"/>
            <w:vAlign w:val="top"/>
          </w:tcPr>
          <w:p>
            <w:pPr>
              <w:spacing w:after="20" w:line="240" w:lineRule="auto"/>
            </w:pPr>
            <w:r>
              <w:rPr>
                <w:rFonts w:ascii="Arial" w:hAnsi="Arial"/>
                <w:b w:val="0"/>
                <w:color w:val="595959"/>
                <w:sz w:val="15"/>
              </w:rPr>
              <w:t>Positioning</w:t>
            </w:r>
          </w:p>
        </w:tc>
        <w:tc>
          <w:tcPr>
            <w:tcW w:type="dxa" w:w="2328"/>
            <w:vAlign w:val="top"/>
          </w:tcPr>
          <w:p>
            <w:pPr>
              <w:spacing w:after="20" w:line="240" w:lineRule="auto"/>
            </w:pPr>
            <w:r>
              <w:rPr>
                <w:rFonts w:ascii="Arial" w:hAnsi="Arial"/>
                <w:b w:val="0"/>
                <w:color w:val="595959"/>
                <w:sz w:val="15"/>
              </w:rPr>
              <w:t>5</w:t>
            </w:r>
          </w:p>
        </w:tc>
        <w:tc>
          <w:tcPr>
            <w:tcW w:type="dxa" w:w="2328"/>
            <w:vAlign w:val="top"/>
          </w:tcPr>
          <w:p>
            <w:pPr>
              <w:spacing w:after="20" w:line="240" w:lineRule="auto"/>
            </w:pPr>
            <w:r>
              <w:rPr>
                <w:rFonts w:ascii="Arial" w:hAnsi="Arial"/>
                <w:b w:val="0"/>
                <w:color w:val="595959"/>
                <w:sz w:val="15"/>
              </w:rPr>
              <w:t>2</w:t>
            </w:r>
          </w:p>
        </w:tc>
        <w:tc>
          <w:tcPr>
            <w:tcW w:type="dxa" w:w="2328"/>
            <w:vAlign w:val="top"/>
          </w:tcPr>
          <w:p>
            <w:pPr>
              <w:spacing w:after="20" w:line="240" w:lineRule="auto"/>
            </w:pPr>
            <w:r>
              <w:rPr>
                <w:rFonts w:ascii="Arial" w:hAnsi="Arial"/>
                <w:b w:val="0"/>
                <w:color w:val="595959"/>
                <w:sz w:val="15"/>
              </w:rPr>
              <w:t>2</w:t>
            </w:r>
          </w:p>
        </w:tc>
        <w:tc>
          <w:tcPr>
            <w:tcW w:type="dxa" w:w="2328"/>
            <w:vAlign w:val="top"/>
          </w:tcPr>
          <w:p>
            <w:pPr>
              <w:spacing w:after="20" w:line="240" w:lineRule="auto"/>
            </w:pPr>
            <w:r>
              <w:rPr>
                <w:rFonts w:ascii="Arial" w:hAnsi="Arial"/>
                <w:b w:val="0"/>
                <w:color w:val="595959"/>
                <w:sz w:val="15"/>
              </w:rPr>
              <w:t>2</w:t>
            </w:r>
          </w:p>
        </w:tc>
        <w:tc>
          <w:tcPr>
            <w:tcW w:type="dxa" w:w="2328"/>
            <w:vAlign w:val="top"/>
          </w:tcPr>
          <w:p>
            <w:pPr>
              <w:spacing w:after="20" w:line="240" w:lineRule="auto"/>
            </w:pPr>
            <w:r>
              <w:rPr>
                <w:rFonts w:ascii="Arial" w:hAnsi="Arial"/>
                <w:b w:val="0"/>
                <w:color w:val="595959"/>
                <w:sz w:val="15"/>
              </w:rPr>
              <w:t>dealer_gamma_z, aaii_bull_minus_bear, equity_etf_flow_z</w:t>
            </w:r>
          </w:p>
        </w:tc>
      </w:tr>
      <w:tr>
        <w:tc>
          <w:tcPr>
            <w:tcW w:type="dxa" w:w="2328"/>
            <w:shd w:fill="F7F9FC"/>
            <w:vAlign w:val="top"/>
          </w:tcPr>
          <w:p>
            <w:pPr>
              <w:spacing w:after="20" w:line="240" w:lineRule="auto"/>
            </w:pPr>
            <w:r>
              <w:rPr>
                <w:rFonts w:ascii="Arial" w:hAnsi="Arial"/>
                <w:b w:val="0"/>
                <w:color w:val="595959"/>
                <w:sz w:val="15"/>
              </w:rPr>
              <w:t>Market/Tape</w:t>
            </w:r>
          </w:p>
        </w:tc>
        <w:tc>
          <w:tcPr>
            <w:tcW w:type="dxa" w:w="2328"/>
            <w:shd w:fill="F7F9FC"/>
            <w:vAlign w:val="top"/>
          </w:tcPr>
          <w:p>
            <w:pPr>
              <w:spacing w:after="20" w:line="240" w:lineRule="auto"/>
            </w:pPr>
            <w:r>
              <w:rPr>
                <w:rFonts w:ascii="Arial" w:hAnsi="Arial"/>
                <w:b w:val="0"/>
                <w:color w:val="595959"/>
                <w:sz w:val="15"/>
              </w:rPr>
              <w:t>13</w:t>
            </w:r>
          </w:p>
        </w:tc>
        <w:tc>
          <w:tcPr>
            <w:tcW w:type="dxa" w:w="2328"/>
            <w:shd w:fill="F7F9FC"/>
            <w:vAlign w:val="top"/>
          </w:tcPr>
          <w:p>
            <w:pPr>
              <w:spacing w:after="20" w:line="240" w:lineRule="auto"/>
            </w:pPr>
            <w:r>
              <w:rPr>
                <w:rFonts w:ascii="Arial" w:hAnsi="Arial"/>
                <w:b w:val="0"/>
                <w:color w:val="595959"/>
                <w:sz w:val="15"/>
              </w:rPr>
              <w:t>22</w:t>
            </w:r>
          </w:p>
        </w:tc>
        <w:tc>
          <w:tcPr>
            <w:tcW w:type="dxa" w:w="2328"/>
            <w:shd w:fill="F7F9FC"/>
            <w:vAlign w:val="top"/>
          </w:tcPr>
          <w:p>
            <w:pPr>
              <w:spacing w:after="20" w:line="240" w:lineRule="auto"/>
            </w:pPr>
            <w:r>
              <w:rPr>
                <w:rFonts w:ascii="Arial" w:hAnsi="Arial"/>
                <w:b w:val="0"/>
                <w:color w:val="595959"/>
                <w:sz w:val="15"/>
              </w:rPr>
              <w:t>11</w:t>
            </w:r>
          </w:p>
        </w:tc>
        <w:tc>
          <w:tcPr>
            <w:tcW w:type="dxa" w:w="2328"/>
            <w:shd w:fill="F7F9FC"/>
            <w:vAlign w:val="top"/>
          </w:tcPr>
          <w:p>
            <w:pPr>
              <w:spacing w:after="20" w:line="240" w:lineRule="auto"/>
            </w:pPr>
            <w:r>
              <w:rPr>
                <w:rFonts w:ascii="Arial" w:hAnsi="Arial"/>
                <w:b w:val="0"/>
                <w:color w:val="595959"/>
                <w:sz w:val="15"/>
              </w:rPr>
              <w:t>0</w:t>
            </w:r>
          </w:p>
        </w:tc>
        <w:tc>
          <w:tcPr>
            <w:tcW w:type="dxa" w:w="2328"/>
            <w:shd w:fill="F7F9FC"/>
            <w:vAlign w:val="top"/>
          </w:tcPr>
          <w:p>
            <w:pPr>
              <w:spacing w:after="20" w:line="240" w:lineRule="auto"/>
            </w:pPr>
            <w:r>
              <w:rPr>
                <w:rFonts w:ascii="Arial" w:hAnsi="Arial"/>
                <w:b w:val="0"/>
                <w:color w:val="595959"/>
                <w:sz w:val="15"/>
              </w:rPr>
              <w:t>sectors_green, leadership_top3</w:t>
            </w:r>
          </w:p>
        </w:tc>
      </w:tr>
      <w:tr>
        <w:tc>
          <w:tcPr>
            <w:tcW w:type="dxa" w:w="2328"/>
            <w:vAlign w:val="top"/>
          </w:tcPr>
          <w:p>
            <w:pPr>
              <w:spacing w:after="20" w:line="240" w:lineRule="auto"/>
            </w:pPr>
            <w:r>
              <w:rPr>
                <w:rFonts w:ascii="Arial" w:hAnsi="Arial"/>
                <w:b w:val="0"/>
                <w:color w:val="595959"/>
                <w:sz w:val="15"/>
              </w:rPr>
              <w:t>Rates/FX</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w:t>
            </w:r>
          </w:p>
        </w:tc>
      </w:tr>
      <w:tr>
        <w:tc>
          <w:tcPr>
            <w:tcW w:type="dxa" w:w="2328"/>
            <w:shd w:fill="F7F9FC"/>
            <w:vAlign w:val="top"/>
          </w:tcPr>
          <w:p>
            <w:pPr>
              <w:spacing w:after="20" w:line="240" w:lineRule="auto"/>
            </w:pPr>
            <w:r>
              <w:rPr>
                <w:rFonts w:ascii="Arial" w:hAnsi="Arial"/>
                <w:b w:val="0"/>
                <w:color w:val="595959"/>
                <w:sz w:val="15"/>
              </w:rPr>
              <w:t>Commodities/Oil</w:t>
            </w:r>
          </w:p>
        </w:tc>
        <w:tc>
          <w:tcPr>
            <w:tcW w:type="dxa" w:w="2328"/>
            <w:shd w:fill="F7F9FC"/>
            <w:vAlign w:val="top"/>
          </w:tcPr>
          <w:p>
            <w:pPr>
              <w:spacing w:after="20" w:line="240" w:lineRule="auto"/>
            </w:pPr>
            <w:r>
              <w:rPr>
                <w:rFonts w:ascii="Arial" w:hAnsi="Arial"/>
                <w:b w:val="0"/>
                <w:color w:val="595959"/>
                <w:sz w:val="15"/>
              </w:rPr>
              <w:t>0</w:t>
            </w:r>
          </w:p>
        </w:tc>
        <w:tc>
          <w:tcPr>
            <w:tcW w:type="dxa" w:w="2328"/>
            <w:shd w:fill="F7F9FC"/>
            <w:vAlign w:val="top"/>
          </w:tcPr>
          <w:p>
            <w:pPr>
              <w:spacing w:after="20" w:line="240" w:lineRule="auto"/>
            </w:pPr>
            <w:r>
              <w:rPr>
                <w:rFonts w:ascii="Arial" w:hAnsi="Arial"/>
                <w:b w:val="0"/>
                <w:color w:val="595959"/>
                <w:sz w:val="15"/>
              </w:rPr>
              <w:t>0</w:t>
            </w:r>
          </w:p>
        </w:tc>
        <w:tc>
          <w:tcPr>
            <w:tcW w:type="dxa" w:w="2328"/>
            <w:shd w:fill="F7F9FC"/>
            <w:vAlign w:val="top"/>
          </w:tcPr>
          <w:p>
            <w:pPr>
              <w:spacing w:after="20" w:line="240" w:lineRule="auto"/>
            </w:pPr>
            <w:r>
              <w:rPr>
                <w:rFonts w:ascii="Arial" w:hAnsi="Arial"/>
                <w:b w:val="0"/>
                <w:color w:val="595959"/>
                <w:sz w:val="15"/>
              </w:rPr>
              <w:t>0</w:t>
            </w:r>
          </w:p>
        </w:tc>
        <w:tc>
          <w:tcPr>
            <w:tcW w:type="dxa" w:w="2328"/>
            <w:shd w:fill="F7F9FC"/>
            <w:vAlign w:val="top"/>
          </w:tcPr>
          <w:p>
            <w:pPr>
              <w:spacing w:after="20" w:line="240" w:lineRule="auto"/>
            </w:pPr>
            <w:r>
              <w:rPr>
                <w:rFonts w:ascii="Arial" w:hAnsi="Arial"/>
                <w:b w:val="0"/>
                <w:color w:val="595959"/>
                <w:sz w:val="15"/>
              </w:rPr>
              <w:t>0</w:t>
            </w:r>
          </w:p>
        </w:tc>
        <w:tc>
          <w:tcPr>
            <w:tcW w:type="dxa" w:w="2328"/>
            <w:shd w:fill="F7F9FC"/>
            <w:vAlign w:val="top"/>
          </w:tcPr>
          <w:p>
            <w:pPr>
              <w:spacing w:after="20" w:line="240" w:lineRule="auto"/>
            </w:pPr>
            <w:r>
              <w:rPr>
                <w:rFonts w:ascii="Arial" w:hAnsi="Arial"/>
                <w:b w:val="0"/>
                <w:color w:val="595959"/>
                <w:sz w:val="15"/>
              </w:rPr>
              <w:t>-</w:t>
            </w:r>
          </w:p>
        </w:tc>
      </w:tr>
      <w:tr>
        <w:tc>
          <w:tcPr>
            <w:tcW w:type="dxa" w:w="2328"/>
            <w:vAlign w:val="top"/>
          </w:tcPr>
          <w:p>
            <w:pPr>
              <w:spacing w:after="20" w:line="240" w:lineRule="auto"/>
            </w:pPr>
            <w:r>
              <w:rPr>
                <w:rFonts w:ascii="Arial" w:hAnsi="Arial"/>
                <w:b w:val="0"/>
                <w:color w:val="595959"/>
                <w:sz w:val="15"/>
              </w:rPr>
              <w:t>Earnings/Theme</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Raw Input Coverage Totals</w:t>
      </w:r>
    </w:p>
    <w:tbl>
      <w:tblPr>
        <w:tblStyle w:val="TableGrid"/>
        <w:tblW w:type="auto" w:w="0"/>
        <w:jc w:val="center"/>
        <w:tblLayout w:type="autofit"/>
        <w:tblLook w:firstColumn="1" w:firstRow="1" w:lastColumn="0" w:lastRow="0" w:noHBand="0" w:noVBand="1" w:val="04A0"/>
      </w:tblPr>
      <w:tblGrid>
        <w:gridCol w:w="6984"/>
        <w:gridCol w:w="6984"/>
      </w:tblGrid>
      <w:tr>
        <w:trPr>
          <w:tblHeader w:val="true"/>
        </w:trPr>
        <w:tc>
          <w:tcPr>
            <w:tcW w:type="dxa" w:w="6984"/>
            <w:shd w:fill="1F4E79"/>
            <w:vAlign w:val="top"/>
          </w:tcPr>
          <w:p>
            <w:pPr>
              <w:spacing w:after="20" w:line="240" w:lineRule="auto"/>
            </w:pPr>
            <w:r>
              <w:rPr>
                <w:rFonts w:ascii="Arial" w:hAnsi="Arial"/>
                <w:b/>
                <w:color w:val="FFFFFF"/>
                <w:sz w:val="15"/>
              </w:rPr>
              <w:t>Metric</w:t>
            </w:r>
          </w:p>
        </w:tc>
        <w:tc>
          <w:tcPr>
            <w:tcW w:type="dxa" w:w="6984"/>
            <w:shd w:fill="1F4E79"/>
            <w:vAlign w:val="top"/>
          </w:tcPr>
          <w:p>
            <w:pPr>
              <w:spacing w:after="20" w:line="240" w:lineRule="auto"/>
            </w:pPr>
            <w:r>
              <w:rPr>
                <w:rFonts w:ascii="Arial" w:hAnsi="Arial"/>
                <w:b/>
                <w:color w:val="FFFFFF"/>
                <w:sz w:val="15"/>
              </w:rPr>
              <w:t>Count</w:t>
            </w:r>
          </w:p>
        </w:tc>
      </w:tr>
      <w:tr>
        <w:tc>
          <w:tcPr>
            <w:tcW w:type="dxa" w:w="6984"/>
            <w:vAlign w:val="top"/>
          </w:tcPr>
          <w:p>
            <w:pPr>
              <w:spacing w:after="20" w:line="240" w:lineRule="auto"/>
            </w:pPr>
            <w:r>
              <w:rPr>
                <w:rFonts w:ascii="Arial" w:hAnsi="Arial"/>
                <w:b w:val="0"/>
                <w:color w:val="595959"/>
                <w:sz w:val="15"/>
              </w:rPr>
              <w:t>total_raw_signals_expected</w:t>
            </w:r>
          </w:p>
        </w:tc>
        <w:tc>
          <w:tcPr>
            <w:tcW w:type="dxa" w:w="6984"/>
            <w:vAlign w:val="top"/>
          </w:tcPr>
          <w:p>
            <w:pPr>
              <w:spacing w:after="20" w:line="240" w:lineRule="auto"/>
            </w:pPr>
            <w:r>
              <w:rPr>
                <w:rFonts w:ascii="Arial" w:hAnsi="Arial"/>
                <w:b w:val="0"/>
                <w:color w:val="595959"/>
                <w:sz w:val="15"/>
              </w:rPr>
              <w:t>42</w:t>
            </w:r>
          </w:p>
        </w:tc>
      </w:tr>
      <w:tr>
        <w:tc>
          <w:tcPr>
            <w:tcW w:type="dxa" w:w="6984"/>
            <w:shd w:fill="F7F9FC"/>
            <w:vAlign w:val="top"/>
          </w:tcPr>
          <w:p>
            <w:pPr>
              <w:spacing w:after="20" w:line="240" w:lineRule="auto"/>
            </w:pPr>
            <w:r>
              <w:rPr>
                <w:rFonts w:ascii="Arial" w:hAnsi="Arial"/>
                <w:b w:val="0"/>
                <w:color w:val="595959"/>
                <w:sz w:val="15"/>
              </w:rPr>
              <w:t>total_raw_signals_available</w:t>
            </w:r>
          </w:p>
        </w:tc>
        <w:tc>
          <w:tcPr>
            <w:tcW w:type="dxa" w:w="6984"/>
            <w:shd w:fill="F7F9FC"/>
            <w:vAlign w:val="top"/>
          </w:tcPr>
          <w:p>
            <w:pPr>
              <w:spacing w:after="20" w:line="240" w:lineRule="auto"/>
            </w:pPr>
            <w:r>
              <w:rPr>
                <w:rFonts w:ascii="Arial" w:hAnsi="Arial"/>
                <w:b w:val="0"/>
                <w:color w:val="595959"/>
                <w:sz w:val="15"/>
              </w:rPr>
              <w:t>46</w:t>
            </w:r>
          </w:p>
        </w:tc>
      </w:tr>
      <w:tr>
        <w:tc>
          <w:tcPr>
            <w:tcW w:type="dxa" w:w="6984"/>
            <w:vAlign w:val="top"/>
          </w:tcPr>
          <w:p>
            <w:pPr>
              <w:spacing w:after="20" w:line="240" w:lineRule="auto"/>
            </w:pPr>
            <w:r>
              <w:rPr>
                <w:rFonts w:ascii="Arial" w:hAnsi="Arial"/>
                <w:b w:val="0"/>
                <w:color w:val="595959"/>
                <w:sz w:val="15"/>
              </w:rPr>
              <w:t>total_raw_signals_used_in_probability_update</w:t>
            </w:r>
          </w:p>
        </w:tc>
        <w:tc>
          <w:tcPr>
            <w:tcW w:type="dxa" w:w="6984"/>
            <w:vAlign w:val="top"/>
          </w:tcPr>
          <w:p>
            <w:pPr>
              <w:spacing w:after="20" w:line="240" w:lineRule="auto"/>
            </w:pPr>
            <w:r>
              <w:rPr>
                <w:rFonts w:ascii="Arial" w:hAnsi="Arial"/>
                <w:b w:val="0"/>
                <w:color w:val="595959"/>
                <w:sz w:val="15"/>
              </w:rPr>
              <w:t>34</w:t>
            </w:r>
          </w:p>
        </w:tc>
      </w:tr>
      <w:tr>
        <w:tc>
          <w:tcPr>
            <w:tcW w:type="dxa" w:w="6984"/>
            <w:shd w:fill="F7F9FC"/>
            <w:vAlign w:val="top"/>
          </w:tcPr>
          <w:p>
            <w:pPr>
              <w:spacing w:after="20" w:line="240" w:lineRule="auto"/>
            </w:pPr>
            <w:r>
              <w:rPr>
                <w:rFonts w:ascii="Arial" w:hAnsi="Arial"/>
                <w:b w:val="0"/>
                <w:color w:val="595959"/>
                <w:sz w:val="15"/>
              </w:rPr>
              <w:t>total_raw_signals_used_in_historical_similarity</w:t>
            </w:r>
          </w:p>
        </w:tc>
        <w:tc>
          <w:tcPr>
            <w:tcW w:type="dxa" w:w="6984"/>
            <w:shd w:fill="F7F9FC"/>
            <w:vAlign w:val="top"/>
          </w:tcPr>
          <w:p>
            <w:pPr>
              <w:spacing w:after="20" w:line="240" w:lineRule="auto"/>
            </w:pPr>
            <w:r>
              <w:rPr>
                <w:rFonts w:ascii="Arial" w:hAnsi="Arial"/>
                <w:b w:val="0"/>
                <w:color w:val="595959"/>
                <w:sz w:val="15"/>
              </w:rPr>
              <w:t>23</w:t>
            </w:r>
          </w:p>
        </w:tc>
      </w:tr>
      <w:tr>
        <w:tc>
          <w:tcPr>
            <w:tcW w:type="dxa" w:w="6984"/>
            <w:vAlign w:val="top"/>
          </w:tcPr>
          <w:p>
            <w:pPr>
              <w:spacing w:after="20" w:line="240" w:lineRule="auto"/>
            </w:pPr>
            <w:r>
              <w:rPr>
                <w:rFonts w:ascii="Arial" w:hAnsi="Arial"/>
                <w:b w:val="0"/>
                <w:color w:val="595959"/>
                <w:sz w:val="15"/>
              </w:rPr>
              <w:t>total_raw_signals_display_only</w:t>
            </w:r>
          </w:p>
        </w:tc>
        <w:tc>
          <w:tcPr>
            <w:tcW w:type="dxa" w:w="6984"/>
            <w:vAlign w:val="top"/>
          </w:tcPr>
          <w:p>
            <w:pPr>
              <w:spacing w:after="20" w:line="240" w:lineRule="auto"/>
            </w:pPr>
            <w:r>
              <w:rPr>
                <w:rFonts w:ascii="Arial" w:hAnsi="Arial"/>
                <w:b w:val="0"/>
                <w:color w:val="595959"/>
                <w:sz w:val="15"/>
              </w:rPr>
              <w:t>0</w:t>
            </w:r>
          </w:p>
        </w:tc>
      </w:tr>
      <w:tr>
        <w:tc>
          <w:tcPr>
            <w:tcW w:type="dxa" w:w="6984"/>
            <w:shd w:fill="F7F9FC"/>
            <w:vAlign w:val="top"/>
          </w:tcPr>
          <w:p>
            <w:pPr>
              <w:spacing w:after="20" w:line="240" w:lineRule="auto"/>
            </w:pPr>
            <w:r>
              <w:rPr>
                <w:rFonts w:ascii="Arial" w:hAnsi="Arial"/>
                <w:b w:val="0"/>
                <w:color w:val="595959"/>
                <w:sz w:val="15"/>
              </w:rPr>
              <w:t>total_raw_signals_missing</w:t>
            </w:r>
          </w:p>
        </w:tc>
        <w:tc>
          <w:tcPr>
            <w:tcW w:type="dxa" w:w="6984"/>
            <w:shd w:fill="F7F9FC"/>
            <w:vAlign w:val="top"/>
          </w:tcPr>
          <w:p>
            <w:pPr>
              <w:spacing w:after="20" w:line="240" w:lineRule="auto"/>
            </w:pPr>
            <w:r>
              <w:rPr>
                <w:rFonts w:ascii="Arial" w:hAnsi="Arial"/>
                <w:b w:val="0"/>
                <w:color w:val="595959"/>
                <w:sz w:val="15"/>
              </w:rPr>
              <w:t>8</w:t>
            </w:r>
          </w:p>
        </w:tc>
      </w:tr>
    </w:tbl>
    <w:p>
      <w:pPr>
        <w:spacing w:after="120"/>
      </w:pPr>
    </w:p>
    <w:p>
      <w:pPr>
        <w:spacing w:before="180" w:after="80"/>
      </w:pPr>
      <w:r>
        <w:rPr>
          <w:rFonts w:ascii="Arial" w:hAnsi="Arial"/>
          <w:b/>
          <w:color w:val="2E75B6"/>
          <w:sz w:val="21"/>
        </w:rPr>
        <w:t>Raw Component Signals</w:t>
      </w:r>
    </w:p>
    <w:tbl>
      <w:tblPr>
        <w:tblStyle w:val="TableGrid"/>
        <w:tblW w:type="auto" w:w="0"/>
        <w:jc w:val="center"/>
        <w:tblLayout w:type="autofit"/>
        <w:tblLook w:firstColumn="1" w:firstRow="1" w:lastColumn="0" w:lastRow="0" w:noHBand="0" w:noVBand="1" w:val="04A0"/>
      </w:tblPr>
      <w:tblGrid>
        <w:gridCol w:w="1552"/>
        <w:gridCol w:w="1552"/>
        <w:gridCol w:w="1552"/>
        <w:gridCol w:w="1552"/>
        <w:gridCol w:w="1552"/>
        <w:gridCol w:w="1552"/>
        <w:gridCol w:w="1552"/>
        <w:gridCol w:w="1552"/>
        <w:gridCol w:w="1552"/>
      </w:tblGrid>
      <w:tr>
        <w:trPr>
          <w:tblHeader w:val="true"/>
        </w:trPr>
        <w:tc>
          <w:tcPr>
            <w:tcW w:type="dxa" w:w="1552"/>
            <w:shd w:fill="1F4E79"/>
            <w:vAlign w:val="top"/>
          </w:tcPr>
          <w:p>
            <w:pPr>
              <w:spacing w:after="20" w:line="240" w:lineRule="auto"/>
            </w:pPr>
            <w:r>
              <w:rPr>
                <w:rFonts w:ascii="Arial" w:hAnsi="Arial"/>
                <w:b/>
                <w:color w:val="FFFFFF"/>
                <w:sz w:val="15"/>
              </w:rPr>
              <w:t>Input</w:t>
            </w:r>
          </w:p>
        </w:tc>
        <w:tc>
          <w:tcPr>
            <w:tcW w:type="dxa" w:w="1552"/>
            <w:shd w:fill="1F4E79"/>
            <w:vAlign w:val="top"/>
          </w:tcPr>
          <w:p>
            <w:pPr>
              <w:spacing w:after="20" w:line="240" w:lineRule="auto"/>
            </w:pPr>
            <w:r>
              <w:rPr>
                <w:rFonts w:ascii="Arial" w:hAnsi="Arial"/>
                <w:b/>
                <w:color w:val="FFFFFF"/>
                <w:sz w:val="15"/>
              </w:rPr>
              <w:t>Source Object</w:t>
            </w:r>
          </w:p>
        </w:tc>
        <w:tc>
          <w:tcPr>
            <w:tcW w:type="dxa" w:w="1552"/>
            <w:shd w:fill="1F4E79"/>
            <w:vAlign w:val="top"/>
          </w:tcPr>
          <w:p>
            <w:pPr>
              <w:spacing w:after="20" w:line="240" w:lineRule="auto"/>
            </w:pPr>
            <w:r>
              <w:rPr>
                <w:rFonts w:ascii="Arial" w:hAnsi="Arial"/>
                <w:b/>
                <w:color w:val="FFFFFF"/>
                <w:sz w:val="15"/>
              </w:rPr>
              <w:t>Parent Layer</w:t>
            </w:r>
          </w:p>
        </w:tc>
        <w:tc>
          <w:tcPr>
            <w:tcW w:type="dxa" w:w="1552"/>
            <w:shd w:fill="1F4E79"/>
            <w:vAlign w:val="top"/>
          </w:tcPr>
          <w:p>
            <w:pPr>
              <w:spacing w:after="20" w:line="240" w:lineRule="auto"/>
            </w:pPr>
            <w:r>
              <w:rPr>
                <w:rFonts w:ascii="Arial" w:hAnsi="Arial"/>
                <w:b/>
                <w:color w:val="FFFFFF"/>
                <w:sz w:val="15"/>
              </w:rPr>
              <w:t>Raw Value</w:t>
            </w:r>
          </w:p>
        </w:tc>
        <w:tc>
          <w:tcPr>
            <w:tcW w:type="dxa" w:w="1552"/>
            <w:shd w:fill="1F4E79"/>
            <w:vAlign w:val="top"/>
          </w:tcPr>
          <w:p>
            <w:pPr>
              <w:spacing w:after="20" w:line="240" w:lineRule="auto"/>
            </w:pPr>
            <w:r>
              <w:rPr>
                <w:rFonts w:ascii="Arial" w:hAnsi="Arial"/>
                <w:b/>
                <w:color w:val="FFFFFF"/>
                <w:sz w:val="15"/>
              </w:rPr>
              <w:t>Status</w:t>
            </w:r>
          </w:p>
        </w:tc>
        <w:tc>
          <w:tcPr>
            <w:tcW w:type="dxa" w:w="1552"/>
            <w:shd w:fill="1F4E79"/>
            <w:vAlign w:val="top"/>
          </w:tcPr>
          <w:p>
            <w:pPr>
              <w:spacing w:after="20" w:line="240" w:lineRule="auto"/>
            </w:pPr>
            <w:r>
              <w:rPr>
                <w:rFonts w:ascii="Arial" w:hAnsi="Arial"/>
                <w:b/>
                <w:color w:val="FFFFFF"/>
                <w:sz w:val="15"/>
              </w:rPr>
              <w:t>Trend</w:t>
            </w:r>
          </w:p>
        </w:tc>
        <w:tc>
          <w:tcPr>
            <w:tcW w:type="dxa" w:w="1552"/>
            <w:shd w:fill="1F4E79"/>
            <w:vAlign w:val="top"/>
          </w:tcPr>
          <w:p>
            <w:pPr>
              <w:spacing w:after="20" w:line="240" w:lineRule="auto"/>
            </w:pPr>
            <w:r>
              <w:rPr>
                <w:rFonts w:ascii="Arial" w:hAnsi="Arial"/>
                <w:b/>
                <w:color w:val="FFFFFF"/>
                <w:sz w:val="15"/>
              </w:rPr>
              <w:t>Used in Math?</w:t>
            </w:r>
          </w:p>
        </w:tc>
        <w:tc>
          <w:tcPr>
            <w:tcW w:type="dxa" w:w="1552"/>
            <w:shd w:fill="1F4E79"/>
            <w:vAlign w:val="top"/>
          </w:tcPr>
          <w:p>
            <w:pPr>
              <w:spacing w:after="20" w:line="240" w:lineRule="auto"/>
            </w:pPr>
            <w:r>
              <w:rPr>
                <w:rFonts w:ascii="Arial" w:hAnsi="Arial"/>
                <w:b/>
                <w:color w:val="FFFFFF"/>
                <w:sz w:val="15"/>
              </w:rPr>
              <w:t>Used in Analogues?</w:t>
            </w:r>
          </w:p>
        </w:tc>
        <w:tc>
          <w:tcPr>
            <w:tcW w:type="dxa" w:w="1552"/>
            <w:shd w:fill="1F4E79"/>
            <w:vAlign w:val="top"/>
          </w:tcPr>
          <w:p>
            <w:pPr>
              <w:spacing w:after="20" w:line="240" w:lineRule="auto"/>
            </w:pPr>
            <w:r>
              <w:rPr>
                <w:rFonts w:ascii="Arial" w:hAnsi="Arial"/>
                <w:b/>
                <w:color w:val="FFFFFF"/>
                <w:sz w:val="15"/>
              </w:rPr>
              <w:t>Top Scenario Effects</w:t>
            </w:r>
          </w:p>
        </w:tc>
      </w:tr>
      <w:tr>
        <w:tc>
          <w:tcPr>
            <w:tcW w:type="dxa" w:w="1552"/>
            <w:vAlign w:val="top"/>
          </w:tcPr>
          <w:p>
            <w:pPr>
              <w:spacing w:after="20" w:line="240" w:lineRule="auto"/>
            </w:pPr>
            <w:r>
              <w:rPr>
                <w:rFonts w:ascii="Arial" w:hAnsi="Arial"/>
                <w:b w:val="0"/>
                <w:color w:val="595959"/>
                <w:sz w:val="15"/>
              </w:rPr>
              <w:t>Fed path 2026-06-17</w:t>
            </w:r>
          </w:p>
        </w:tc>
        <w:tc>
          <w:tcPr>
            <w:tcW w:type="dxa" w:w="1552"/>
            <w:vAlign w:val="top"/>
          </w:tcPr>
          <w:p>
            <w:pPr>
              <w:spacing w:after="20" w:line="240" w:lineRule="auto"/>
            </w:pPr>
            <w:r>
              <w:rPr>
                <w:rFonts w:ascii="Arial" w:hAnsi="Arial"/>
                <w:b w:val="0"/>
                <w:color w:val="595959"/>
                <w:sz w:val="15"/>
              </w:rPr>
              <w:t>RegimeState</w:t>
            </w:r>
          </w:p>
        </w:tc>
        <w:tc>
          <w:tcPr>
            <w:tcW w:type="dxa" w:w="1552"/>
            <w:vAlign w:val="top"/>
          </w:tcPr>
          <w:p>
            <w:pPr>
              <w:spacing w:after="20" w:line="240" w:lineRule="auto"/>
            </w:pPr>
            <w:r>
              <w:rPr>
                <w:rFonts w:ascii="Arial" w:hAnsi="Arial"/>
                <w:b w:val="0"/>
                <w:color w:val="595959"/>
                <w:sz w:val="15"/>
              </w:rPr>
              <w:t>monetary</w:t>
            </w:r>
          </w:p>
        </w:tc>
        <w:tc>
          <w:tcPr>
            <w:tcW w:type="dxa" w:w="1552"/>
            <w:vAlign w:val="top"/>
          </w:tcPr>
          <w:p>
            <w:pPr>
              <w:spacing w:after="20" w:line="240" w:lineRule="auto"/>
            </w:pPr>
            <w:r>
              <w:rPr>
                <w:rFonts w:ascii="Arial" w:hAnsi="Arial"/>
                <w:b w:val="0"/>
                <w:color w:val="595959"/>
                <w:sz w:val="15"/>
              </w:rPr>
              <w:t>0.80</w:t>
            </w:r>
          </w:p>
        </w:tc>
        <w:tc>
          <w:tcPr>
            <w:tcW w:type="dxa" w:w="1552"/>
            <w:vAlign w:val="top"/>
          </w:tcPr>
          <w:p>
            <w:pPr>
              <w:spacing w:after="20" w:line="240" w:lineRule="auto"/>
            </w:pPr>
            <w:r>
              <w:rPr>
                <w:rFonts w:ascii="Arial" w:hAnsi="Arial"/>
                <w:b w:val="0"/>
                <w:color w:val="C00000"/>
                <w:sz w:val="15"/>
              </w:rPr>
              <w:t>bearish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C00000"/>
                <w:sz w:val="15"/>
              </w:rPr>
              <w:t>no</w:t>
            </w:r>
          </w:p>
        </w:tc>
        <w:tc>
          <w:tcPr>
            <w:tcW w:type="dxa" w:w="1552"/>
            <w:vAlign w:val="top"/>
          </w:tcPr>
          <w:p>
            <w:pPr>
              <w:spacing w:after="20" w:line="240" w:lineRule="auto"/>
            </w:pPr>
            <w:r>
              <w:rPr>
                <w:rFonts w:ascii="Arial" w:hAnsi="Arial"/>
                <w:b w:val="0"/>
                <w:color w:val="C00000"/>
                <w:sz w:val="15"/>
              </w:rPr>
              <w:t>no</w:t>
            </w:r>
          </w:p>
        </w:tc>
        <w:tc>
          <w:tcPr>
            <w:tcW w:type="dxa" w:w="1552"/>
            <w:vAlign w:val="top"/>
          </w:tcPr>
          <w:p>
            <w:pPr>
              <w:spacing w:after="20" w:line="240" w:lineRule="auto"/>
            </w:pPr>
            <w:r>
              <w:rPr>
                <w:rFonts w:ascii="Arial" w:hAnsi="Arial"/>
                <w:b w:val="0"/>
                <w:color w:val="595959"/>
                <w:sz w:val="15"/>
              </w:rPr>
              <w:t>sticky_late_cycle_ai increases 0.45, oil_inflation_tail increases 0.35, reopening_soft_landing decreases 0.45</w:t>
            </w:r>
          </w:p>
        </w:tc>
      </w:tr>
      <w:tr>
        <w:tc>
          <w:tcPr>
            <w:tcW w:type="dxa" w:w="1552"/>
            <w:shd w:fill="F7F9FC"/>
            <w:vAlign w:val="top"/>
          </w:tcPr>
          <w:p>
            <w:pPr>
              <w:spacing w:after="20" w:line="240" w:lineRule="auto"/>
            </w:pPr>
            <w:r>
              <w:rPr>
                <w:rFonts w:ascii="Arial" w:hAnsi="Arial"/>
                <w:b w:val="0"/>
                <w:color w:val="595959"/>
                <w:sz w:val="15"/>
              </w:rPr>
              <w:t>Hy Spread Level</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credit</w:t>
            </w:r>
          </w:p>
        </w:tc>
        <w:tc>
          <w:tcPr>
            <w:tcW w:type="dxa" w:w="1552"/>
            <w:shd w:fill="F7F9FC"/>
            <w:vAlign w:val="top"/>
          </w:tcPr>
          <w:p>
            <w:pPr>
              <w:spacing w:after="20" w:line="240" w:lineRule="auto"/>
            </w:pPr>
            <w:r>
              <w:rPr>
                <w:rFonts w:ascii="Arial" w:hAnsi="Arial"/>
                <w:b w:val="0"/>
                <w:color w:val="595959"/>
                <w:sz w:val="15"/>
              </w:rPr>
              <w:t>280.00</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late_cycle_risk_off decreases 0.25, reopening_soft_landing increases 0.18, sticky_late_cycle_ai increases 0.10</w:t>
            </w:r>
          </w:p>
        </w:tc>
      </w:tr>
      <w:tr>
        <w:tc>
          <w:tcPr>
            <w:tcW w:type="dxa" w:w="1552"/>
            <w:vAlign w:val="top"/>
          </w:tcPr>
          <w:p>
            <w:pPr>
              <w:spacing w:after="20" w:line="240" w:lineRule="auto"/>
            </w:pPr>
            <w:r>
              <w:rPr>
                <w:rFonts w:ascii="Arial" w:hAnsi="Arial"/>
                <w:b w:val="0"/>
                <w:color w:val="595959"/>
                <w:sz w:val="15"/>
              </w:rPr>
              <w:t>Pct Above 200D</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breadth</w:t>
            </w:r>
          </w:p>
        </w:tc>
        <w:tc>
          <w:tcPr>
            <w:tcW w:type="dxa" w:w="1552"/>
            <w:vAlign w:val="top"/>
          </w:tcPr>
          <w:p>
            <w:pPr>
              <w:spacing w:after="20" w:line="240" w:lineRule="auto"/>
            </w:pPr>
            <w:r>
              <w:rPr>
                <w:rFonts w:ascii="Arial" w:hAnsi="Arial"/>
                <w:b w:val="0"/>
                <w:color w:val="595959"/>
                <w:sz w:val="15"/>
              </w:rPr>
              <w:t>81.80</w:t>
            </w:r>
          </w:p>
        </w:tc>
        <w:tc>
          <w:tcPr>
            <w:tcW w:type="dxa" w:w="1552"/>
            <w:vAlign w:val="top"/>
          </w:tcPr>
          <w:p>
            <w:pPr>
              <w:spacing w:after="20" w:line="240" w:lineRule="auto"/>
            </w:pPr>
            <w:r>
              <w:rPr>
                <w:rFonts w:ascii="Arial" w:hAnsi="Arial"/>
                <w:b w:val="0"/>
                <w:color w:val="375623"/>
                <w:sz w:val="15"/>
              </w:rPr>
              <w:t>bullish</w:t>
            </w:r>
          </w:p>
        </w:tc>
        <w:tc>
          <w:tcPr>
            <w:tcW w:type="dxa" w:w="1552"/>
            <w:vAlign w:val="top"/>
          </w:tcPr>
          <w:p>
            <w:pPr>
              <w:spacing w:after="20" w:line="240" w:lineRule="auto"/>
            </w:pPr>
            <w:r>
              <w:rPr>
                <w:rFonts w:ascii="Arial" w:hAnsi="Arial"/>
                <w:b w:val="0"/>
                <w:color w:val="375623"/>
                <w:sz w:val="15"/>
              </w:rPr>
              <w:t>improving</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reopening_soft_landing increases 0.25, sticky_late_cycle_ai decreases 0.14, late_cycle_risk_off decreases 0.14</w:t>
            </w:r>
          </w:p>
        </w:tc>
      </w:tr>
      <w:tr>
        <w:tc>
          <w:tcPr>
            <w:tcW w:type="dxa" w:w="1552"/>
            <w:shd w:fill="F7F9FC"/>
            <w:vAlign w:val="top"/>
          </w:tcPr>
          <w:p>
            <w:pPr>
              <w:spacing w:after="20" w:line="240" w:lineRule="auto"/>
            </w:pPr>
            <w:r>
              <w:rPr>
                <w:rFonts w:ascii="Arial" w:hAnsi="Arial"/>
                <w:b w:val="0"/>
                <w:color w:val="595959"/>
                <w:sz w:val="15"/>
              </w:rPr>
              <w:t>Sectors Green</w:t>
            </w:r>
          </w:p>
        </w:tc>
        <w:tc>
          <w:tcPr>
            <w:tcW w:type="dxa" w:w="1552"/>
            <w:shd w:fill="F7F9FC"/>
            <w:vAlign w:val="top"/>
          </w:tcPr>
          <w:p>
            <w:pPr>
              <w:spacing w:after="20" w:line="240" w:lineRule="auto"/>
            </w:pPr>
            <w:r>
              <w:rPr>
                <w:rFonts w:ascii="Arial" w:hAnsi="Arial"/>
                <w:b w:val="0"/>
                <w:color w:val="595959"/>
                <w:sz w:val="15"/>
              </w:rPr>
              <w:t>MarketState</w:t>
            </w:r>
          </w:p>
        </w:tc>
        <w:tc>
          <w:tcPr>
            <w:tcW w:type="dxa" w:w="1552"/>
            <w:shd w:fill="F7F9FC"/>
            <w:vAlign w:val="top"/>
          </w:tcPr>
          <w:p>
            <w:pPr>
              <w:spacing w:after="20" w:line="240" w:lineRule="auto"/>
            </w:pPr>
            <w:r>
              <w:rPr>
                <w:rFonts w:ascii="Arial" w:hAnsi="Arial"/>
                <w:b w:val="0"/>
                <w:color w:val="595959"/>
                <w:sz w:val="15"/>
              </w:rPr>
              <w:t>breadth</w:t>
            </w:r>
          </w:p>
        </w:tc>
        <w:tc>
          <w:tcPr>
            <w:tcW w:type="dxa" w:w="1552"/>
            <w:shd w:fill="F7F9FC"/>
            <w:vAlign w:val="top"/>
          </w:tcPr>
          <w:p>
            <w:pPr>
              <w:spacing w:after="20" w:line="240" w:lineRule="auto"/>
            </w:pPr>
            <w:r>
              <w:rPr>
                <w:rFonts w:ascii="Arial" w:hAnsi="Arial"/>
                <w:b w:val="0"/>
                <w:color w:val="595959"/>
                <w:sz w:val="15"/>
              </w:rPr>
              <w:t>9.00</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375623"/>
                <w:sz w:val="15"/>
              </w:rPr>
              <w:t>improving</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reopening_soft_landing increases 0.25, sticky_late_cycle_ai decreases 0.14, late_cycle_risk_off decreases 0.14</w:t>
            </w:r>
          </w:p>
        </w:tc>
      </w:tr>
      <w:tr>
        <w:tc>
          <w:tcPr>
            <w:tcW w:type="dxa" w:w="1552"/>
            <w:vAlign w:val="top"/>
          </w:tcPr>
          <w:p>
            <w:pPr>
              <w:spacing w:after="20" w:line="240" w:lineRule="auto"/>
            </w:pPr>
            <w:r>
              <w:rPr>
                <w:rFonts w:ascii="Arial" w:hAnsi="Arial"/>
                <w:b w:val="0"/>
                <w:color w:val="595959"/>
                <w:sz w:val="15"/>
              </w:rPr>
              <w:t>NFCI inverted</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monetary</w:t>
            </w:r>
          </w:p>
        </w:tc>
        <w:tc>
          <w:tcPr>
            <w:tcW w:type="dxa" w:w="1552"/>
            <w:vAlign w:val="top"/>
          </w:tcPr>
          <w:p>
            <w:pPr>
              <w:spacing w:after="20" w:line="240" w:lineRule="auto"/>
            </w:pPr>
            <w:r>
              <w:rPr>
                <w:rFonts w:ascii="Arial" w:hAnsi="Arial"/>
                <w:b w:val="0"/>
                <w:color w:val="595959"/>
                <w:sz w:val="15"/>
              </w:rPr>
              <w:t>0.82</w:t>
            </w:r>
          </w:p>
        </w:tc>
        <w:tc>
          <w:tcPr>
            <w:tcW w:type="dxa" w:w="1552"/>
            <w:vAlign w:val="top"/>
          </w:tcPr>
          <w:p>
            <w:pPr>
              <w:spacing w:after="20" w:line="240" w:lineRule="auto"/>
            </w:pPr>
            <w:r>
              <w:rPr>
                <w:rFonts w:ascii="Arial" w:hAnsi="Arial"/>
                <w:b w:val="0"/>
                <w:color w:val="375623"/>
                <w:sz w:val="15"/>
              </w:rPr>
              <w:t>bullish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reopening_soft_landing increases 0.22, late_cycle_risk_off decreases 0.18, sticky_late_cycle_ai decreases 0.08</w:t>
            </w:r>
          </w:p>
        </w:tc>
      </w:tr>
      <w:tr>
        <w:tc>
          <w:tcPr>
            <w:tcW w:type="dxa" w:w="1552"/>
            <w:shd w:fill="F7F9FC"/>
            <w:vAlign w:val="top"/>
          </w:tcPr>
          <w:p>
            <w:pPr>
              <w:spacing w:after="20" w:line="240" w:lineRule="auto"/>
            </w:pPr>
            <w:r>
              <w:rPr>
                <w:rFonts w:ascii="Arial" w:hAnsi="Arial"/>
                <w:b w:val="0"/>
                <w:color w:val="595959"/>
                <w:sz w:val="15"/>
              </w:rPr>
              <w:t>Hy Spread Z</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credit</w:t>
            </w:r>
          </w:p>
        </w:tc>
        <w:tc>
          <w:tcPr>
            <w:tcW w:type="dxa" w:w="1552"/>
            <w:shd w:fill="F7F9FC"/>
            <w:vAlign w:val="top"/>
          </w:tcPr>
          <w:p>
            <w:pPr>
              <w:spacing w:after="20" w:line="240" w:lineRule="auto"/>
            </w:pPr>
            <w:r>
              <w:rPr>
                <w:rFonts w:ascii="Arial" w:hAnsi="Arial"/>
                <w:b w:val="0"/>
                <w:color w:val="C00000"/>
                <w:sz w:val="15"/>
              </w:rPr>
              <w:t>-0.64</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late_cycle_risk_off decreases 0.18</w:t>
            </w:r>
          </w:p>
        </w:tc>
      </w:tr>
      <w:tr>
        <w:tc>
          <w:tcPr>
            <w:tcW w:type="dxa" w:w="1552"/>
            <w:vAlign w:val="top"/>
          </w:tcPr>
          <w:p>
            <w:pPr>
              <w:spacing w:after="20" w:line="240" w:lineRule="auto"/>
            </w:pPr>
            <w:r>
              <w:rPr>
                <w:rFonts w:ascii="Arial" w:hAnsi="Arial"/>
                <w:b w:val="0"/>
                <w:color w:val="595959"/>
                <w:sz w:val="15"/>
              </w:rPr>
              <w:t>Hyg Tlt Ratio Z</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credit</w:t>
            </w:r>
          </w:p>
        </w:tc>
        <w:tc>
          <w:tcPr>
            <w:tcW w:type="dxa" w:w="1552"/>
            <w:vAlign w:val="top"/>
          </w:tcPr>
          <w:p>
            <w:pPr>
              <w:spacing w:after="20" w:line="240" w:lineRule="auto"/>
            </w:pPr>
            <w:r>
              <w:rPr>
                <w:rFonts w:ascii="Arial" w:hAnsi="Arial"/>
                <w:b w:val="0"/>
                <w:color w:val="595959"/>
                <w:sz w:val="15"/>
              </w:rPr>
              <w:t>1.33</w:t>
            </w:r>
          </w:p>
        </w:tc>
        <w:tc>
          <w:tcPr>
            <w:tcW w:type="dxa" w:w="1552"/>
            <w:vAlign w:val="top"/>
          </w:tcPr>
          <w:p>
            <w:pPr>
              <w:spacing w:after="20" w:line="240" w:lineRule="auto"/>
            </w:pPr>
            <w:r>
              <w:rPr>
                <w:rFonts w:ascii="Arial" w:hAnsi="Arial"/>
                <w:b w:val="0"/>
                <w:color w:val="375623"/>
                <w:sz w:val="15"/>
              </w:rPr>
              <w:t>bullish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reopening_soft_landing increases 0.14, late_cycle_risk_off decreases 0.12</w:t>
            </w:r>
          </w:p>
        </w:tc>
      </w:tr>
      <w:tr>
        <w:tc>
          <w:tcPr>
            <w:tcW w:type="dxa" w:w="1552"/>
            <w:shd w:fill="F7F9FC"/>
            <w:vAlign w:val="top"/>
          </w:tcPr>
          <w:p>
            <w:pPr>
              <w:spacing w:after="20" w:line="240" w:lineRule="auto"/>
            </w:pPr>
            <w:r>
              <w:rPr>
                <w:rFonts w:ascii="Arial" w:hAnsi="Arial"/>
                <w:b w:val="0"/>
                <w:color w:val="595959"/>
                <w:sz w:val="15"/>
              </w:rPr>
              <w:t>Ig Spread Level</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credit</w:t>
            </w:r>
          </w:p>
        </w:tc>
        <w:tc>
          <w:tcPr>
            <w:tcW w:type="dxa" w:w="1552"/>
            <w:shd w:fill="F7F9FC"/>
            <w:vAlign w:val="top"/>
          </w:tcPr>
          <w:p>
            <w:pPr>
              <w:spacing w:after="20" w:line="240" w:lineRule="auto"/>
            </w:pPr>
            <w:r>
              <w:rPr>
                <w:rFonts w:ascii="Arial" w:hAnsi="Arial"/>
                <w:b w:val="0"/>
                <w:color w:val="595959"/>
                <w:sz w:val="15"/>
              </w:rPr>
              <w:t>75.00</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late_cycle_risk_off decreases 0.12</w:t>
            </w:r>
          </w:p>
        </w:tc>
      </w:tr>
      <w:tr>
        <w:tc>
          <w:tcPr>
            <w:tcW w:type="dxa" w:w="1552"/>
            <w:vAlign w:val="top"/>
          </w:tcPr>
          <w:p>
            <w:pPr>
              <w:spacing w:after="20" w:line="240" w:lineRule="auto"/>
            </w:pPr>
            <w:r>
              <w:rPr>
                <w:rFonts w:ascii="Arial" w:hAnsi="Arial"/>
                <w:b w:val="0"/>
                <w:color w:val="595959"/>
                <w:sz w:val="15"/>
              </w:rPr>
              <w:t>Vix Term Slope</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volatility</w:t>
            </w:r>
          </w:p>
        </w:tc>
        <w:tc>
          <w:tcPr>
            <w:tcW w:type="dxa" w:w="1552"/>
            <w:vAlign w:val="top"/>
          </w:tcPr>
          <w:p>
            <w:pPr>
              <w:spacing w:after="20" w:line="240" w:lineRule="auto"/>
            </w:pPr>
            <w:r>
              <w:rPr>
                <w:rFonts w:ascii="Arial" w:hAnsi="Arial"/>
                <w:b w:val="0"/>
                <w:color w:val="595959"/>
                <w:sz w:val="15"/>
              </w:rPr>
              <w:t>2.34</w:t>
            </w:r>
          </w:p>
        </w:tc>
        <w:tc>
          <w:tcPr>
            <w:tcW w:type="dxa" w:w="1552"/>
            <w:vAlign w:val="top"/>
          </w:tcPr>
          <w:p>
            <w:pPr>
              <w:spacing w:after="20" w:line="240" w:lineRule="auto"/>
            </w:pPr>
            <w:r>
              <w:rPr>
                <w:rFonts w:ascii="Arial" w:hAnsi="Arial"/>
                <w:b w:val="0"/>
                <w:color w:val="375623"/>
                <w:sz w:val="15"/>
              </w:rPr>
              <w:t>bullish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late_cycle_risk_off decreases 0.12</w:t>
            </w:r>
          </w:p>
        </w:tc>
      </w:tr>
      <w:tr>
        <w:tc>
          <w:tcPr>
            <w:tcW w:type="dxa" w:w="1552"/>
            <w:shd w:fill="F7F9FC"/>
            <w:vAlign w:val="top"/>
          </w:tcPr>
          <w:p>
            <w:pPr>
              <w:spacing w:after="20" w:line="240" w:lineRule="auto"/>
            </w:pPr>
            <w:r>
              <w:rPr>
                <w:rFonts w:ascii="Arial" w:hAnsi="Arial"/>
                <w:b w:val="0"/>
                <w:color w:val="595959"/>
                <w:sz w:val="15"/>
              </w:rPr>
              <w:t>Ig Spread Z</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credit</w:t>
            </w:r>
          </w:p>
        </w:tc>
        <w:tc>
          <w:tcPr>
            <w:tcW w:type="dxa" w:w="1552"/>
            <w:shd w:fill="F7F9FC"/>
            <w:vAlign w:val="top"/>
          </w:tcPr>
          <w:p>
            <w:pPr>
              <w:spacing w:after="20" w:line="240" w:lineRule="auto"/>
            </w:pPr>
            <w:r>
              <w:rPr>
                <w:rFonts w:ascii="Arial" w:hAnsi="Arial"/>
                <w:b w:val="0"/>
                <w:color w:val="C00000"/>
                <w:sz w:val="15"/>
              </w:rPr>
              <w:t>-1.10</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late_cycle_risk_off decreases 0.10</w:t>
            </w:r>
          </w:p>
        </w:tc>
      </w:tr>
      <w:tr>
        <w:tc>
          <w:tcPr>
            <w:tcW w:type="dxa" w:w="1552"/>
            <w:vAlign w:val="top"/>
          </w:tcPr>
          <w:p>
            <w:pPr>
              <w:spacing w:after="20" w:line="240" w:lineRule="auto"/>
            </w:pPr>
            <w:r>
              <w:rPr>
                <w:rFonts w:ascii="Arial" w:hAnsi="Arial"/>
                <w:b w:val="0"/>
                <w:color w:val="595959"/>
                <w:sz w:val="15"/>
              </w:rPr>
              <w:t>NFCI level</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monetary</w:t>
            </w:r>
          </w:p>
        </w:tc>
        <w:tc>
          <w:tcPr>
            <w:tcW w:type="dxa" w:w="1552"/>
            <w:vAlign w:val="top"/>
          </w:tcPr>
          <w:p>
            <w:pPr>
              <w:spacing w:after="20" w:line="240" w:lineRule="auto"/>
            </w:pPr>
            <w:r>
              <w:rPr>
                <w:rFonts w:ascii="Arial" w:hAnsi="Arial"/>
                <w:b w:val="0"/>
                <w:color w:val="C00000"/>
                <w:sz w:val="15"/>
              </w:rPr>
              <w:t>-0.51</w:t>
            </w:r>
          </w:p>
        </w:tc>
        <w:tc>
          <w:tcPr>
            <w:tcW w:type="dxa" w:w="1552"/>
            <w:vAlign w:val="top"/>
          </w:tcPr>
          <w:p>
            <w:pPr>
              <w:spacing w:after="20" w:line="240" w:lineRule="auto"/>
            </w:pPr>
            <w:r>
              <w:rPr>
                <w:rFonts w:ascii="Arial" w:hAnsi="Arial"/>
                <w:b w:val="0"/>
                <w:color w:val="375623"/>
                <w:sz w:val="15"/>
              </w:rPr>
              <w:t>bullish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reopening_soft_landing increases 0.08</w:t>
            </w:r>
          </w:p>
        </w:tc>
      </w:tr>
      <w:tr>
        <w:tc>
          <w:tcPr>
            <w:tcW w:type="dxa" w:w="1552"/>
            <w:shd w:fill="F7F9FC"/>
            <w:vAlign w:val="top"/>
          </w:tcPr>
          <w:p>
            <w:pPr>
              <w:spacing w:after="20" w:line="240" w:lineRule="auto"/>
            </w:pPr>
            <w:r>
              <w:rPr>
                <w:rFonts w:ascii="Arial" w:hAnsi="Arial"/>
                <w:b w:val="0"/>
                <w:color w:val="595959"/>
                <w:sz w:val="15"/>
              </w:rPr>
              <w:t>Net liquidity</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monetary</w:t>
            </w:r>
          </w:p>
        </w:tc>
        <w:tc>
          <w:tcPr>
            <w:tcW w:type="dxa" w:w="1552"/>
            <w:shd w:fill="F7F9FC"/>
            <w:vAlign w:val="top"/>
          </w:tcPr>
          <w:p>
            <w:pPr>
              <w:spacing w:after="20" w:line="240" w:lineRule="auto"/>
            </w:pPr>
            <w:r>
              <w:rPr>
                <w:rFonts w:ascii="Arial" w:hAnsi="Arial"/>
                <w:b w:val="0"/>
                <w:color w:val="C00000"/>
                <w:sz w:val="15"/>
              </w:rPr>
              <w:t>-821397.06</w:t>
            </w:r>
          </w:p>
        </w:tc>
        <w:tc>
          <w:tcPr>
            <w:tcW w:type="dxa" w:w="1552"/>
            <w:shd w:fill="F7F9FC"/>
            <w:vAlign w:val="top"/>
          </w:tcPr>
          <w:p>
            <w:pPr>
              <w:spacing w:after="20" w:line="240" w:lineRule="auto"/>
            </w:pPr>
            <w:r>
              <w:rPr>
                <w:rFonts w:ascii="Arial" w:hAnsi="Arial"/>
                <w:b w:val="0"/>
                <w:color w:val="595959"/>
                <w:sz w:val="15"/>
              </w:rPr>
              <w:t>neutral</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none</w:t>
            </w:r>
          </w:p>
        </w:tc>
      </w:tr>
      <w:tr>
        <w:tc>
          <w:tcPr>
            <w:tcW w:type="dxa" w:w="1552"/>
            <w:vAlign w:val="top"/>
          </w:tcPr>
          <w:p>
            <w:pPr>
              <w:spacing w:after="20" w:line="240" w:lineRule="auto"/>
            </w:pPr>
            <w:r>
              <w:rPr>
                <w:rFonts w:ascii="Arial" w:hAnsi="Arial"/>
                <w:b w:val="0"/>
                <w:color w:val="595959"/>
                <w:sz w:val="15"/>
              </w:rPr>
              <w:t>Net liquidity z-score</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monetary</w:t>
            </w:r>
          </w:p>
        </w:tc>
        <w:tc>
          <w:tcPr>
            <w:tcW w:type="dxa" w:w="1552"/>
            <w:vAlign w:val="top"/>
          </w:tcPr>
          <w:p>
            <w:pPr>
              <w:spacing w:after="20" w:line="240" w:lineRule="auto"/>
            </w:pPr>
            <w:r>
              <w:rPr>
                <w:rFonts w:ascii="Arial" w:hAnsi="Arial"/>
                <w:b w:val="0"/>
                <w:color w:val="595959"/>
                <w:sz w:val="15"/>
              </w:rPr>
              <w:t>0.33</w:t>
            </w:r>
          </w:p>
        </w:tc>
        <w:tc>
          <w:tcPr>
            <w:tcW w:type="dxa" w:w="1552"/>
            <w:vAlign w:val="top"/>
          </w:tcPr>
          <w:p>
            <w:pPr>
              <w:spacing w:after="20" w:line="240" w:lineRule="auto"/>
            </w:pPr>
            <w:r>
              <w:rPr>
                <w:rFonts w:ascii="Arial" w:hAnsi="Arial"/>
                <w:b w:val="0"/>
                <w:color w:val="595959"/>
                <w:sz w:val="15"/>
              </w:rPr>
              <w:t>neutral</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none</w:t>
            </w:r>
          </w:p>
        </w:tc>
      </w:tr>
      <w:tr>
        <w:tc>
          <w:tcPr>
            <w:tcW w:type="dxa" w:w="1552"/>
            <w:shd w:fill="F7F9FC"/>
            <w:vAlign w:val="top"/>
          </w:tcPr>
          <w:p>
            <w:pPr>
              <w:spacing w:after="20" w:line="240" w:lineRule="auto"/>
            </w:pPr>
            <w:r>
              <w:rPr>
                <w:rFonts w:ascii="Arial" w:hAnsi="Arial"/>
                <w:b w:val="0"/>
                <w:color w:val="595959"/>
                <w:sz w:val="15"/>
              </w:rPr>
              <w:t>M2 growth YoY</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monetary</w:t>
            </w:r>
          </w:p>
        </w:tc>
        <w:tc>
          <w:tcPr>
            <w:tcW w:type="dxa" w:w="1552"/>
            <w:shd w:fill="F7F9FC"/>
            <w:vAlign w:val="top"/>
          </w:tcPr>
          <w:p>
            <w:pPr>
              <w:spacing w:after="20" w:line="240" w:lineRule="auto"/>
            </w:pPr>
            <w:r>
              <w:rPr>
                <w:rFonts w:ascii="Arial" w:hAnsi="Arial"/>
                <w:b w:val="0"/>
                <w:color w:val="595959"/>
                <w:sz w:val="15"/>
              </w:rPr>
              <w:t>4.72</w:t>
            </w:r>
          </w:p>
        </w:tc>
        <w:tc>
          <w:tcPr>
            <w:tcW w:type="dxa" w:w="1552"/>
            <w:shd w:fill="F7F9FC"/>
            <w:vAlign w:val="top"/>
          </w:tcPr>
          <w:p>
            <w:pPr>
              <w:spacing w:after="20" w:line="240" w:lineRule="auto"/>
            </w:pPr>
            <w:r>
              <w:rPr>
                <w:rFonts w:ascii="Arial" w:hAnsi="Arial"/>
                <w:b w:val="0"/>
                <w:color w:val="595959"/>
                <w:sz w:val="15"/>
              </w:rPr>
              <w:t>neutral</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none</w:t>
            </w:r>
          </w:p>
        </w:tc>
      </w:tr>
      <w:tr>
        <w:tc>
          <w:tcPr>
            <w:tcW w:type="dxa" w:w="1552"/>
            <w:vAlign w:val="top"/>
          </w:tcPr>
          <w:p>
            <w:pPr>
              <w:spacing w:after="20" w:line="240" w:lineRule="auto"/>
            </w:pPr>
            <w:r>
              <w:rPr>
                <w:rFonts w:ascii="Arial" w:hAnsi="Arial"/>
                <w:b w:val="0"/>
                <w:color w:val="595959"/>
                <w:sz w:val="15"/>
              </w:rPr>
              <w:t>Hy Spread Chg 4W</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credit</w:t>
            </w:r>
          </w:p>
        </w:tc>
        <w:tc>
          <w:tcPr>
            <w:tcW w:type="dxa" w:w="1552"/>
            <w:vAlign w:val="top"/>
          </w:tcPr>
          <w:p>
            <w:pPr>
              <w:spacing w:after="20" w:line="240" w:lineRule="auto"/>
            </w:pPr>
            <w:r>
              <w:rPr>
                <w:rFonts w:ascii="Arial" w:hAnsi="Arial"/>
                <w:b w:val="0"/>
                <w:color w:val="595959"/>
                <w:sz w:val="15"/>
              </w:rPr>
              <w:t>0.00</w:t>
            </w:r>
          </w:p>
        </w:tc>
        <w:tc>
          <w:tcPr>
            <w:tcW w:type="dxa" w:w="1552"/>
            <w:vAlign w:val="top"/>
          </w:tcPr>
          <w:p>
            <w:pPr>
              <w:spacing w:after="20" w:line="240" w:lineRule="auto"/>
            </w:pPr>
            <w:r>
              <w:rPr>
                <w:rFonts w:ascii="Arial" w:hAnsi="Arial"/>
                <w:b w:val="0"/>
                <w:color w:val="595959"/>
                <w:sz w:val="15"/>
              </w:rPr>
              <w:t>neutral</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none</w:t>
            </w:r>
          </w:p>
        </w:tc>
      </w:tr>
      <w:tr>
        <w:tc>
          <w:tcPr>
            <w:tcW w:type="dxa" w:w="1552"/>
            <w:shd w:fill="F7F9FC"/>
            <w:vAlign w:val="top"/>
          </w:tcPr>
          <w:p>
            <w:pPr>
              <w:spacing w:after="20" w:line="240" w:lineRule="auto"/>
            </w:pPr>
            <w:r>
              <w:rPr>
                <w:rFonts w:ascii="Arial" w:hAnsi="Arial"/>
                <w:b w:val="0"/>
                <w:color w:val="595959"/>
                <w:sz w:val="15"/>
              </w:rPr>
              <w:t>Vix Level</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volatility</w:t>
            </w:r>
          </w:p>
        </w:tc>
        <w:tc>
          <w:tcPr>
            <w:tcW w:type="dxa" w:w="1552"/>
            <w:shd w:fill="F7F9FC"/>
            <w:vAlign w:val="top"/>
          </w:tcPr>
          <w:p>
            <w:pPr>
              <w:spacing w:after="20" w:line="240" w:lineRule="auto"/>
            </w:pPr>
            <w:r>
              <w:rPr>
                <w:rFonts w:ascii="Arial" w:hAnsi="Arial"/>
                <w:b w:val="0"/>
                <w:color w:val="595959"/>
                <w:sz w:val="15"/>
              </w:rPr>
              <w:t>18.79</w:t>
            </w:r>
          </w:p>
        </w:tc>
        <w:tc>
          <w:tcPr>
            <w:tcW w:type="dxa" w:w="1552"/>
            <w:shd w:fill="F7F9FC"/>
            <w:vAlign w:val="top"/>
          </w:tcPr>
          <w:p>
            <w:pPr>
              <w:spacing w:after="20" w:line="240" w:lineRule="auto"/>
            </w:pPr>
            <w:r>
              <w:rPr>
                <w:rFonts w:ascii="Arial" w:hAnsi="Arial"/>
                <w:b w:val="0"/>
                <w:color w:val="595959"/>
                <w:sz w:val="15"/>
              </w:rPr>
              <w:t>neutral</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none</w:t>
            </w:r>
          </w:p>
        </w:tc>
      </w:tr>
      <w:tr>
        <w:tc>
          <w:tcPr>
            <w:tcW w:type="dxa" w:w="1552"/>
            <w:vAlign w:val="top"/>
          </w:tcPr>
          <w:p>
            <w:pPr>
              <w:spacing w:after="20" w:line="240" w:lineRule="auto"/>
            </w:pPr>
            <w:r>
              <w:rPr>
                <w:rFonts w:ascii="Arial" w:hAnsi="Arial"/>
                <w:b w:val="0"/>
                <w:color w:val="595959"/>
                <w:sz w:val="15"/>
              </w:rPr>
              <w:t>Vix Z 20D</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volatility</w:t>
            </w:r>
          </w:p>
        </w:tc>
        <w:tc>
          <w:tcPr>
            <w:tcW w:type="dxa" w:w="1552"/>
            <w:vAlign w:val="top"/>
          </w:tcPr>
          <w:p>
            <w:pPr>
              <w:spacing w:after="20" w:line="240" w:lineRule="auto"/>
            </w:pPr>
            <w:r>
              <w:rPr>
                <w:rFonts w:ascii="Arial" w:hAnsi="Arial"/>
                <w:b w:val="0"/>
                <w:color w:val="595959"/>
                <w:sz w:val="15"/>
              </w:rPr>
              <w:t>0.61</w:t>
            </w:r>
          </w:p>
        </w:tc>
        <w:tc>
          <w:tcPr>
            <w:tcW w:type="dxa" w:w="1552"/>
            <w:vAlign w:val="top"/>
          </w:tcPr>
          <w:p>
            <w:pPr>
              <w:spacing w:after="20" w:line="240" w:lineRule="auto"/>
            </w:pPr>
            <w:r>
              <w:rPr>
                <w:rFonts w:ascii="Arial" w:hAnsi="Arial"/>
                <w:b w:val="0"/>
                <w:color w:val="595959"/>
                <w:sz w:val="15"/>
              </w:rPr>
              <w:t>neutral</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none</w:t>
            </w:r>
          </w:p>
        </w:tc>
      </w:tr>
      <w:tr>
        <w:tc>
          <w:tcPr>
            <w:tcW w:type="dxa" w:w="1552"/>
            <w:shd w:fill="F7F9FC"/>
            <w:vAlign w:val="top"/>
          </w:tcPr>
          <w:p>
            <w:pPr>
              <w:spacing w:after="20" w:line="240" w:lineRule="auto"/>
            </w:pPr>
            <w:r>
              <w:rPr>
                <w:rFonts w:ascii="Arial" w:hAnsi="Arial"/>
                <w:b w:val="0"/>
                <w:color w:val="595959"/>
                <w:sz w:val="15"/>
              </w:rPr>
              <w:t>Vvix Level</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volatility</w:t>
            </w:r>
          </w:p>
        </w:tc>
        <w:tc>
          <w:tcPr>
            <w:tcW w:type="dxa" w:w="1552"/>
            <w:shd w:fill="F7F9FC"/>
            <w:vAlign w:val="top"/>
          </w:tcPr>
          <w:p>
            <w:pPr>
              <w:spacing w:after="20" w:line="240" w:lineRule="auto"/>
            </w:pPr>
            <w:r>
              <w:rPr>
                <w:rFonts w:ascii="Arial" w:hAnsi="Arial"/>
                <w:b w:val="0"/>
                <w:color w:val="595959"/>
                <w:sz w:val="15"/>
              </w:rPr>
              <w:t>97.73</w:t>
            </w:r>
          </w:p>
        </w:tc>
        <w:tc>
          <w:tcPr>
            <w:tcW w:type="dxa" w:w="1552"/>
            <w:shd w:fill="F7F9FC"/>
            <w:vAlign w:val="top"/>
          </w:tcPr>
          <w:p>
            <w:pPr>
              <w:spacing w:after="20" w:line="240" w:lineRule="auto"/>
            </w:pPr>
            <w:r>
              <w:rPr>
                <w:rFonts w:ascii="Arial" w:hAnsi="Arial"/>
                <w:b w:val="0"/>
                <w:color w:val="595959"/>
                <w:sz w:val="15"/>
              </w:rPr>
              <w:t>neutral</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none</w:t>
            </w:r>
          </w:p>
        </w:tc>
      </w:tr>
      <w:tr>
        <w:tc>
          <w:tcPr>
            <w:tcW w:type="dxa" w:w="1552"/>
            <w:vAlign w:val="top"/>
          </w:tcPr>
          <w:p>
            <w:pPr>
              <w:spacing w:after="20" w:line="240" w:lineRule="auto"/>
            </w:pPr>
            <w:r>
              <w:rPr>
                <w:rFonts w:ascii="Arial" w:hAnsi="Arial"/>
                <w:b w:val="0"/>
                <w:color w:val="595959"/>
                <w:sz w:val="15"/>
              </w:rPr>
              <w:t>Vvix Z</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volatility</w:t>
            </w:r>
          </w:p>
        </w:tc>
        <w:tc>
          <w:tcPr>
            <w:tcW w:type="dxa" w:w="1552"/>
            <w:vAlign w:val="top"/>
          </w:tcPr>
          <w:p>
            <w:pPr>
              <w:spacing w:after="20" w:line="240" w:lineRule="auto"/>
            </w:pPr>
            <w:r>
              <w:rPr>
                <w:rFonts w:ascii="Arial" w:hAnsi="Arial"/>
                <w:b w:val="0"/>
                <w:color w:val="C00000"/>
                <w:sz w:val="15"/>
              </w:rPr>
              <w:t>-0.30</w:t>
            </w:r>
          </w:p>
        </w:tc>
        <w:tc>
          <w:tcPr>
            <w:tcW w:type="dxa" w:w="1552"/>
            <w:vAlign w:val="top"/>
          </w:tcPr>
          <w:p>
            <w:pPr>
              <w:spacing w:after="20" w:line="240" w:lineRule="auto"/>
            </w:pPr>
            <w:r>
              <w:rPr>
                <w:rFonts w:ascii="Arial" w:hAnsi="Arial"/>
                <w:b w:val="0"/>
                <w:color w:val="595959"/>
                <w:sz w:val="15"/>
              </w:rPr>
              <w:t>neutral</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none</w:t>
            </w:r>
          </w:p>
        </w:tc>
      </w:tr>
      <w:tr>
        <w:tc>
          <w:tcPr>
            <w:tcW w:type="dxa" w:w="1552"/>
            <w:shd w:fill="F7F9FC"/>
            <w:vAlign w:val="top"/>
          </w:tcPr>
          <w:p>
            <w:pPr>
              <w:spacing w:after="20" w:line="240" w:lineRule="auto"/>
            </w:pPr>
            <w:r>
              <w:rPr>
                <w:rFonts w:ascii="Arial" w:hAnsi="Arial"/>
                <w:b w:val="0"/>
                <w:color w:val="595959"/>
                <w:sz w:val="15"/>
              </w:rPr>
              <w:t>Put Call Ratio</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volatility</w:t>
            </w:r>
          </w:p>
        </w:tc>
        <w:tc>
          <w:tcPr>
            <w:tcW w:type="dxa" w:w="1552"/>
            <w:shd w:fill="F7F9FC"/>
            <w:vAlign w:val="top"/>
          </w:tcPr>
          <w:p>
            <w:pPr>
              <w:spacing w:after="20" w:line="240" w:lineRule="auto"/>
            </w:pPr>
            <w:r>
              <w:rPr>
                <w:rFonts w:ascii="Arial" w:hAnsi="Arial"/>
                <w:b w:val="0"/>
                <w:color w:val="595959"/>
                <w:sz w:val="15"/>
              </w:rPr>
              <w:t>0.84</w:t>
            </w:r>
          </w:p>
        </w:tc>
        <w:tc>
          <w:tcPr>
            <w:tcW w:type="dxa" w:w="1552"/>
            <w:shd w:fill="F7F9FC"/>
            <w:vAlign w:val="top"/>
          </w:tcPr>
          <w:p>
            <w:pPr>
              <w:spacing w:after="20" w:line="240" w:lineRule="auto"/>
            </w:pPr>
            <w:r>
              <w:rPr>
                <w:rFonts w:ascii="Arial" w:hAnsi="Arial"/>
                <w:b w:val="0"/>
                <w:color w:val="595959"/>
                <w:sz w:val="15"/>
              </w:rPr>
              <w:t>neutral</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none</w:t>
            </w:r>
          </w:p>
        </w:tc>
      </w:tr>
      <w:tr>
        <w:tc>
          <w:tcPr>
            <w:tcW w:type="dxa" w:w="1552"/>
            <w:vAlign w:val="top"/>
          </w:tcPr>
          <w:p>
            <w:pPr>
              <w:spacing w:after="20" w:line="240" w:lineRule="auto"/>
            </w:pPr>
            <w:r>
              <w:rPr>
                <w:rFonts w:ascii="Arial" w:hAnsi="Arial"/>
                <w:b w:val="0"/>
                <w:color w:val="595959"/>
                <w:sz w:val="15"/>
              </w:rPr>
              <w:t>Skew Index</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volatility</w:t>
            </w:r>
          </w:p>
        </w:tc>
        <w:tc>
          <w:tcPr>
            <w:tcW w:type="dxa" w:w="1552"/>
            <w:vAlign w:val="top"/>
          </w:tcPr>
          <w:p>
            <w:pPr>
              <w:spacing w:after="20" w:line="240" w:lineRule="auto"/>
            </w:pPr>
            <w:r>
              <w:rPr>
                <w:rFonts w:ascii="Arial" w:hAnsi="Arial"/>
                <w:b w:val="0"/>
                <w:color w:val="595959"/>
                <w:sz w:val="15"/>
              </w:rPr>
              <w:t>142.98</w:t>
            </w:r>
          </w:p>
        </w:tc>
        <w:tc>
          <w:tcPr>
            <w:tcW w:type="dxa" w:w="1552"/>
            <w:vAlign w:val="top"/>
          </w:tcPr>
          <w:p>
            <w:pPr>
              <w:spacing w:after="20" w:line="240" w:lineRule="auto"/>
            </w:pPr>
            <w:r>
              <w:rPr>
                <w:rFonts w:ascii="Arial" w:hAnsi="Arial"/>
                <w:b w:val="0"/>
                <w:color w:val="595959"/>
                <w:sz w:val="15"/>
              </w:rPr>
              <w:t>neutral</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none</w:t>
            </w:r>
          </w:p>
        </w:tc>
      </w:tr>
      <w:tr>
        <w:tc>
          <w:tcPr>
            <w:tcW w:type="dxa" w:w="1552"/>
            <w:shd w:fill="F7F9FC"/>
            <w:vAlign w:val="top"/>
          </w:tcPr>
          <w:p>
            <w:pPr>
              <w:spacing w:after="20" w:line="240" w:lineRule="auto"/>
            </w:pPr>
            <w:r>
              <w:rPr>
                <w:rFonts w:ascii="Arial" w:hAnsi="Arial"/>
                <w:b w:val="0"/>
                <w:color w:val="595959"/>
                <w:sz w:val="15"/>
              </w:rPr>
              <w:t>Rsp Vs Spy Z</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breadth</w:t>
            </w:r>
          </w:p>
        </w:tc>
        <w:tc>
          <w:tcPr>
            <w:tcW w:type="dxa" w:w="1552"/>
            <w:shd w:fill="F7F9FC"/>
            <w:vAlign w:val="top"/>
          </w:tcPr>
          <w:p>
            <w:pPr>
              <w:spacing w:after="20" w:line="240" w:lineRule="auto"/>
            </w:pPr>
            <w:r>
              <w:rPr>
                <w:rFonts w:ascii="Arial" w:hAnsi="Arial"/>
                <w:b w:val="0"/>
                <w:color w:val="C00000"/>
                <w:sz w:val="15"/>
              </w:rPr>
              <w:t>-0.14</w:t>
            </w:r>
          </w:p>
        </w:tc>
        <w:tc>
          <w:tcPr>
            <w:tcW w:type="dxa" w:w="1552"/>
            <w:shd w:fill="F7F9FC"/>
            <w:vAlign w:val="top"/>
          </w:tcPr>
          <w:p>
            <w:pPr>
              <w:spacing w:after="20" w:line="240" w:lineRule="auto"/>
            </w:pPr>
            <w:r>
              <w:rPr>
                <w:rFonts w:ascii="Arial" w:hAnsi="Arial"/>
                <w:b w:val="0"/>
                <w:color w:val="595959"/>
                <w:sz w:val="15"/>
              </w:rPr>
              <w:t>neutral</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none</w:t>
            </w:r>
          </w:p>
        </w:tc>
      </w:tr>
      <w:tr>
        <w:tc>
          <w:tcPr>
            <w:tcW w:type="dxa" w:w="1552"/>
            <w:vAlign w:val="top"/>
          </w:tcPr>
          <w:p>
            <w:pPr>
              <w:spacing w:after="20" w:line="240" w:lineRule="auto"/>
            </w:pPr>
            <w:r>
              <w:rPr>
                <w:rFonts w:ascii="Arial" w:hAnsi="Arial"/>
                <w:b w:val="0"/>
                <w:color w:val="595959"/>
                <w:sz w:val="15"/>
              </w:rPr>
              <w:t>Put Call 5D Ma</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positioning</w:t>
            </w:r>
          </w:p>
        </w:tc>
        <w:tc>
          <w:tcPr>
            <w:tcW w:type="dxa" w:w="1552"/>
            <w:vAlign w:val="top"/>
          </w:tcPr>
          <w:p>
            <w:pPr>
              <w:spacing w:after="20" w:line="240" w:lineRule="auto"/>
            </w:pPr>
            <w:r>
              <w:rPr>
                <w:rFonts w:ascii="Arial" w:hAnsi="Arial"/>
                <w:b w:val="0"/>
                <w:color w:val="595959"/>
                <w:sz w:val="15"/>
              </w:rPr>
              <w:t>0.84</w:t>
            </w:r>
          </w:p>
        </w:tc>
        <w:tc>
          <w:tcPr>
            <w:tcW w:type="dxa" w:w="1552"/>
            <w:vAlign w:val="top"/>
          </w:tcPr>
          <w:p>
            <w:pPr>
              <w:spacing w:after="20" w:line="240" w:lineRule="auto"/>
            </w:pPr>
            <w:r>
              <w:rPr>
                <w:rFonts w:ascii="Arial" w:hAnsi="Arial"/>
                <w:b w:val="0"/>
                <w:color w:val="595959"/>
                <w:sz w:val="15"/>
              </w:rPr>
              <w:t>neutral</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none</w:t>
            </w:r>
          </w:p>
        </w:tc>
      </w:tr>
      <w:tr>
        <w:tc>
          <w:tcPr>
            <w:tcW w:type="dxa" w:w="1552"/>
            <w:shd w:fill="F7F9FC"/>
            <w:vAlign w:val="top"/>
          </w:tcPr>
          <w:p>
            <w:pPr>
              <w:spacing w:after="20" w:line="240" w:lineRule="auto"/>
            </w:pPr>
            <w:r>
              <w:rPr>
                <w:rFonts w:ascii="Arial" w:hAnsi="Arial"/>
                <w:b w:val="0"/>
                <w:color w:val="595959"/>
                <w:sz w:val="15"/>
              </w:rPr>
              <w:t>Cot Net Large Spec Z</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positioning</w:t>
            </w:r>
          </w:p>
        </w:tc>
        <w:tc>
          <w:tcPr>
            <w:tcW w:type="dxa" w:w="1552"/>
            <w:shd w:fill="F7F9FC"/>
            <w:vAlign w:val="top"/>
          </w:tcPr>
          <w:p>
            <w:pPr>
              <w:spacing w:after="20" w:line="240" w:lineRule="auto"/>
            </w:pPr>
            <w:r>
              <w:rPr>
                <w:rFonts w:ascii="Arial" w:hAnsi="Arial"/>
                <w:b w:val="0"/>
                <w:color w:val="C00000"/>
                <w:sz w:val="15"/>
              </w:rPr>
              <w:t>-1.63</w:t>
            </w:r>
          </w:p>
        </w:tc>
        <w:tc>
          <w:tcPr>
            <w:tcW w:type="dxa" w:w="1552"/>
            <w:shd w:fill="F7F9FC"/>
            <w:vAlign w:val="top"/>
          </w:tcPr>
          <w:p>
            <w:pPr>
              <w:spacing w:after="20" w:line="240" w:lineRule="auto"/>
            </w:pPr>
            <w:r>
              <w:rPr>
                <w:rFonts w:ascii="Arial" w:hAnsi="Arial"/>
                <w:b w:val="0"/>
                <w:color w:val="595959"/>
                <w:sz w:val="15"/>
              </w:rPr>
              <w:t>neutral</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none</w:t>
            </w:r>
          </w:p>
        </w:tc>
      </w:tr>
    </w:tbl>
    <w:p>
      <w:pPr>
        <w:spacing w:after="120"/>
      </w:pPr>
    </w:p>
    <w:p>
      <w:pPr>
        <w:spacing w:before="180" w:after="80"/>
      </w:pPr>
      <w:r>
        <w:rPr>
          <w:rFonts w:ascii="Arial" w:hAnsi="Arial"/>
          <w:b/>
          <w:color w:val="2E75B6"/>
          <w:sz w:val="21"/>
        </w:rPr>
        <w:t>Composite Signals</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shd w:fill="1F4E79"/>
            <w:vAlign w:val="top"/>
          </w:tcPr>
          <w:p>
            <w:pPr>
              <w:spacing w:after="20" w:line="240" w:lineRule="auto"/>
            </w:pPr>
            <w:r>
              <w:rPr>
                <w:rFonts w:ascii="Arial" w:hAnsi="Arial"/>
                <w:b/>
                <w:color w:val="FFFFFF"/>
                <w:sz w:val="15"/>
              </w:rPr>
              <w:t>Composite</w:t>
            </w:r>
          </w:p>
        </w:tc>
        <w:tc>
          <w:tcPr>
            <w:tcW w:type="dxa" w:w="1995"/>
            <w:shd w:fill="1F4E79"/>
            <w:vAlign w:val="top"/>
          </w:tcPr>
          <w:p>
            <w:pPr>
              <w:spacing w:after="20" w:line="240" w:lineRule="auto"/>
            </w:pPr>
            <w:r>
              <w:rPr>
                <w:rFonts w:ascii="Arial" w:hAnsi="Arial"/>
                <w:b/>
                <w:color w:val="FFFFFF"/>
                <w:sz w:val="15"/>
              </w:rPr>
              <w:t>Parent Layer</w:t>
            </w:r>
          </w:p>
        </w:tc>
        <w:tc>
          <w:tcPr>
            <w:tcW w:type="dxa" w:w="1995"/>
            <w:shd w:fill="1F4E79"/>
            <w:vAlign w:val="top"/>
          </w:tcPr>
          <w:p>
            <w:pPr>
              <w:spacing w:after="20" w:line="240" w:lineRule="auto"/>
            </w:pPr>
            <w:r>
              <w:rPr>
                <w:rFonts w:ascii="Arial" w:hAnsi="Arial"/>
                <w:b/>
                <w:color w:val="FFFFFF"/>
                <w:sz w:val="15"/>
              </w:rPr>
              <w:t>Signal</w:t>
            </w:r>
          </w:p>
        </w:tc>
        <w:tc>
          <w:tcPr>
            <w:tcW w:type="dxa" w:w="1995"/>
            <w:shd w:fill="1F4E79"/>
            <w:vAlign w:val="top"/>
          </w:tcPr>
          <w:p>
            <w:pPr>
              <w:spacing w:after="20" w:line="240" w:lineRule="auto"/>
            </w:pPr>
            <w:r>
              <w:rPr>
                <w:rFonts w:ascii="Arial" w:hAnsi="Arial"/>
                <w:b/>
                <w:color w:val="FFFFFF"/>
                <w:sz w:val="15"/>
              </w:rPr>
              <w:t>Confidence</w:t>
            </w:r>
          </w:p>
        </w:tc>
        <w:tc>
          <w:tcPr>
            <w:tcW w:type="dxa" w:w="1995"/>
            <w:shd w:fill="1F4E79"/>
            <w:vAlign w:val="top"/>
          </w:tcPr>
          <w:p>
            <w:pPr>
              <w:spacing w:after="20" w:line="240" w:lineRule="auto"/>
            </w:pPr>
            <w:r>
              <w:rPr>
                <w:rFonts w:ascii="Arial" w:hAnsi="Arial"/>
                <w:b/>
                <w:color w:val="FFFFFF"/>
                <w:sz w:val="15"/>
              </w:rPr>
              <w:t>Used in Math?</w:t>
            </w:r>
          </w:p>
        </w:tc>
        <w:tc>
          <w:tcPr>
            <w:tcW w:type="dxa" w:w="1995"/>
            <w:shd w:fill="1F4E79"/>
            <w:vAlign w:val="top"/>
          </w:tcPr>
          <w:p>
            <w:pPr>
              <w:spacing w:after="20" w:line="240" w:lineRule="auto"/>
            </w:pPr>
            <w:r>
              <w:rPr>
                <w:rFonts w:ascii="Arial" w:hAnsi="Arial"/>
                <w:b/>
                <w:color w:val="FFFFFF"/>
                <w:sz w:val="15"/>
              </w:rPr>
              <w:t>Child Signals</w:t>
            </w:r>
          </w:p>
        </w:tc>
        <w:tc>
          <w:tcPr>
            <w:tcW w:type="dxa" w:w="1995"/>
            <w:shd w:fill="1F4E79"/>
            <w:vAlign w:val="top"/>
          </w:tcPr>
          <w:p>
            <w:pPr>
              <w:spacing w:after="20" w:line="240" w:lineRule="auto"/>
            </w:pPr>
            <w:r>
              <w:rPr>
                <w:rFonts w:ascii="Arial" w:hAnsi="Arial"/>
                <w:b/>
                <w:color w:val="FFFFFF"/>
                <w:sz w:val="15"/>
              </w:rPr>
              <w:t>Scenario Effects</w:t>
            </w:r>
          </w:p>
        </w:tc>
      </w:tr>
      <w:tr>
        <w:tc>
          <w:tcPr>
            <w:tcW w:type="dxa" w:w="1995"/>
            <w:vAlign w:val="top"/>
          </w:tcPr>
          <w:p>
            <w:pPr>
              <w:spacing w:after="20" w:line="240" w:lineRule="auto"/>
            </w:pPr>
            <w:r>
              <w:rPr>
                <w:rFonts w:ascii="Arial" w:hAnsi="Arial"/>
                <w:b w:val="0"/>
                <w:color w:val="595959"/>
                <w:sz w:val="15"/>
              </w:rPr>
              <w:t>Monetary policy composite</w:t>
            </w:r>
          </w:p>
        </w:tc>
        <w:tc>
          <w:tcPr>
            <w:tcW w:type="dxa" w:w="1995"/>
            <w:vAlign w:val="top"/>
          </w:tcPr>
          <w:p>
            <w:pPr>
              <w:spacing w:after="20" w:line="240" w:lineRule="auto"/>
            </w:pPr>
            <w:r>
              <w:rPr>
                <w:rFonts w:ascii="Arial" w:hAnsi="Arial"/>
                <w:b w:val="0"/>
                <w:color w:val="595959"/>
                <w:sz w:val="15"/>
              </w:rPr>
              <w:t>monetary</w:t>
            </w:r>
          </w:p>
        </w:tc>
        <w:tc>
          <w:tcPr>
            <w:tcW w:type="dxa" w:w="1995"/>
            <w:vAlign w:val="top"/>
          </w:tcPr>
          <w:p>
            <w:pPr>
              <w:spacing w:after="20" w:line="240" w:lineRule="auto"/>
            </w:pPr>
            <w:r>
              <w:rPr>
                <w:rFonts w:ascii="Arial" w:hAnsi="Arial"/>
                <w:b w:val="0"/>
                <w:color w:val="595959"/>
                <w:sz w:val="15"/>
              </w:rPr>
              <w:t>mixed</w:t>
            </w:r>
          </w:p>
        </w:tc>
        <w:tc>
          <w:tcPr>
            <w:tcW w:type="dxa" w:w="1995"/>
            <w:vAlign w:val="top"/>
          </w:tcPr>
          <w:p>
            <w:pPr>
              <w:spacing w:after="20" w:line="240" w:lineRule="auto"/>
            </w:pPr>
            <w:r>
              <w:rPr>
                <w:rFonts w:ascii="Arial" w:hAnsi="Arial"/>
                <w:b w:val="0"/>
                <w:color w:val="595959"/>
                <w:sz w:val="15"/>
              </w:rPr>
              <w:t>0.64</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monetary_conditions, fed_path</w:t>
            </w:r>
          </w:p>
        </w:tc>
        <w:tc>
          <w:tcPr>
            <w:tcW w:type="dxa" w:w="1995"/>
            <w:vAlign w:val="top"/>
          </w:tcPr>
          <w:p>
            <w:pPr>
              <w:spacing w:after="20" w:line="240" w:lineRule="auto"/>
            </w:pPr>
            <w:r>
              <w:rPr>
                <w:rFonts w:ascii="Arial" w:hAnsi="Arial"/>
                <w:b w:val="0"/>
                <w:color w:val="595959"/>
                <w:sz w:val="15"/>
              </w:rPr>
              <w:t>sticky_late_cycle_ai increases 0.25, oil_inflation_tail increases 0.20, reopening_soft_landing decreases 0.25</w:t>
            </w:r>
          </w:p>
        </w:tc>
      </w:tr>
    </w:tbl>
    <w:p>
      <w:pPr>
        <w:spacing w:after="120"/>
      </w:pPr>
    </w:p>
    <w:p>
      <w:pPr>
        <w:spacing w:before="180" w:after="80"/>
      </w:pPr>
      <w:r>
        <w:rPr>
          <w:rFonts w:ascii="Arial" w:hAnsi="Arial"/>
          <w:b/>
          <w:color w:val="2E75B6"/>
          <w:sz w:val="21"/>
        </w:rPr>
        <w:t>Market/Tape Signals</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shd w:fill="1F4E79"/>
            <w:vAlign w:val="top"/>
          </w:tcPr>
          <w:p>
            <w:pPr>
              <w:spacing w:after="20" w:line="240" w:lineRule="auto"/>
            </w:pPr>
            <w:r>
              <w:rPr>
                <w:rFonts w:ascii="Arial" w:hAnsi="Arial"/>
                <w:b/>
                <w:color w:val="FFFFFF"/>
                <w:sz w:val="15"/>
              </w:rPr>
              <w:t>Input</w:t>
            </w:r>
          </w:p>
        </w:tc>
        <w:tc>
          <w:tcPr>
            <w:tcW w:type="dxa" w:w="1995"/>
            <w:shd w:fill="1F4E79"/>
            <w:vAlign w:val="top"/>
          </w:tcPr>
          <w:p>
            <w:pPr>
              <w:spacing w:after="20" w:line="240" w:lineRule="auto"/>
            </w:pPr>
            <w:r>
              <w:rPr>
                <w:rFonts w:ascii="Arial" w:hAnsi="Arial"/>
                <w:b/>
                <w:color w:val="FFFFFF"/>
                <w:sz w:val="15"/>
              </w:rPr>
              <w:t>Raw Value</w:t>
            </w:r>
          </w:p>
        </w:tc>
        <w:tc>
          <w:tcPr>
            <w:tcW w:type="dxa" w:w="1995"/>
            <w:shd w:fill="1F4E79"/>
            <w:vAlign w:val="top"/>
          </w:tcPr>
          <w:p>
            <w:pPr>
              <w:spacing w:after="20" w:line="240" w:lineRule="auto"/>
            </w:pPr>
            <w:r>
              <w:rPr>
                <w:rFonts w:ascii="Arial" w:hAnsi="Arial"/>
                <w:b/>
                <w:color w:val="FFFFFF"/>
                <w:sz w:val="15"/>
              </w:rPr>
              <w:t>Status</w:t>
            </w:r>
          </w:p>
        </w:tc>
        <w:tc>
          <w:tcPr>
            <w:tcW w:type="dxa" w:w="1995"/>
            <w:shd w:fill="1F4E79"/>
            <w:vAlign w:val="top"/>
          </w:tcPr>
          <w:p>
            <w:pPr>
              <w:spacing w:after="20" w:line="240" w:lineRule="auto"/>
            </w:pPr>
            <w:r>
              <w:rPr>
                <w:rFonts w:ascii="Arial" w:hAnsi="Arial"/>
                <w:b/>
                <w:color w:val="FFFFFF"/>
                <w:sz w:val="15"/>
              </w:rPr>
              <w:t>Confidence</w:t>
            </w:r>
          </w:p>
        </w:tc>
        <w:tc>
          <w:tcPr>
            <w:tcW w:type="dxa" w:w="1995"/>
            <w:shd w:fill="1F4E79"/>
            <w:vAlign w:val="top"/>
          </w:tcPr>
          <w:p>
            <w:pPr>
              <w:spacing w:after="20" w:line="240" w:lineRule="auto"/>
            </w:pPr>
            <w:r>
              <w:rPr>
                <w:rFonts w:ascii="Arial" w:hAnsi="Arial"/>
                <w:b/>
                <w:color w:val="FFFFFF"/>
                <w:sz w:val="15"/>
              </w:rPr>
              <w:t>Used in Math?</w:t>
            </w:r>
          </w:p>
        </w:tc>
        <w:tc>
          <w:tcPr>
            <w:tcW w:type="dxa" w:w="1995"/>
            <w:shd w:fill="1F4E79"/>
            <w:vAlign w:val="top"/>
          </w:tcPr>
          <w:p>
            <w:pPr>
              <w:spacing w:after="20" w:line="240" w:lineRule="auto"/>
            </w:pPr>
            <w:r>
              <w:rPr>
                <w:rFonts w:ascii="Arial" w:hAnsi="Arial"/>
                <w:b/>
                <w:color w:val="FFFFFF"/>
                <w:sz w:val="15"/>
              </w:rPr>
              <w:t>Horizon/Dedupe Effect</w:t>
            </w:r>
          </w:p>
        </w:tc>
        <w:tc>
          <w:tcPr>
            <w:tcW w:type="dxa" w:w="1995"/>
            <w:shd w:fill="1F4E79"/>
            <w:vAlign w:val="top"/>
          </w:tcPr>
          <w:p>
            <w:pPr>
              <w:spacing w:after="20" w:line="240" w:lineRule="auto"/>
            </w:pPr>
            <w:r>
              <w:rPr>
                <w:rFonts w:ascii="Arial" w:hAnsi="Arial"/>
                <w:b/>
                <w:color w:val="FFFFFF"/>
                <w:sz w:val="15"/>
              </w:rPr>
              <w:t>Top Scenario Effects</w:t>
            </w:r>
          </w:p>
        </w:tc>
      </w:tr>
      <w:tr>
        <w:tc>
          <w:tcPr>
            <w:tcW w:type="dxa" w:w="1995"/>
            <w:vAlign w:val="top"/>
          </w:tcPr>
          <w:p>
            <w:pPr>
              <w:spacing w:after="20" w:line="240" w:lineRule="auto"/>
            </w:pPr>
            <w:r>
              <w:rPr>
                <w:rFonts w:ascii="Arial" w:hAnsi="Arial"/>
                <w:b w:val="0"/>
                <w:color w:val="595959"/>
                <w:sz w:val="15"/>
              </w:rPr>
              <w:t>SPY return</w:t>
            </w:r>
          </w:p>
        </w:tc>
        <w:tc>
          <w:tcPr>
            <w:tcW w:type="dxa" w:w="1995"/>
            <w:vAlign w:val="top"/>
          </w:tcPr>
          <w:p>
            <w:pPr>
              <w:spacing w:after="20" w:line="240" w:lineRule="auto"/>
            </w:pPr>
            <w:r>
              <w:rPr>
                <w:rFonts w:ascii="Arial" w:hAnsi="Arial"/>
                <w:b w:val="0"/>
                <w:color w:val="595959"/>
                <w:sz w:val="15"/>
              </w:rPr>
              <w:t>12.28</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sticky_late_cycle_ai increases 0.05</w:t>
            </w:r>
          </w:p>
        </w:tc>
      </w:tr>
      <w:tr>
        <w:tc>
          <w:tcPr>
            <w:tcW w:type="dxa" w:w="1995"/>
            <w:shd w:fill="F7F9FC"/>
            <w:vAlign w:val="top"/>
          </w:tcPr>
          <w:p>
            <w:pPr>
              <w:spacing w:after="20" w:line="240" w:lineRule="auto"/>
            </w:pPr>
            <w:r>
              <w:rPr>
                <w:rFonts w:ascii="Arial" w:hAnsi="Arial"/>
                <w:b w:val="0"/>
                <w:color w:val="595959"/>
                <w:sz w:val="15"/>
              </w:rPr>
              <w:t>QQQ return</w:t>
            </w:r>
          </w:p>
        </w:tc>
        <w:tc>
          <w:tcPr>
            <w:tcW w:type="dxa" w:w="1995"/>
            <w:shd w:fill="F7F9FC"/>
            <w:vAlign w:val="top"/>
          </w:tcPr>
          <w:p>
            <w:pPr>
              <w:spacing w:after="20" w:line="240" w:lineRule="auto"/>
            </w:pPr>
            <w:r>
              <w:rPr>
                <w:rFonts w:ascii="Arial" w:hAnsi="Arial"/>
                <w:b w:val="0"/>
                <w:color w:val="595959"/>
                <w:sz w:val="15"/>
              </w:rPr>
              <w:t>21.75</w:t>
            </w:r>
          </w:p>
        </w:tc>
        <w:tc>
          <w:tcPr>
            <w:tcW w:type="dxa" w:w="1995"/>
            <w:shd w:fill="F7F9FC"/>
            <w:vAlign w:val="top"/>
          </w:tcPr>
          <w:p>
            <w:pPr>
              <w:spacing w:after="20" w:line="240" w:lineRule="auto"/>
            </w:pPr>
            <w:r>
              <w:rPr>
                <w:rFonts w:ascii="Arial" w:hAnsi="Arial"/>
                <w:b w:val="0"/>
                <w:color w:val="375623"/>
                <w:sz w:val="15"/>
              </w:rPr>
              <w:t>bullish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sticky_late_cycle_ai increases 0.05</w:t>
            </w:r>
          </w:p>
        </w:tc>
      </w:tr>
      <w:tr>
        <w:tc>
          <w:tcPr>
            <w:tcW w:type="dxa" w:w="1995"/>
            <w:vAlign w:val="top"/>
          </w:tcPr>
          <w:p>
            <w:pPr>
              <w:spacing w:after="20" w:line="240" w:lineRule="auto"/>
            </w:pPr>
            <w:r>
              <w:rPr>
                <w:rFonts w:ascii="Arial" w:hAnsi="Arial"/>
                <w:b w:val="0"/>
                <w:color w:val="595959"/>
                <w:sz w:val="15"/>
              </w:rPr>
              <w:t>IWM return</w:t>
            </w:r>
          </w:p>
        </w:tc>
        <w:tc>
          <w:tcPr>
            <w:tcW w:type="dxa" w:w="1995"/>
            <w:vAlign w:val="top"/>
          </w:tcPr>
          <w:p>
            <w:pPr>
              <w:spacing w:after="20" w:line="240" w:lineRule="auto"/>
            </w:pPr>
            <w:r>
              <w:rPr>
                <w:rFonts w:ascii="Arial" w:hAnsi="Arial"/>
                <w:b w:val="0"/>
                <w:color w:val="595959"/>
                <w:sz w:val="15"/>
              </w:rPr>
              <w:t>19.47</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reopening_soft_landing increases 0.08</w:t>
            </w:r>
          </w:p>
        </w:tc>
      </w:tr>
      <w:tr>
        <w:tc>
          <w:tcPr>
            <w:tcW w:type="dxa" w:w="1995"/>
            <w:shd w:fill="F7F9FC"/>
            <w:vAlign w:val="top"/>
          </w:tcPr>
          <w:p>
            <w:pPr>
              <w:spacing w:after="20" w:line="240" w:lineRule="auto"/>
            </w:pPr>
            <w:r>
              <w:rPr>
                <w:rFonts w:ascii="Arial" w:hAnsi="Arial"/>
                <w:b w:val="0"/>
                <w:color w:val="595959"/>
                <w:sz w:val="15"/>
              </w:rPr>
              <w:t>TLT return</w:t>
            </w:r>
          </w:p>
        </w:tc>
        <w:tc>
          <w:tcPr>
            <w:tcW w:type="dxa" w:w="1995"/>
            <w:shd w:fill="F7F9FC"/>
            <w:vAlign w:val="top"/>
          </w:tcPr>
          <w:p>
            <w:pPr>
              <w:spacing w:after="20" w:line="240" w:lineRule="auto"/>
            </w:pPr>
            <w:r>
              <w:rPr>
                <w:rFonts w:ascii="Arial" w:hAnsi="Arial"/>
                <w:b w:val="0"/>
                <w:color w:val="595959"/>
                <w:sz w:val="15"/>
              </w:rPr>
              <w:t>0.16</w:t>
            </w:r>
          </w:p>
        </w:tc>
        <w:tc>
          <w:tcPr>
            <w:tcW w:type="dxa" w:w="1995"/>
            <w:shd w:fill="F7F9FC"/>
            <w:vAlign w:val="top"/>
          </w:tcPr>
          <w:p>
            <w:pPr>
              <w:spacing w:after="20" w:line="240" w:lineRule="auto"/>
            </w:pPr>
            <w:r>
              <w:rPr>
                <w:rFonts w:ascii="Arial" w:hAnsi="Arial"/>
                <w:b w:val="0"/>
                <w:color w:val="375623"/>
                <w:sz w:val="15"/>
              </w:rPr>
              <w:t>bullish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late_cycle_risk_off increases 0.05</w:t>
            </w:r>
          </w:p>
        </w:tc>
      </w:tr>
      <w:tr>
        <w:tc>
          <w:tcPr>
            <w:tcW w:type="dxa" w:w="1995"/>
            <w:vAlign w:val="top"/>
          </w:tcPr>
          <w:p>
            <w:pPr>
              <w:spacing w:after="20" w:line="240" w:lineRule="auto"/>
            </w:pPr>
            <w:r>
              <w:rPr>
                <w:rFonts w:ascii="Arial" w:hAnsi="Arial"/>
                <w:b w:val="0"/>
                <w:color w:val="595959"/>
                <w:sz w:val="15"/>
              </w:rPr>
              <w:t>HYG return</w:t>
            </w:r>
          </w:p>
        </w:tc>
        <w:tc>
          <w:tcPr>
            <w:tcW w:type="dxa" w:w="1995"/>
            <w:vAlign w:val="top"/>
          </w:tcPr>
          <w:p>
            <w:pPr>
              <w:spacing w:after="20" w:line="240" w:lineRule="auto"/>
            </w:pPr>
            <w:r>
              <w:rPr>
                <w:rFonts w:ascii="Arial" w:hAnsi="Arial"/>
                <w:b w:val="0"/>
                <w:color w:val="595959"/>
                <w:sz w:val="15"/>
              </w:rPr>
              <w:t>2.51</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late_cycle_risk_off decreases 0.07</w:t>
            </w:r>
          </w:p>
        </w:tc>
      </w:tr>
      <w:tr>
        <w:tc>
          <w:tcPr>
            <w:tcW w:type="dxa" w:w="1995"/>
            <w:shd w:fill="F7F9FC"/>
            <w:vAlign w:val="top"/>
          </w:tcPr>
          <w:p>
            <w:pPr>
              <w:spacing w:after="20" w:line="240" w:lineRule="auto"/>
            </w:pPr>
            <w:r>
              <w:rPr>
                <w:rFonts w:ascii="Arial" w:hAnsi="Arial"/>
                <w:b w:val="0"/>
                <w:color w:val="595959"/>
                <w:sz w:val="15"/>
              </w:rPr>
              <w:t>GLD return</w:t>
            </w:r>
          </w:p>
        </w:tc>
        <w:tc>
          <w:tcPr>
            <w:tcW w:type="dxa" w:w="1995"/>
            <w:shd w:fill="F7F9FC"/>
            <w:vAlign w:val="top"/>
          </w:tcPr>
          <w:p>
            <w:pPr>
              <w:spacing w:after="20" w:line="240" w:lineRule="auto"/>
            </w:pPr>
            <w:r>
              <w:rPr>
                <w:rFonts w:ascii="Arial" w:hAnsi="Arial"/>
                <w:b w:val="0"/>
                <w:color w:val="C00000"/>
                <w:sz w:val="15"/>
              </w:rPr>
              <w:t>-15.98</w:t>
            </w:r>
          </w:p>
        </w:tc>
        <w:tc>
          <w:tcPr>
            <w:tcW w:type="dxa" w:w="1995"/>
            <w:shd w:fill="F7F9FC"/>
            <w:vAlign w:val="top"/>
          </w:tcPr>
          <w:p>
            <w:pPr>
              <w:spacing w:after="20" w:line="240" w:lineRule="auto"/>
            </w:pPr>
            <w:r>
              <w:rPr>
                <w:rFonts w:ascii="Arial" w:hAnsi="Arial"/>
                <w:b w:val="0"/>
                <w:color w:val="C00000"/>
                <w:sz w:val="15"/>
              </w:rPr>
              <w:t>bearish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oil_inflation_tail decreases 0.05</w:t>
            </w:r>
          </w:p>
        </w:tc>
      </w:tr>
      <w:tr>
        <w:tc>
          <w:tcPr>
            <w:tcW w:type="dxa" w:w="1995"/>
            <w:vAlign w:val="top"/>
          </w:tcPr>
          <w:p>
            <w:pPr>
              <w:spacing w:after="20" w:line="240" w:lineRule="auto"/>
            </w:pPr>
            <w:r>
              <w:rPr>
                <w:rFonts w:ascii="Arial" w:hAnsi="Arial"/>
                <w:b w:val="0"/>
                <w:color w:val="595959"/>
                <w:sz w:val="15"/>
              </w:rPr>
              <w:t>USO return</w:t>
            </w:r>
          </w:p>
        </w:tc>
        <w:tc>
          <w:tcPr>
            <w:tcW w:type="dxa" w:w="1995"/>
            <w:vAlign w:val="top"/>
          </w:tcPr>
          <w:p>
            <w:pPr>
              <w:spacing w:after="20" w:line="240" w:lineRule="auto"/>
            </w:pPr>
            <w:r>
              <w:rPr>
                <w:rFonts w:ascii="Arial" w:hAnsi="Arial"/>
                <w:b w:val="0"/>
                <w:color w:val="595959"/>
                <w:sz w:val="15"/>
              </w:rPr>
              <w:t>5.38</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oil_inflation_tail increases 0.07</w:t>
            </w:r>
          </w:p>
        </w:tc>
      </w:tr>
      <w:tr>
        <w:tc>
          <w:tcPr>
            <w:tcW w:type="dxa" w:w="1995"/>
            <w:shd w:fill="F7F9FC"/>
            <w:vAlign w:val="top"/>
          </w:tcPr>
          <w:p>
            <w:pPr>
              <w:spacing w:after="20" w:line="240" w:lineRule="auto"/>
            </w:pPr>
            <w:r>
              <w:rPr>
                <w:rFonts w:ascii="Arial" w:hAnsi="Arial"/>
                <w:b w:val="0"/>
                <w:color w:val="595959"/>
                <w:sz w:val="15"/>
              </w:rPr>
              <w:t>BTC return</w:t>
            </w:r>
          </w:p>
        </w:tc>
        <w:tc>
          <w:tcPr>
            <w:tcW w:type="dxa" w:w="1995"/>
            <w:shd w:fill="F7F9FC"/>
            <w:vAlign w:val="top"/>
          </w:tcPr>
          <w:p>
            <w:pPr>
              <w:spacing w:after="20" w:line="240" w:lineRule="auto"/>
            </w:pPr>
            <w:r>
              <w:rPr>
                <w:rFonts w:ascii="Arial" w:hAnsi="Arial"/>
                <w:b w:val="0"/>
                <w:color w:val="C00000"/>
                <w:sz w:val="15"/>
              </w:rPr>
              <w:t>-12.39</w:t>
            </w:r>
          </w:p>
        </w:tc>
        <w:tc>
          <w:tcPr>
            <w:tcW w:type="dxa" w:w="1995"/>
            <w:shd w:fill="F7F9FC"/>
            <w:vAlign w:val="top"/>
          </w:tcPr>
          <w:p>
            <w:pPr>
              <w:spacing w:after="20" w:line="240" w:lineRule="auto"/>
            </w:pPr>
            <w:r>
              <w:rPr>
                <w:rFonts w:ascii="Arial" w:hAnsi="Arial"/>
                <w:b w:val="0"/>
                <w:color w:val="C00000"/>
                <w:sz w:val="15"/>
              </w:rPr>
              <w:t>bearish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late_cycle_risk_off increases 0.06</w:t>
            </w:r>
          </w:p>
        </w:tc>
      </w:tr>
      <w:tr>
        <w:tc>
          <w:tcPr>
            <w:tcW w:type="dxa" w:w="1995"/>
            <w:vAlign w:val="top"/>
          </w:tcPr>
          <w:p>
            <w:pPr>
              <w:spacing w:after="20" w:line="240" w:lineRule="auto"/>
            </w:pPr>
            <w:r>
              <w:rPr>
                <w:rFonts w:ascii="Arial" w:hAnsi="Arial"/>
                <w:b w:val="0"/>
                <w:color w:val="595959"/>
                <w:sz w:val="15"/>
              </w:rPr>
              <w:t>RSP return</w:t>
            </w:r>
          </w:p>
        </w:tc>
        <w:tc>
          <w:tcPr>
            <w:tcW w:type="dxa" w:w="1995"/>
            <w:vAlign w:val="top"/>
          </w:tcPr>
          <w:p>
            <w:pPr>
              <w:spacing w:after="20" w:line="240" w:lineRule="auto"/>
            </w:pPr>
            <w:r>
              <w:rPr>
                <w:rFonts w:ascii="Arial" w:hAnsi="Arial"/>
                <w:b w:val="0"/>
                <w:color w:val="595959"/>
                <w:sz w:val="15"/>
              </w:rPr>
              <w:t>9.81</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reopening_soft_landing increases 0.08</w:t>
            </w:r>
          </w:p>
        </w:tc>
      </w:tr>
      <w:tr>
        <w:tc>
          <w:tcPr>
            <w:tcW w:type="dxa" w:w="1995"/>
            <w:shd w:fill="F7F9FC"/>
            <w:vAlign w:val="top"/>
          </w:tcPr>
          <w:p>
            <w:pPr>
              <w:spacing w:after="20" w:line="240" w:lineRule="auto"/>
            </w:pPr>
            <w:r>
              <w:rPr>
                <w:rFonts w:ascii="Arial" w:hAnsi="Arial"/>
                <w:b w:val="0"/>
                <w:color w:val="595959"/>
                <w:sz w:val="15"/>
              </w:rPr>
              <w:t>HYG minus TLT risk-on proxy</w:t>
            </w:r>
          </w:p>
        </w:tc>
        <w:tc>
          <w:tcPr>
            <w:tcW w:type="dxa" w:w="1995"/>
            <w:shd w:fill="F7F9FC"/>
            <w:vAlign w:val="top"/>
          </w:tcPr>
          <w:p>
            <w:pPr>
              <w:spacing w:after="20" w:line="240" w:lineRule="auto"/>
            </w:pPr>
            <w:r>
              <w:rPr>
                <w:rFonts w:ascii="Arial" w:hAnsi="Arial"/>
                <w:b w:val="0"/>
                <w:color w:val="595959"/>
                <w:sz w:val="15"/>
              </w:rPr>
              <w:t>2.35</w:t>
            </w:r>
          </w:p>
        </w:tc>
        <w:tc>
          <w:tcPr>
            <w:tcW w:type="dxa" w:w="1995"/>
            <w:shd w:fill="F7F9FC"/>
            <w:vAlign w:val="top"/>
          </w:tcPr>
          <w:p>
            <w:pPr>
              <w:spacing w:after="20" w:line="240" w:lineRule="auto"/>
            </w:pPr>
            <w:r>
              <w:rPr>
                <w:rFonts w:ascii="Arial" w:hAnsi="Arial"/>
                <w:b w:val="0"/>
                <w:color w:val="375623"/>
                <w:sz w:val="15"/>
              </w:rPr>
              <w:t>bullish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reopening_soft_landing increases 0.10, late_cycle_risk_off decreases 0.08</w:t>
            </w:r>
          </w:p>
        </w:tc>
      </w:tr>
      <w:tr>
        <w:tc>
          <w:tcPr>
            <w:tcW w:type="dxa" w:w="1995"/>
            <w:vAlign w:val="top"/>
          </w:tcPr>
          <w:p>
            <w:pPr>
              <w:spacing w:after="20" w:line="240" w:lineRule="auto"/>
            </w:pPr>
            <w:r>
              <w:rPr>
                <w:rFonts w:ascii="Arial" w:hAnsi="Arial"/>
                <w:b w:val="0"/>
                <w:color w:val="595959"/>
                <w:sz w:val="15"/>
              </w:rPr>
              <w:t>RSP minus SPY participation proxy</w:t>
            </w:r>
          </w:p>
        </w:tc>
        <w:tc>
          <w:tcPr>
            <w:tcW w:type="dxa" w:w="1995"/>
            <w:vAlign w:val="top"/>
          </w:tcPr>
          <w:p>
            <w:pPr>
              <w:spacing w:after="20" w:line="240" w:lineRule="auto"/>
            </w:pPr>
            <w:r>
              <w:rPr>
                <w:rFonts w:ascii="Arial" w:hAnsi="Arial"/>
                <w:b w:val="0"/>
                <w:color w:val="C00000"/>
                <w:sz w:val="15"/>
              </w:rPr>
              <w:t>-2.47</w:t>
            </w:r>
          </w:p>
        </w:tc>
        <w:tc>
          <w:tcPr>
            <w:tcW w:type="dxa" w:w="1995"/>
            <w:vAlign w:val="top"/>
          </w:tcPr>
          <w:p>
            <w:pPr>
              <w:spacing w:after="20" w:line="240" w:lineRule="auto"/>
            </w:pPr>
            <w:r>
              <w:rPr>
                <w:rFonts w:ascii="Arial" w:hAnsi="Arial"/>
                <w:b w:val="0"/>
                <w:color w:val="C00000"/>
                <w:sz w:val="15"/>
              </w:rPr>
              <w:t>bearish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sticky_late_cycle_ai increases 0.12, reopening_soft_landing decreases 0.10</w:t>
            </w:r>
          </w:p>
        </w:tc>
      </w:tr>
      <w:tr>
        <w:tc>
          <w:tcPr>
            <w:tcW w:type="dxa" w:w="1995"/>
            <w:shd w:fill="F7F9FC"/>
            <w:vAlign w:val="top"/>
          </w:tcPr>
          <w:p>
            <w:pPr>
              <w:spacing w:after="20" w:line="240" w:lineRule="auto"/>
            </w:pPr>
            <w:r>
              <w:rPr>
                <w:rFonts w:ascii="Arial" w:hAnsi="Arial"/>
                <w:b w:val="0"/>
                <w:color w:val="595959"/>
                <w:sz w:val="15"/>
              </w:rPr>
              <w:t>IWM minus SPY small-cap leadership</w:t>
            </w:r>
          </w:p>
        </w:tc>
        <w:tc>
          <w:tcPr>
            <w:tcW w:type="dxa" w:w="1995"/>
            <w:shd w:fill="F7F9FC"/>
            <w:vAlign w:val="top"/>
          </w:tcPr>
          <w:p>
            <w:pPr>
              <w:spacing w:after="20" w:line="240" w:lineRule="auto"/>
            </w:pPr>
            <w:r>
              <w:rPr>
                <w:rFonts w:ascii="Arial" w:hAnsi="Arial"/>
                <w:b w:val="0"/>
                <w:color w:val="595959"/>
                <w:sz w:val="15"/>
              </w:rPr>
              <w:t>7.18</w:t>
            </w:r>
          </w:p>
        </w:tc>
        <w:tc>
          <w:tcPr>
            <w:tcW w:type="dxa" w:w="1995"/>
            <w:shd w:fill="F7F9FC"/>
            <w:vAlign w:val="top"/>
          </w:tcPr>
          <w:p>
            <w:pPr>
              <w:spacing w:after="20" w:line="240" w:lineRule="auto"/>
            </w:pPr>
            <w:r>
              <w:rPr>
                <w:rFonts w:ascii="Arial" w:hAnsi="Arial"/>
                <w:b w:val="0"/>
                <w:color w:val="375623"/>
                <w:sz w:val="15"/>
              </w:rPr>
              <w:t>bullish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reopening_soft_landing increases 0.10</w:t>
            </w:r>
          </w:p>
        </w:tc>
      </w:tr>
      <w:tr>
        <w:tc>
          <w:tcPr>
            <w:tcW w:type="dxa" w:w="1995"/>
            <w:vAlign w:val="top"/>
          </w:tcPr>
          <w:p>
            <w:pPr>
              <w:spacing w:after="20" w:line="240" w:lineRule="auto"/>
            </w:pPr>
            <w:r>
              <w:rPr>
                <w:rFonts w:ascii="Arial" w:hAnsi="Arial"/>
                <w:b w:val="0"/>
                <w:color w:val="595959"/>
                <w:sz w:val="15"/>
              </w:rPr>
              <w:t>QQQ minus SPY growth leadership</w:t>
            </w:r>
          </w:p>
        </w:tc>
        <w:tc>
          <w:tcPr>
            <w:tcW w:type="dxa" w:w="1995"/>
            <w:vAlign w:val="top"/>
          </w:tcPr>
          <w:p>
            <w:pPr>
              <w:spacing w:after="20" w:line="240" w:lineRule="auto"/>
            </w:pPr>
            <w:r>
              <w:rPr>
                <w:rFonts w:ascii="Arial" w:hAnsi="Arial"/>
                <w:b w:val="0"/>
                <w:color w:val="595959"/>
                <w:sz w:val="15"/>
              </w:rPr>
              <w:t>9.46</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sticky_late_cycle_ai increases 0.08</w:t>
            </w:r>
          </w:p>
        </w:tc>
      </w:tr>
      <w:tr>
        <w:tc>
          <w:tcPr>
            <w:tcW w:type="dxa" w:w="1995"/>
            <w:shd w:fill="F7F9FC"/>
            <w:vAlign w:val="top"/>
          </w:tcPr>
          <w:p>
            <w:pPr>
              <w:spacing w:after="20" w:line="240" w:lineRule="auto"/>
            </w:pPr>
            <w:r>
              <w:rPr>
                <w:rFonts w:ascii="Arial" w:hAnsi="Arial"/>
                <w:b w:val="0"/>
                <w:color w:val="595959"/>
                <w:sz w:val="15"/>
              </w:rPr>
              <w:t>Market tape leadership top 3</w:t>
            </w:r>
          </w:p>
        </w:tc>
        <w:tc>
          <w:tcPr>
            <w:tcW w:type="dxa" w:w="1995"/>
            <w:shd w:fill="F7F9FC"/>
            <w:vAlign w:val="top"/>
          </w:tcPr>
          <w:p>
            <w:pPr>
              <w:spacing w:after="20" w:line="240" w:lineRule="auto"/>
            </w:pPr>
            <w:r>
              <w:rPr>
                <w:rFonts w:ascii="Arial" w:hAnsi="Arial"/>
                <w:b w:val="0"/>
                <w:color w:val="595959"/>
                <w:sz w:val="15"/>
              </w:rPr>
              <w:t>Technology +35.6%, Financials +9.4%, Real Estate +7.9%</w:t>
            </w:r>
          </w:p>
        </w:tc>
        <w:tc>
          <w:tcPr>
            <w:tcW w:type="dxa" w:w="1995"/>
            <w:shd w:fill="F7F9FC"/>
            <w:vAlign w:val="top"/>
          </w:tcPr>
          <w:p>
            <w:pPr>
              <w:spacing w:after="20" w:line="240" w:lineRule="auto"/>
            </w:pPr>
            <w:r>
              <w:rPr>
                <w:rFonts w:ascii="Arial" w:hAnsi="Arial"/>
                <w:b w:val="0"/>
                <w:color w:val="595959"/>
                <w:sz w:val="15"/>
              </w:rPr>
              <w:t>mixed</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sticky_late_cycle_ai increases 0.07</w:t>
            </w:r>
          </w:p>
        </w:tc>
      </w:tr>
      <w:tr>
        <w:tc>
          <w:tcPr>
            <w:tcW w:type="dxa" w:w="1995"/>
            <w:vAlign w:val="top"/>
          </w:tcPr>
          <w:p>
            <w:pPr>
              <w:spacing w:after="20" w:line="240" w:lineRule="auto"/>
            </w:pPr>
            <w:r>
              <w:rPr>
                <w:rFonts w:ascii="Arial" w:hAnsi="Arial"/>
                <w:b w:val="0"/>
                <w:color w:val="595959"/>
                <w:sz w:val="15"/>
              </w:rPr>
              <w:t>Market tape sector dispersion</w:t>
            </w:r>
          </w:p>
        </w:tc>
        <w:tc>
          <w:tcPr>
            <w:tcW w:type="dxa" w:w="1995"/>
            <w:vAlign w:val="top"/>
          </w:tcPr>
          <w:p>
            <w:pPr>
              <w:spacing w:after="20" w:line="240" w:lineRule="auto"/>
            </w:pPr>
            <w:r>
              <w:rPr>
                <w:rFonts w:ascii="Arial" w:hAnsi="Arial"/>
                <w:b w:val="0"/>
                <w:color w:val="595959"/>
                <w:sz w:val="15"/>
              </w:rPr>
              <w:t>10.15</w:t>
            </w:r>
          </w:p>
        </w:tc>
        <w:tc>
          <w:tcPr>
            <w:tcW w:type="dxa" w:w="1995"/>
            <w:vAlign w:val="top"/>
          </w:tcPr>
          <w:p>
            <w:pPr>
              <w:spacing w:after="20" w:line="240" w:lineRule="auto"/>
            </w:pPr>
            <w:r>
              <w:rPr>
                <w:rFonts w:ascii="Arial" w:hAnsi="Arial"/>
                <w:b w:val="0"/>
                <w:color w:val="C00000"/>
                <w:sz w:val="15"/>
              </w:rPr>
              <w:t>bearish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late_cycle_risk_off increases 0.06</w:t>
            </w:r>
          </w:p>
        </w:tc>
      </w:tr>
      <w:tr>
        <w:tc>
          <w:tcPr>
            <w:tcW w:type="dxa" w:w="1995"/>
            <w:shd w:fill="F7F9FC"/>
            <w:vAlign w:val="top"/>
          </w:tcPr>
          <w:p>
            <w:pPr>
              <w:spacing w:after="20" w:line="240" w:lineRule="auto"/>
            </w:pPr>
            <w:r>
              <w:rPr>
                <w:rFonts w:ascii="Arial" w:hAnsi="Arial"/>
                <w:b w:val="0"/>
                <w:color w:val="595959"/>
                <w:sz w:val="15"/>
              </w:rPr>
              <w:t>Spy Above Vwap</w:t>
            </w:r>
          </w:p>
        </w:tc>
        <w:tc>
          <w:tcPr>
            <w:tcW w:type="dxa" w:w="1995"/>
            <w:shd w:fill="F7F9FC"/>
            <w:vAlign w:val="top"/>
          </w:tcPr>
          <w:p>
            <w:pPr>
              <w:spacing w:after="20" w:line="240" w:lineRule="auto"/>
            </w:pPr>
            <w:r>
              <w:rPr>
                <w:rFonts w:ascii="Arial" w:hAnsi="Arial"/>
                <w:b w:val="0"/>
                <w:color w:val="595959"/>
                <w:sz w:val="15"/>
              </w:rPr>
              <w:t>True</w:t>
            </w:r>
          </w:p>
        </w:tc>
        <w:tc>
          <w:tcPr>
            <w:tcW w:type="dxa" w:w="1995"/>
            <w:shd w:fill="F7F9FC"/>
            <w:vAlign w:val="top"/>
          </w:tcPr>
          <w:p>
            <w:pPr>
              <w:spacing w:after="20" w:line="240" w:lineRule="auto"/>
            </w:pPr>
            <w:r>
              <w:rPr>
                <w:rFonts w:ascii="Arial" w:hAnsi="Arial"/>
                <w:b w:val="0"/>
                <w:color w:val="375623"/>
                <w:sz w:val="15"/>
              </w:rPr>
              <w:t>bullish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reopening_soft_landing increases 0.04</w:t>
            </w:r>
          </w:p>
        </w:tc>
      </w:tr>
      <w:tr>
        <w:tc>
          <w:tcPr>
            <w:tcW w:type="dxa" w:w="1995"/>
            <w:vAlign w:val="top"/>
          </w:tcPr>
          <w:p>
            <w:pPr>
              <w:spacing w:after="20" w:line="240" w:lineRule="auto"/>
            </w:pPr>
            <w:r>
              <w:rPr>
                <w:rFonts w:ascii="Arial" w:hAnsi="Arial"/>
                <w:b w:val="0"/>
                <w:color w:val="595959"/>
                <w:sz w:val="15"/>
              </w:rPr>
              <w:t>Spy Above Prev Close</w:t>
            </w:r>
          </w:p>
        </w:tc>
        <w:tc>
          <w:tcPr>
            <w:tcW w:type="dxa" w:w="1995"/>
            <w:vAlign w:val="top"/>
          </w:tcPr>
          <w:p>
            <w:pPr>
              <w:spacing w:after="20" w:line="240" w:lineRule="auto"/>
            </w:pPr>
            <w:r>
              <w:rPr>
                <w:rFonts w:ascii="Arial" w:hAnsi="Arial"/>
                <w:b w:val="0"/>
                <w:color w:val="595959"/>
                <w:sz w:val="15"/>
              </w:rPr>
              <w:t>True</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reopening_soft_landing increases 0.04</w:t>
            </w:r>
          </w:p>
        </w:tc>
      </w:tr>
      <w:tr>
        <w:tc>
          <w:tcPr>
            <w:tcW w:type="dxa" w:w="1995"/>
            <w:shd w:fill="F7F9FC"/>
            <w:vAlign w:val="top"/>
          </w:tcPr>
          <w:p>
            <w:pPr>
              <w:spacing w:after="20" w:line="240" w:lineRule="auto"/>
            </w:pPr>
            <w:r>
              <w:rPr>
                <w:rFonts w:ascii="Arial" w:hAnsi="Arial"/>
                <w:b w:val="0"/>
                <w:color w:val="595959"/>
                <w:sz w:val="15"/>
              </w:rPr>
              <w:t>Spy Clv</w:t>
            </w:r>
          </w:p>
        </w:tc>
        <w:tc>
          <w:tcPr>
            <w:tcW w:type="dxa" w:w="1995"/>
            <w:shd w:fill="F7F9FC"/>
            <w:vAlign w:val="top"/>
          </w:tcPr>
          <w:p>
            <w:pPr>
              <w:spacing w:after="20" w:line="240" w:lineRule="auto"/>
            </w:pPr>
            <w:r>
              <w:rPr>
                <w:rFonts w:ascii="Arial" w:hAnsi="Arial"/>
                <w:b w:val="0"/>
                <w:color w:val="595959"/>
                <w:sz w:val="15"/>
              </w:rPr>
              <w:t>0.40</w:t>
            </w:r>
          </w:p>
        </w:tc>
        <w:tc>
          <w:tcPr>
            <w:tcW w:type="dxa" w:w="1995"/>
            <w:shd w:fill="F7F9FC"/>
            <w:vAlign w:val="top"/>
          </w:tcPr>
          <w:p>
            <w:pPr>
              <w:spacing w:after="20" w:line="240" w:lineRule="auto"/>
            </w:pPr>
            <w:r>
              <w:rPr>
                <w:rFonts w:ascii="Arial" w:hAnsi="Arial"/>
                <w:b w:val="0"/>
                <w:color w:val="375623"/>
                <w:sz w:val="15"/>
              </w:rPr>
              <w:t>bullish</w:t>
            </w:r>
          </w:p>
        </w:tc>
        <w:tc>
          <w:tcPr>
            <w:tcW w:type="dxa" w:w="1995"/>
            <w:shd w:fill="F7F9FC"/>
            <w:vAlign w:val="top"/>
          </w:tcPr>
          <w:p>
            <w:pPr>
              <w:spacing w:after="20" w:line="240" w:lineRule="auto"/>
            </w:pPr>
            <w:r>
              <w:rPr>
                <w:rFonts w:ascii="Arial" w:hAnsi="Arial"/>
                <w:b w:val="0"/>
                <w:color w:val="595959"/>
                <w:sz w:val="15"/>
              </w:rPr>
              <w:t>0.50</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field from MarketState, horizon 3M.</w:t>
            </w:r>
          </w:p>
        </w:tc>
        <w:tc>
          <w:tcPr>
            <w:tcW w:type="dxa" w:w="1995"/>
            <w:shd w:fill="F7F9FC"/>
            <w:vAlign w:val="top"/>
          </w:tcPr>
          <w:p>
            <w:pPr>
              <w:spacing w:after="20" w:line="240" w:lineRule="auto"/>
            </w:pPr>
            <w:r>
              <w:rPr>
                <w:rFonts w:ascii="Arial" w:hAnsi="Arial"/>
                <w:b w:val="0"/>
                <w:color w:val="595959"/>
                <w:sz w:val="15"/>
              </w:rPr>
              <w:t>reopening_soft_landing increases 0.06</w:t>
            </w:r>
          </w:p>
        </w:tc>
      </w:tr>
      <w:tr>
        <w:tc>
          <w:tcPr>
            <w:tcW w:type="dxa" w:w="1995"/>
            <w:vAlign w:val="top"/>
          </w:tcPr>
          <w:p>
            <w:pPr>
              <w:spacing w:after="20" w:line="240" w:lineRule="auto"/>
            </w:pPr>
            <w:r>
              <w:rPr>
                <w:rFonts w:ascii="Arial" w:hAnsi="Arial"/>
                <w:b w:val="0"/>
                <w:color w:val="595959"/>
                <w:sz w:val="15"/>
              </w:rPr>
              <w:t>Spy Range Pct</w:t>
            </w:r>
          </w:p>
        </w:tc>
        <w:tc>
          <w:tcPr>
            <w:tcW w:type="dxa" w:w="1995"/>
            <w:vAlign w:val="top"/>
          </w:tcPr>
          <w:p>
            <w:pPr>
              <w:spacing w:after="20" w:line="240" w:lineRule="auto"/>
            </w:pPr>
            <w:r>
              <w:rPr>
                <w:rFonts w:ascii="Arial" w:hAnsi="Arial"/>
                <w:b w:val="0"/>
                <w:color w:val="595959"/>
                <w:sz w:val="15"/>
              </w:rPr>
              <w:t>1.27</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0.50</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field from MarketState, horizon 3M.</w:t>
            </w:r>
          </w:p>
        </w:tc>
        <w:tc>
          <w:tcPr>
            <w:tcW w:type="dxa" w:w="1995"/>
            <w:vAlign w:val="top"/>
          </w:tcPr>
          <w:p>
            <w:pPr>
              <w:spacing w:after="20" w:line="240" w:lineRule="auto"/>
            </w:pPr>
            <w:r>
              <w:rPr>
                <w:rFonts w:ascii="Arial" w:hAnsi="Arial"/>
                <w:b w:val="0"/>
                <w:color w:val="595959"/>
                <w:sz w:val="15"/>
              </w:rPr>
              <w:t>reopening_soft_landing increases 0.06</w:t>
            </w:r>
          </w:p>
        </w:tc>
      </w:tr>
      <w:tr>
        <w:tc>
          <w:tcPr>
            <w:tcW w:type="dxa" w:w="1995"/>
            <w:shd w:fill="F7F9FC"/>
            <w:vAlign w:val="top"/>
          </w:tcPr>
          <w:p>
            <w:pPr>
              <w:spacing w:after="20" w:line="240" w:lineRule="auto"/>
            </w:pPr>
            <w:r>
              <w:rPr>
                <w:rFonts w:ascii="Arial" w:hAnsi="Arial"/>
                <w:b w:val="0"/>
                <w:color w:val="595959"/>
                <w:sz w:val="15"/>
              </w:rPr>
              <w:t>Spy Vol Z 20D</w:t>
            </w:r>
          </w:p>
        </w:tc>
        <w:tc>
          <w:tcPr>
            <w:tcW w:type="dxa" w:w="1995"/>
            <w:shd w:fill="F7F9FC"/>
            <w:vAlign w:val="top"/>
          </w:tcPr>
          <w:p>
            <w:pPr>
              <w:spacing w:after="20" w:line="240" w:lineRule="auto"/>
            </w:pPr>
            <w:r>
              <w:rPr>
                <w:rFonts w:ascii="Arial" w:hAnsi="Arial"/>
                <w:b w:val="0"/>
                <w:color w:val="C00000"/>
                <w:sz w:val="15"/>
              </w:rPr>
              <w:t>-1.43</w:t>
            </w:r>
          </w:p>
        </w:tc>
        <w:tc>
          <w:tcPr>
            <w:tcW w:type="dxa" w:w="1995"/>
            <w:shd w:fill="F7F9FC"/>
            <w:vAlign w:val="top"/>
          </w:tcPr>
          <w:p>
            <w:pPr>
              <w:spacing w:after="20" w:line="240" w:lineRule="auto"/>
            </w:pPr>
            <w:r>
              <w:rPr>
                <w:rFonts w:ascii="Arial" w:hAnsi="Arial"/>
                <w:b w:val="0"/>
                <w:color w:val="C00000"/>
                <w:sz w:val="15"/>
              </w:rPr>
              <w:t>bearish</w:t>
            </w:r>
          </w:p>
        </w:tc>
        <w:tc>
          <w:tcPr>
            <w:tcW w:type="dxa" w:w="1995"/>
            <w:shd w:fill="F7F9FC"/>
            <w:vAlign w:val="top"/>
          </w:tcPr>
          <w:p>
            <w:pPr>
              <w:spacing w:after="20" w:line="240" w:lineRule="auto"/>
            </w:pPr>
            <w:r>
              <w:rPr>
                <w:rFonts w:ascii="Arial" w:hAnsi="Arial"/>
                <w:b w:val="0"/>
                <w:color w:val="595959"/>
                <w:sz w:val="15"/>
              </w:rPr>
              <w:t>0.50</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field from MarketState, horizon 3M.</w:t>
            </w:r>
          </w:p>
        </w:tc>
        <w:tc>
          <w:tcPr>
            <w:tcW w:type="dxa" w:w="1995"/>
            <w:shd w:fill="F7F9FC"/>
            <w:vAlign w:val="top"/>
          </w:tcPr>
          <w:p>
            <w:pPr>
              <w:spacing w:after="20" w:line="240" w:lineRule="auto"/>
            </w:pPr>
            <w:r>
              <w:rPr>
                <w:rFonts w:ascii="Arial" w:hAnsi="Arial"/>
                <w:b w:val="0"/>
                <w:color w:val="595959"/>
                <w:sz w:val="15"/>
              </w:rPr>
              <w:t>late_cycle_risk_off increases 0.06</w:t>
            </w:r>
          </w:p>
        </w:tc>
      </w:tr>
      <w:tr>
        <w:tc>
          <w:tcPr>
            <w:tcW w:type="dxa" w:w="1995"/>
            <w:vAlign w:val="top"/>
          </w:tcPr>
          <w:p>
            <w:pPr>
              <w:spacing w:after="20" w:line="240" w:lineRule="auto"/>
            </w:pPr>
            <w:r>
              <w:rPr>
                <w:rFonts w:ascii="Arial" w:hAnsi="Arial"/>
                <w:b w:val="0"/>
                <w:color w:val="595959"/>
                <w:sz w:val="15"/>
              </w:rPr>
              <w:t>Volume Confirmation</w:t>
            </w:r>
          </w:p>
        </w:tc>
        <w:tc>
          <w:tcPr>
            <w:tcW w:type="dxa" w:w="1995"/>
            <w:vAlign w:val="top"/>
          </w:tcPr>
          <w:p>
            <w:pPr>
              <w:spacing w:after="20" w:line="240" w:lineRule="auto"/>
            </w:pPr>
            <w:r>
              <w:rPr>
                <w:rFonts w:ascii="Arial" w:hAnsi="Arial"/>
                <w:b w:val="0"/>
                <w:color w:val="C00000"/>
                <w:sz w:val="15"/>
              </w:rPr>
              <w:t>-1.43</w:t>
            </w:r>
          </w:p>
        </w:tc>
        <w:tc>
          <w:tcPr>
            <w:tcW w:type="dxa" w:w="1995"/>
            <w:vAlign w:val="top"/>
          </w:tcPr>
          <w:p>
            <w:pPr>
              <w:spacing w:after="20" w:line="240" w:lineRule="auto"/>
            </w:pPr>
            <w:r>
              <w:rPr>
                <w:rFonts w:ascii="Arial" w:hAnsi="Arial"/>
                <w:b w:val="0"/>
                <w:color w:val="C00000"/>
                <w:sz w:val="15"/>
              </w:rPr>
              <w:t>bearish</w:t>
            </w:r>
          </w:p>
        </w:tc>
        <w:tc>
          <w:tcPr>
            <w:tcW w:type="dxa" w:w="1995"/>
            <w:vAlign w:val="top"/>
          </w:tcPr>
          <w:p>
            <w:pPr>
              <w:spacing w:after="20" w:line="240" w:lineRule="auto"/>
            </w:pPr>
            <w:r>
              <w:rPr>
                <w:rFonts w:ascii="Arial" w:hAnsi="Arial"/>
                <w:b w:val="0"/>
                <w:color w:val="595959"/>
                <w:sz w:val="15"/>
              </w:rPr>
              <w:t>0.50</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field from MarketState, horizon 3M.</w:t>
            </w:r>
          </w:p>
        </w:tc>
        <w:tc>
          <w:tcPr>
            <w:tcW w:type="dxa" w:w="1995"/>
            <w:vAlign w:val="top"/>
          </w:tcPr>
          <w:p>
            <w:pPr>
              <w:spacing w:after="20" w:line="240" w:lineRule="auto"/>
            </w:pPr>
            <w:r>
              <w:rPr>
                <w:rFonts w:ascii="Arial" w:hAnsi="Arial"/>
                <w:b w:val="0"/>
                <w:color w:val="595959"/>
                <w:sz w:val="15"/>
              </w:rPr>
              <w:t>late_cycle_risk_off increases 0.06</w:t>
            </w:r>
          </w:p>
        </w:tc>
      </w:tr>
      <w:tr>
        <w:tc>
          <w:tcPr>
            <w:tcW w:type="dxa" w:w="1995"/>
            <w:shd w:fill="F7F9FC"/>
            <w:vAlign w:val="top"/>
          </w:tcPr>
          <w:p>
            <w:pPr>
              <w:spacing w:after="20" w:line="240" w:lineRule="auto"/>
            </w:pPr>
            <w:r>
              <w:rPr>
                <w:rFonts w:ascii="Arial" w:hAnsi="Arial"/>
                <w:b w:val="0"/>
                <w:color w:val="595959"/>
                <w:sz w:val="15"/>
              </w:rPr>
              <w:t>Vix Change Pct 1D</w:t>
            </w:r>
          </w:p>
        </w:tc>
        <w:tc>
          <w:tcPr>
            <w:tcW w:type="dxa" w:w="1995"/>
            <w:shd w:fill="F7F9FC"/>
            <w:vAlign w:val="top"/>
          </w:tcPr>
          <w:p>
            <w:pPr>
              <w:spacing w:after="20" w:line="240" w:lineRule="auto"/>
            </w:pPr>
            <w:r>
              <w:rPr>
                <w:rFonts w:ascii="Arial" w:hAnsi="Arial"/>
                <w:b w:val="0"/>
                <w:color w:val="C00000"/>
                <w:sz w:val="15"/>
              </w:rPr>
              <w:t>-3.34</w:t>
            </w:r>
          </w:p>
        </w:tc>
        <w:tc>
          <w:tcPr>
            <w:tcW w:type="dxa" w:w="1995"/>
            <w:shd w:fill="F7F9FC"/>
            <w:vAlign w:val="top"/>
          </w:tcPr>
          <w:p>
            <w:pPr>
              <w:spacing w:after="20" w:line="240" w:lineRule="auto"/>
            </w:pPr>
            <w:r>
              <w:rPr>
                <w:rFonts w:ascii="Arial" w:hAnsi="Arial"/>
                <w:b w:val="0"/>
                <w:color w:val="595959"/>
                <w:sz w:val="15"/>
              </w:rPr>
              <w:t>neutral</w:t>
            </w:r>
          </w:p>
        </w:tc>
        <w:tc>
          <w:tcPr>
            <w:tcW w:type="dxa" w:w="1995"/>
            <w:shd w:fill="F7F9FC"/>
            <w:vAlign w:val="top"/>
          </w:tcPr>
          <w:p>
            <w:pPr>
              <w:spacing w:after="20" w:line="240" w:lineRule="auto"/>
            </w:pPr>
            <w:r>
              <w:rPr>
                <w:rFonts w:ascii="Arial" w:hAnsi="Arial"/>
                <w:b w:val="0"/>
                <w:color w:val="595959"/>
                <w:sz w:val="15"/>
              </w:rPr>
              <w:t>0.50</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field from MarketState, horizon 3M.</w:t>
            </w:r>
          </w:p>
        </w:tc>
        <w:tc>
          <w:tcPr>
            <w:tcW w:type="dxa" w:w="1995"/>
            <w:shd w:fill="F7F9FC"/>
            <w:vAlign w:val="top"/>
          </w:tcPr>
          <w:p>
            <w:pPr>
              <w:spacing w:after="20" w:line="240" w:lineRule="auto"/>
            </w:pPr>
            <w:r>
              <w:rPr>
                <w:rFonts w:ascii="Arial" w:hAnsi="Arial"/>
                <w:b w:val="0"/>
                <w:color w:val="595959"/>
                <w:sz w:val="15"/>
              </w:rPr>
              <w:t>none</w:t>
            </w:r>
          </w:p>
        </w:tc>
      </w:tr>
    </w:tbl>
    <w:p>
      <w:pPr>
        <w:spacing w:after="120"/>
      </w:pPr>
    </w:p>
    <w:p>
      <w:pPr>
        <w:spacing w:before="180" w:after="80"/>
      </w:pPr>
      <w:r>
        <w:rPr>
          <w:rFonts w:ascii="Arial" w:hAnsi="Arial"/>
          <w:b/>
          <w:color w:val="2E75B6"/>
          <w:sz w:val="21"/>
        </w:rPr>
        <w:t>Regime-Specific Drivers</w:t>
      </w:r>
    </w:p>
    <w:tbl>
      <w:tblPr>
        <w:tblStyle w:val="TableGrid"/>
        <w:tblW w:type="auto" w:w="0"/>
        <w:jc w:val="center"/>
        <w:tblLayout w:type="autofit"/>
        <w:tblLook w:firstColumn="1" w:firstRow="1" w:lastColumn="0" w:lastRow="0" w:noHBand="0" w:noVBand="1" w:val="04A0"/>
      </w:tblPr>
      <w:tblGrid>
        <w:gridCol w:w="2328"/>
        <w:gridCol w:w="2328"/>
        <w:gridCol w:w="2328"/>
        <w:gridCol w:w="2328"/>
        <w:gridCol w:w="2328"/>
        <w:gridCol w:w="2328"/>
      </w:tblGrid>
      <w:tr>
        <w:trPr>
          <w:tblHeader w:val="true"/>
        </w:trPr>
        <w:tc>
          <w:tcPr>
            <w:tcW w:type="dxa" w:w="2328"/>
            <w:shd w:fill="1F4E79"/>
            <w:vAlign w:val="top"/>
          </w:tcPr>
          <w:p>
            <w:pPr>
              <w:spacing w:after="20" w:line="240" w:lineRule="auto"/>
            </w:pPr>
            <w:r>
              <w:rPr>
                <w:rFonts w:ascii="Arial" w:hAnsi="Arial"/>
                <w:b/>
                <w:color w:val="FFFFFF"/>
                <w:sz w:val="15"/>
              </w:rPr>
              <w:t>Driver</w:t>
            </w:r>
          </w:p>
        </w:tc>
        <w:tc>
          <w:tcPr>
            <w:tcW w:type="dxa" w:w="2328"/>
            <w:shd w:fill="1F4E79"/>
            <w:vAlign w:val="top"/>
          </w:tcPr>
          <w:p>
            <w:pPr>
              <w:spacing w:after="20" w:line="240" w:lineRule="auto"/>
            </w:pPr>
            <w:r>
              <w:rPr>
                <w:rFonts w:ascii="Arial" w:hAnsi="Arial"/>
                <w:b/>
                <w:color w:val="FFFFFF"/>
                <w:sz w:val="15"/>
              </w:rPr>
              <w:t>Parent Layer</w:t>
            </w:r>
          </w:p>
        </w:tc>
        <w:tc>
          <w:tcPr>
            <w:tcW w:type="dxa" w:w="2328"/>
            <w:shd w:fill="1F4E79"/>
            <w:vAlign w:val="top"/>
          </w:tcPr>
          <w:p>
            <w:pPr>
              <w:spacing w:after="20" w:line="240" w:lineRule="auto"/>
            </w:pPr>
            <w:r>
              <w:rPr>
                <w:rFonts w:ascii="Arial" w:hAnsi="Arial"/>
                <w:b/>
                <w:color w:val="FFFFFF"/>
                <w:sz w:val="15"/>
              </w:rPr>
              <w:t>Signal</w:t>
            </w:r>
          </w:p>
        </w:tc>
        <w:tc>
          <w:tcPr>
            <w:tcW w:type="dxa" w:w="2328"/>
            <w:shd w:fill="1F4E79"/>
            <w:vAlign w:val="top"/>
          </w:tcPr>
          <w:p>
            <w:pPr>
              <w:spacing w:after="20" w:line="240" w:lineRule="auto"/>
            </w:pPr>
            <w:r>
              <w:rPr>
                <w:rFonts w:ascii="Arial" w:hAnsi="Arial"/>
                <w:b/>
                <w:color w:val="FFFFFF"/>
                <w:sz w:val="15"/>
              </w:rPr>
              <w:t>Confidence</w:t>
            </w:r>
          </w:p>
        </w:tc>
        <w:tc>
          <w:tcPr>
            <w:tcW w:type="dxa" w:w="2328"/>
            <w:shd w:fill="1F4E79"/>
            <w:vAlign w:val="top"/>
          </w:tcPr>
          <w:p>
            <w:pPr>
              <w:spacing w:after="20" w:line="240" w:lineRule="auto"/>
            </w:pPr>
            <w:r>
              <w:rPr>
                <w:rFonts w:ascii="Arial" w:hAnsi="Arial"/>
                <w:b/>
                <w:color w:val="FFFFFF"/>
                <w:sz w:val="15"/>
              </w:rPr>
              <w:t>Active Regime</w:t>
            </w:r>
          </w:p>
        </w:tc>
        <w:tc>
          <w:tcPr>
            <w:tcW w:type="dxa" w:w="2328"/>
            <w:shd w:fill="1F4E79"/>
            <w:vAlign w:val="top"/>
          </w:tcPr>
          <w:p>
            <w:pPr>
              <w:spacing w:after="20" w:line="240" w:lineRule="auto"/>
            </w:pPr>
            <w:r>
              <w:rPr>
                <w:rFonts w:ascii="Arial" w:hAnsi="Arial"/>
                <w:b/>
                <w:color w:val="FFFFFF"/>
                <w:sz w:val="15"/>
              </w:rPr>
              <w:t>Scenario Effects</w:t>
            </w:r>
          </w:p>
        </w:tc>
      </w:tr>
      <w:tr>
        <w:tc>
          <w:tcPr>
            <w:tcW w:type="dxa" w:w="2328"/>
            <w:vAlign w:val="top"/>
          </w:tcPr>
          <w:p>
            <w:pPr>
              <w:spacing w:after="20" w:line="240" w:lineRule="auto"/>
            </w:pPr>
            <w:r>
              <w:rPr>
                <w:rFonts w:ascii="Arial" w:hAnsi="Arial"/>
                <w:b w:val="0"/>
                <w:color w:val="595959"/>
                <w:sz w:val="15"/>
              </w:rPr>
              <w:t>Oil shock and reopening optionality</w:t>
            </w:r>
          </w:p>
        </w:tc>
        <w:tc>
          <w:tcPr>
            <w:tcW w:type="dxa" w:w="2328"/>
            <w:vAlign w:val="top"/>
          </w:tcPr>
          <w:p>
            <w:pPr>
              <w:spacing w:after="20" w:line="240" w:lineRule="auto"/>
            </w:pPr>
            <w:r>
              <w:rPr>
                <w:rFonts w:ascii="Arial" w:hAnsi="Arial"/>
                <w:b w:val="0"/>
                <w:color w:val="595959"/>
                <w:sz w:val="15"/>
              </w:rPr>
              <w:t>commodities</w:t>
            </w:r>
          </w:p>
        </w:tc>
        <w:tc>
          <w:tcPr>
            <w:tcW w:type="dxa" w:w="2328"/>
            <w:vAlign w:val="top"/>
          </w:tcPr>
          <w:p>
            <w:pPr>
              <w:spacing w:after="20" w:line="240" w:lineRule="auto"/>
            </w:pPr>
            <w:r>
              <w:rPr>
                <w:rFonts w:ascii="Arial" w:hAnsi="Arial"/>
                <w:b w:val="0"/>
                <w:color w:val="595959"/>
                <w:sz w:val="15"/>
              </w:rPr>
              <w:t>mixed</w:t>
            </w:r>
          </w:p>
        </w:tc>
        <w:tc>
          <w:tcPr>
            <w:tcW w:type="dxa" w:w="2328"/>
            <w:vAlign w:val="top"/>
          </w:tcPr>
          <w:p>
            <w:pPr>
              <w:spacing w:after="20" w:line="240" w:lineRule="auto"/>
            </w:pPr>
            <w:r>
              <w:rPr>
                <w:rFonts w:ascii="Arial" w:hAnsi="Arial"/>
                <w:b w:val="0"/>
                <w:color w:val="595959"/>
                <w:sz w:val="15"/>
              </w:rPr>
              <w:t>0.62</w:t>
            </w:r>
          </w:p>
        </w:tc>
        <w:tc>
          <w:tcPr>
            <w:tcW w:type="dxa" w:w="2328"/>
            <w:vAlign w:val="top"/>
          </w:tcPr>
          <w:p>
            <w:pPr>
              <w:spacing w:after="20" w:line="240" w:lineRule="auto"/>
            </w:pPr>
            <w:r>
              <w:rPr>
                <w:rFonts w:ascii="Arial" w:hAnsi="Arial"/>
                <w:b w:val="0"/>
                <w:color w:val="595959"/>
                <w:sz w:val="15"/>
              </w:rPr>
              <w:t>two_sided_oil_shock_late_cycle_ai</w:t>
            </w:r>
          </w:p>
        </w:tc>
        <w:tc>
          <w:tcPr>
            <w:tcW w:type="dxa" w:w="2328"/>
            <w:vAlign w:val="top"/>
          </w:tcPr>
          <w:p>
            <w:pPr>
              <w:spacing w:after="20" w:line="240" w:lineRule="auto"/>
            </w:pPr>
            <w:r>
              <w:rPr>
                <w:rFonts w:ascii="Arial" w:hAnsi="Arial"/>
                <w:b w:val="0"/>
                <w:color w:val="595959"/>
                <w:sz w:val="15"/>
              </w:rPr>
              <w:t>oil_inflation_tail increases 0.45, reopening_soft_landing increases 0.35</w:t>
            </w:r>
          </w:p>
        </w:tc>
      </w:tr>
      <w:tr>
        <w:tc>
          <w:tcPr>
            <w:tcW w:type="dxa" w:w="2328"/>
            <w:shd w:fill="F7F9FC"/>
            <w:vAlign w:val="top"/>
          </w:tcPr>
          <w:p>
            <w:pPr>
              <w:spacing w:after="20" w:line="240" w:lineRule="auto"/>
            </w:pPr>
            <w:r>
              <w:rPr>
                <w:rFonts w:ascii="Arial" w:hAnsi="Arial"/>
                <w:b w:val="0"/>
                <w:color w:val="595959"/>
                <w:sz w:val="15"/>
              </w:rPr>
              <w:t>AI earnings resilience</w:t>
            </w:r>
          </w:p>
        </w:tc>
        <w:tc>
          <w:tcPr>
            <w:tcW w:type="dxa" w:w="2328"/>
            <w:shd w:fill="F7F9FC"/>
            <w:vAlign w:val="top"/>
          </w:tcPr>
          <w:p>
            <w:pPr>
              <w:spacing w:after="20" w:line="240" w:lineRule="auto"/>
            </w:pPr>
            <w:r>
              <w:rPr>
                <w:rFonts w:ascii="Arial" w:hAnsi="Arial"/>
                <w:b w:val="0"/>
                <w:color w:val="595959"/>
                <w:sz w:val="15"/>
              </w:rPr>
              <w:t>earnings</w:t>
            </w:r>
          </w:p>
        </w:tc>
        <w:tc>
          <w:tcPr>
            <w:tcW w:type="dxa" w:w="2328"/>
            <w:shd w:fill="F7F9FC"/>
            <w:vAlign w:val="top"/>
          </w:tcPr>
          <w:p>
            <w:pPr>
              <w:spacing w:after="20" w:line="240" w:lineRule="auto"/>
            </w:pPr>
            <w:r>
              <w:rPr>
                <w:rFonts w:ascii="Arial" w:hAnsi="Arial"/>
                <w:b w:val="0"/>
                <w:color w:val="375623"/>
                <w:sz w:val="15"/>
              </w:rPr>
              <w:t>bullish</w:t>
            </w:r>
          </w:p>
        </w:tc>
        <w:tc>
          <w:tcPr>
            <w:tcW w:type="dxa" w:w="2328"/>
            <w:shd w:fill="F7F9FC"/>
            <w:vAlign w:val="top"/>
          </w:tcPr>
          <w:p>
            <w:pPr>
              <w:spacing w:after="20" w:line="240" w:lineRule="auto"/>
            </w:pPr>
            <w:r>
              <w:rPr>
                <w:rFonts w:ascii="Arial" w:hAnsi="Arial"/>
                <w:b w:val="0"/>
                <w:color w:val="595959"/>
                <w:sz w:val="15"/>
              </w:rPr>
              <w:t>0.62</w:t>
            </w:r>
          </w:p>
        </w:tc>
        <w:tc>
          <w:tcPr>
            <w:tcW w:type="dxa" w:w="2328"/>
            <w:shd w:fill="F7F9FC"/>
            <w:vAlign w:val="top"/>
          </w:tcPr>
          <w:p>
            <w:pPr>
              <w:spacing w:after="20" w:line="240" w:lineRule="auto"/>
            </w:pPr>
            <w:r>
              <w:rPr>
                <w:rFonts w:ascii="Arial" w:hAnsi="Arial"/>
                <w:b w:val="0"/>
                <w:color w:val="595959"/>
                <w:sz w:val="15"/>
              </w:rPr>
              <w:t>two_sided_oil_shock_late_cycle_ai</w:t>
            </w:r>
          </w:p>
        </w:tc>
        <w:tc>
          <w:tcPr>
            <w:tcW w:type="dxa" w:w="2328"/>
            <w:shd w:fill="F7F9FC"/>
            <w:vAlign w:val="top"/>
          </w:tcPr>
          <w:p>
            <w:pPr>
              <w:spacing w:after="20" w:line="240" w:lineRule="auto"/>
            </w:pPr>
            <w:r>
              <w:rPr>
                <w:rFonts w:ascii="Arial" w:hAnsi="Arial"/>
                <w:b w:val="0"/>
                <w:color w:val="595959"/>
                <w:sz w:val="15"/>
              </w:rPr>
              <w:t>sticky_late_cycle_ai increases 0.65, ai_capex_rollover decreases 0.55</w:t>
            </w:r>
          </w:p>
        </w:tc>
      </w:tr>
    </w:tbl>
    <w:p>
      <w:pPr>
        <w:spacing w:after="120"/>
      </w:pPr>
    </w:p>
    <w:p>
      <w:pPr>
        <w:spacing w:before="180" w:after="80"/>
      </w:pPr>
      <w:r>
        <w:rPr>
          <w:rFonts w:ascii="Arial" w:hAnsi="Arial"/>
          <w:b/>
          <w:color w:val="2E75B6"/>
          <w:sz w:val="21"/>
        </w:rPr>
        <w:t>Scenario Falsifiers</w:t>
      </w:r>
    </w:p>
    <w:tbl>
      <w:tblPr>
        <w:tblStyle w:val="TableGrid"/>
        <w:tblW w:type="auto" w:w="0"/>
        <w:jc w:val="center"/>
        <w:tblLayout w:type="autofit"/>
        <w:tblLook w:firstColumn="1" w:firstRow="1" w:lastColumn="0" w:lastRow="0" w:noHBand="0" w:noVBand="1" w:val="04A0"/>
      </w:tblPr>
      <w:tblGrid>
        <w:gridCol w:w="2328"/>
        <w:gridCol w:w="2328"/>
        <w:gridCol w:w="2328"/>
        <w:gridCol w:w="2328"/>
        <w:gridCol w:w="2328"/>
        <w:gridCol w:w="2328"/>
      </w:tblGrid>
      <w:tr>
        <w:trPr>
          <w:tblHeader w:val="true"/>
        </w:trPr>
        <w:tc>
          <w:tcPr>
            <w:tcW w:type="dxa" w:w="2328"/>
            <w:shd w:fill="1F4E79"/>
            <w:vAlign w:val="top"/>
          </w:tcPr>
          <w:p>
            <w:pPr>
              <w:spacing w:after="20" w:line="240" w:lineRule="auto"/>
            </w:pPr>
            <w:r>
              <w:rPr>
                <w:rFonts w:ascii="Arial" w:hAnsi="Arial"/>
                <w:b/>
                <w:color w:val="FFFFFF"/>
                <w:sz w:val="15"/>
              </w:rPr>
              <w:t>Falsifier</w:t>
            </w:r>
          </w:p>
        </w:tc>
        <w:tc>
          <w:tcPr>
            <w:tcW w:type="dxa" w:w="2328"/>
            <w:shd w:fill="1F4E79"/>
            <w:vAlign w:val="top"/>
          </w:tcPr>
          <w:p>
            <w:pPr>
              <w:spacing w:after="20" w:line="240" w:lineRule="auto"/>
            </w:pPr>
            <w:r>
              <w:rPr>
                <w:rFonts w:ascii="Arial" w:hAnsi="Arial"/>
                <w:b/>
                <w:color w:val="FFFFFF"/>
                <w:sz w:val="15"/>
              </w:rPr>
              <w:t>Related Scenarios</w:t>
            </w:r>
          </w:p>
        </w:tc>
        <w:tc>
          <w:tcPr>
            <w:tcW w:type="dxa" w:w="2328"/>
            <w:shd w:fill="1F4E79"/>
            <w:vAlign w:val="top"/>
          </w:tcPr>
          <w:p>
            <w:pPr>
              <w:spacing w:after="20" w:line="240" w:lineRule="auto"/>
            </w:pPr>
            <w:r>
              <w:rPr>
                <w:rFonts w:ascii="Arial" w:hAnsi="Arial"/>
                <w:b/>
                <w:color w:val="FFFFFF"/>
                <w:sz w:val="15"/>
              </w:rPr>
              <w:t>Signal</w:t>
            </w:r>
          </w:p>
        </w:tc>
        <w:tc>
          <w:tcPr>
            <w:tcW w:type="dxa" w:w="2328"/>
            <w:shd w:fill="1F4E79"/>
            <w:vAlign w:val="top"/>
          </w:tcPr>
          <w:p>
            <w:pPr>
              <w:spacing w:after="20" w:line="240" w:lineRule="auto"/>
            </w:pPr>
            <w:r>
              <w:rPr>
                <w:rFonts w:ascii="Arial" w:hAnsi="Arial"/>
                <w:b/>
                <w:color w:val="FFFFFF"/>
                <w:sz w:val="15"/>
              </w:rPr>
              <w:t>Confidence</w:t>
            </w:r>
          </w:p>
        </w:tc>
        <w:tc>
          <w:tcPr>
            <w:tcW w:type="dxa" w:w="2328"/>
            <w:shd w:fill="1F4E79"/>
            <w:vAlign w:val="top"/>
          </w:tcPr>
          <w:p>
            <w:pPr>
              <w:spacing w:after="20" w:line="240" w:lineRule="auto"/>
            </w:pPr>
            <w:r>
              <w:rPr>
                <w:rFonts w:ascii="Arial" w:hAnsi="Arial"/>
                <w:b/>
                <w:color w:val="FFFFFF"/>
                <w:sz w:val="15"/>
              </w:rPr>
              <w:t>Current Value</w:t>
            </w:r>
          </w:p>
        </w:tc>
        <w:tc>
          <w:tcPr>
            <w:tcW w:type="dxa" w:w="2328"/>
            <w:shd w:fill="1F4E79"/>
            <w:vAlign w:val="top"/>
          </w:tcPr>
          <w:p>
            <w:pPr>
              <w:spacing w:after="20" w:line="240" w:lineRule="auto"/>
            </w:pPr>
            <w:r>
              <w:rPr>
                <w:rFonts w:ascii="Arial" w:hAnsi="Arial"/>
                <w:b/>
                <w:color w:val="FFFFFF"/>
                <w:sz w:val="15"/>
              </w:rPr>
              <w:t>Scenario Effects</w:t>
            </w:r>
          </w:p>
        </w:tc>
      </w:tr>
      <w:tr>
        <w:tc>
          <w:tcPr>
            <w:tcW w:type="dxa" w:w="2328"/>
            <w:vAlign w:val="top"/>
          </w:tcPr>
          <w:p>
            <w:pPr>
              <w:spacing w:after="20" w:line="240" w:lineRule="auto"/>
            </w:pPr>
            <w:r>
              <w:rPr>
                <w:rFonts w:ascii="Arial" w:hAnsi="Arial"/>
                <w:b w:val="0"/>
                <w:color w:val="595959"/>
                <w:sz w:val="15"/>
              </w:rPr>
              <w:t>Hyperscaler capex rollover falsifier</w:t>
            </w:r>
          </w:p>
        </w:tc>
        <w:tc>
          <w:tcPr>
            <w:tcW w:type="dxa" w:w="2328"/>
            <w:vAlign w:val="top"/>
          </w:tcPr>
          <w:p>
            <w:pPr>
              <w:spacing w:after="20" w:line="240" w:lineRule="auto"/>
            </w:pPr>
            <w:r>
              <w:rPr>
                <w:rFonts w:ascii="Arial" w:hAnsi="Arial"/>
                <w:b w:val="0"/>
                <w:color w:val="595959"/>
                <w:sz w:val="15"/>
              </w:rPr>
              <w:t>ai_capex_rollover, sticky_late_cycle_ai</w:t>
            </w:r>
          </w:p>
        </w:tc>
        <w:tc>
          <w:tcPr>
            <w:tcW w:type="dxa" w:w="2328"/>
            <w:vAlign w:val="top"/>
          </w:tcPr>
          <w:p>
            <w:pPr>
              <w:spacing w:after="20" w:line="240" w:lineRule="auto"/>
            </w:pPr>
            <w:r>
              <w:rPr>
                <w:rFonts w:ascii="Arial" w:hAnsi="Arial"/>
                <w:b w:val="0"/>
                <w:color w:val="375623"/>
                <w:sz w:val="15"/>
              </w:rPr>
              <w:t>bullish</w:t>
            </w:r>
          </w:p>
        </w:tc>
        <w:tc>
          <w:tcPr>
            <w:tcW w:type="dxa" w:w="2328"/>
            <w:vAlign w:val="top"/>
          </w:tcPr>
          <w:p>
            <w:pPr>
              <w:spacing w:after="20" w:line="240" w:lineRule="auto"/>
            </w:pPr>
            <w:r>
              <w:rPr>
                <w:rFonts w:ascii="Arial" w:hAnsi="Arial"/>
                <w:b w:val="0"/>
                <w:color w:val="595959"/>
                <w:sz w:val="15"/>
              </w:rPr>
              <w:t>0.55</w:t>
            </w:r>
          </w:p>
        </w:tc>
        <w:tc>
          <w:tcPr>
            <w:tcW w:type="dxa" w:w="2328"/>
            <w:vAlign w:val="top"/>
          </w:tcPr>
          <w:p>
            <w:pPr>
              <w:spacing w:after="20" w:line="240" w:lineRule="auto"/>
            </w:pPr>
            <w:r>
              <w:rPr>
                <w:rFonts w:ascii="Arial" w:hAnsi="Arial"/>
                <w:b w:val="0"/>
                <w:color w:val="595959"/>
                <w:sz w:val="15"/>
              </w:rPr>
              <w:t>not_triggered</w:t>
            </w:r>
          </w:p>
        </w:tc>
        <w:tc>
          <w:tcPr>
            <w:tcW w:type="dxa" w:w="2328"/>
            <w:vAlign w:val="top"/>
          </w:tcPr>
          <w:p>
            <w:pPr>
              <w:spacing w:after="20" w:line="240" w:lineRule="auto"/>
            </w:pPr>
            <w:r>
              <w:rPr>
                <w:rFonts w:ascii="Arial" w:hAnsi="Arial"/>
                <w:b w:val="0"/>
                <w:color w:val="595959"/>
                <w:sz w:val="15"/>
              </w:rPr>
              <w:t>ai_capex_rollover decreases 0.25, sticky_late_cycle_ai increases 0.20</w:t>
            </w:r>
          </w:p>
        </w:tc>
      </w:tr>
    </w:tbl>
    <w:p>
      <w:pPr>
        <w:spacing w:after="120"/>
      </w:pPr>
    </w:p>
    <w:p>
      <w:pPr>
        <w:spacing w:before="180" w:after="80"/>
      </w:pPr>
      <w:r>
        <w:rPr>
          <w:rFonts w:ascii="Arial" w:hAnsi="Arial"/>
          <w:b/>
          <w:color w:val="2E75B6"/>
          <w:sz w:val="21"/>
        </w:rPr>
        <w:t>Dedupe / Weighting Notes</w:t>
      </w:r>
    </w:p>
    <w:p>
      <w:pPr>
        <w:spacing w:after="40"/>
      </w:pPr>
      <w:r>
        <w:rPr>
          <w:rFonts w:ascii="Arial" w:hAnsi="Arial"/>
          <w:b w:val="0"/>
          <w:color w:val="595959"/>
          <w:sz w:val="17"/>
        </w:rPr>
        <w:t>Layer summaries are generated from Helix regime layer scores.</w:t>
      </w:r>
    </w:p>
    <w:p>
      <w:pPr>
        <w:spacing w:after="40"/>
      </w:pPr>
      <w:r>
        <w:rPr>
          <w:rFonts w:ascii="Arial" w:hAnsi="Arial"/>
          <w:b w:val="0"/>
          <w:color w:val="595959"/>
          <w:sz w:val="17"/>
        </w:rPr>
        <w:t>Raw components are generated from underlying RegimeInputs fields when available.</w:t>
      </w:r>
    </w:p>
    <w:p>
      <w:pPr>
        <w:spacing w:after="40"/>
      </w:pPr>
      <w:r>
        <w:rPr>
          <w:rFonts w:ascii="Arial" w:hAnsi="Arial"/>
          <w:b w:val="0"/>
          <w:color w:val="595959"/>
          <w:sz w:val="17"/>
        </w:rPr>
        <w:t>Market/tape signals are generated from MarketState when provided.</w:t>
      </w:r>
    </w:p>
    <w:p>
      <w:pPr>
        <w:spacing w:after="40"/>
      </w:pPr>
      <w:r>
        <w:rPr>
          <w:rFonts w:ascii="Arial" w:hAnsi="Arial"/>
          <w:b w:val="0"/>
          <w:color w:val="595959"/>
          <w:sz w:val="17"/>
        </w:rPr>
        <w:t>Regime drivers and scenario falsifiers are generated from active regime context.</w:t>
      </w:r>
    </w:p>
    <w:p>
      <w:pPr>
        <w:spacing w:after="40"/>
      </w:pPr>
      <w:r>
        <w:rPr>
          <w:rFonts w:ascii="Arial" w:hAnsi="Arial"/>
          <w:b w:val="0"/>
          <w:color w:val="595959"/>
          <w:sz w:val="17"/>
        </w:rPr>
        <w:t>Input dedupe mode: hybrid.</w:t>
      </w:r>
    </w:p>
    <w:p>
      <w:pPr>
        <w:spacing w:after="40"/>
      </w:pPr>
      <w:r>
        <w:rPr>
          <w:rFonts w:ascii="Arial" w:hAnsi="Arial"/>
          <w:b w:val="0"/>
          <w:color w:val="595959"/>
          <w:sz w:val="17"/>
        </w:rPr>
        <w:t>In hybrid mode, layer summaries provide base scenario impacts and raw components act as modifiers within the same parent layer.</w:t>
      </w:r>
    </w:p>
    <w:p>
      <w:pPr>
        <w:spacing w:after="40"/>
      </w:pPr>
      <w:r>
        <w:rPr>
          <w:rFonts w:ascii="Arial" w:hAnsi="Arial"/>
          <w:b w:val="0"/>
          <w:color w:val="595959"/>
          <w:sz w:val="17"/>
        </w:rPr>
        <w:t>Dedupe caps prevent one layer from dominating through many correlated inputs.</w:t>
      </w:r>
    </w:p>
    <w:p>
      <w:pPr>
        <w:spacing w:after="40"/>
      </w:pPr>
      <w:r>
        <w:rPr>
          <w:rFonts w:ascii="Arial" w:hAnsi="Arial"/>
          <w:b w:val="0"/>
          <w:color w:val="595959"/>
          <w:sz w:val="17"/>
        </w:rPr>
        <w:t>Market/tape inputs are horizon-weighted for horizon 3m.</w:t>
      </w:r>
    </w:p>
    <w:p>
      <w:pPr>
        <w:spacing w:before="320" w:after="140"/>
      </w:pPr>
      <w:r>
        <w:rPr>
          <w:rFonts w:ascii="Arial" w:hAnsi="Arial"/>
          <w:b/>
          <w:color w:val="1F4E79"/>
          <w:sz w:val="28"/>
        </w:rPr>
        <w:t>Monetary Composite Detail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Composite signal</w:t>
            </w:r>
          </w:p>
        </w:tc>
        <w:tc>
          <w:tcPr>
            <w:tcW w:type="dxa" w:w="11520"/>
            <w:vAlign w:val="top"/>
          </w:tcPr>
          <w:p>
            <w:pPr>
              <w:spacing w:after="20" w:line="240" w:lineRule="auto"/>
            </w:pPr>
            <w:r>
              <w:rPr>
                <w:rFonts w:ascii="Arial" w:hAnsi="Arial"/>
                <w:b w:val="0"/>
                <w:color w:val="595959"/>
                <w:sz w:val="15"/>
              </w:rPr>
              <w:t>mixed</w:t>
            </w:r>
          </w:p>
        </w:tc>
      </w:tr>
      <w:tr>
        <w:tc>
          <w:tcPr>
            <w:tcW w:type="dxa" w:w="2160"/>
            <w:shd w:fill="EAF2F8"/>
            <w:vAlign w:val="top"/>
          </w:tcPr>
          <w:p>
            <w:pPr>
              <w:spacing w:after="20" w:line="240" w:lineRule="auto"/>
            </w:pPr>
            <w:r>
              <w:rPr>
                <w:rFonts w:ascii="Arial" w:hAnsi="Arial"/>
                <w:b/>
                <w:color w:val="1F4E79"/>
                <w:sz w:val="15"/>
              </w:rPr>
              <w:t>Composite confidence</w:t>
            </w:r>
          </w:p>
        </w:tc>
        <w:tc>
          <w:tcPr>
            <w:tcW w:type="dxa" w:w="11520"/>
            <w:vAlign w:val="top"/>
          </w:tcPr>
          <w:p>
            <w:pPr>
              <w:spacing w:after="20" w:line="240" w:lineRule="auto"/>
            </w:pPr>
            <w:r>
              <w:rPr>
                <w:rFonts w:ascii="Arial" w:hAnsi="Arial"/>
                <w:b w:val="0"/>
                <w:color w:val="595959"/>
                <w:sz w:val="15"/>
              </w:rPr>
              <w:t>0.64</w:t>
            </w:r>
          </w:p>
        </w:tc>
      </w:tr>
      <w:tr>
        <w:tc>
          <w:tcPr>
            <w:tcW w:type="dxa" w:w="2160"/>
            <w:shd w:fill="EAF2F8"/>
            <w:vAlign w:val="top"/>
          </w:tcPr>
          <w:p>
            <w:pPr>
              <w:spacing w:after="20" w:line="240" w:lineRule="auto"/>
            </w:pPr>
            <w:r>
              <w:rPr>
                <w:rFonts w:ascii="Arial" w:hAnsi="Arial"/>
                <w:b/>
                <w:color w:val="1F4E79"/>
                <w:sz w:val="15"/>
              </w:rPr>
              <w:t>Used in probability update</w:t>
            </w:r>
          </w:p>
        </w:tc>
        <w:tc>
          <w:tcPr>
            <w:tcW w:type="dxa" w:w="11520"/>
            <w:vAlign w:val="top"/>
          </w:tcPr>
          <w:p>
            <w:pPr>
              <w:spacing w:after="20" w:line="240" w:lineRule="auto"/>
            </w:pPr>
            <w:r>
              <w:rPr>
                <w:rFonts w:ascii="Arial" w:hAnsi="Arial"/>
                <w:b w:val="0"/>
                <w:color w:val="375623"/>
                <w:sz w:val="15"/>
              </w:rPr>
              <w:t>yes</w:t>
            </w:r>
          </w:p>
        </w:tc>
      </w:tr>
      <w:tr>
        <w:tc>
          <w:tcPr>
            <w:tcW w:type="dxa" w:w="2160"/>
            <w:shd w:fill="EAF2F8"/>
            <w:vAlign w:val="top"/>
          </w:tcPr>
          <w:p>
            <w:pPr>
              <w:spacing w:after="20" w:line="240" w:lineRule="auto"/>
            </w:pPr>
            <w:r>
              <w:rPr>
                <w:rFonts w:ascii="Arial" w:hAnsi="Arial"/>
                <w:b/>
                <w:color w:val="1F4E79"/>
                <w:sz w:val="15"/>
              </w:rPr>
              <w:t>Display only</w:t>
            </w:r>
          </w:p>
        </w:tc>
        <w:tc>
          <w:tcPr>
            <w:tcW w:type="dxa" w:w="11520"/>
            <w:vAlign w:val="top"/>
          </w:tcPr>
          <w:p>
            <w:pPr>
              <w:spacing w:after="20" w:line="240" w:lineRule="auto"/>
            </w:pPr>
            <w:r>
              <w:rPr>
                <w:rFonts w:ascii="Arial" w:hAnsi="Arial"/>
                <w:b w:val="0"/>
                <w:color w:val="C00000"/>
                <w:sz w:val="15"/>
              </w:rPr>
              <w:t>no</w:t>
            </w:r>
          </w:p>
        </w:tc>
      </w:tr>
      <w:tr>
        <w:tc>
          <w:tcPr>
            <w:tcW w:type="dxa" w:w="2160"/>
            <w:shd w:fill="EAF2F8"/>
            <w:vAlign w:val="top"/>
          </w:tcPr>
          <w:p>
            <w:pPr>
              <w:spacing w:after="20" w:line="240" w:lineRule="auto"/>
            </w:pPr>
            <w:r>
              <w:rPr>
                <w:rFonts w:ascii="Arial" w:hAnsi="Arial"/>
                <w:b/>
                <w:color w:val="1F4E79"/>
                <w:sz w:val="15"/>
              </w:rPr>
              <w:t>Current value</w:t>
            </w:r>
          </w:p>
        </w:tc>
        <w:tc>
          <w:tcPr>
            <w:tcW w:type="dxa" w:w="11520"/>
            <w:vAlign w:val="top"/>
          </w:tcPr>
          <w:p>
            <w:pPr>
              <w:spacing w:after="20" w:line="240" w:lineRule="auto"/>
            </w:pPr>
            <w:r>
              <w:rPr>
                <w:rFonts w:ascii="Arial" w:hAnsi="Arial"/>
                <w:b w:val="0"/>
                <w:color w:val="595959"/>
                <w:sz w:val="15"/>
              </w:rPr>
              <w:t>monetary_score=5.59; hold_hike=0.80; cut=0.20</w:t>
            </w:r>
          </w:p>
        </w:tc>
      </w:tr>
      <w:tr>
        <w:tc>
          <w:tcPr>
            <w:tcW w:type="dxa" w:w="2160"/>
            <w:shd w:fill="EAF2F8"/>
            <w:vAlign w:val="top"/>
          </w:tcPr>
          <w:p>
            <w:pPr>
              <w:spacing w:after="20" w:line="240" w:lineRule="auto"/>
            </w:pPr>
            <w:r>
              <w:rPr>
                <w:rFonts w:ascii="Arial" w:hAnsi="Arial"/>
                <w:b/>
                <w:color w:val="1F4E79"/>
                <w:sz w:val="15"/>
              </w:rPr>
              <w:t>Composite method</w:t>
            </w:r>
          </w:p>
        </w:tc>
        <w:tc>
          <w:tcPr>
            <w:tcW w:type="dxa" w:w="11520"/>
            <w:vAlign w:val="top"/>
          </w:tcPr>
          <w:p>
            <w:pPr>
              <w:spacing w:after="20" w:line="240" w:lineRule="auto"/>
            </w:pPr>
            <w:r>
              <w:rPr>
                <w:rFonts w:ascii="Arial" w:hAnsi="Arial"/>
                <w:b w:val="0"/>
                <w:color w:val="595959"/>
                <w:sz w:val="15"/>
              </w:rPr>
              <w:t>Reconciles the monetary layer with near-term Fed hold/hike pricing; component monetary signals are displayed but excluded from scenario math.</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Composite reconciles layer score 5.59, layer signal mixed with Fed hold/hike probability 80%, cut probability 20%, Fed signal bearish. Component signals are displayed but excluded from probability updates. High hold/hike odds keep policy from being treated as outright bullish.</w:t>
            </w:r>
          </w:p>
        </w:tc>
      </w:tr>
    </w:tbl>
    <w:p>
      <w:pPr>
        <w:spacing w:after="120"/>
      </w:pPr>
    </w:p>
    <w:p>
      <w:pPr>
        <w:spacing w:after="40"/>
      </w:pPr>
      <w:r>
        <w:rPr>
          <w:rFonts w:ascii="Arial" w:hAnsi="Arial"/>
          <w:b w:val="0"/>
          <w:color w:val="595959"/>
          <w:sz w:val="17"/>
        </w:rPr>
        <w:t>Component signals are included for display and excluded from probability math to avoid double-counting.</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shd w:fill="1F4E79"/>
            <w:vAlign w:val="top"/>
          </w:tcPr>
          <w:p>
            <w:pPr>
              <w:spacing w:after="20" w:line="240" w:lineRule="auto"/>
            </w:pPr>
            <w:r>
              <w:rPr>
                <w:rFonts w:ascii="Arial" w:hAnsi="Arial"/>
                <w:b/>
                <w:color w:val="FFFFFF"/>
                <w:sz w:val="15"/>
              </w:rPr>
              <w:t>Component</w:t>
            </w:r>
          </w:p>
        </w:tc>
        <w:tc>
          <w:tcPr>
            <w:tcW w:type="dxa" w:w="1995"/>
            <w:shd w:fill="1F4E79"/>
            <w:vAlign w:val="top"/>
          </w:tcPr>
          <w:p>
            <w:pPr>
              <w:spacing w:after="20" w:line="240" w:lineRule="auto"/>
            </w:pPr>
            <w:r>
              <w:rPr>
                <w:rFonts w:ascii="Arial" w:hAnsi="Arial"/>
                <w:b/>
                <w:color w:val="FFFFFF"/>
                <w:sz w:val="15"/>
              </w:rPr>
              <w:t>Signal</w:t>
            </w:r>
          </w:p>
        </w:tc>
        <w:tc>
          <w:tcPr>
            <w:tcW w:type="dxa" w:w="1995"/>
            <w:shd w:fill="1F4E79"/>
            <w:vAlign w:val="top"/>
          </w:tcPr>
          <w:p>
            <w:pPr>
              <w:spacing w:after="20" w:line="240" w:lineRule="auto"/>
            </w:pPr>
            <w:r>
              <w:rPr>
                <w:rFonts w:ascii="Arial" w:hAnsi="Arial"/>
                <w:b/>
                <w:color w:val="FFFFFF"/>
                <w:sz w:val="15"/>
              </w:rPr>
              <w:t>Trend</w:t>
            </w:r>
          </w:p>
        </w:tc>
        <w:tc>
          <w:tcPr>
            <w:tcW w:type="dxa" w:w="1995"/>
            <w:shd w:fill="1F4E79"/>
            <w:vAlign w:val="top"/>
          </w:tcPr>
          <w:p>
            <w:pPr>
              <w:spacing w:after="20" w:line="240" w:lineRule="auto"/>
            </w:pPr>
            <w:r>
              <w:rPr>
                <w:rFonts w:ascii="Arial" w:hAnsi="Arial"/>
                <w:b/>
                <w:color w:val="FFFFFF"/>
                <w:sz w:val="15"/>
              </w:rPr>
              <w:t>Confidence</w:t>
            </w:r>
          </w:p>
        </w:tc>
        <w:tc>
          <w:tcPr>
            <w:tcW w:type="dxa" w:w="1995"/>
            <w:shd w:fill="1F4E79"/>
            <w:vAlign w:val="top"/>
          </w:tcPr>
          <w:p>
            <w:pPr>
              <w:spacing w:after="20" w:line="240" w:lineRule="auto"/>
            </w:pPr>
            <w:r>
              <w:rPr>
                <w:rFonts w:ascii="Arial" w:hAnsi="Arial"/>
                <w:b/>
                <w:color w:val="FFFFFF"/>
                <w:sz w:val="15"/>
              </w:rPr>
              <w:t>Display Only?</w:t>
            </w:r>
          </w:p>
        </w:tc>
        <w:tc>
          <w:tcPr>
            <w:tcW w:type="dxa" w:w="1995"/>
            <w:shd w:fill="1F4E79"/>
            <w:vAlign w:val="top"/>
          </w:tcPr>
          <w:p>
            <w:pPr>
              <w:spacing w:after="20" w:line="240" w:lineRule="auto"/>
            </w:pPr>
            <w:r>
              <w:rPr>
                <w:rFonts w:ascii="Arial" w:hAnsi="Arial"/>
                <w:b/>
                <w:color w:val="FFFFFF"/>
                <w:sz w:val="15"/>
              </w:rPr>
              <w:t>Used in Math?</w:t>
            </w:r>
          </w:p>
        </w:tc>
        <w:tc>
          <w:tcPr>
            <w:tcW w:type="dxa" w:w="1995"/>
            <w:shd w:fill="1F4E79"/>
            <w:vAlign w:val="top"/>
          </w:tcPr>
          <w:p>
            <w:pPr>
              <w:spacing w:after="20" w:line="240" w:lineRule="auto"/>
            </w:pPr>
            <w:r>
              <w:rPr>
                <w:rFonts w:ascii="Arial" w:hAnsi="Arial"/>
                <w:b/>
                <w:color w:val="FFFFFF"/>
                <w:sz w:val="15"/>
              </w:rPr>
              <w:t>Exclusion Reason</w:t>
            </w:r>
          </w:p>
        </w:tc>
      </w:tr>
      <w:tr>
        <w:tc>
          <w:tcPr>
            <w:tcW w:type="dxa" w:w="1995"/>
            <w:vAlign w:val="top"/>
          </w:tcPr>
          <w:p>
            <w:pPr>
              <w:spacing w:after="20" w:line="240" w:lineRule="auto"/>
            </w:pPr>
            <w:r>
              <w:rPr>
                <w:rFonts w:ascii="Arial" w:hAnsi="Arial"/>
                <w:b w:val="0"/>
                <w:color w:val="595959"/>
                <w:sz w:val="15"/>
              </w:rPr>
              <w:t>Monetary layer</w:t>
            </w:r>
          </w:p>
        </w:tc>
        <w:tc>
          <w:tcPr>
            <w:tcW w:type="dxa" w:w="1995"/>
            <w:vAlign w:val="top"/>
          </w:tcPr>
          <w:p>
            <w:pPr>
              <w:spacing w:after="20" w:line="240" w:lineRule="auto"/>
            </w:pPr>
            <w:r>
              <w:rPr>
                <w:rFonts w:ascii="Arial" w:hAnsi="Arial"/>
                <w:b w:val="0"/>
                <w:color w:val="595959"/>
                <w:sz w:val="15"/>
              </w:rPr>
              <w:t>mixed</w:t>
            </w:r>
          </w:p>
        </w:tc>
        <w:tc>
          <w:tcPr>
            <w:tcW w:type="dxa" w:w="1995"/>
            <w:vAlign w:val="top"/>
          </w:tcPr>
          <w:p>
            <w:pPr>
              <w:spacing w:after="20" w:line="240" w:lineRule="auto"/>
            </w:pPr>
            <w:r>
              <w:rPr>
                <w:rFonts w:ascii="Arial" w:hAnsi="Arial"/>
                <w:b w:val="0"/>
                <w:color w:val="375623"/>
                <w:sz w:val="15"/>
              </w:rPr>
              <w:t>improving</w:t>
            </w:r>
          </w:p>
        </w:tc>
        <w:tc>
          <w:tcPr>
            <w:tcW w:type="dxa" w:w="1995"/>
            <w:vAlign w:val="top"/>
          </w:tcPr>
          <w:p>
            <w:pPr>
              <w:spacing w:after="20" w:line="240" w:lineRule="auto"/>
            </w:pPr>
            <w:r>
              <w:rPr>
                <w:rFonts w:ascii="Arial" w:hAnsi="Arial"/>
                <w:b w:val="0"/>
                <w:color w:val="595959"/>
                <w:sz w:val="15"/>
              </w:rPr>
              <w:t>0.75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C00000"/>
                <w:sz w:val="15"/>
              </w:rPr>
              <w:t>no</w:t>
            </w:r>
          </w:p>
        </w:tc>
        <w:tc>
          <w:tcPr>
            <w:tcW w:type="dxa" w:w="1995"/>
            <w:vAlign w:val="top"/>
          </w:tcPr>
          <w:p>
            <w:pPr>
              <w:spacing w:after="20" w:line="240" w:lineRule="auto"/>
            </w:pPr>
            <w:r>
              <w:rPr>
                <w:rFonts w:ascii="Arial" w:hAnsi="Arial"/>
                <w:b w:val="0"/>
                <w:color w:val="595959"/>
                <w:sz w:val="15"/>
              </w:rPr>
              <w:t>Excluded from probability update to avoid double-counting; included in monetary_policy_composite.</w:t>
            </w:r>
          </w:p>
        </w:tc>
      </w:tr>
      <w:tr>
        <w:tc>
          <w:tcPr>
            <w:tcW w:type="dxa" w:w="1995"/>
            <w:shd w:fill="F7F9FC"/>
            <w:vAlign w:val="top"/>
          </w:tcPr>
          <w:p>
            <w:pPr>
              <w:spacing w:after="20" w:line="240" w:lineRule="auto"/>
            </w:pPr>
            <w:r>
              <w:rPr>
                <w:rFonts w:ascii="Arial" w:hAnsi="Arial"/>
                <w:b w:val="0"/>
                <w:color w:val="595959"/>
                <w:sz w:val="15"/>
              </w:rPr>
              <w:t>Fed path 2026-06-17</w:t>
            </w:r>
          </w:p>
        </w:tc>
        <w:tc>
          <w:tcPr>
            <w:tcW w:type="dxa" w:w="1995"/>
            <w:shd w:fill="F7F9FC"/>
            <w:vAlign w:val="top"/>
          </w:tcPr>
          <w:p>
            <w:pPr>
              <w:spacing w:after="20" w:line="240" w:lineRule="auto"/>
            </w:pPr>
            <w:r>
              <w:rPr>
                <w:rFonts w:ascii="Arial" w:hAnsi="Arial"/>
                <w:b w:val="0"/>
                <w:color w:val="C00000"/>
                <w:sz w:val="15"/>
              </w:rPr>
              <w:t>bearish</w:t>
            </w:r>
          </w:p>
        </w:tc>
        <w:tc>
          <w:tcPr>
            <w:tcW w:type="dxa" w:w="1995"/>
            <w:shd w:fill="F7F9FC"/>
            <w:vAlign w:val="top"/>
          </w:tcPr>
          <w:p>
            <w:pPr>
              <w:spacing w:after="20" w:line="240" w:lineRule="auto"/>
            </w:pPr>
            <w:r>
              <w:rPr>
                <w:rFonts w:ascii="Arial" w:hAnsi="Arial"/>
                <w:b w:val="0"/>
                <w:color w:val="595959"/>
                <w:sz w:val="15"/>
              </w:rPr>
              <w:t>stable</w:t>
            </w:r>
          </w:p>
        </w:tc>
        <w:tc>
          <w:tcPr>
            <w:tcW w:type="dxa" w:w="1995"/>
            <w:shd w:fill="F7F9FC"/>
            <w:vAlign w:val="top"/>
          </w:tcPr>
          <w:p>
            <w:pPr>
              <w:spacing w:after="20" w:line="240" w:lineRule="auto"/>
            </w:pPr>
            <w:r>
              <w:rPr>
                <w:rFonts w:ascii="Arial" w:hAnsi="Arial"/>
                <w:b w:val="0"/>
                <w:color w:val="595959"/>
                <w:sz w:val="15"/>
              </w:rPr>
              <w:t>0.75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C00000"/>
                <w:sz w:val="15"/>
              </w:rPr>
              <w:t>no</w:t>
            </w:r>
          </w:p>
        </w:tc>
        <w:tc>
          <w:tcPr>
            <w:tcW w:type="dxa" w:w="1995"/>
            <w:shd w:fill="F7F9FC"/>
            <w:vAlign w:val="top"/>
          </w:tcPr>
          <w:p>
            <w:pPr>
              <w:spacing w:after="20" w:line="240" w:lineRule="auto"/>
            </w:pPr>
            <w:r>
              <w:rPr>
                <w:rFonts w:ascii="Arial" w:hAnsi="Arial"/>
                <w:b w:val="0"/>
                <w:color w:val="595959"/>
                <w:sz w:val="15"/>
              </w:rPr>
              <w:t>Excluded from probability update to avoid double-counting; included in monetary_policy_composite.</w:t>
            </w:r>
          </w:p>
        </w:tc>
      </w:tr>
    </w:tbl>
    <w:p>
      <w:pPr>
        <w:spacing w:after="120"/>
      </w:pPr>
    </w:p>
    <w:p>
      <w:pPr>
        <w:spacing w:after="40"/>
      </w:pPr>
      <w:r>
        <w:rPr>
          <w:rFonts w:ascii="Arial" w:hAnsi="Arial"/>
          <w:b w:val="0"/>
          <w:color w:val="595959"/>
          <w:sz w:val="17"/>
        </w:rPr>
        <w:t>Assigned scenario impacts: sticky_late_cycle_ai: increases 0.25, oil_inflation_tail: increases 0.20, reopening_soft_landing: decreases 0.25</w:t>
      </w:r>
    </w:p>
    <w:p>
      <w:pPr>
        <w:spacing w:before="320" w:after="140"/>
      </w:pPr>
      <w:r>
        <w:rPr>
          <w:rFonts w:ascii="Arial" w:hAnsi="Arial"/>
          <w:b/>
          <w:color w:val="1F4E79"/>
          <w:sz w:val="28"/>
        </w:rPr>
        <w:t>Theme Rankings - Macro Support Score</w:t>
      </w:r>
    </w:p>
    <w:p>
      <w:pPr>
        <w:spacing w:after="40"/>
      </w:pPr>
      <w:r>
        <w:rPr>
          <w:rFonts w:ascii="Arial" w:hAnsi="Arial"/>
          <w:b w:val="0"/>
          <w:color w:val="595959"/>
          <w:sz w:val="17"/>
        </w:rPr>
        <w:t>Theme rankings in the macro forecast are based only on macro/scenario support. The score is the probability-weighted scenario exposure of each theme. Crowding, valuation, narrative maturity, consensus gap, and ticker-level dispersion are intentionally excluded here and evaluated by downstream agents.</w:t>
      </w:r>
    </w:p>
    <w:p>
      <w:pPr>
        <w:spacing w:after="40"/>
      </w:pPr>
      <w:r>
        <w:rPr>
          <w:rFonts w:ascii="Arial" w:hAnsi="Arial"/>
          <w:b w:val="0"/>
          <w:color w:val="595959"/>
          <w:sz w:val="17"/>
        </w:rPr>
        <w:t>Deprecated overlay fields may exist in historical records but are not used in current macro ranking.</w:t>
      </w:r>
    </w:p>
    <w:tbl>
      <w:tblPr>
        <w:tblStyle w:val="TableGrid"/>
        <w:tblW w:type="auto" w:w="0"/>
        <w:jc w:val="center"/>
        <w:tblLayout w:type="fixed"/>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504"/>
            <w:shd w:fill="1F4E79"/>
            <w:vAlign w:val="top"/>
          </w:tcPr>
          <w:p>
            <w:pPr>
              <w:spacing w:after="20" w:line="240" w:lineRule="auto"/>
            </w:pPr>
            <w:r>
              <w:rPr>
                <w:rFonts w:ascii="Arial" w:hAnsi="Arial"/>
                <w:b/>
                <w:color w:val="FFFFFF"/>
                <w:sz w:val="15"/>
              </w:rPr>
              <w:t>Rank</w:t>
            </w:r>
          </w:p>
        </w:tc>
        <w:tc>
          <w:tcPr>
            <w:tcW w:type="dxa" w:w="2232"/>
            <w:shd w:fill="1F4E79"/>
            <w:vAlign w:val="top"/>
          </w:tcPr>
          <w:p>
            <w:pPr>
              <w:spacing w:after="20" w:line="240" w:lineRule="auto"/>
            </w:pPr>
            <w:r>
              <w:rPr>
                <w:rFonts w:ascii="Arial" w:hAnsi="Arial"/>
                <w:b/>
                <w:color w:val="FFFFFF"/>
                <w:sz w:val="15"/>
              </w:rPr>
              <w:t>Theme</w:t>
            </w:r>
          </w:p>
        </w:tc>
        <w:tc>
          <w:tcPr>
            <w:tcW w:type="dxa" w:w="1224"/>
            <w:shd w:fill="1F4E79"/>
            <w:vAlign w:val="top"/>
          </w:tcPr>
          <w:p>
            <w:pPr>
              <w:spacing w:after="20" w:line="240" w:lineRule="auto"/>
            </w:pPr>
            <w:r>
              <w:rPr>
                <w:rFonts w:ascii="Arial" w:hAnsi="Arial"/>
                <w:b/>
                <w:color w:val="FFFFFF"/>
                <w:sz w:val="15"/>
              </w:rPr>
              <w:t>Macro Support Score</w:t>
            </w:r>
          </w:p>
        </w:tc>
        <w:tc>
          <w:tcPr>
            <w:tcW w:type="dxa" w:w="1944"/>
            <w:shd w:fill="1F4E79"/>
            <w:vAlign w:val="top"/>
          </w:tcPr>
          <w:p>
            <w:pPr>
              <w:spacing w:after="20" w:line="240" w:lineRule="auto"/>
            </w:pPr>
            <w:r>
              <w:rPr>
                <w:rFonts w:ascii="Arial" w:hAnsi="Arial"/>
                <w:b/>
                <w:color w:val="FFFFFF"/>
                <w:sz w:val="15"/>
              </w:rPr>
              <w:t>Best Scenarios</w:t>
            </w:r>
          </w:p>
        </w:tc>
        <w:tc>
          <w:tcPr>
            <w:tcW w:type="dxa" w:w="1944"/>
            <w:shd w:fill="1F4E79"/>
            <w:vAlign w:val="top"/>
          </w:tcPr>
          <w:p>
            <w:pPr>
              <w:spacing w:after="20" w:line="240" w:lineRule="auto"/>
            </w:pPr>
            <w:r>
              <w:rPr>
                <w:rFonts w:ascii="Arial" w:hAnsi="Arial"/>
                <w:b/>
                <w:color w:val="FFFFFF"/>
                <w:sz w:val="15"/>
              </w:rPr>
              <w:t>Worst Scenarios</w:t>
            </w:r>
          </w:p>
        </w:tc>
        <w:tc>
          <w:tcPr>
            <w:tcW w:type="dxa" w:w="3816"/>
            <w:shd w:fill="1F4E79"/>
            <w:vAlign w:val="top"/>
          </w:tcPr>
          <w:p>
            <w:pPr>
              <w:spacing w:after="20" w:line="240" w:lineRule="auto"/>
            </w:pPr>
            <w:r>
              <w:rPr>
                <w:rFonts w:ascii="Arial" w:hAnsi="Arial"/>
                <w:b/>
                <w:color w:val="FFFFFF"/>
                <w:sz w:val="15"/>
              </w:rPr>
              <w:t>Scenario Contribution Breakdown</w:t>
            </w:r>
          </w:p>
        </w:tc>
        <w:tc>
          <w:tcPr>
            <w:tcW w:type="dxa" w:w="3240"/>
            <w:shd w:fill="1F4E79"/>
            <w:vAlign w:val="top"/>
          </w:tcPr>
          <w:p>
            <w:pPr>
              <w:spacing w:after="20" w:line="240" w:lineRule="auto"/>
            </w:pPr>
            <w:r>
              <w:rPr>
                <w:rFonts w:ascii="Arial" w:hAnsi="Arial"/>
                <w:b/>
                <w:color w:val="FFFFFF"/>
                <w:sz w:val="15"/>
              </w:rPr>
              <w:t>Interpretation</w:t>
            </w:r>
          </w:p>
        </w:tc>
      </w:tr>
      <w:tr>
        <w:tc>
          <w:tcPr>
            <w:tcW w:type="dxa" w:w="504"/>
            <w:vAlign w:val="top"/>
          </w:tcPr>
          <w:p>
            <w:pPr>
              <w:spacing w:after="20" w:line="240" w:lineRule="auto"/>
            </w:pPr>
            <w:r>
              <w:rPr>
                <w:rFonts w:ascii="Arial" w:hAnsi="Arial"/>
                <w:b w:val="0"/>
                <w:color w:val="595959"/>
                <w:sz w:val="15"/>
              </w:rPr>
              <w:t>1</w:t>
            </w:r>
          </w:p>
        </w:tc>
        <w:tc>
          <w:tcPr>
            <w:tcW w:type="dxa" w:w="2232"/>
            <w:vAlign w:val="top"/>
          </w:tcPr>
          <w:p>
            <w:pPr>
              <w:spacing w:after="20" w:line="240" w:lineRule="auto"/>
            </w:pPr>
            <w:r>
              <w:rPr>
                <w:rFonts w:ascii="Arial" w:hAnsi="Arial"/>
                <w:b w:val="0"/>
                <w:color w:val="595959"/>
                <w:sz w:val="15"/>
              </w:rPr>
              <w:t>Grid and power infrastructure</w:t>
            </w:r>
          </w:p>
        </w:tc>
        <w:tc>
          <w:tcPr>
            <w:tcW w:type="dxa" w:w="1224"/>
            <w:vAlign w:val="top"/>
          </w:tcPr>
          <w:p>
            <w:pPr>
              <w:spacing w:after="20" w:line="240" w:lineRule="auto"/>
            </w:pPr>
            <w:r>
              <w:rPr>
                <w:rFonts w:ascii="Arial" w:hAnsi="Arial"/>
                <w:b w:val="0"/>
                <w:color w:val="375623"/>
                <w:sz w:val="15"/>
              </w:rPr>
              <w:t>+1.64</w:t>
            </w:r>
          </w:p>
        </w:tc>
        <w:tc>
          <w:tcPr>
            <w:tcW w:type="dxa" w:w="1944"/>
            <w:vAlign w:val="top"/>
          </w:tcPr>
          <w:p>
            <w:pPr>
              <w:spacing w:after="20" w:line="240" w:lineRule="auto"/>
            </w:pPr>
            <w:r>
              <w:rPr>
                <w:rFonts w:ascii="Arial" w:hAnsi="Arial"/>
                <w:b w:val="0"/>
                <w:color w:val="595959"/>
                <w:sz w:val="15"/>
              </w:rPr>
              <w:t>sticky_late_cycle_ai, reopening_soft_landing, oil_inflation_tail</w:t>
            </w:r>
          </w:p>
        </w:tc>
        <w:tc>
          <w:tcPr>
            <w:tcW w:type="dxa" w:w="1944"/>
            <w:vAlign w:val="top"/>
          </w:tcPr>
          <w:p>
            <w:pPr>
              <w:spacing w:after="20" w:line="240" w:lineRule="auto"/>
            </w:pPr>
            <w:r>
              <w:rPr>
                <w:rFonts w:ascii="Arial" w:hAnsi="Arial"/>
                <w:b w:val="0"/>
                <w:color w:val="595959"/>
                <w:sz w:val="15"/>
              </w:rPr>
              <w:t>late_cycle_risk_off, ai_capex_rollover</w:t>
            </w:r>
          </w:p>
        </w:tc>
        <w:tc>
          <w:tcPr>
            <w:tcW w:type="dxa" w:w="3816"/>
            <w:vAlign w:val="top"/>
          </w:tcPr>
          <w:p>
            <w:pPr>
              <w:spacing w:after="20" w:line="240" w:lineRule="auto"/>
            </w:pPr>
            <w:r>
              <w:rPr>
                <w:rFonts w:ascii="Arial" w:hAnsi="Arial"/>
                <w:b w:val="0"/>
                <w:color w:val="595959"/>
                <w:sz w:val="15"/>
              </w:rPr>
              <w:t>Sticky Late Cycle AI +1.09; Reopening / Soft Landing +0.62; Oil Inflation Tail +0.15; Late Cycle Risk-Off -0.13; AI Capex Rollover -0.09</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2</w:t>
            </w:r>
          </w:p>
        </w:tc>
        <w:tc>
          <w:tcPr>
            <w:tcW w:type="dxa" w:w="2232"/>
            <w:shd w:fill="F7F9FC"/>
            <w:vAlign w:val="top"/>
          </w:tcPr>
          <w:p>
            <w:pPr>
              <w:spacing w:after="20" w:line="240" w:lineRule="auto"/>
            </w:pPr>
            <w:r>
              <w:rPr>
                <w:rFonts w:ascii="Arial" w:hAnsi="Arial"/>
                <w:b w:val="0"/>
                <w:color w:val="595959"/>
                <w:sz w:val="15"/>
              </w:rPr>
              <w:t>Quality ex-AI cash flow</w:t>
            </w:r>
          </w:p>
        </w:tc>
        <w:tc>
          <w:tcPr>
            <w:tcW w:type="dxa" w:w="1224"/>
            <w:shd w:fill="F7F9FC"/>
            <w:vAlign w:val="top"/>
          </w:tcPr>
          <w:p>
            <w:pPr>
              <w:spacing w:after="20" w:line="240" w:lineRule="auto"/>
            </w:pPr>
            <w:r>
              <w:rPr>
                <w:rFonts w:ascii="Arial" w:hAnsi="Arial"/>
                <w:b w:val="0"/>
                <w:color w:val="375623"/>
                <w:sz w:val="15"/>
              </w:rPr>
              <w:t>+1.54</w:t>
            </w:r>
          </w:p>
        </w:tc>
        <w:tc>
          <w:tcPr>
            <w:tcW w:type="dxa" w:w="1944"/>
            <w:shd w:fill="F7F9FC"/>
            <w:vAlign w:val="top"/>
          </w:tcPr>
          <w:p>
            <w:pPr>
              <w:spacing w:after="20" w:line="240" w:lineRule="auto"/>
            </w:pPr>
            <w:r>
              <w:rPr>
                <w:rFonts w:ascii="Arial" w:hAnsi="Arial"/>
                <w:b w:val="0"/>
                <w:color w:val="595959"/>
                <w:sz w:val="15"/>
              </w:rPr>
              <w:t>sticky_late_cycle_ai, reopening_soft_landing, late_cycle_risk_off</w:t>
            </w:r>
          </w:p>
        </w:tc>
        <w:tc>
          <w:tcPr>
            <w:tcW w:type="dxa" w:w="1944"/>
            <w:shd w:fill="F7F9FC"/>
            <w:vAlign w:val="top"/>
          </w:tcPr>
          <w:p>
            <w:pPr>
              <w:spacing w:after="20" w:line="240" w:lineRule="auto"/>
            </w:pPr>
            <w:r>
              <w:rPr>
                <w:rFonts w:ascii="Arial" w:hAnsi="Arial"/>
                <w:b w:val="0"/>
                <w:color w:val="595959"/>
                <w:sz w:val="15"/>
              </w:rPr>
              <w:t>-</w:t>
            </w:r>
          </w:p>
        </w:tc>
        <w:tc>
          <w:tcPr>
            <w:tcW w:type="dxa" w:w="3816"/>
            <w:shd w:fill="F7F9FC"/>
            <w:vAlign w:val="top"/>
          </w:tcPr>
          <w:p>
            <w:pPr>
              <w:spacing w:after="20" w:line="240" w:lineRule="auto"/>
            </w:pPr>
            <w:r>
              <w:rPr>
                <w:rFonts w:ascii="Arial" w:hAnsi="Arial"/>
                <w:b w:val="0"/>
                <w:color w:val="595959"/>
                <w:sz w:val="15"/>
              </w:rPr>
              <w:t>Sticky Late Cycle AI +0.72; Reopening / Soft Landing +0.31; Late Cycle Risk-Off +0.26; Oil Inflation Tail +0.15; AI Capex Rollover +0.09</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vAlign w:val="top"/>
          </w:tcPr>
          <w:p>
            <w:pPr>
              <w:spacing w:after="20" w:line="240" w:lineRule="auto"/>
            </w:pPr>
            <w:r>
              <w:rPr>
                <w:rFonts w:ascii="Arial" w:hAnsi="Arial"/>
                <w:b w:val="0"/>
                <w:color w:val="595959"/>
                <w:sz w:val="15"/>
              </w:rPr>
              <w:t>3</w:t>
            </w:r>
          </w:p>
        </w:tc>
        <w:tc>
          <w:tcPr>
            <w:tcW w:type="dxa" w:w="2232"/>
            <w:vAlign w:val="top"/>
          </w:tcPr>
          <w:p>
            <w:pPr>
              <w:spacing w:after="20" w:line="240" w:lineRule="auto"/>
            </w:pPr>
            <w:r>
              <w:rPr>
                <w:rFonts w:ascii="Arial" w:hAnsi="Arial"/>
                <w:b w:val="0"/>
                <w:color w:val="595959"/>
                <w:sz w:val="15"/>
              </w:rPr>
              <w:t>Cash and short duration</w:t>
            </w:r>
          </w:p>
        </w:tc>
        <w:tc>
          <w:tcPr>
            <w:tcW w:type="dxa" w:w="1224"/>
            <w:vAlign w:val="top"/>
          </w:tcPr>
          <w:p>
            <w:pPr>
              <w:spacing w:after="20" w:line="240" w:lineRule="auto"/>
            </w:pPr>
            <w:r>
              <w:rPr>
                <w:rFonts w:ascii="Arial" w:hAnsi="Arial"/>
                <w:b w:val="0"/>
                <w:color w:val="375623"/>
                <w:sz w:val="15"/>
              </w:rPr>
              <w:t>+1.15</w:t>
            </w:r>
          </w:p>
        </w:tc>
        <w:tc>
          <w:tcPr>
            <w:tcW w:type="dxa" w:w="1944"/>
            <w:vAlign w:val="top"/>
          </w:tcPr>
          <w:p>
            <w:pPr>
              <w:spacing w:after="20" w:line="240" w:lineRule="auto"/>
            </w:pPr>
            <w:r>
              <w:rPr>
                <w:rFonts w:ascii="Arial" w:hAnsi="Arial"/>
                <w:b w:val="0"/>
                <w:color w:val="595959"/>
                <w:sz w:val="15"/>
              </w:rPr>
              <w:t>sticky_late_cycle_ai, late_cycle_risk_off, oil_inflation_tail</w:t>
            </w:r>
          </w:p>
        </w:tc>
        <w:tc>
          <w:tcPr>
            <w:tcW w:type="dxa" w:w="1944"/>
            <w:vAlign w:val="top"/>
          </w:tcPr>
          <w:p>
            <w:pPr>
              <w:spacing w:after="20" w:line="240" w:lineRule="auto"/>
            </w:pPr>
            <w:r>
              <w:rPr>
                <w:rFonts w:ascii="Arial" w:hAnsi="Arial"/>
                <w:b w:val="0"/>
                <w:color w:val="595959"/>
                <w:sz w:val="15"/>
              </w:rPr>
              <w:t>reopening_soft_landing</w:t>
            </w:r>
          </w:p>
        </w:tc>
        <w:tc>
          <w:tcPr>
            <w:tcW w:type="dxa" w:w="3816"/>
            <w:vAlign w:val="top"/>
          </w:tcPr>
          <w:p>
            <w:pPr>
              <w:spacing w:after="20" w:line="240" w:lineRule="auto"/>
            </w:pPr>
            <w:r>
              <w:rPr>
                <w:rFonts w:ascii="Arial" w:hAnsi="Arial"/>
                <w:b w:val="0"/>
                <w:color w:val="595959"/>
                <w:sz w:val="15"/>
              </w:rPr>
              <w:t>Sticky Late Cycle AI +0.72; Late Cycle Risk-Off +0.40; Reopening / Soft Landing -0.31; Oil Inflation Tail +0.30; AI Capex Rollover +0.04</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4</w:t>
            </w:r>
          </w:p>
        </w:tc>
        <w:tc>
          <w:tcPr>
            <w:tcW w:type="dxa" w:w="2232"/>
            <w:shd w:fill="F7F9FC"/>
            <w:vAlign w:val="top"/>
          </w:tcPr>
          <w:p>
            <w:pPr>
              <w:spacing w:after="20" w:line="240" w:lineRule="auto"/>
            </w:pPr>
            <w:r>
              <w:rPr>
                <w:rFonts w:ascii="Arial" w:hAnsi="Arial"/>
                <w:b w:val="0"/>
                <w:color w:val="595959"/>
                <w:sz w:val="15"/>
              </w:rPr>
              <w:t>Quality AI leaders</w:t>
            </w:r>
          </w:p>
        </w:tc>
        <w:tc>
          <w:tcPr>
            <w:tcW w:type="dxa" w:w="1224"/>
            <w:shd w:fill="F7F9FC"/>
            <w:vAlign w:val="top"/>
          </w:tcPr>
          <w:p>
            <w:pPr>
              <w:spacing w:after="20" w:line="240" w:lineRule="auto"/>
            </w:pPr>
            <w:r>
              <w:rPr>
                <w:rFonts w:ascii="Arial" w:hAnsi="Arial"/>
                <w:b w:val="0"/>
                <w:color w:val="375623"/>
                <w:sz w:val="15"/>
              </w:rPr>
              <w:t>+1.03</w:t>
            </w:r>
          </w:p>
        </w:tc>
        <w:tc>
          <w:tcPr>
            <w:tcW w:type="dxa" w:w="1944"/>
            <w:shd w:fill="F7F9FC"/>
            <w:vAlign w:val="top"/>
          </w:tcPr>
          <w:p>
            <w:pPr>
              <w:spacing w:after="20" w:line="240" w:lineRule="auto"/>
            </w:pPr>
            <w:r>
              <w:rPr>
                <w:rFonts w:ascii="Arial" w:hAnsi="Arial"/>
                <w:b w:val="0"/>
                <w:color w:val="595959"/>
                <w:sz w:val="15"/>
              </w:rPr>
              <w:t>sticky_late_cycle_ai, reopening_soft_landing</w:t>
            </w:r>
          </w:p>
        </w:tc>
        <w:tc>
          <w:tcPr>
            <w:tcW w:type="dxa" w:w="1944"/>
            <w:shd w:fill="F7F9FC"/>
            <w:vAlign w:val="top"/>
          </w:tcPr>
          <w:p>
            <w:pPr>
              <w:spacing w:after="20" w:line="240" w:lineRule="auto"/>
            </w:pPr>
            <w:r>
              <w:rPr>
                <w:rFonts w:ascii="Arial" w:hAnsi="Arial"/>
                <w:b w:val="0"/>
                <w:color w:val="595959"/>
                <w:sz w:val="15"/>
              </w:rPr>
              <w:t>oil_inflation_tail, late_cycle_risk_off, ai_capex_rollover</w:t>
            </w:r>
          </w:p>
        </w:tc>
        <w:tc>
          <w:tcPr>
            <w:tcW w:type="dxa" w:w="3816"/>
            <w:shd w:fill="F7F9FC"/>
            <w:vAlign w:val="top"/>
          </w:tcPr>
          <w:p>
            <w:pPr>
              <w:spacing w:after="20" w:line="240" w:lineRule="auto"/>
            </w:pPr>
            <w:r>
              <w:rPr>
                <w:rFonts w:ascii="Arial" w:hAnsi="Arial"/>
                <w:b w:val="0"/>
                <w:color w:val="595959"/>
                <w:sz w:val="15"/>
              </w:rPr>
              <w:t>Sticky Late Cycle AI +1.09; Reopening / Soft Landing +0.31; Oil Inflation Tail -0.15; Late Cycle Risk-Off -0.13; AI Capex Rollover -0.09</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vAlign w:val="top"/>
          </w:tcPr>
          <w:p>
            <w:pPr>
              <w:spacing w:after="20" w:line="240" w:lineRule="auto"/>
            </w:pPr>
            <w:r>
              <w:rPr>
                <w:rFonts w:ascii="Arial" w:hAnsi="Arial"/>
                <w:b w:val="0"/>
                <w:color w:val="595959"/>
                <w:sz w:val="15"/>
              </w:rPr>
              <w:t>5</w:t>
            </w:r>
          </w:p>
        </w:tc>
        <w:tc>
          <w:tcPr>
            <w:tcW w:type="dxa" w:w="2232"/>
            <w:vAlign w:val="top"/>
          </w:tcPr>
          <w:p>
            <w:pPr>
              <w:spacing w:after="20" w:line="240" w:lineRule="auto"/>
            </w:pPr>
            <w:r>
              <w:rPr>
                <w:rFonts w:ascii="Arial" w:hAnsi="Arial"/>
                <w:b w:val="0"/>
                <w:color w:val="595959"/>
                <w:sz w:val="15"/>
              </w:rPr>
              <w:t>Commodities and real assets</w:t>
            </w:r>
          </w:p>
        </w:tc>
        <w:tc>
          <w:tcPr>
            <w:tcW w:type="dxa" w:w="1224"/>
            <w:vAlign w:val="top"/>
          </w:tcPr>
          <w:p>
            <w:pPr>
              <w:spacing w:after="20" w:line="240" w:lineRule="auto"/>
            </w:pPr>
            <w:r>
              <w:rPr>
                <w:rFonts w:ascii="Arial" w:hAnsi="Arial"/>
                <w:b w:val="0"/>
                <w:color w:val="375623"/>
                <w:sz w:val="15"/>
              </w:rPr>
              <w:t>+0.94</w:t>
            </w:r>
          </w:p>
        </w:tc>
        <w:tc>
          <w:tcPr>
            <w:tcW w:type="dxa" w:w="1944"/>
            <w:vAlign w:val="top"/>
          </w:tcPr>
          <w:p>
            <w:pPr>
              <w:spacing w:after="20" w:line="240" w:lineRule="auto"/>
            </w:pPr>
            <w:r>
              <w:rPr>
                <w:rFonts w:ascii="Arial" w:hAnsi="Arial"/>
                <w:b w:val="0"/>
                <w:color w:val="595959"/>
                <w:sz w:val="15"/>
              </w:rPr>
              <w:t>oil_inflation_tail, sticky_late_cycle_ai, late_cycle_risk_off</w:t>
            </w:r>
          </w:p>
        </w:tc>
        <w:tc>
          <w:tcPr>
            <w:tcW w:type="dxa" w:w="1944"/>
            <w:vAlign w:val="top"/>
          </w:tcPr>
          <w:p>
            <w:pPr>
              <w:spacing w:after="20" w:line="240" w:lineRule="auto"/>
            </w:pPr>
            <w:r>
              <w:rPr>
                <w:rFonts w:ascii="Arial" w:hAnsi="Arial"/>
                <w:b w:val="0"/>
                <w:color w:val="595959"/>
                <w:sz w:val="15"/>
              </w:rPr>
              <w:t>-</w:t>
            </w:r>
          </w:p>
        </w:tc>
        <w:tc>
          <w:tcPr>
            <w:tcW w:type="dxa" w:w="3816"/>
            <w:vAlign w:val="top"/>
          </w:tcPr>
          <w:p>
            <w:pPr>
              <w:spacing w:after="20" w:line="240" w:lineRule="auto"/>
            </w:pPr>
            <w:r>
              <w:rPr>
                <w:rFonts w:ascii="Arial" w:hAnsi="Arial"/>
                <w:b w:val="0"/>
                <w:color w:val="595959"/>
                <w:sz w:val="15"/>
              </w:rPr>
              <w:t>Oil Inflation Tail +0.45; Sticky Late Cycle AI +0.36; Late Cycle Risk-Off +0.13; Reopening / Soft Landing +0.00; AI Capex Rollover +0.00</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6</w:t>
            </w:r>
          </w:p>
        </w:tc>
        <w:tc>
          <w:tcPr>
            <w:tcW w:type="dxa" w:w="2232"/>
            <w:shd w:fill="F7F9FC"/>
            <w:vAlign w:val="top"/>
          </w:tcPr>
          <w:p>
            <w:pPr>
              <w:spacing w:after="20" w:line="240" w:lineRule="auto"/>
            </w:pPr>
            <w:r>
              <w:rPr>
                <w:rFonts w:ascii="Arial" w:hAnsi="Arial"/>
                <w:b w:val="0"/>
                <w:color w:val="595959"/>
                <w:sz w:val="15"/>
              </w:rPr>
              <w:t>Healthcare defensives</w:t>
            </w:r>
          </w:p>
        </w:tc>
        <w:tc>
          <w:tcPr>
            <w:tcW w:type="dxa" w:w="1224"/>
            <w:shd w:fill="F7F9FC"/>
            <w:vAlign w:val="top"/>
          </w:tcPr>
          <w:p>
            <w:pPr>
              <w:spacing w:after="20" w:line="240" w:lineRule="auto"/>
            </w:pPr>
            <w:r>
              <w:rPr>
                <w:rFonts w:ascii="Arial" w:hAnsi="Arial"/>
                <w:b w:val="0"/>
                <w:color w:val="375623"/>
                <w:sz w:val="15"/>
              </w:rPr>
              <w:t>+0.82</w:t>
            </w:r>
          </w:p>
        </w:tc>
        <w:tc>
          <w:tcPr>
            <w:tcW w:type="dxa" w:w="1944"/>
            <w:shd w:fill="F7F9FC"/>
            <w:vAlign w:val="top"/>
          </w:tcPr>
          <w:p>
            <w:pPr>
              <w:spacing w:after="20" w:line="240" w:lineRule="auto"/>
            </w:pPr>
            <w:r>
              <w:rPr>
                <w:rFonts w:ascii="Arial" w:hAnsi="Arial"/>
                <w:b w:val="0"/>
                <w:color w:val="595959"/>
                <w:sz w:val="15"/>
              </w:rPr>
              <w:t>sticky_late_cycle_ai, late_cycle_risk_off, oil_inflation_tail</w:t>
            </w:r>
          </w:p>
        </w:tc>
        <w:tc>
          <w:tcPr>
            <w:tcW w:type="dxa" w:w="1944"/>
            <w:shd w:fill="F7F9FC"/>
            <w:vAlign w:val="top"/>
          </w:tcPr>
          <w:p>
            <w:pPr>
              <w:spacing w:after="20" w:line="240" w:lineRule="auto"/>
            </w:pPr>
            <w:r>
              <w:rPr>
                <w:rFonts w:ascii="Arial" w:hAnsi="Arial"/>
                <w:b w:val="0"/>
                <w:color w:val="595959"/>
                <w:sz w:val="15"/>
              </w:rPr>
              <w:t>-</w:t>
            </w:r>
          </w:p>
        </w:tc>
        <w:tc>
          <w:tcPr>
            <w:tcW w:type="dxa" w:w="3816"/>
            <w:shd w:fill="F7F9FC"/>
            <w:vAlign w:val="top"/>
          </w:tcPr>
          <w:p>
            <w:pPr>
              <w:spacing w:after="20" w:line="240" w:lineRule="auto"/>
            </w:pPr>
            <w:r>
              <w:rPr>
                <w:rFonts w:ascii="Arial" w:hAnsi="Arial"/>
                <w:b w:val="0"/>
                <w:color w:val="595959"/>
                <w:sz w:val="15"/>
              </w:rPr>
              <w:t>Sticky Late Cycle AI +0.36; Late Cycle Risk-Off +0.26; Oil Inflation Tail +0.15; AI Capex Rollover +0.04; Reopening / Soft Landing +0.00</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vAlign w:val="top"/>
          </w:tcPr>
          <w:p>
            <w:pPr>
              <w:spacing w:after="20" w:line="240" w:lineRule="auto"/>
            </w:pPr>
            <w:r>
              <w:rPr>
                <w:rFonts w:ascii="Arial" w:hAnsi="Arial"/>
                <w:b w:val="0"/>
                <w:color w:val="595959"/>
                <w:sz w:val="15"/>
              </w:rPr>
              <w:t>7</w:t>
            </w:r>
          </w:p>
        </w:tc>
        <w:tc>
          <w:tcPr>
            <w:tcW w:type="dxa" w:w="2232"/>
            <w:vAlign w:val="top"/>
          </w:tcPr>
          <w:p>
            <w:pPr>
              <w:spacing w:after="20" w:line="240" w:lineRule="auto"/>
            </w:pPr>
            <w:r>
              <w:rPr>
                <w:rFonts w:ascii="Arial" w:hAnsi="Arial"/>
                <w:b w:val="0"/>
                <w:color w:val="595959"/>
                <w:sz w:val="15"/>
              </w:rPr>
              <w:t>Defense and geopolitics</w:t>
            </w:r>
          </w:p>
        </w:tc>
        <w:tc>
          <w:tcPr>
            <w:tcW w:type="dxa" w:w="1224"/>
            <w:vAlign w:val="top"/>
          </w:tcPr>
          <w:p>
            <w:pPr>
              <w:spacing w:after="20" w:line="240" w:lineRule="auto"/>
            </w:pPr>
            <w:r>
              <w:rPr>
                <w:rFonts w:ascii="Arial" w:hAnsi="Arial"/>
                <w:b w:val="0"/>
                <w:color w:val="375623"/>
                <w:sz w:val="15"/>
              </w:rPr>
              <w:t>+0.79</w:t>
            </w:r>
          </w:p>
        </w:tc>
        <w:tc>
          <w:tcPr>
            <w:tcW w:type="dxa" w:w="1944"/>
            <w:vAlign w:val="top"/>
          </w:tcPr>
          <w:p>
            <w:pPr>
              <w:spacing w:after="20" w:line="240" w:lineRule="auto"/>
            </w:pPr>
            <w:r>
              <w:rPr>
                <w:rFonts w:ascii="Arial" w:hAnsi="Arial"/>
                <w:b w:val="0"/>
                <w:color w:val="595959"/>
                <w:sz w:val="15"/>
              </w:rPr>
              <w:t>sticky_late_cycle_ai, oil_inflation_tail, late_cycle_risk_off</w:t>
            </w:r>
          </w:p>
        </w:tc>
        <w:tc>
          <w:tcPr>
            <w:tcW w:type="dxa" w:w="1944"/>
            <w:vAlign w:val="top"/>
          </w:tcPr>
          <w:p>
            <w:pPr>
              <w:spacing w:after="20" w:line="240" w:lineRule="auto"/>
            </w:pPr>
            <w:r>
              <w:rPr>
                <w:rFonts w:ascii="Arial" w:hAnsi="Arial"/>
                <w:b w:val="0"/>
                <w:color w:val="595959"/>
                <w:sz w:val="15"/>
              </w:rPr>
              <w:t>-</w:t>
            </w:r>
          </w:p>
        </w:tc>
        <w:tc>
          <w:tcPr>
            <w:tcW w:type="dxa" w:w="3816"/>
            <w:vAlign w:val="top"/>
          </w:tcPr>
          <w:p>
            <w:pPr>
              <w:spacing w:after="20" w:line="240" w:lineRule="auto"/>
            </w:pPr>
            <w:r>
              <w:rPr>
                <w:rFonts w:ascii="Arial" w:hAnsi="Arial"/>
                <w:b w:val="0"/>
                <w:color w:val="595959"/>
                <w:sz w:val="15"/>
              </w:rPr>
              <w:t>Sticky Late Cycle AI +0.36; Oil Inflation Tail +0.30; Late Cycle Risk-Off +0.13; Reopening / Soft Landing +0.00; AI Capex Rollover +0.00</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8</w:t>
            </w:r>
          </w:p>
        </w:tc>
        <w:tc>
          <w:tcPr>
            <w:tcW w:type="dxa" w:w="2232"/>
            <w:shd w:fill="F7F9FC"/>
            <w:vAlign w:val="top"/>
          </w:tcPr>
          <w:p>
            <w:pPr>
              <w:spacing w:after="20" w:line="240" w:lineRule="auto"/>
            </w:pPr>
            <w:r>
              <w:rPr>
                <w:rFonts w:ascii="Arial" w:hAnsi="Arial"/>
                <w:b w:val="0"/>
                <w:color w:val="595959"/>
                <w:sz w:val="15"/>
              </w:rPr>
              <w:t>Energy and oil beta</w:t>
            </w:r>
          </w:p>
        </w:tc>
        <w:tc>
          <w:tcPr>
            <w:tcW w:type="dxa" w:w="1224"/>
            <w:shd w:fill="F7F9FC"/>
            <w:vAlign w:val="top"/>
          </w:tcPr>
          <w:p>
            <w:pPr>
              <w:spacing w:after="20" w:line="240" w:lineRule="auto"/>
            </w:pPr>
            <w:r>
              <w:rPr>
                <w:rFonts w:ascii="Arial" w:hAnsi="Arial"/>
                <w:b w:val="0"/>
                <w:color w:val="375623"/>
                <w:sz w:val="15"/>
              </w:rPr>
              <w:t>+0.37</w:t>
            </w:r>
          </w:p>
        </w:tc>
        <w:tc>
          <w:tcPr>
            <w:tcW w:type="dxa" w:w="1944"/>
            <w:shd w:fill="F7F9FC"/>
            <w:vAlign w:val="top"/>
          </w:tcPr>
          <w:p>
            <w:pPr>
              <w:spacing w:after="20" w:line="240" w:lineRule="auto"/>
            </w:pPr>
            <w:r>
              <w:rPr>
                <w:rFonts w:ascii="Arial" w:hAnsi="Arial"/>
                <w:b w:val="0"/>
                <w:color w:val="595959"/>
                <w:sz w:val="15"/>
              </w:rPr>
              <w:t>oil_inflation_tail, sticky_late_cycle_ai</w:t>
            </w:r>
          </w:p>
        </w:tc>
        <w:tc>
          <w:tcPr>
            <w:tcW w:type="dxa" w:w="1944"/>
            <w:shd w:fill="F7F9FC"/>
            <w:vAlign w:val="top"/>
          </w:tcPr>
          <w:p>
            <w:pPr>
              <w:spacing w:after="20" w:line="240" w:lineRule="auto"/>
            </w:pPr>
            <w:r>
              <w:rPr>
                <w:rFonts w:ascii="Arial" w:hAnsi="Arial"/>
                <w:b w:val="0"/>
                <w:color w:val="595959"/>
                <w:sz w:val="15"/>
              </w:rPr>
              <w:t>reopening_soft_landing, late_cycle_risk_off</w:t>
            </w:r>
          </w:p>
        </w:tc>
        <w:tc>
          <w:tcPr>
            <w:tcW w:type="dxa" w:w="3816"/>
            <w:shd w:fill="F7F9FC"/>
            <w:vAlign w:val="top"/>
          </w:tcPr>
          <w:p>
            <w:pPr>
              <w:spacing w:after="20" w:line="240" w:lineRule="auto"/>
            </w:pPr>
            <w:r>
              <w:rPr>
                <w:rFonts w:ascii="Arial" w:hAnsi="Arial"/>
                <w:b w:val="0"/>
                <w:color w:val="595959"/>
                <w:sz w:val="15"/>
              </w:rPr>
              <w:t>Oil Inflation Tail +0.45; Sticky Late Cycle AI +0.36; Reopening / Soft Landing -0.31; Late Cycle Risk-Off -0.13; AI Capex Rollover +0.00</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vAlign w:val="top"/>
          </w:tcPr>
          <w:p>
            <w:pPr>
              <w:spacing w:after="20" w:line="240" w:lineRule="auto"/>
            </w:pPr>
            <w:r>
              <w:rPr>
                <w:rFonts w:ascii="Arial" w:hAnsi="Arial"/>
                <w:b w:val="0"/>
                <w:color w:val="595959"/>
                <w:sz w:val="15"/>
              </w:rPr>
              <w:t>9</w:t>
            </w:r>
          </w:p>
        </w:tc>
        <w:tc>
          <w:tcPr>
            <w:tcW w:type="dxa" w:w="2232"/>
            <w:vAlign w:val="top"/>
          </w:tcPr>
          <w:p>
            <w:pPr>
              <w:spacing w:after="20" w:line="240" w:lineRule="auto"/>
            </w:pPr>
            <w:r>
              <w:rPr>
                <w:rFonts w:ascii="Arial" w:hAnsi="Arial"/>
                <w:b w:val="0"/>
                <w:color w:val="595959"/>
                <w:sz w:val="15"/>
              </w:rPr>
              <w:t>Memory semiconductors</w:t>
            </w:r>
          </w:p>
        </w:tc>
        <w:tc>
          <w:tcPr>
            <w:tcW w:type="dxa" w:w="1224"/>
            <w:vAlign w:val="top"/>
          </w:tcPr>
          <w:p>
            <w:pPr>
              <w:spacing w:after="20" w:line="240" w:lineRule="auto"/>
            </w:pPr>
            <w:r>
              <w:rPr>
                <w:rFonts w:ascii="Arial" w:hAnsi="Arial"/>
                <w:b w:val="0"/>
                <w:color w:val="375623"/>
                <w:sz w:val="15"/>
              </w:rPr>
              <w:t>+0.17</w:t>
            </w:r>
          </w:p>
        </w:tc>
        <w:tc>
          <w:tcPr>
            <w:tcW w:type="dxa" w:w="1944"/>
            <w:vAlign w:val="top"/>
          </w:tcPr>
          <w:p>
            <w:pPr>
              <w:spacing w:after="20" w:line="240" w:lineRule="auto"/>
            </w:pPr>
            <w:r>
              <w:rPr>
                <w:rFonts w:ascii="Arial" w:hAnsi="Arial"/>
                <w:b w:val="0"/>
                <w:color w:val="595959"/>
                <w:sz w:val="15"/>
              </w:rPr>
              <w:t>sticky_late_cycle_ai, reopening_soft_landing</w:t>
            </w:r>
          </w:p>
        </w:tc>
        <w:tc>
          <w:tcPr>
            <w:tcW w:type="dxa" w:w="1944"/>
            <w:vAlign w:val="top"/>
          </w:tcPr>
          <w:p>
            <w:pPr>
              <w:spacing w:after="20" w:line="240" w:lineRule="auto"/>
            </w:pPr>
            <w:r>
              <w:rPr>
                <w:rFonts w:ascii="Arial" w:hAnsi="Arial"/>
                <w:b w:val="0"/>
                <w:color w:val="595959"/>
                <w:sz w:val="15"/>
              </w:rPr>
              <w:t>late_cycle_risk_off, oil_inflation_tail, ai_capex_rollover</w:t>
            </w:r>
          </w:p>
        </w:tc>
        <w:tc>
          <w:tcPr>
            <w:tcW w:type="dxa" w:w="3816"/>
            <w:vAlign w:val="top"/>
          </w:tcPr>
          <w:p>
            <w:pPr>
              <w:spacing w:after="20" w:line="240" w:lineRule="auto"/>
            </w:pPr>
            <w:r>
              <w:rPr>
                <w:rFonts w:ascii="Arial" w:hAnsi="Arial"/>
                <w:b w:val="0"/>
                <w:color w:val="595959"/>
                <w:sz w:val="15"/>
              </w:rPr>
              <w:t>Sticky Late Cycle AI +0.36; Reopening / Soft Landing +0.31; Late Cycle Risk-Off -0.26; Oil Inflation Tail -0.15; AI Capex Rollover -0.09</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10</w:t>
            </w:r>
          </w:p>
        </w:tc>
        <w:tc>
          <w:tcPr>
            <w:tcW w:type="dxa" w:w="2232"/>
            <w:shd w:fill="F7F9FC"/>
            <w:vAlign w:val="top"/>
          </w:tcPr>
          <w:p>
            <w:pPr>
              <w:spacing w:after="20" w:line="240" w:lineRule="auto"/>
            </w:pPr>
            <w:r>
              <w:rPr>
                <w:rFonts w:ascii="Arial" w:hAnsi="Arial"/>
                <w:b w:val="0"/>
                <w:color w:val="595959"/>
                <w:sz w:val="15"/>
              </w:rPr>
              <w:t>High-beta AI semiconductors</w:t>
            </w:r>
          </w:p>
        </w:tc>
        <w:tc>
          <w:tcPr>
            <w:tcW w:type="dxa" w:w="1224"/>
            <w:shd w:fill="F7F9FC"/>
            <w:vAlign w:val="top"/>
          </w:tcPr>
          <w:p>
            <w:pPr>
              <w:spacing w:after="20" w:line="240" w:lineRule="auto"/>
            </w:pPr>
            <w:r>
              <w:rPr>
                <w:rFonts w:ascii="Arial" w:hAnsi="Arial"/>
                <w:b w:val="0"/>
                <w:color w:val="C00000"/>
                <w:sz w:val="15"/>
              </w:rPr>
              <w:t>-0.16</w:t>
            </w:r>
          </w:p>
        </w:tc>
        <w:tc>
          <w:tcPr>
            <w:tcW w:type="dxa" w:w="1944"/>
            <w:shd w:fill="F7F9FC"/>
            <w:vAlign w:val="top"/>
          </w:tcPr>
          <w:p>
            <w:pPr>
              <w:spacing w:after="20" w:line="240" w:lineRule="auto"/>
            </w:pPr>
            <w:r>
              <w:rPr>
                <w:rFonts w:ascii="Arial" w:hAnsi="Arial"/>
                <w:b w:val="0"/>
                <w:color w:val="595959"/>
                <w:sz w:val="15"/>
              </w:rPr>
              <w:t>sticky_late_cycle_ai, reopening_soft_landing</w:t>
            </w:r>
          </w:p>
        </w:tc>
        <w:tc>
          <w:tcPr>
            <w:tcW w:type="dxa" w:w="1944"/>
            <w:shd w:fill="F7F9FC"/>
            <w:vAlign w:val="top"/>
          </w:tcPr>
          <w:p>
            <w:pPr>
              <w:spacing w:after="20" w:line="240" w:lineRule="auto"/>
            </w:pPr>
            <w:r>
              <w:rPr>
                <w:rFonts w:ascii="Arial" w:hAnsi="Arial"/>
                <w:b w:val="0"/>
                <w:color w:val="595959"/>
                <w:sz w:val="15"/>
              </w:rPr>
              <w:t>late_cycle_risk_off, oil_inflation_tail, ai_capex_rollover</w:t>
            </w:r>
          </w:p>
        </w:tc>
        <w:tc>
          <w:tcPr>
            <w:tcW w:type="dxa" w:w="3816"/>
            <w:shd w:fill="F7F9FC"/>
            <w:vAlign w:val="top"/>
          </w:tcPr>
          <w:p>
            <w:pPr>
              <w:spacing w:after="20" w:line="240" w:lineRule="auto"/>
            </w:pPr>
            <w:r>
              <w:rPr>
                <w:rFonts w:ascii="Arial" w:hAnsi="Arial"/>
                <w:b w:val="0"/>
                <w:color w:val="595959"/>
                <w:sz w:val="15"/>
              </w:rPr>
              <w:t>Late Cycle Risk-Off -0.40; Sticky Late Cycle AI +0.36; Reopening / Soft Landing +0.31; Oil Inflation Tail -0.30; AI Capex Rollover -0.13</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vAlign w:val="top"/>
          </w:tcPr>
          <w:p>
            <w:pPr>
              <w:spacing w:after="20" w:line="240" w:lineRule="auto"/>
            </w:pPr>
            <w:r>
              <w:rPr>
                <w:rFonts w:ascii="Arial" w:hAnsi="Arial"/>
                <w:b w:val="0"/>
                <w:color w:val="595959"/>
                <w:sz w:val="15"/>
              </w:rPr>
              <w:t>11</w:t>
            </w:r>
          </w:p>
        </w:tc>
        <w:tc>
          <w:tcPr>
            <w:tcW w:type="dxa" w:w="2232"/>
            <w:vAlign w:val="top"/>
          </w:tcPr>
          <w:p>
            <w:pPr>
              <w:spacing w:after="20" w:line="240" w:lineRule="auto"/>
            </w:pPr>
            <w:r>
              <w:rPr>
                <w:rFonts w:ascii="Arial" w:hAnsi="Arial"/>
                <w:b w:val="0"/>
                <w:color w:val="595959"/>
                <w:sz w:val="15"/>
              </w:rPr>
              <w:t>Long-duration growth</w:t>
            </w:r>
          </w:p>
        </w:tc>
        <w:tc>
          <w:tcPr>
            <w:tcW w:type="dxa" w:w="1224"/>
            <w:vAlign w:val="top"/>
          </w:tcPr>
          <w:p>
            <w:pPr>
              <w:spacing w:after="20" w:line="240" w:lineRule="auto"/>
            </w:pPr>
            <w:r>
              <w:rPr>
                <w:rFonts w:ascii="Arial" w:hAnsi="Arial"/>
                <w:b w:val="0"/>
                <w:color w:val="C00000"/>
                <w:sz w:val="15"/>
              </w:rPr>
              <w:t>-0.46</w:t>
            </w:r>
          </w:p>
        </w:tc>
        <w:tc>
          <w:tcPr>
            <w:tcW w:type="dxa" w:w="1944"/>
            <w:vAlign w:val="top"/>
          </w:tcPr>
          <w:p>
            <w:pPr>
              <w:spacing w:after="20" w:line="240" w:lineRule="auto"/>
            </w:pPr>
            <w:r>
              <w:rPr>
                <w:rFonts w:ascii="Arial" w:hAnsi="Arial"/>
                <w:b w:val="0"/>
                <w:color w:val="595959"/>
                <w:sz w:val="15"/>
              </w:rPr>
              <w:t>reopening_soft_landing</w:t>
            </w:r>
          </w:p>
        </w:tc>
        <w:tc>
          <w:tcPr>
            <w:tcW w:type="dxa" w:w="1944"/>
            <w:vAlign w:val="top"/>
          </w:tcPr>
          <w:p>
            <w:pPr>
              <w:spacing w:after="20" w:line="240" w:lineRule="auto"/>
            </w:pPr>
            <w:r>
              <w:rPr>
                <w:rFonts w:ascii="Arial" w:hAnsi="Arial"/>
                <w:b w:val="0"/>
                <w:color w:val="595959"/>
                <w:sz w:val="15"/>
              </w:rPr>
              <w:t>oil_inflation_tail, sticky_late_cycle_ai, late_cycle_risk_off</w:t>
            </w:r>
          </w:p>
        </w:tc>
        <w:tc>
          <w:tcPr>
            <w:tcW w:type="dxa" w:w="3816"/>
            <w:vAlign w:val="top"/>
          </w:tcPr>
          <w:p>
            <w:pPr>
              <w:spacing w:after="20" w:line="240" w:lineRule="auto"/>
            </w:pPr>
            <w:r>
              <w:rPr>
                <w:rFonts w:ascii="Arial" w:hAnsi="Arial"/>
                <w:b w:val="0"/>
                <w:color w:val="595959"/>
                <w:sz w:val="15"/>
              </w:rPr>
              <w:t>Reopening / Soft Landing +0.62; Oil Inflation Tail -0.45; Sticky Late Cycle AI -0.36; Late Cycle Risk-Off -0.26; AI Capex Rollover +0.00</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12</w:t>
            </w:r>
          </w:p>
        </w:tc>
        <w:tc>
          <w:tcPr>
            <w:tcW w:type="dxa" w:w="2232"/>
            <w:shd w:fill="F7F9FC"/>
            <w:vAlign w:val="top"/>
          </w:tcPr>
          <w:p>
            <w:pPr>
              <w:spacing w:after="20" w:line="240" w:lineRule="auto"/>
            </w:pPr>
            <w:r>
              <w:rPr>
                <w:rFonts w:ascii="Arial" w:hAnsi="Arial"/>
                <w:b w:val="0"/>
                <w:color w:val="595959"/>
                <w:sz w:val="15"/>
              </w:rPr>
              <w:t>Small caps</w:t>
            </w:r>
          </w:p>
        </w:tc>
        <w:tc>
          <w:tcPr>
            <w:tcW w:type="dxa" w:w="1224"/>
            <w:shd w:fill="F7F9FC"/>
            <w:vAlign w:val="top"/>
          </w:tcPr>
          <w:p>
            <w:pPr>
              <w:spacing w:after="20" w:line="240" w:lineRule="auto"/>
            </w:pPr>
            <w:r>
              <w:rPr>
                <w:rFonts w:ascii="Arial" w:hAnsi="Arial"/>
                <w:b w:val="0"/>
                <w:color w:val="C00000"/>
                <w:sz w:val="15"/>
              </w:rPr>
              <w:t>-0.90</w:t>
            </w:r>
          </w:p>
        </w:tc>
        <w:tc>
          <w:tcPr>
            <w:tcW w:type="dxa" w:w="1944"/>
            <w:shd w:fill="F7F9FC"/>
            <w:vAlign w:val="top"/>
          </w:tcPr>
          <w:p>
            <w:pPr>
              <w:spacing w:after="20" w:line="240" w:lineRule="auto"/>
            </w:pPr>
            <w:r>
              <w:rPr>
                <w:rFonts w:ascii="Arial" w:hAnsi="Arial"/>
                <w:b w:val="0"/>
                <w:color w:val="595959"/>
                <w:sz w:val="15"/>
              </w:rPr>
              <w:t>reopening_soft_landing, ai_capex_rollover</w:t>
            </w:r>
          </w:p>
        </w:tc>
        <w:tc>
          <w:tcPr>
            <w:tcW w:type="dxa" w:w="1944"/>
            <w:shd w:fill="F7F9FC"/>
            <w:vAlign w:val="top"/>
          </w:tcPr>
          <w:p>
            <w:pPr>
              <w:spacing w:after="20" w:line="240" w:lineRule="auto"/>
            </w:pPr>
            <w:r>
              <w:rPr>
                <w:rFonts w:ascii="Arial" w:hAnsi="Arial"/>
                <w:b w:val="0"/>
                <w:color w:val="595959"/>
                <w:sz w:val="15"/>
              </w:rPr>
              <w:t>sticky_late_cycle_ai, oil_inflation_tail, late_cycle_risk_off</w:t>
            </w:r>
          </w:p>
        </w:tc>
        <w:tc>
          <w:tcPr>
            <w:tcW w:type="dxa" w:w="3816"/>
            <w:shd w:fill="F7F9FC"/>
            <w:vAlign w:val="top"/>
          </w:tcPr>
          <w:p>
            <w:pPr>
              <w:spacing w:after="20" w:line="240" w:lineRule="auto"/>
            </w:pPr>
            <w:r>
              <w:rPr>
                <w:rFonts w:ascii="Arial" w:hAnsi="Arial"/>
                <w:b w:val="0"/>
                <w:color w:val="595959"/>
                <w:sz w:val="15"/>
              </w:rPr>
              <w:t>Sticky Late Cycle AI -0.72; Reopening / Soft Landing +0.62; Oil Inflation Tail -0.45; Late Cycle Risk-Off -0.40; AI Capex Rollover +0.04</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bl>
    <w:p>
      <w:pPr>
        <w:spacing w:after="120"/>
      </w:pPr>
    </w:p>
    <w:p>
      <w:pPr>
        <w:spacing w:before="180" w:after="80"/>
      </w:pPr>
      <w:r>
        <w:rPr>
          <w:rFonts w:ascii="Arial" w:hAnsi="Arial"/>
          <w:b/>
          <w:color w:val="2E75B6"/>
          <w:sz w:val="21"/>
        </w:rPr>
        <w:t>Theme Macro Support Math</w:t>
      </w:r>
    </w:p>
    <w:p>
      <w:pPr>
        <w:spacing w:after="40"/>
      </w:pPr>
      <w:r>
        <w:rPr>
          <w:rFonts w:ascii="Arial" w:hAnsi="Arial"/>
          <w:b/>
          <w:color w:val="1F4E79"/>
          <w:sz w:val="17"/>
        </w:rPr>
        <w:t>Grid and power infrastructure: +1.64</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Probability</w:t>
            </w:r>
          </w:p>
        </w:tc>
        <w:tc>
          <w:tcPr>
            <w:tcW w:type="dxa" w:w="1008"/>
            <w:shd w:fill="1F4E79"/>
            <w:vAlign w:val="top"/>
          </w:tcPr>
          <w:p>
            <w:pPr>
              <w:spacing w:after="20" w:line="240" w:lineRule="auto"/>
            </w:pPr>
            <w:r>
              <w:rPr>
                <w:rFonts w:ascii="Arial" w:hAnsi="Arial"/>
                <w:b/>
                <w:color w:val="FFFFFF"/>
                <w:sz w:val="15"/>
              </w:rPr>
              <w:t>Exposure</w:t>
            </w:r>
          </w:p>
        </w:tc>
        <w:tc>
          <w:tcPr>
            <w:tcW w:type="dxa" w:w="1080"/>
            <w:shd w:fill="1F4E79"/>
            <w:vAlign w:val="top"/>
          </w:tcPr>
          <w:p>
            <w:pPr>
              <w:spacing w:after="20" w:line="240" w:lineRule="auto"/>
            </w:pPr>
            <w:r>
              <w:rPr>
                <w:rFonts w:ascii="Arial" w:hAnsi="Arial"/>
                <w:b/>
                <w:color w:val="FFFFFF"/>
                <w:sz w:val="15"/>
              </w:rPr>
              <w:t>Contribution</w:t>
            </w:r>
          </w:p>
        </w:tc>
        <w:tc>
          <w:tcPr>
            <w:tcW w:type="dxa" w:w="8280"/>
            <w:shd w:fill="1F4E79"/>
            <w:vAlign w:val="top"/>
          </w:tcPr>
          <w:p>
            <w:pPr>
              <w:spacing w:after="20" w:line="240" w:lineRule="auto"/>
            </w:pPr>
            <w:r>
              <w:rPr>
                <w:rFonts w:ascii="Arial" w:hAnsi="Arial"/>
                <w:b/>
                <w:color w:val="FFFFFF"/>
                <w:sz w:val="15"/>
              </w:rPr>
              <w:t>Rationale</w:t>
            </w:r>
          </w:p>
        </w:tc>
      </w:tr>
      <w:tr>
        <w:tc>
          <w:tcPr>
            <w:tcW w:type="dxa" w:w="2088"/>
            <w:vAlign w:val="top"/>
          </w:tcPr>
          <w:p>
            <w:pPr>
              <w:spacing w:after="20" w:line="240" w:lineRule="auto"/>
            </w:pPr>
            <w:r>
              <w:rPr>
                <w:rFonts w:ascii="Arial" w:hAnsi="Arial"/>
                <w:b w:val="0"/>
                <w:color w:val="595959"/>
                <w:sz w:val="15"/>
              </w:rPr>
              <w:t>Sticky Late Cycle AI</w:t>
            </w:r>
          </w:p>
        </w:tc>
        <w:tc>
          <w:tcPr>
            <w:tcW w:type="dxa" w:w="1080"/>
            <w:vAlign w:val="top"/>
          </w:tcPr>
          <w:p>
            <w:pPr>
              <w:spacing w:after="20" w:line="240" w:lineRule="auto"/>
            </w:pPr>
            <w:r>
              <w:rPr>
                <w:rFonts w:ascii="Arial" w:hAnsi="Arial"/>
                <w:b w:val="0"/>
                <w:color w:val="595959"/>
                <w:sz w:val="15"/>
              </w:rPr>
              <w:t>36.24%</w:t>
            </w:r>
          </w:p>
        </w:tc>
        <w:tc>
          <w:tcPr>
            <w:tcW w:type="dxa" w:w="1008"/>
            <w:vAlign w:val="top"/>
          </w:tcPr>
          <w:p>
            <w:pPr>
              <w:spacing w:after="20" w:line="240" w:lineRule="auto"/>
            </w:pPr>
            <w:r>
              <w:rPr>
                <w:rFonts w:ascii="Arial" w:hAnsi="Arial"/>
                <w:b w:val="0"/>
                <w:color w:val="375623"/>
                <w:sz w:val="15"/>
              </w:rPr>
              <w:t>+3.00</w:t>
            </w:r>
          </w:p>
        </w:tc>
        <w:tc>
          <w:tcPr>
            <w:tcW w:type="dxa" w:w="1080"/>
            <w:vAlign w:val="top"/>
          </w:tcPr>
          <w:p>
            <w:pPr>
              <w:spacing w:after="20" w:line="240" w:lineRule="auto"/>
            </w:pPr>
            <w:r>
              <w:rPr>
                <w:rFonts w:ascii="Arial" w:hAnsi="Arial"/>
                <w:b w:val="0"/>
                <w:color w:val="375623"/>
                <w:sz w:val="15"/>
              </w:rPr>
              <w:t>+1.09</w:t>
            </w:r>
          </w:p>
        </w:tc>
        <w:tc>
          <w:tcPr>
            <w:tcW w:type="dxa" w:w="8280"/>
            <w:vAlign w:val="top"/>
          </w:tcPr>
          <w:p>
            <w:pPr>
              <w:spacing w:after="20" w:line="240" w:lineRule="auto"/>
            </w:pPr>
            <w:r>
              <w:rPr>
                <w:rFonts w:ascii="Arial" w:hAnsi="Arial"/>
                <w:b w:val="0"/>
                <w:color w:val="595959"/>
                <w:sz w:val="15"/>
              </w:rPr>
              <w:t>Sticky Late Cycle AI probability 36.2% x theme exposure +3.0.</w:t>
            </w:r>
          </w:p>
        </w:tc>
      </w:tr>
      <w:tr>
        <w:tc>
          <w:tcPr>
            <w:tcW w:type="dxa" w:w="2088"/>
            <w:shd w:fill="F7F9FC"/>
            <w:vAlign w:val="top"/>
          </w:tcPr>
          <w:p>
            <w:pPr>
              <w:spacing w:after="20" w:line="240" w:lineRule="auto"/>
            </w:pPr>
            <w:r>
              <w:rPr>
                <w:rFonts w:ascii="Arial" w:hAnsi="Arial"/>
                <w:b w:val="0"/>
                <w:color w:val="595959"/>
                <w:sz w:val="15"/>
              </w:rPr>
              <w:t>Reopening / Soft Landing</w:t>
            </w:r>
          </w:p>
        </w:tc>
        <w:tc>
          <w:tcPr>
            <w:tcW w:type="dxa" w:w="1080"/>
            <w:shd w:fill="F7F9FC"/>
            <w:vAlign w:val="top"/>
          </w:tcPr>
          <w:p>
            <w:pPr>
              <w:spacing w:after="20" w:line="240" w:lineRule="auto"/>
            </w:pPr>
            <w:r>
              <w:rPr>
                <w:rFonts w:ascii="Arial" w:hAnsi="Arial"/>
                <w:b w:val="0"/>
                <w:color w:val="595959"/>
                <w:sz w:val="15"/>
              </w:rPr>
              <w:t>31.07%</w:t>
            </w:r>
          </w:p>
        </w:tc>
        <w:tc>
          <w:tcPr>
            <w:tcW w:type="dxa" w:w="1008"/>
            <w:shd w:fill="F7F9FC"/>
            <w:vAlign w:val="top"/>
          </w:tcPr>
          <w:p>
            <w:pPr>
              <w:spacing w:after="20" w:line="240" w:lineRule="auto"/>
            </w:pPr>
            <w:r>
              <w:rPr>
                <w:rFonts w:ascii="Arial" w:hAnsi="Arial"/>
                <w:b w:val="0"/>
                <w:color w:val="375623"/>
                <w:sz w:val="15"/>
              </w:rPr>
              <w:t>+2.00</w:t>
            </w:r>
          </w:p>
        </w:tc>
        <w:tc>
          <w:tcPr>
            <w:tcW w:type="dxa" w:w="1080"/>
            <w:shd w:fill="F7F9FC"/>
            <w:vAlign w:val="top"/>
          </w:tcPr>
          <w:p>
            <w:pPr>
              <w:spacing w:after="20" w:line="240" w:lineRule="auto"/>
            </w:pPr>
            <w:r>
              <w:rPr>
                <w:rFonts w:ascii="Arial" w:hAnsi="Arial"/>
                <w:b w:val="0"/>
                <w:color w:val="375623"/>
                <w:sz w:val="15"/>
              </w:rPr>
              <w:t>+0.62</w:t>
            </w:r>
          </w:p>
        </w:tc>
        <w:tc>
          <w:tcPr>
            <w:tcW w:type="dxa" w:w="8280"/>
            <w:shd w:fill="F7F9FC"/>
            <w:vAlign w:val="top"/>
          </w:tcPr>
          <w:p>
            <w:pPr>
              <w:spacing w:after="20" w:line="240" w:lineRule="auto"/>
            </w:pPr>
            <w:r>
              <w:rPr>
                <w:rFonts w:ascii="Arial" w:hAnsi="Arial"/>
                <w:b w:val="0"/>
                <w:color w:val="595959"/>
                <w:sz w:val="15"/>
              </w:rPr>
              <w:t>Reopening / Soft Landing probability 31.1% x theme exposure +2.0.</w:t>
            </w:r>
          </w:p>
        </w:tc>
      </w:tr>
      <w:tr>
        <w:tc>
          <w:tcPr>
            <w:tcW w:type="dxa" w:w="2088"/>
            <w:vAlign w:val="top"/>
          </w:tcPr>
          <w:p>
            <w:pPr>
              <w:spacing w:after="20" w:line="240" w:lineRule="auto"/>
            </w:pPr>
            <w:r>
              <w:rPr>
                <w:rFonts w:ascii="Arial" w:hAnsi="Arial"/>
                <w:b w:val="0"/>
                <w:color w:val="595959"/>
                <w:sz w:val="15"/>
              </w:rPr>
              <w:t>Oil Inflation Tail</w:t>
            </w:r>
          </w:p>
        </w:tc>
        <w:tc>
          <w:tcPr>
            <w:tcW w:type="dxa" w:w="1080"/>
            <w:vAlign w:val="top"/>
          </w:tcPr>
          <w:p>
            <w:pPr>
              <w:spacing w:after="20" w:line="240" w:lineRule="auto"/>
            </w:pPr>
            <w:r>
              <w:rPr>
                <w:rFonts w:ascii="Arial" w:hAnsi="Arial"/>
                <w:b w:val="0"/>
                <w:color w:val="595959"/>
                <w:sz w:val="15"/>
              </w:rPr>
              <w:t>15.03%</w:t>
            </w:r>
          </w:p>
        </w:tc>
        <w:tc>
          <w:tcPr>
            <w:tcW w:type="dxa" w:w="1008"/>
            <w:vAlign w:val="top"/>
          </w:tcPr>
          <w:p>
            <w:pPr>
              <w:spacing w:after="20" w:line="240" w:lineRule="auto"/>
            </w:pPr>
            <w:r>
              <w:rPr>
                <w:rFonts w:ascii="Arial" w:hAnsi="Arial"/>
                <w:b w:val="0"/>
                <w:color w:val="375623"/>
                <w:sz w:val="15"/>
              </w:rPr>
              <w:t>+1.00</w:t>
            </w:r>
          </w:p>
        </w:tc>
        <w:tc>
          <w:tcPr>
            <w:tcW w:type="dxa" w:w="1080"/>
            <w:vAlign w:val="top"/>
          </w:tcPr>
          <w:p>
            <w:pPr>
              <w:spacing w:after="20" w:line="240" w:lineRule="auto"/>
            </w:pPr>
            <w:r>
              <w:rPr>
                <w:rFonts w:ascii="Arial" w:hAnsi="Arial"/>
                <w:b w:val="0"/>
                <w:color w:val="375623"/>
                <w:sz w:val="15"/>
              </w:rPr>
              <w:t>+0.15</w:t>
            </w:r>
          </w:p>
        </w:tc>
        <w:tc>
          <w:tcPr>
            <w:tcW w:type="dxa" w:w="8280"/>
            <w:vAlign w:val="top"/>
          </w:tcPr>
          <w:p>
            <w:pPr>
              <w:spacing w:after="20" w:line="240" w:lineRule="auto"/>
            </w:pPr>
            <w:r>
              <w:rPr>
                <w:rFonts w:ascii="Arial" w:hAnsi="Arial"/>
                <w:b w:val="0"/>
                <w:color w:val="595959"/>
                <w:sz w:val="15"/>
              </w:rPr>
              <w:t>Oil Inflation Tail probability 15.0% x theme exposure +1.0.</w:t>
            </w:r>
          </w:p>
        </w:tc>
      </w:tr>
      <w:tr>
        <w:tc>
          <w:tcPr>
            <w:tcW w:type="dxa" w:w="2088"/>
            <w:shd w:fill="F7F9FC"/>
            <w:vAlign w:val="top"/>
          </w:tcPr>
          <w:p>
            <w:pPr>
              <w:spacing w:after="20" w:line="240" w:lineRule="auto"/>
            </w:pPr>
            <w:r>
              <w:rPr>
                <w:rFonts w:ascii="Arial" w:hAnsi="Arial"/>
                <w:b w:val="0"/>
                <w:color w:val="595959"/>
                <w:sz w:val="15"/>
              </w:rPr>
              <w:t>Late Cycle Risk-Off</w:t>
            </w:r>
          </w:p>
        </w:tc>
        <w:tc>
          <w:tcPr>
            <w:tcW w:type="dxa" w:w="1080"/>
            <w:shd w:fill="F7F9FC"/>
            <w:vAlign w:val="top"/>
          </w:tcPr>
          <w:p>
            <w:pPr>
              <w:spacing w:after="20" w:line="240" w:lineRule="auto"/>
            </w:pPr>
            <w:r>
              <w:rPr>
                <w:rFonts w:ascii="Arial" w:hAnsi="Arial"/>
                <w:b w:val="0"/>
                <w:color w:val="595959"/>
                <w:sz w:val="15"/>
              </w:rPr>
              <w:t>13.17%</w:t>
            </w:r>
          </w:p>
        </w:tc>
        <w:tc>
          <w:tcPr>
            <w:tcW w:type="dxa" w:w="1008"/>
            <w:shd w:fill="F7F9FC"/>
            <w:vAlign w:val="top"/>
          </w:tcPr>
          <w:p>
            <w:pPr>
              <w:spacing w:after="20" w:line="240" w:lineRule="auto"/>
            </w:pPr>
            <w:r>
              <w:rPr>
                <w:rFonts w:ascii="Arial" w:hAnsi="Arial"/>
                <w:b w:val="0"/>
                <w:color w:val="C00000"/>
                <w:sz w:val="15"/>
              </w:rPr>
              <w:t>-1.00</w:t>
            </w:r>
          </w:p>
        </w:tc>
        <w:tc>
          <w:tcPr>
            <w:tcW w:type="dxa" w:w="1080"/>
            <w:shd w:fill="F7F9FC"/>
            <w:vAlign w:val="top"/>
          </w:tcPr>
          <w:p>
            <w:pPr>
              <w:spacing w:after="20" w:line="240" w:lineRule="auto"/>
            </w:pPr>
            <w:r>
              <w:rPr>
                <w:rFonts w:ascii="Arial" w:hAnsi="Arial"/>
                <w:b w:val="0"/>
                <w:color w:val="C00000"/>
                <w:sz w:val="15"/>
              </w:rPr>
              <w:t>-0.13</w:t>
            </w:r>
          </w:p>
        </w:tc>
        <w:tc>
          <w:tcPr>
            <w:tcW w:type="dxa" w:w="8280"/>
            <w:shd w:fill="F7F9FC"/>
            <w:vAlign w:val="top"/>
          </w:tcPr>
          <w:p>
            <w:pPr>
              <w:spacing w:after="20" w:line="240" w:lineRule="auto"/>
            </w:pPr>
            <w:r>
              <w:rPr>
                <w:rFonts w:ascii="Arial" w:hAnsi="Arial"/>
                <w:b w:val="0"/>
                <w:color w:val="595959"/>
                <w:sz w:val="15"/>
              </w:rPr>
              <w:t>Late Cycle Risk-Off probability 13.2% x theme exposure -1.0.</w:t>
            </w:r>
          </w:p>
        </w:tc>
      </w:tr>
      <w:tr>
        <w:tc>
          <w:tcPr>
            <w:tcW w:type="dxa" w:w="2088"/>
            <w:vAlign w:val="top"/>
          </w:tcPr>
          <w:p>
            <w:pPr>
              <w:spacing w:after="20" w:line="240" w:lineRule="auto"/>
            </w:pPr>
            <w:r>
              <w:rPr>
                <w:rFonts w:ascii="Arial" w:hAnsi="Arial"/>
                <w:b w:val="0"/>
                <w:color w:val="595959"/>
                <w:sz w:val="15"/>
              </w:rPr>
              <w:t>AI Capex Rollover</w:t>
            </w:r>
          </w:p>
        </w:tc>
        <w:tc>
          <w:tcPr>
            <w:tcW w:type="dxa" w:w="1080"/>
            <w:vAlign w:val="top"/>
          </w:tcPr>
          <w:p>
            <w:pPr>
              <w:spacing w:after="20" w:line="240" w:lineRule="auto"/>
            </w:pPr>
            <w:r>
              <w:rPr>
                <w:rFonts w:ascii="Arial" w:hAnsi="Arial"/>
                <w:b w:val="0"/>
                <w:color w:val="595959"/>
                <w:sz w:val="15"/>
              </w:rPr>
              <w:t>4.49%</w:t>
            </w:r>
          </w:p>
        </w:tc>
        <w:tc>
          <w:tcPr>
            <w:tcW w:type="dxa" w:w="1008"/>
            <w:vAlign w:val="top"/>
          </w:tcPr>
          <w:p>
            <w:pPr>
              <w:spacing w:after="20" w:line="240" w:lineRule="auto"/>
            </w:pPr>
            <w:r>
              <w:rPr>
                <w:rFonts w:ascii="Arial" w:hAnsi="Arial"/>
                <w:b w:val="0"/>
                <w:color w:val="C00000"/>
                <w:sz w:val="15"/>
              </w:rPr>
              <w:t>-2.00</w:t>
            </w:r>
          </w:p>
        </w:tc>
        <w:tc>
          <w:tcPr>
            <w:tcW w:type="dxa" w:w="1080"/>
            <w:vAlign w:val="top"/>
          </w:tcPr>
          <w:p>
            <w:pPr>
              <w:spacing w:after="20" w:line="240" w:lineRule="auto"/>
            </w:pPr>
            <w:r>
              <w:rPr>
                <w:rFonts w:ascii="Arial" w:hAnsi="Arial"/>
                <w:b w:val="0"/>
                <w:color w:val="C00000"/>
                <w:sz w:val="15"/>
              </w:rPr>
              <w:t>-0.09</w:t>
            </w:r>
          </w:p>
        </w:tc>
        <w:tc>
          <w:tcPr>
            <w:tcW w:type="dxa" w:w="8280"/>
            <w:vAlign w:val="top"/>
          </w:tcPr>
          <w:p>
            <w:pPr>
              <w:spacing w:after="20" w:line="240" w:lineRule="auto"/>
            </w:pPr>
            <w:r>
              <w:rPr>
                <w:rFonts w:ascii="Arial" w:hAnsi="Arial"/>
                <w:b w:val="0"/>
                <w:color w:val="595959"/>
                <w:sz w:val="15"/>
              </w:rPr>
              <w:t>AI Capex Rollover probability 4.5% x theme exposure -2.0.</w:t>
            </w:r>
          </w:p>
        </w:tc>
      </w:tr>
      <w:tr>
        <w:tc>
          <w:tcPr>
            <w:tcW w:type="dxa" w:w="2088"/>
            <w:shd w:fill="F7F9FC"/>
            <w:vAlign w:val="top"/>
          </w:tcPr>
          <w:p>
            <w:pPr>
              <w:spacing w:after="20" w:line="240" w:lineRule="auto"/>
            </w:pPr>
            <w:r>
              <w:rPr>
                <w:rFonts w:ascii="Arial" w:hAnsi="Arial"/>
                <w:b w:val="0"/>
                <w:color w:val="595959"/>
                <w:sz w:val="15"/>
              </w:rPr>
              <w:t>Net</w:t>
            </w:r>
          </w:p>
        </w:tc>
        <w:tc>
          <w:tcPr>
            <w:tcW w:type="dxa" w:w="1080"/>
            <w:shd w:fill="F7F9FC"/>
            <w:vAlign w:val="top"/>
          </w:tcPr>
          <w:p>
            <w:pPr>
              <w:spacing w:after="20" w:line="240" w:lineRule="auto"/>
            </w:pPr>
            <w:r>
              <w:rPr>
                <w:rFonts w:ascii="Arial" w:hAnsi="Arial"/>
                <w:b w:val="0"/>
                <w:color w:val="595959"/>
                <w:sz w:val="15"/>
              </w:rPr>
              <w:t>-</w:t>
            </w:r>
          </w:p>
        </w:tc>
        <w:tc>
          <w:tcPr>
            <w:tcW w:type="dxa" w:w="100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375623"/>
                <w:sz w:val="15"/>
              </w:rPr>
              <w:t>+1.64</w:t>
            </w:r>
          </w:p>
        </w:tc>
        <w:tc>
          <w:tcPr>
            <w:tcW w:type="dxa" w:w="8280"/>
            <w:shd w:fill="F7F9FC"/>
            <w:vAlign w:val="top"/>
          </w:tcPr>
          <w:p>
            <w:pPr>
              <w:spacing w:after="20" w:line="240" w:lineRule="auto"/>
            </w:pPr>
            <w:r>
              <w:rPr>
                <w:rFonts w:ascii="Arial" w:hAnsi="Arial"/>
                <w:b w:val="0"/>
                <w:color w:val="595959"/>
                <w:sz w:val="15"/>
              </w:rPr>
              <w:t>Positive total +1.86; negative total -0.22.</w:t>
            </w:r>
          </w:p>
        </w:tc>
      </w:tr>
    </w:tbl>
    <w:p>
      <w:pPr>
        <w:spacing w:after="120"/>
      </w:pPr>
    </w:p>
    <w:p>
      <w:pPr>
        <w:spacing w:after="40"/>
      </w:pPr>
      <w:r>
        <w:rPr>
          <w:rFonts w:ascii="Arial" w:hAnsi="Arial"/>
          <w:b/>
          <w:color w:val="1F4E79"/>
          <w:sz w:val="17"/>
        </w:rPr>
        <w:t>Quality ex-AI cash flow: +1.54</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Probability</w:t>
            </w:r>
          </w:p>
        </w:tc>
        <w:tc>
          <w:tcPr>
            <w:tcW w:type="dxa" w:w="1008"/>
            <w:shd w:fill="1F4E79"/>
            <w:vAlign w:val="top"/>
          </w:tcPr>
          <w:p>
            <w:pPr>
              <w:spacing w:after="20" w:line="240" w:lineRule="auto"/>
            </w:pPr>
            <w:r>
              <w:rPr>
                <w:rFonts w:ascii="Arial" w:hAnsi="Arial"/>
                <w:b/>
                <w:color w:val="FFFFFF"/>
                <w:sz w:val="15"/>
              </w:rPr>
              <w:t>Exposure</w:t>
            </w:r>
          </w:p>
        </w:tc>
        <w:tc>
          <w:tcPr>
            <w:tcW w:type="dxa" w:w="1080"/>
            <w:shd w:fill="1F4E79"/>
            <w:vAlign w:val="top"/>
          </w:tcPr>
          <w:p>
            <w:pPr>
              <w:spacing w:after="20" w:line="240" w:lineRule="auto"/>
            </w:pPr>
            <w:r>
              <w:rPr>
                <w:rFonts w:ascii="Arial" w:hAnsi="Arial"/>
                <w:b/>
                <w:color w:val="FFFFFF"/>
                <w:sz w:val="15"/>
              </w:rPr>
              <w:t>Contribution</w:t>
            </w:r>
          </w:p>
        </w:tc>
        <w:tc>
          <w:tcPr>
            <w:tcW w:type="dxa" w:w="8280"/>
            <w:shd w:fill="1F4E79"/>
            <w:vAlign w:val="top"/>
          </w:tcPr>
          <w:p>
            <w:pPr>
              <w:spacing w:after="20" w:line="240" w:lineRule="auto"/>
            </w:pPr>
            <w:r>
              <w:rPr>
                <w:rFonts w:ascii="Arial" w:hAnsi="Arial"/>
                <w:b/>
                <w:color w:val="FFFFFF"/>
                <w:sz w:val="15"/>
              </w:rPr>
              <w:t>Rationale</w:t>
            </w:r>
          </w:p>
        </w:tc>
      </w:tr>
      <w:tr>
        <w:tc>
          <w:tcPr>
            <w:tcW w:type="dxa" w:w="2088"/>
            <w:vAlign w:val="top"/>
          </w:tcPr>
          <w:p>
            <w:pPr>
              <w:spacing w:after="20" w:line="240" w:lineRule="auto"/>
            </w:pPr>
            <w:r>
              <w:rPr>
                <w:rFonts w:ascii="Arial" w:hAnsi="Arial"/>
                <w:b w:val="0"/>
                <w:color w:val="595959"/>
                <w:sz w:val="15"/>
              </w:rPr>
              <w:t>Sticky Late Cycle AI</w:t>
            </w:r>
          </w:p>
        </w:tc>
        <w:tc>
          <w:tcPr>
            <w:tcW w:type="dxa" w:w="1080"/>
            <w:vAlign w:val="top"/>
          </w:tcPr>
          <w:p>
            <w:pPr>
              <w:spacing w:after="20" w:line="240" w:lineRule="auto"/>
            </w:pPr>
            <w:r>
              <w:rPr>
                <w:rFonts w:ascii="Arial" w:hAnsi="Arial"/>
                <w:b w:val="0"/>
                <w:color w:val="595959"/>
                <w:sz w:val="15"/>
              </w:rPr>
              <w:t>36.24%</w:t>
            </w:r>
          </w:p>
        </w:tc>
        <w:tc>
          <w:tcPr>
            <w:tcW w:type="dxa" w:w="1008"/>
            <w:vAlign w:val="top"/>
          </w:tcPr>
          <w:p>
            <w:pPr>
              <w:spacing w:after="20" w:line="240" w:lineRule="auto"/>
            </w:pPr>
            <w:r>
              <w:rPr>
                <w:rFonts w:ascii="Arial" w:hAnsi="Arial"/>
                <w:b w:val="0"/>
                <w:color w:val="375623"/>
                <w:sz w:val="15"/>
              </w:rPr>
              <w:t>+2.00</w:t>
            </w:r>
          </w:p>
        </w:tc>
        <w:tc>
          <w:tcPr>
            <w:tcW w:type="dxa" w:w="1080"/>
            <w:vAlign w:val="top"/>
          </w:tcPr>
          <w:p>
            <w:pPr>
              <w:spacing w:after="20" w:line="240" w:lineRule="auto"/>
            </w:pPr>
            <w:r>
              <w:rPr>
                <w:rFonts w:ascii="Arial" w:hAnsi="Arial"/>
                <w:b w:val="0"/>
                <w:color w:val="375623"/>
                <w:sz w:val="15"/>
              </w:rPr>
              <w:t>+0.72</w:t>
            </w:r>
          </w:p>
        </w:tc>
        <w:tc>
          <w:tcPr>
            <w:tcW w:type="dxa" w:w="8280"/>
            <w:vAlign w:val="top"/>
          </w:tcPr>
          <w:p>
            <w:pPr>
              <w:spacing w:after="20" w:line="240" w:lineRule="auto"/>
            </w:pPr>
            <w:r>
              <w:rPr>
                <w:rFonts w:ascii="Arial" w:hAnsi="Arial"/>
                <w:b w:val="0"/>
                <w:color w:val="595959"/>
                <w:sz w:val="15"/>
              </w:rPr>
              <w:t>Sticky Late Cycle AI probability 36.2% x theme exposure +2.0.</w:t>
            </w:r>
          </w:p>
        </w:tc>
      </w:tr>
      <w:tr>
        <w:tc>
          <w:tcPr>
            <w:tcW w:type="dxa" w:w="2088"/>
            <w:shd w:fill="F7F9FC"/>
            <w:vAlign w:val="top"/>
          </w:tcPr>
          <w:p>
            <w:pPr>
              <w:spacing w:after="20" w:line="240" w:lineRule="auto"/>
            </w:pPr>
            <w:r>
              <w:rPr>
                <w:rFonts w:ascii="Arial" w:hAnsi="Arial"/>
                <w:b w:val="0"/>
                <w:color w:val="595959"/>
                <w:sz w:val="15"/>
              </w:rPr>
              <w:t>Reopening / Soft Landing</w:t>
            </w:r>
          </w:p>
        </w:tc>
        <w:tc>
          <w:tcPr>
            <w:tcW w:type="dxa" w:w="1080"/>
            <w:shd w:fill="F7F9FC"/>
            <w:vAlign w:val="top"/>
          </w:tcPr>
          <w:p>
            <w:pPr>
              <w:spacing w:after="20" w:line="240" w:lineRule="auto"/>
            </w:pPr>
            <w:r>
              <w:rPr>
                <w:rFonts w:ascii="Arial" w:hAnsi="Arial"/>
                <w:b w:val="0"/>
                <w:color w:val="595959"/>
                <w:sz w:val="15"/>
              </w:rPr>
              <w:t>31.07%</w:t>
            </w:r>
          </w:p>
        </w:tc>
        <w:tc>
          <w:tcPr>
            <w:tcW w:type="dxa" w:w="1008"/>
            <w:shd w:fill="F7F9FC"/>
            <w:vAlign w:val="top"/>
          </w:tcPr>
          <w:p>
            <w:pPr>
              <w:spacing w:after="20" w:line="240" w:lineRule="auto"/>
            </w:pPr>
            <w:r>
              <w:rPr>
                <w:rFonts w:ascii="Arial" w:hAnsi="Arial"/>
                <w:b w:val="0"/>
                <w:color w:val="375623"/>
                <w:sz w:val="15"/>
              </w:rPr>
              <w:t>+1.00</w:t>
            </w:r>
          </w:p>
        </w:tc>
        <w:tc>
          <w:tcPr>
            <w:tcW w:type="dxa" w:w="1080"/>
            <w:shd w:fill="F7F9FC"/>
            <w:vAlign w:val="top"/>
          </w:tcPr>
          <w:p>
            <w:pPr>
              <w:spacing w:after="20" w:line="240" w:lineRule="auto"/>
            </w:pPr>
            <w:r>
              <w:rPr>
                <w:rFonts w:ascii="Arial" w:hAnsi="Arial"/>
                <w:b w:val="0"/>
                <w:color w:val="375623"/>
                <w:sz w:val="15"/>
              </w:rPr>
              <w:t>+0.31</w:t>
            </w:r>
          </w:p>
        </w:tc>
        <w:tc>
          <w:tcPr>
            <w:tcW w:type="dxa" w:w="8280"/>
            <w:shd w:fill="F7F9FC"/>
            <w:vAlign w:val="top"/>
          </w:tcPr>
          <w:p>
            <w:pPr>
              <w:spacing w:after="20" w:line="240" w:lineRule="auto"/>
            </w:pPr>
            <w:r>
              <w:rPr>
                <w:rFonts w:ascii="Arial" w:hAnsi="Arial"/>
                <w:b w:val="0"/>
                <w:color w:val="595959"/>
                <w:sz w:val="15"/>
              </w:rPr>
              <w:t>Reopening / Soft Landing probability 31.1% x theme exposure +1.0.</w:t>
            </w:r>
          </w:p>
        </w:tc>
      </w:tr>
      <w:tr>
        <w:tc>
          <w:tcPr>
            <w:tcW w:type="dxa" w:w="2088"/>
            <w:vAlign w:val="top"/>
          </w:tcPr>
          <w:p>
            <w:pPr>
              <w:spacing w:after="20" w:line="240" w:lineRule="auto"/>
            </w:pPr>
            <w:r>
              <w:rPr>
                <w:rFonts w:ascii="Arial" w:hAnsi="Arial"/>
                <w:b w:val="0"/>
                <w:color w:val="595959"/>
                <w:sz w:val="15"/>
              </w:rPr>
              <w:t>Late Cycle Risk-Off</w:t>
            </w:r>
          </w:p>
        </w:tc>
        <w:tc>
          <w:tcPr>
            <w:tcW w:type="dxa" w:w="1080"/>
            <w:vAlign w:val="top"/>
          </w:tcPr>
          <w:p>
            <w:pPr>
              <w:spacing w:after="20" w:line="240" w:lineRule="auto"/>
            </w:pPr>
            <w:r>
              <w:rPr>
                <w:rFonts w:ascii="Arial" w:hAnsi="Arial"/>
                <w:b w:val="0"/>
                <w:color w:val="595959"/>
                <w:sz w:val="15"/>
              </w:rPr>
              <w:t>13.17%</w:t>
            </w:r>
          </w:p>
        </w:tc>
        <w:tc>
          <w:tcPr>
            <w:tcW w:type="dxa" w:w="1008"/>
            <w:vAlign w:val="top"/>
          </w:tcPr>
          <w:p>
            <w:pPr>
              <w:spacing w:after="20" w:line="240" w:lineRule="auto"/>
            </w:pPr>
            <w:r>
              <w:rPr>
                <w:rFonts w:ascii="Arial" w:hAnsi="Arial"/>
                <w:b w:val="0"/>
                <w:color w:val="375623"/>
                <w:sz w:val="15"/>
              </w:rPr>
              <w:t>+2.00</w:t>
            </w:r>
          </w:p>
        </w:tc>
        <w:tc>
          <w:tcPr>
            <w:tcW w:type="dxa" w:w="1080"/>
            <w:vAlign w:val="top"/>
          </w:tcPr>
          <w:p>
            <w:pPr>
              <w:spacing w:after="20" w:line="240" w:lineRule="auto"/>
            </w:pPr>
            <w:r>
              <w:rPr>
                <w:rFonts w:ascii="Arial" w:hAnsi="Arial"/>
                <w:b w:val="0"/>
                <w:color w:val="375623"/>
                <w:sz w:val="15"/>
              </w:rPr>
              <w:t>+0.26</w:t>
            </w:r>
          </w:p>
        </w:tc>
        <w:tc>
          <w:tcPr>
            <w:tcW w:type="dxa" w:w="8280"/>
            <w:vAlign w:val="top"/>
          </w:tcPr>
          <w:p>
            <w:pPr>
              <w:spacing w:after="20" w:line="240" w:lineRule="auto"/>
            </w:pPr>
            <w:r>
              <w:rPr>
                <w:rFonts w:ascii="Arial" w:hAnsi="Arial"/>
                <w:b w:val="0"/>
                <w:color w:val="595959"/>
                <w:sz w:val="15"/>
              </w:rPr>
              <w:t>Late Cycle Risk-Off probability 13.2% x theme exposure +2.0.</w:t>
            </w:r>
          </w:p>
        </w:tc>
      </w:tr>
      <w:tr>
        <w:tc>
          <w:tcPr>
            <w:tcW w:type="dxa" w:w="2088"/>
            <w:shd w:fill="F7F9FC"/>
            <w:vAlign w:val="top"/>
          </w:tcPr>
          <w:p>
            <w:pPr>
              <w:spacing w:after="20" w:line="240" w:lineRule="auto"/>
            </w:pPr>
            <w:r>
              <w:rPr>
                <w:rFonts w:ascii="Arial" w:hAnsi="Arial"/>
                <w:b w:val="0"/>
                <w:color w:val="595959"/>
                <w:sz w:val="15"/>
              </w:rPr>
              <w:t>Oil Inflation Tail</w:t>
            </w:r>
          </w:p>
        </w:tc>
        <w:tc>
          <w:tcPr>
            <w:tcW w:type="dxa" w:w="1080"/>
            <w:shd w:fill="F7F9FC"/>
            <w:vAlign w:val="top"/>
          </w:tcPr>
          <w:p>
            <w:pPr>
              <w:spacing w:after="20" w:line="240" w:lineRule="auto"/>
            </w:pPr>
            <w:r>
              <w:rPr>
                <w:rFonts w:ascii="Arial" w:hAnsi="Arial"/>
                <w:b w:val="0"/>
                <w:color w:val="595959"/>
                <w:sz w:val="15"/>
              </w:rPr>
              <w:t>15.03%</w:t>
            </w:r>
          </w:p>
        </w:tc>
        <w:tc>
          <w:tcPr>
            <w:tcW w:type="dxa" w:w="1008"/>
            <w:shd w:fill="F7F9FC"/>
            <w:vAlign w:val="top"/>
          </w:tcPr>
          <w:p>
            <w:pPr>
              <w:spacing w:after="20" w:line="240" w:lineRule="auto"/>
            </w:pPr>
            <w:r>
              <w:rPr>
                <w:rFonts w:ascii="Arial" w:hAnsi="Arial"/>
                <w:b w:val="0"/>
                <w:color w:val="375623"/>
                <w:sz w:val="15"/>
              </w:rPr>
              <w:t>+1.00</w:t>
            </w:r>
          </w:p>
        </w:tc>
        <w:tc>
          <w:tcPr>
            <w:tcW w:type="dxa" w:w="1080"/>
            <w:shd w:fill="F7F9FC"/>
            <w:vAlign w:val="top"/>
          </w:tcPr>
          <w:p>
            <w:pPr>
              <w:spacing w:after="20" w:line="240" w:lineRule="auto"/>
            </w:pPr>
            <w:r>
              <w:rPr>
                <w:rFonts w:ascii="Arial" w:hAnsi="Arial"/>
                <w:b w:val="0"/>
                <w:color w:val="375623"/>
                <w:sz w:val="15"/>
              </w:rPr>
              <w:t>+0.15</w:t>
            </w:r>
          </w:p>
        </w:tc>
        <w:tc>
          <w:tcPr>
            <w:tcW w:type="dxa" w:w="8280"/>
            <w:shd w:fill="F7F9FC"/>
            <w:vAlign w:val="top"/>
          </w:tcPr>
          <w:p>
            <w:pPr>
              <w:spacing w:after="20" w:line="240" w:lineRule="auto"/>
            </w:pPr>
            <w:r>
              <w:rPr>
                <w:rFonts w:ascii="Arial" w:hAnsi="Arial"/>
                <w:b w:val="0"/>
                <w:color w:val="595959"/>
                <w:sz w:val="15"/>
              </w:rPr>
              <w:t>Oil Inflation Tail probability 15.0% x theme exposure +1.0.</w:t>
            </w:r>
          </w:p>
        </w:tc>
      </w:tr>
      <w:tr>
        <w:tc>
          <w:tcPr>
            <w:tcW w:type="dxa" w:w="2088"/>
            <w:vAlign w:val="top"/>
          </w:tcPr>
          <w:p>
            <w:pPr>
              <w:spacing w:after="20" w:line="240" w:lineRule="auto"/>
            </w:pPr>
            <w:r>
              <w:rPr>
                <w:rFonts w:ascii="Arial" w:hAnsi="Arial"/>
                <w:b w:val="0"/>
                <w:color w:val="595959"/>
                <w:sz w:val="15"/>
              </w:rPr>
              <w:t>AI Capex Rollover</w:t>
            </w:r>
          </w:p>
        </w:tc>
        <w:tc>
          <w:tcPr>
            <w:tcW w:type="dxa" w:w="1080"/>
            <w:vAlign w:val="top"/>
          </w:tcPr>
          <w:p>
            <w:pPr>
              <w:spacing w:after="20" w:line="240" w:lineRule="auto"/>
            </w:pPr>
            <w:r>
              <w:rPr>
                <w:rFonts w:ascii="Arial" w:hAnsi="Arial"/>
                <w:b w:val="0"/>
                <w:color w:val="595959"/>
                <w:sz w:val="15"/>
              </w:rPr>
              <w:t>4.49%</w:t>
            </w:r>
          </w:p>
        </w:tc>
        <w:tc>
          <w:tcPr>
            <w:tcW w:type="dxa" w:w="1008"/>
            <w:vAlign w:val="top"/>
          </w:tcPr>
          <w:p>
            <w:pPr>
              <w:spacing w:after="20" w:line="240" w:lineRule="auto"/>
            </w:pPr>
            <w:r>
              <w:rPr>
                <w:rFonts w:ascii="Arial" w:hAnsi="Arial"/>
                <w:b w:val="0"/>
                <w:color w:val="375623"/>
                <w:sz w:val="15"/>
              </w:rPr>
              <w:t>+2.00</w:t>
            </w:r>
          </w:p>
        </w:tc>
        <w:tc>
          <w:tcPr>
            <w:tcW w:type="dxa" w:w="1080"/>
            <w:vAlign w:val="top"/>
          </w:tcPr>
          <w:p>
            <w:pPr>
              <w:spacing w:after="20" w:line="240" w:lineRule="auto"/>
            </w:pPr>
            <w:r>
              <w:rPr>
                <w:rFonts w:ascii="Arial" w:hAnsi="Arial"/>
                <w:b w:val="0"/>
                <w:color w:val="375623"/>
                <w:sz w:val="15"/>
              </w:rPr>
              <w:t>+0.09</w:t>
            </w:r>
          </w:p>
        </w:tc>
        <w:tc>
          <w:tcPr>
            <w:tcW w:type="dxa" w:w="8280"/>
            <w:vAlign w:val="top"/>
          </w:tcPr>
          <w:p>
            <w:pPr>
              <w:spacing w:after="20" w:line="240" w:lineRule="auto"/>
            </w:pPr>
            <w:r>
              <w:rPr>
                <w:rFonts w:ascii="Arial" w:hAnsi="Arial"/>
                <w:b w:val="0"/>
                <w:color w:val="595959"/>
                <w:sz w:val="15"/>
              </w:rPr>
              <w:t>AI Capex Rollover probability 4.5% x theme exposure +2.0.</w:t>
            </w:r>
          </w:p>
        </w:tc>
      </w:tr>
      <w:tr>
        <w:tc>
          <w:tcPr>
            <w:tcW w:type="dxa" w:w="2088"/>
            <w:shd w:fill="F7F9FC"/>
            <w:vAlign w:val="top"/>
          </w:tcPr>
          <w:p>
            <w:pPr>
              <w:spacing w:after="20" w:line="240" w:lineRule="auto"/>
            </w:pPr>
            <w:r>
              <w:rPr>
                <w:rFonts w:ascii="Arial" w:hAnsi="Arial"/>
                <w:b w:val="0"/>
                <w:color w:val="595959"/>
                <w:sz w:val="15"/>
              </w:rPr>
              <w:t>Net</w:t>
            </w:r>
          </w:p>
        </w:tc>
        <w:tc>
          <w:tcPr>
            <w:tcW w:type="dxa" w:w="1080"/>
            <w:shd w:fill="F7F9FC"/>
            <w:vAlign w:val="top"/>
          </w:tcPr>
          <w:p>
            <w:pPr>
              <w:spacing w:after="20" w:line="240" w:lineRule="auto"/>
            </w:pPr>
            <w:r>
              <w:rPr>
                <w:rFonts w:ascii="Arial" w:hAnsi="Arial"/>
                <w:b w:val="0"/>
                <w:color w:val="595959"/>
                <w:sz w:val="15"/>
              </w:rPr>
              <w:t>-</w:t>
            </w:r>
          </w:p>
        </w:tc>
        <w:tc>
          <w:tcPr>
            <w:tcW w:type="dxa" w:w="100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375623"/>
                <w:sz w:val="15"/>
              </w:rPr>
              <w:t>+1.54</w:t>
            </w:r>
          </w:p>
        </w:tc>
        <w:tc>
          <w:tcPr>
            <w:tcW w:type="dxa" w:w="8280"/>
            <w:shd w:fill="F7F9FC"/>
            <w:vAlign w:val="top"/>
          </w:tcPr>
          <w:p>
            <w:pPr>
              <w:spacing w:after="20" w:line="240" w:lineRule="auto"/>
            </w:pPr>
            <w:r>
              <w:rPr>
                <w:rFonts w:ascii="Arial" w:hAnsi="Arial"/>
                <w:b w:val="0"/>
                <w:color w:val="595959"/>
                <w:sz w:val="15"/>
              </w:rPr>
              <w:t>Positive total +1.54; negative total +0.00.</w:t>
            </w:r>
          </w:p>
        </w:tc>
      </w:tr>
    </w:tbl>
    <w:p>
      <w:pPr>
        <w:spacing w:after="120"/>
      </w:pPr>
    </w:p>
    <w:p>
      <w:pPr>
        <w:spacing w:after="40"/>
      </w:pPr>
      <w:r>
        <w:rPr>
          <w:rFonts w:ascii="Arial" w:hAnsi="Arial"/>
          <w:b/>
          <w:color w:val="1F4E79"/>
          <w:sz w:val="17"/>
        </w:rPr>
        <w:t>Cash and short duration: +1.15</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Probability</w:t>
            </w:r>
          </w:p>
        </w:tc>
        <w:tc>
          <w:tcPr>
            <w:tcW w:type="dxa" w:w="1008"/>
            <w:shd w:fill="1F4E79"/>
            <w:vAlign w:val="top"/>
          </w:tcPr>
          <w:p>
            <w:pPr>
              <w:spacing w:after="20" w:line="240" w:lineRule="auto"/>
            </w:pPr>
            <w:r>
              <w:rPr>
                <w:rFonts w:ascii="Arial" w:hAnsi="Arial"/>
                <w:b/>
                <w:color w:val="FFFFFF"/>
                <w:sz w:val="15"/>
              </w:rPr>
              <w:t>Exposure</w:t>
            </w:r>
          </w:p>
        </w:tc>
        <w:tc>
          <w:tcPr>
            <w:tcW w:type="dxa" w:w="1080"/>
            <w:shd w:fill="1F4E79"/>
            <w:vAlign w:val="top"/>
          </w:tcPr>
          <w:p>
            <w:pPr>
              <w:spacing w:after="20" w:line="240" w:lineRule="auto"/>
            </w:pPr>
            <w:r>
              <w:rPr>
                <w:rFonts w:ascii="Arial" w:hAnsi="Arial"/>
                <w:b/>
                <w:color w:val="FFFFFF"/>
                <w:sz w:val="15"/>
              </w:rPr>
              <w:t>Contribution</w:t>
            </w:r>
          </w:p>
        </w:tc>
        <w:tc>
          <w:tcPr>
            <w:tcW w:type="dxa" w:w="8280"/>
            <w:shd w:fill="1F4E79"/>
            <w:vAlign w:val="top"/>
          </w:tcPr>
          <w:p>
            <w:pPr>
              <w:spacing w:after="20" w:line="240" w:lineRule="auto"/>
            </w:pPr>
            <w:r>
              <w:rPr>
                <w:rFonts w:ascii="Arial" w:hAnsi="Arial"/>
                <w:b/>
                <w:color w:val="FFFFFF"/>
                <w:sz w:val="15"/>
              </w:rPr>
              <w:t>Rationale</w:t>
            </w:r>
          </w:p>
        </w:tc>
      </w:tr>
      <w:tr>
        <w:tc>
          <w:tcPr>
            <w:tcW w:type="dxa" w:w="2088"/>
            <w:vAlign w:val="top"/>
          </w:tcPr>
          <w:p>
            <w:pPr>
              <w:spacing w:after="20" w:line="240" w:lineRule="auto"/>
            </w:pPr>
            <w:r>
              <w:rPr>
                <w:rFonts w:ascii="Arial" w:hAnsi="Arial"/>
                <w:b w:val="0"/>
                <w:color w:val="595959"/>
                <w:sz w:val="15"/>
              </w:rPr>
              <w:t>Sticky Late Cycle AI</w:t>
            </w:r>
          </w:p>
        </w:tc>
        <w:tc>
          <w:tcPr>
            <w:tcW w:type="dxa" w:w="1080"/>
            <w:vAlign w:val="top"/>
          </w:tcPr>
          <w:p>
            <w:pPr>
              <w:spacing w:after="20" w:line="240" w:lineRule="auto"/>
            </w:pPr>
            <w:r>
              <w:rPr>
                <w:rFonts w:ascii="Arial" w:hAnsi="Arial"/>
                <w:b w:val="0"/>
                <w:color w:val="595959"/>
                <w:sz w:val="15"/>
              </w:rPr>
              <w:t>36.24%</w:t>
            </w:r>
          </w:p>
        </w:tc>
        <w:tc>
          <w:tcPr>
            <w:tcW w:type="dxa" w:w="1008"/>
            <w:vAlign w:val="top"/>
          </w:tcPr>
          <w:p>
            <w:pPr>
              <w:spacing w:after="20" w:line="240" w:lineRule="auto"/>
            </w:pPr>
            <w:r>
              <w:rPr>
                <w:rFonts w:ascii="Arial" w:hAnsi="Arial"/>
                <w:b w:val="0"/>
                <w:color w:val="375623"/>
                <w:sz w:val="15"/>
              </w:rPr>
              <w:t>+2.00</w:t>
            </w:r>
          </w:p>
        </w:tc>
        <w:tc>
          <w:tcPr>
            <w:tcW w:type="dxa" w:w="1080"/>
            <w:vAlign w:val="top"/>
          </w:tcPr>
          <w:p>
            <w:pPr>
              <w:spacing w:after="20" w:line="240" w:lineRule="auto"/>
            </w:pPr>
            <w:r>
              <w:rPr>
                <w:rFonts w:ascii="Arial" w:hAnsi="Arial"/>
                <w:b w:val="0"/>
                <w:color w:val="375623"/>
                <w:sz w:val="15"/>
              </w:rPr>
              <w:t>+0.72</w:t>
            </w:r>
          </w:p>
        </w:tc>
        <w:tc>
          <w:tcPr>
            <w:tcW w:type="dxa" w:w="8280"/>
            <w:vAlign w:val="top"/>
          </w:tcPr>
          <w:p>
            <w:pPr>
              <w:spacing w:after="20" w:line="240" w:lineRule="auto"/>
            </w:pPr>
            <w:r>
              <w:rPr>
                <w:rFonts w:ascii="Arial" w:hAnsi="Arial"/>
                <w:b w:val="0"/>
                <w:color w:val="595959"/>
                <w:sz w:val="15"/>
              </w:rPr>
              <w:t>Sticky Late Cycle AI probability 36.2% x theme exposure +2.0.</w:t>
            </w:r>
          </w:p>
        </w:tc>
      </w:tr>
      <w:tr>
        <w:tc>
          <w:tcPr>
            <w:tcW w:type="dxa" w:w="2088"/>
            <w:shd w:fill="F7F9FC"/>
            <w:vAlign w:val="top"/>
          </w:tcPr>
          <w:p>
            <w:pPr>
              <w:spacing w:after="20" w:line="240" w:lineRule="auto"/>
            </w:pPr>
            <w:r>
              <w:rPr>
                <w:rFonts w:ascii="Arial" w:hAnsi="Arial"/>
                <w:b w:val="0"/>
                <w:color w:val="595959"/>
                <w:sz w:val="15"/>
              </w:rPr>
              <w:t>Late Cycle Risk-Off</w:t>
            </w:r>
          </w:p>
        </w:tc>
        <w:tc>
          <w:tcPr>
            <w:tcW w:type="dxa" w:w="1080"/>
            <w:shd w:fill="F7F9FC"/>
            <w:vAlign w:val="top"/>
          </w:tcPr>
          <w:p>
            <w:pPr>
              <w:spacing w:after="20" w:line="240" w:lineRule="auto"/>
            </w:pPr>
            <w:r>
              <w:rPr>
                <w:rFonts w:ascii="Arial" w:hAnsi="Arial"/>
                <w:b w:val="0"/>
                <w:color w:val="595959"/>
                <w:sz w:val="15"/>
              </w:rPr>
              <w:t>13.17%</w:t>
            </w:r>
          </w:p>
        </w:tc>
        <w:tc>
          <w:tcPr>
            <w:tcW w:type="dxa" w:w="1008"/>
            <w:shd w:fill="F7F9FC"/>
            <w:vAlign w:val="top"/>
          </w:tcPr>
          <w:p>
            <w:pPr>
              <w:spacing w:after="20" w:line="240" w:lineRule="auto"/>
            </w:pPr>
            <w:r>
              <w:rPr>
                <w:rFonts w:ascii="Arial" w:hAnsi="Arial"/>
                <w:b w:val="0"/>
                <w:color w:val="375623"/>
                <w:sz w:val="15"/>
              </w:rPr>
              <w:t>+3.00</w:t>
            </w:r>
          </w:p>
        </w:tc>
        <w:tc>
          <w:tcPr>
            <w:tcW w:type="dxa" w:w="1080"/>
            <w:shd w:fill="F7F9FC"/>
            <w:vAlign w:val="top"/>
          </w:tcPr>
          <w:p>
            <w:pPr>
              <w:spacing w:after="20" w:line="240" w:lineRule="auto"/>
            </w:pPr>
            <w:r>
              <w:rPr>
                <w:rFonts w:ascii="Arial" w:hAnsi="Arial"/>
                <w:b w:val="0"/>
                <w:color w:val="375623"/>
                <w:sz w:val="15"/>
              </w:rPr>
              <w:t>+0.40</w:t>
            </w:r>
          </w:p>
        </w:tc>
        <w:tc>
          <w:tcPr>
            <w:tcW w:type="dxa" w:w="8280"/>
            <w:shd w:fill="F7F9FC"/>
            <w:vAlign w:val="top"/>
          </w:tcPr>
          <w:p>
            <w:pPr>
              <w:spacing w:after="20" w:line="240" w:lineRule="auto"/>
            </w:pPr>
            <w:r>
              <w:rPr>
                <w:rFonts w:ascii="Arial" w:hAnsi="Arial"/>
                <w:b w:val="0"/>
                <w:color w:val="595959"/>
                <w:sz w:val="15"/>
              </w:rPr>
              <w:t>Late Cycle Risk-Off probability 13.2% x theme exposure +3.0.</w:t>
            </w:r>
          </w:p>
        </w:tc>
      </w:tr>
      <w:tr>
        <w:tc>
          <w:tcPr>
            <w:tcW w:type="dxa" w:w="2088"/>
            <w:vAlign w:val="top"/>
          </w:tcPr>
          <w:p>
            <w:pPr>
              <w:spacing w:after="20" w:line="240" w:lineRule="auto"/>
            </w:pPr>
            <w:r>
              <w:rPr>
                <w:rFonts w:ascii="Arial" w:hAnsi="Arial"/>
                <w:b w:val="0"/>
                <w:color w:val="595959"/>
                <w:sz w:val="15"/>
              </w:rPr>
              <w:t>Reopening / Soft Landing</w:t>
            </w:r>
          </w:p>
        </w:tc>
        <w:tc>
          <w:tcPr>
            <w:tcW w:type="dxa" w:w="1080"/>
            <w:vAlign w:val="top"/>
          </w:tcPr>
          <w:p>
            <w:pPr>
              <w:spacing w:after="20" w:line="240" w:lineRule="auto"/>
            </w:pPr>
            <w:r>
              <w:rPr>
                <w:rFonts w:ascii="Arial" w:hAnsi="Arial"/>
                <w:b w:val="0"/>
                <w:color w:val="595959"/>
                <w:sz w:val="15"/>
              </w:rPr>
              <w:t>31.07%</w:t>
            </w:r>
          </w:p>
        </w:tc>
        <w:tc>
          <w:tcPr>
            <w:tcW w:type="dxa" w:w="1008"/>
            <w:vAlign w:val="top"/>
          </w:tcPr>
          <w:p>
            <w:pPr>
              <w:spacing w:after="20" w:line="240" w:lineRule="auto"/>
            </w:pPr>
            <w:r>
              <w:rPr>
                <w:rFonts w:ascii="Arial" w:hAnsi="Arial"/>
                <w:b w:val="0"/>
                <w:color w:val="C00000"/>
                <w:sz w:val="15"/>
              </w:rPr>
              <w:t>-1.00</w:t>
            </w:r>
          </w:p>
        </w:tc>
        <w:tc>
          <w:tcPr>
            <w:tcW w:type="dxa" w:w="1080"/>
            <w:vAlign w:val="top"/>
          </w:tcPr>
          <w:p>
            <w:pPr>
              <w:spacing w:after="20" w:line="240" w:lineRule="auto"/>
            </w:pPr>
            <w:r>
              <w:rPr>
                <w:rFonts w:ascii="Arial" w:hAnsi="Arial"/>
                <w:b w:val="0"/>
                <w:color w:val="C00000"/>
                <w:sz w:val="15"/>
              </w:rPr>
              <w:t>-0.31</w:t>
            </w:r>
          </w:p>
        </w:tc>
        <w:tc>
          <w:tcPr>
            <w:tcW w:type="dxa" w:w="8280"/>
            <w:vAlign w:val="top"/>
          </w:tcPr>
          <w:p>
            <w:pPr>
              <w:spacing w:after="20" w:line="240" w:lineRule="auto"/>
            </w:pPr>
            <w:r>
              <w:rPr>
                <w:rFonts w:ascii="Arial" w:hAnsi="Arial"/>
                <w:b w:val="0"/>
                <w:color w:val="595959"/>
                <w:sz w:val="15"/>
              </w:rPr>
              <w:t>Reopening / Soft Landing probability 31.1% x theme exposure -1.0.</w:t>
            </w:r>
          </w:p>
        </w:tc>
      </w:tr>
      <w:tr>
        <w:tc>
          <w:tcPr>
            <w:tcW w:type="dxa" w:w="2088"/>
            <w:shd w:fill="F7F9FC"/>
            <w:vAlign w:val="top"/>
          </w:tcPr>
          <w:p>
            <w:pPr>
              <w:spacing w:after="20" w:line="240" w:lineRule="auto"/>
            </w:pPr>
            <w:r>
              <w:rPr>
                <w:rFonts w:ascii="Arial" w:hAnsi="Arial"/>
                <w:b w:val="0"/>
                <w:color w:val="595959"/>
                <w:sz w:val="15"/>
              </w:rPr>
              <w:t>Oil Inflation Tail</w:t>
            </w:r>
          </w:p>
        </w:tc>
        <w:tc>
          <w:tcPr>
            <w:tcW w:type="dxa" w:w="1080"/>
            <w:shd w:fill="F7F9FC"/>
            <w:vAlign w:val="top"/>
          </w:tcPr>
          <w:p>
            <w:pPr>
              <w:spacing w:after="20" w:line="240" w:lineRule="auto"/>
            </w:pPr>
            <w:r>
              <w:rPr>
                <w:rFonts w:ascii="Arial" w:hAnsi="Arial"/>
                <w:b w:val="0"/>
                <w:color w:val="595959"/>
                <w:sz w:val="15"/>
              </w:rPr>
              <w:t>15.03%</w:t>
            </w:r>
          </w:p>
        </w:tc>
        <w:tc>
          <w:tcPr>
            <w:tcW w:type="dxa" w:w="1008"/>
            <w:shd w:fill="F7F9FC"/>
            <w:vAlign w:val="top"/>
          </w:tcPr>
          <w:p>
            <w:pPr>
              <w:spacing w:after="20" w:line="240" w:lineRule="auto"/>
            </w:pPr>
            <w:r>
              <w:rPr>
                <w:rFonts w:ascii="Arial" w:hAnsi="Arial"/>
                <w:b w:val="0"/>
                <w:color w:val="375623"/>
                <w:sz w:val="15"/>
              </w:rPr>
              <w:t>+2.00</w:t>
            </w:r>
          </w:p>
        </w:tc>
        <w:tc>
          <w:tcPr>
            <w:tcW w:type="dxa" w:w="1080"/>
            <w:shd w:fill="F7F9FC"/>
            <w:vAlign w:val="top"/>
          </w:tcPr>
          <w:p>
            <w:pPr>
              <w:spacing w:after="20" w:line="240" w:lineRule="auto"/>
            </w:pPr>
            <w:r>
              <w:rPr>
                <w:rFonts w:ascii="Arial" w:hAnsi="Arial"/>
                <w:b w:val="0"/>
                <w:color w:val="375623"/>
                <w:sz w:val="15"/>
              </w:rPr>
              <w:t>+0.30</w:t>
            </w:r>
          </w:p>
        </w:tc>
        <w:tc>
          <w:tcPr>
            <w:tcW w:type="dxa" w:w="8280"/>
            <w:shd w:fill="F7F9FC"/>
            <w:vAlign w:val="top"/>
          </w:tcPr>
          <w:p>
            <w:pPr>
              <w:spacing w:after="20" w:line="240" w:lineRule="auto"/>
            </w:pPr>
            <w:r>
              <w:rPr>
                <w:rFonts w:ascii="Arial" w:hAnsi="Arial"/>
                <w:b w:val="0"/>
                <w:color w:val="595959"/>
                <w:sz w:val="15"/>
              </w:rPr>
              <w:t>Oil Inflation Tail probability 15.0% x theme exposure +2.0.</w:t>
            </w:r>
          </w:p>
        </w:tc>
      </w:tr>
      <w:tr>
        <w:tc>
          <w:tcPr>
            <w:tcW w:type="dxa" w:w="2088"/>
            <w:vAlign w:val="top"/>
          </w:tcPr>
          <w:p>
            <w:pPr>
              <w:spacing w:after="20" w:line="240" w:lineRule="auto"/>
            </w:pPr>
            <w:r>
              <w:rPr>
                <w:rFonts w:ascii="Arial" w:hAnsi="Arial"/>
                <w:b w:val="0"/>
                <w:color w:val="595959"/>
                <w:sz w:val="15"/>
              </w:rPr>
              <w:t>AI Capex Rollover</w:t>
            </w:r>
          </w:p>
        </w:tc>
        <w:tc>
          <w:tcPr>
            <w:tcW w:type="dxa" w:w="1080"/>
            <w:vAlign w:val="top"/>
          </w:tcPr>
          <w:p>
            <w:pPr>
              <w:spacing w:after="20" w:line="240" w:lineRule="auto"/>
            </w:pPr>
            <w:r>
              <w:rPr>
                <w:rFonts w:ascii="Arial" w:hAnsi="Arial"/>
                <w:b w:val="0"/>
                <w:color w:val="595959"/>
                <w:sz w:val="15"/>
              </w:rPr>
              <w:t>4.49%</w:t>
            </w:r>
          </w:p>
        </w:tc>
        <w:tc>
          <w:tcPr>
            <w:tcW w:type="dxa" w:w="1008"/>
            <w:vAlign w:val="top"/>
          </w:tcPr>
          <w:p>
            <w:pPr>
              <w:spacing w:after="20" w:line="240" w:lineRule="auto"/>
            </w:pPr>
            <w:r>
              <w:rPr>
                <w:rFonts w:ascii="Arial" w:hAnsi="Arial"/>
                <w:b w:val="0"/>
                <w:color w:val="375623"/>
                <w:sz w:val="15"/>
              </w:rPr>
              <w:t>+1.00</w:t>
            </w:r>
          </w:p>
        </w:tc>
        <w:tc>
          <w:tcPr>
            <w:tcW w:type="dxa" w:w="1080"/>
            <w:vAlign w:val="top"/>
          </w:tcPr>
          <w:p>
            <w:pPr>
              <w:spacing w:after="20" w:line="240" w:lineRule="auto"/>
            </w:pPr>
            <w:r>
              <w:rPr>
                <w:rFonts w:ascii="Arial" w:hAnsi="Arial"/>
                <w:b w:val="0"/>
                <w:color w:val="375623"/>
                <w:sz w:val="15"/>
              </w:rPr>
              <w:t>+0.04</w:t>
            </w:r>
          </w:p>
        </w:tc>
        <w:tc>
          <w:tcPr>
            <w:tcW w:type="dxa" w:w="8280"/>
            <w:vAlign w:val="top"/>
          </w:tcPr>
          <w:p>
            <w:pPr>
              <w:spacing w:after="20" w:line="240" w:lineRule="auto"/>
            </w:pPr>
            <w:r>
              <w:rPr>
                <w:rFonts w:ascii="Arial" w:hAnsi="Arial"/>
                <w:b w:val="0"/>
                <w:color w:val="595959"/>
                <w:sz w:val="15"/>
              </w:rPr>
              <w:t>AI Capex Rollover probability 4.5% x theme exposure +1.0.</w:t>
            </w:r>
          </w:p>
        </w:tc>
      </w:tr>
      <w:tr>
        <w:tc>
          <w:tcPr>
            <w:tcW w:type="dxa" w:w="2088"/>
            <w:shd w:fill="F7F9FC"/>
            <w:vAlign w:val="top"/>
          </w:tcPr>
          <w:p>
            <w:pPr>
              <w:spacing w:after="20" w:line="240" w:lineRule="auto"/>
            </w:pPr>
            <w:r>
              <w:rPr>
                <w:rFonts w:ascii="Arial" w:hAnsi="Arial"/>
                <w:b w:val="0"/>
                <w:color w:val="595959"/>
                <w:sz w:val="15"/>
              </w:rPr>
              <w:t>Net</w:t>
            </w:r>
          </w:p>
        </w:tc>
        <w:tc>
          <w:tcPr>
            <w:tcW w:type="dxa" w:w="1080"/>
            <w:shd w:fill="F7F9FC"/>
            <w:vAlign w:val="top"/>
          </w:tcPr>
          <w:p>
            <w:pPr>
              <w:spacing w:after="20" w:line="240" w:lineRule="auto"/>
            </w:pPr>
            <w:r>
              <w:rPr>
                <w:rFonts w:ascii="Arial" w:hAnsi="Arial"/>
                <w:b w:val="0"/>
                <w:color w:val="595959"/>
                <w:sz w:val="15"/>
              </w:rPr>
              <w:t>-</w:t>
            </w:r>
          </w:p>
        </w:tc>
        <w:tc>
          <w:tcPr>
            <w:tcW w:type="dxa" w:w="100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375623"/>
                <w:sz w:val="15"/>
              </w:rPr>
              <w:t>+1.15</w:t>
            </w:r>
          </w:p>
        </w:tc>
        <w:tc>
          <w:tcPr>
            <w:tcW w:type="dxa" w:w="8280"/>
            <w:shd w:fill="F7F9FC"/>
            <w:vAlign w:val="top"/>
          </w:tcPr>
          <w:p>
            <w:pPr>
              <w:spacing w:after="20" w:line="240" w:lineRule="auto"/>
            </w:pPr>
            <w:r>
              <w:rPr>
                <w:rFonts w:ascii="Arial" w:hAnsi="Arial"/>
                <w:b w:val="0"/>
                <w:color w:val="595959"/>
                <w:sz w:val="15"/>
              </w:rPr>
              <w:t>Positive total +1.47; negative total -0.31.</w:t>
            </w:r>
          </w:p>
        </w:tc>
      </w:tr>
    </w:tbl>
    <w:p>
      <w:pPr>
        <w:spacing w:after="120"/>
      </w:pPr>
    </w:p>
    <w:p>
      <w:pPr>
        <w:spacing w:after="40"/>
      </w:pPr>
      <w:r>
        <w:rPr>
          <w:rFonts w:ascii="Arial" w:hAnsi="Arial"/>
          <w:b/>
          <w:color w:val="1F4E79"/>
          <w:sz w:val="17"/>
        </w:rPr>
        <w:t>Quality AI leaders: +1.03</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Probability</w:t>
            </w:r>
          </w:p>
        </w:tc>
        <w:tc>
          <w:tcPr>
            <w:tcW w:type="dxa" w:w="1008"/>
            <w:shd w:fill="1F4E79"/>
            <w:vAlign w:val="top"/>
          </w:tcPr>
          <w:p>
            <w:pPr>
              <w:spacing w:after="20" w:line="240" w:lineRule="auto"/>
            </w:pPr>
            <w:r>
              <w:rPr>
                <w:rFonts w:ascii="Arial" w:hAnsi="Arial"/>
                <w:b/>
                <w:color w:val="FFFFFF"/>
                <w:sz w:val="15"/>
              </w:rPr>
              <w:t>Exposure</w:t>
            </w:r>
          </w:p>
        </w:tc>
        <w:tc>
          <w:tcPr>
            <w:tcW w:type="dxa" w:w="1080"/>
            <w:shd w:fill="1F4E79"/>
            <w:vAlign w:val="top"/>
          </w:tcPr>
          <w:p>
            <w:pPr>
              <w:spacing w:after="20" w:line="240" w:lineRule="auto"/>
            </w:pPr>
            <w:r>
              <w:rPr>
                <w:rFonts w:ascii="Arial" w:hAnsi="Arial"/>
                <w:b/>
                <w:color w:val="FFFFFF"/>
                <w:sz w:val="15"/>
              </w:rPr>
              <w:t>Contribution</w:t>
            </w:r>
          </w:p>
        </w:tc>
        <w:tc>
          <w:tcPr>
            <w:tcW w:type="dxa" w:w="8280"/>
            <w:shd w:fill="1F4E79"/>
            <w:vAlign w:val="top"/>
          </w:tcPr>
          <w:p>
            <w:pPr>
              <w:spacing w:after="20" w:line="240" w:lineRule="auto"/>
            </w:pPr>
            <w:r>
              <w:rPr>
                <w:rFonts w:ascii="Arial" w:hAnsi="Arial"/>
                <w:b/>
                <w:color w:val="FFFFFF"/>
                <w:sz w:val="15"/>
              </w:rPr>
              <w:t>Rationale</w:t>
            </w:r>
          </w:p>
        </w:tc>
      </w:tr>
      <w:tr>
        <w:tc>
          <w:tcPr>
            <w:tcW w:type="dxa" w:w="2088"/>
            <w:vAlign w:val="top"/>
          </w:tcPr>
          <w:p>
            <w:pPr>
              <w:spacing w:after="20" w:line="240" w:lineRule="auto"/>
            </w:pPr>
            <w:r>
              <w:rPr>
                <w:rFonts w:ascii="Arial" w:hAnsi="Arial"/>
                <w:b w:val="0"/>
                <w:color w:val="595959"/>
                <w:sz w:val="15"/>
              </w:rPr>
              <w:t>Sticky Late Cycle AI</w:t>
            </w:r>
          </w:p>
        </w:tc>
        <w:tc>
          <w:tcPr>
            <w:tcW w:type="dxa" w:w="1080"/>
            <w:vAlign w:val="top"/>
          </w:tcPr>
          <w:p>
            <w:pPr>
              <w:spacing w:after="20" w:line="240" w:lineRule="auto"/>
            </w:pPr>
            <w:r>
              <w:rPr>
                <w:rFonts w:ascii="Arial" w:hAnsi="Arial"/>
                <w:b w:val="0"/>
                <w:color w:val="595959"/>
                <w:sz w:val="15"/>
              </w:rPr>
              <w:t>36.24%</w:t>
            </w:r>
          </w:p>
        </w:tc>
        <w:tc>
          <w:tcPr>
            <w:tcW w:type="dxa" w:w="1008"/>
            <w:vAlign w:val="top"/>
          </w:tcPr>
          <w:p>
            <w:pPr>
              <w:spacing w:after="20" w:line="240" w:lineRule="auto"/>
            </w:pPr>
            <w:r>
              <w:rPr>
                <w:rFonts w:ascii="Arial" w:hAnsi="Arial"/>
                <w:b w:val="0"/>
                <w:color w:val="375623"/>
                <w:sz w:val="15"/>
              </w:rPr>
              <w:t>+3.00</w:t>
            </w:r>
          </w:p>
        </w:tc>
        <w:tc>
          <w:tcPr>
            <w:tcW w:type="dxa" w:w="1080"/>
            <w:vAlign w:val="top"/>
          </w:tcPr>
          <w:p>
            <w:pPr>
              <w:spacing w:after="20" w:line="240" w:lineRule="auto"/>
            </w:pPr>
            <w:r>
              <w:rPr>
                <w:rFonts w:ascii="Arial" w:hAnsi="Arial"/>
                <w:b w:val="0"/>
                <w:color w:val="375623"/>
                <w:sz w:val="15"/>
              </w:rPr>
              <w:t>+1.09</w:t>
            </w:r>
          </w:p>
        </w:tc>
        <w:tc>
          <w:tcPr>
            <w:tcW w:type="dxa" w:w="8280"/>
            <w:vAlign w:val="top"/>
          </w:tcPr>
          <w:p>
            <w:pPr>
              <w:spacing w:after="20" w:line="240" w:lineRule="auto"/>
            </w:pPr>
            <w:r>
              <w:rPr>
                <w:rFonts w:ascii="Arial" w:hAnsi="Arial"/>
                <w:b w:val="0"/>
                <w:color w:val="595959"/>
                <w:sz w:val="15"/>
              </w:rPr>
              <w:t>Sticky Late Cycle AI probability 36.2% x theme exposure +3.0.</w:t>
            </w:r>
          </w:p>
        </w:tc>
      </w:tr>
      <w:tr>
        <w:tc>
          <w:tcPr>
            <w:tcW w:type="dxa" w:w="2088"/>
            <w:shd w:fill="F7F9FC"/>
            <w:vAlign w:val="top"/>
          </w:tcPr>
          <w:p>
            <w:pPr>
              <w:spacing w:after="20" w:line="240" w:lineRule="auto"/>
            </w:pPr>
            <w:r>
              <w:rPr>
                <w:rFonts w:ascii="Arial" w:hAnsi="Arial"/>
                <w:b w:val="0"/>
                <w:color w:val="595959"/>
                <w:sz w:val="15"/>
              </w:rPr>
              <w:t>Reopening / Soft Landing</w:t>
            </w:r>
          </w:p>
        </w:tc>
        <w:tc>
          <w:tcPr>
            <w:tcW w:type="dxa" w:w="1080"/>
            <w:shd w:fill="F7F9FC"/>
            <w:vAlign w:val="top"/>
          </w:tcPr>
          <w:p>
            <w:pPr>
              <w:spacing w:after="20" w:line="240" w:lineRule="auto"/>
            </w:pPr>
            <w:r>
              <w:rPr>
                <w:rFonts w:ascii="Arial" w:hAnsi="Arial"/>
                <w:b w:val="0"/>
                <w:color w:val="595959"/>
                <w:sz w:val="15"/>
              </w:rPr>
              <w:t>31.07%</w:t>
            </w:r>
          </w:p>
        </w:tc>
        <w:tc>
          <w:tcPr>
            <w:tcW w:type="dxa" w:w="1008"/>
            <w:shd w:fill="F7F9FC"/>
            <w:vAlign w:val="top"/>
          </w:tcPr>
          <w:p>
            <w:pPr>
              <w:spacing w:after="20" w:line="240" w:lineRule="auto"/>
            </w:pPr>
            <w:r>
              <w:rPr>
                <w:rFonts w:ascii="Arial" w:hAnsi="Arial"/>
                <w:b w:val="0"/>
                <w:color w:val="375623"/>
                <w:sz w:val="15"/>
              </w:rPr>
              <w:t>+1.00</w:t>
            </w:r>
          </w:p>
        </w:tc>
        <w:tc>
          <w:tcPr>
            <w:tcW w:type="dxa" w:w="1080"/>
            <w:shd w:fill="F7F9FC"/>
            <w:vAlign w:val="top"/>
          </w:tcPr>
          <w:p>
            <w:pPr>
              <w:spacing w:after="20" w:line="240" w:lineRule="auto"/>
            </w:pPr>
            <w:r>
              <w:rPr>
                <w:rFonts w:ascii="Arial" w:hAnsi="Arial"/>
                <w:b w:val="0"/>
                <w:color w:val="375623"/>
                <w:sz w:val="15"/>
              </w:rPr>
              <w:t>+0.31</w:t>
            </w:r>
          </w:p>
        </w:tc>
        <w:tc>
          <w:tcPr>
            <w:tcW w:type="dxa" w:w="8280"/>
            <w:shd w:fill="F7F9FC"/>
            <w:vAlign w:val="top"/>
          </w:tcPr>
          <w:p>
            <w:pPr>
              <w:spacing w:after="20" w:line="240" w:lineRule="auto"/>
            </w:pPr>
            <w:r>
              <w:rPr>
                <w:rFonts w:ascii="Arial" w:hAnsi="Arial"/>
                <w:b w:val="0"/>
                <w:color w:val="595959"/>
                <w:sz w:val="15"/>
              </w:rPr>
              <w:t>Reopening / Soft Landing probability 31.1% x theme exposure +1.0.</w:t>
            </w:r>
          </w:p>
        </w:tc>
      </w:tr>
      <w:tr>
        <w:tc>
          <w:tcPr>
            <w:tcW w:type="dxa" w:w="2088"/>
            <w:vAlign w:val="top"/>
          </w:tcPr>
          <w:p>
            <w:pPr>
              <w:spacing w:after="20" w:line="240" w:lineRule="auto"/>
            </w:pPr>
            <w:r>
              <w:rPr>
                <w:rFonts w:ascii="Arial" w:hAnsi="Arial"/>
                <w:b w:val="0"/>
                <w:color w:val="595959"/>
                <w:sz w:val="15"/>
              </w:rPr>
              <w:t>Oil Inflation Tail</w:t>
            </w:r>
          </w:p>
        </w:tc>
        <w:tc>
          <w:tcPr>
            <w:tcW w:type="dxa" w:w="1080"/>
            <w:vAlign w:val="top"/>
          </w:tcPr>
          <w:p>
            <w:pPr>
              <w:spacing w:after="20" w:line="240" w:lineRule="auto"/>
            </w:pPr>
            <w:r>
              <w:rPr>
                <w:rFonts w:ascii="Arial" w:hAnsi="Arial"/>
                <w:b w:val="0"/>
                <w:color w:val="595959"/>
                <w:sz w:val="15"/>
              </w:rPr>
              <w:t>15.03%</w:t>
            </w:r>
          </w:p>
        </w:tc>
        <w:tc>
          <w:tcPr>
            <w:tcW w:type="dxa" w:w="1008"/>
            <w:vAlign w:val="top"/>
          </w:tcPr>
          <w:p>
            <w:pPr>
              <w:spacing w:after="20" w:line="240" w:lineRule="auto"/>
            </w:pPr>
            <w:r>
              <w:rPr>
                <w:rFonts w:ascii="Arial" w:hAnsi="Arial"/>
                <w:b w:val="0"/>
                <w:color w:val="C00000"/>
                <w:sz w:val="15"/>
              </w:rPr>
              <w:t>-1.00</w:t>
            </w:r>
          </w:p>
        </w:tc>
        <w:tc>
          <w:tcPr>
            <w:tcW w:type="dxa" w:w="1080"/>
            <w:vAlign w:val="top"/>
          </w:tcPr>
          <w:p>
            <w:pPr>
              <w:spacing w:after="20" w:line="240" w:lineRule="auto"/>
            </w:pPr>
            <w:r>
              <w:rPr>
                <w:rFonts w:ascii="Arial" w:hAnsi="Arial"/>
                <w:b w:val="0"/>
                <w:color w:val="C00000"/>
                <w:sz w:val="15"/>
              </w:rPr>
              <w:t>-0.15</w:t>
            </w:r>
          </w:p>
        </w:tc>
        <w:tc>
          <w:tcPr>
            <w:tcW w:type="dxa" w:w="8280"/>
            <w:vAlign w:val="top"/>
          </w:tcPr>
          <w:p>
            <w:pPr>
              <w:spacing w:after="20" w:line="240" w:lineRule="auto"/>
            </w:pPr>
            <w:r>
              <w:rPr>
                <w:rFonts w:ascii="Arial" w:hAnsi="Arial"/>
                <w:b w:val="0"/>
                <w:color w:val="595959"/>
                <w:sz w:val="15"/>
              </w:rPr>
              <w:t>Oil Inflation Tail probability 15.0% x theme exposure -1.0.</w:t>
            </w:r>
          </w:p>
        </w:tc>
      </w:tr>
      <w:tr>
        <w:tc>
          <w:tcPr>
            <w:tcW w:type="dxa" w:w="2088"/>
            <w:shd w:fill="F7F9FC"/>
            <w:vAlign w:val="top"/>
          </w:tcPr>
          <w:p>
            <w:pPr>
              <w:spacing w:after="20" w:line="240" w:lineRule="auto"/>
            </w:pPr>
            <w:r>
              <w:rPr>
                <w:rFonts w:ascii="Arial" w:hAnsi="Arial"/>
                <w:b w:val="0"/>
                <w:color w:val="595959"/>
                <w:sz w:val="15"/>
              </w:rPr>
              <w:t>Late Cycle Risk-Off</w:t>
            </w:r>
          </w:p>
        </w:tc>
        <w:tc>
          <w:tcPr>
            <w:tcW w:type="dxa" w:w="1080"/>
            <w:shd w:fill="F7F9FC"/>
            <w:vAlign w:val="top"/>
          </w:tcPr>
          <w:p>
            <w:pPr>
              <w:spacing w:after="20" w:line="240" w:lineRule="auto"/>
            </w:pPr>
            <w:r>
              <w:rPr>
                <w:rFonts w:ascii="Arial" w:hAnsi="Arial"/>
                <w:b w:val="0"/>
                <w:color w:val="595959"/>
                <w:sz w:val="15"/>
              </w:rPr>
              <w:t>13.17%</w:t>
            </w:r>
          </w:p>
        </w:tc>
        <w:tc>
          <w:tcPr>
            <w:tcW w:type="dxa" w:w="1008"/>
            <w:shd w:fill="F7F9FC"/>
            <w:vAlign w:val="top"/>
          </w:tcPr>
          <w:p>
            <w:pPr>
              <w:spacing w:after="20" w:line="240" w:lineRule="auto"/>
            </w:pPr>
            <w:r>
              <w:rPr>
                <w:rFonts w:ascii="Arial" w:hAnsi="Arial"/>
                <w:b w:val="0"/>
                <w:color w:val="C00000"/>
                <w:sz w:val="15"/>
              </w:rPr>
              <w:t>-1.00</w:t>
            </w:r>
          </w:p>
        </w:tc>
        <w:tc>
          <w:tcPr>
            <w:tcW w:type="dxa" w:w="1080"/>
            <w:shd w:fill="F7F9FC"/>
            <w:vAlign w:val="top"/>
          </w:tcPr>
          <w:p>
            <w:pPr>
              <w:spacing w:after="20" w:line="240" w:lineRule="auto"/>
            </w:pPr>
            <w:r>
              <w:rPr>
                <w:rFonts w:ascii="Arial" w:hAnsi="Arial"/>
                <w:b w:val="0"/>
                <w:color w:val="C00000"/>
                <w:sz w:val="15"/>
              </w:rPr>
              <w:t>-0.13</w:t>
            </w:r>
          </w:p>
        </w:tc>
        <w:tc>
          <w:tcPr>
            <w:tcW w:type="dxa" w:w="8280"/>
            <w:shd w:fill="F7F9FC"/>
            <w:vAlign w:val="top"/>
          </w:tcPr>
          <w:p>
            <w:pPr>
              <w:spacing w:after="20" w:line="240" w:lineRule="auto"/>
            </w:pPr>
            <w:r>
              <w:rPr>
                <w:rFonts w:ascii="Arial" w:hAnsi="Arial"/>
                <w:b w:val="0"/>
                <w:color w:val="595959"/>
                <w:sz w:val="15"/>
              </w:rPr>
              <w:t>Late Cycle Risk-Off probability 13.2% x theme exposure -1.0.</w:t>
            </w:r>
          </w:p>
        </w:tc>
      </w:tr>
      <w:tr>
        <w:tc>
          <w:tcPr>
            <w:tcW w:type="dxa" w:w="2088"/>
            <w:vAlign w:val="top"/>
          </w:tcPr>
          <w:p>
            <w:pPr>
              <w:spacing w:after="20" w:line="240" w:lineRule="auto"/>
            </w:pPr>
            <w:r>
              <w:rPr>
                <w:rFonts w:ascii="Arial" w:hAnsi="Arial"/>
                <w:b w:val="0"/>
                <w:color w:val="595959"/>
                <w:sz w:val="15"/>
              </w:rPr>
              <w:t>AI Capex Rollover</w:t>
            </w:r>
          </w:p>
        </w:tc>
        <w:tc>
          <w:tcPr>
            <w:tcW w:type="dxa" w:w="1080"/>
            <w:vAlign w:val="top"/>
          </w:tcPr>
          <w:p>
            <w:pPr>
              <w:spacing w:after="20" w:line="240" w:lineRule="auto"/>
            </w:pPr>
            <w:r>
              <w:rPr>
                <w:rFonts w:ascii="Arial" w:hAnsi="Arial"/>
                <w:b w:val="0"/>
                <w:color w:val="595959"/>
                <w:sz w:val="15"/>
              </w:rPr>
              <w:t>4.49%</w:t>
            </w:r>
          </w:p>
        </w:tc>
        <w:tc>
          <w:tcPr>
            <w:tcW w:type="dxa" w:w="1008"/>
            <w:vAlign w:val="top"/>
          </w:tcPr>
          <w:p>
            <w:pPr>
              <w:spacing w:after="20" w:line="240" w:lineRule="auto"/>
            </w:pPr>
            <w:r>
              <w:rPr>
                <w:rFonts w:ascii="Arial" w:hAnsi="Arial"/>
                <w:b w:val="0"/>
                <w:color w:val="C00000"/>
                <w:sz w:val="15"/>
              </w:rPr>
              <w:t>-2.00</w:t>
            </w:r>
          </w:p>
        </w:tc>
        <w:tc>
          <w:tcPr>
            <w:tcW w:type="dxa" w:w="1080"/>
            <w:vAlign w:val="top"/>
          </w:tcPr>
          <w:p>
            <w:pPr>
              <w:spacing w:after="20" w:line="240" w:lineRule="auto"/>
            </w:pPr>
            <w:r>
              <w:rPr>
                <w:rFonts w:ascii="Arial" w:hAnsi="Arial"/>
                <w:b w:val="0"/>
                <w:color w:val="C00000"/>
                <w:sz w:val="15"/>
              </w:rPr>
              <w:t>-0.09</w:t>
            </w:r>
          </w:p>
        </w:tc>
        <w:tc>
          <w:tcPr>
            <w:tcW w:type="dxa" w:w="8280"/>
            <w:vAlign w:val="top"/>
          </w:tcPr>
          <w:p>
            <w:pPr>
              <w:spacing w:after="20" w:line="240" w:lineRule="auto"/>
            </w:pPr>
            <w:r>
              <w:rPr>
                <w:rFonts w:ascii="Arial" w:hAnsi="Arial"/>
                <w:b w:val="0"/>
                <w:color w:val="595959"/>
                <w:sz w:val="15"/>
              </w:rPr>
              <w:t>AI Capex Rollover probability 4.5% x theme exposure -2.0.</w:t>
            </w:r>
          </w:p>
        </w:tc>
      </w:tr>
      <w:tr>
        <w:tc>
          <w:tcPr>
            <w:tcW w:type="dxa" w:w="2088"/>
            <w:shd w:fill="F7F9FC"/>
            <w:vAlign w:val="top"/>
          </w:tcPr>
          <w:p>
            <w:pPr>
              <w:spacing w:after="20" w:line="240" w:lineRule="auto"/>
            </w:pPr>
            <w:r>
              <w:rPr>
                <w:rFonts w:ascii="Arial" w:hAnsi="Arial"/>
                <w:b w:val="0"/>
                <w:color w:val="595959"/>
                <w:sz w:val="15"/>
              </w:rPr>
              <w:t>Net</w:t>
            </w:r>
          </w:p>
        </w:tc>
        <w:tc>
          <w:tcPr>
            <w:tcW w:type="dxa" w:w="1080"/>
            <w:shd w:fill="F7F9FC"/>
            <w:vAlign w:val="top"/>
          </w:tcPr>
          <w:p>
            <w:pPr>
              <w:spacing w:after="20" w:line="240" w:lineRule="auto"/>
            </w:pPr>
            <w:r>
              <w:rPr>
                <w:rFonts w:ascii="Arial" w:hAnsi="Arial"/>
                <w:b w:val="0"/>
                <w:color w:val="595959"/>
                <w:sz w:val="15"/>
              </w:rPr>
              <w:t>-</w:t>
            </w:r>
          </w:p>
        </w:tc>
        <w:tc>
          <w:tcPr>
            <w:tcW w:type="dxa" w:w="100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375623"/>
                <w:sz w:val="15"/>
              </w:rPr>
              <w:t>+1.03</w:t>
            </w:r>
          </w:p>
        </w:tc>
        <w:tc>
          <w:tcPr>
            <w:tcW w:type="dxa" w:w="8280"/>
            <w:shd w:fill="F7F9FC"/>
            <w:vAlign w:val="top"/>
          </w:tcPr>
          <w:p>
            <w:pPr>
              <w:spacing w:after="20" w:line="240" w:lineRule="auto"/>
            </w:pPr>
            <w:r>
              <w:rPr>
                <w:rFonts w:ascii="Arial" w:hAnsi="Arial"/>
                <w:b w:val="0"/>
                <w:color w:val="595959"/>
                <w:sz w:val="15"/>
              </w:rPr>
              <w:t>Positive total +1.40; negative total -0.37.</w:t>
            </w:r>
          </w:p>
        </w:tc>
      </w:tr>
    </w:tbl>
    <w:p>
      <w:pPr>
        <w:spacing w:after="120"/>
      </w:pPr>
    </w:p>
    <w:p>
      <w:pPr>
        <w:spacing w:after="40"/>
      </w:pPr>
      <w:r>
        <w:rPr>
          <w:rFonts w:ascii="Arial" w:hAnsi="Arial"/>
          <w:b/>
          <w:color w:val="1F4E79"/>
          <w:sz w:val="17"/>
        </w:rPr>
        <w:t>Commodities and real assets: +0.94</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Probability</w:t>
            </w:r>
          </w:p>
        </w:tc>
        <w:tc>
          <w:tcPr>
            <w:tcW w:type="dxa" w:w="1008"/>
            <w:shd w:fill="1F4E79"/>
            <w:vAlign w:val="top"/>
          </w:tcPr>
          <w:p>
            <w:pPr>
              <w:spacing w:after="20" w:line="240" w:lineRule="auto"/>
            </w:pPr>
            <w:r>
              <w:rPr>
                <w:rFonts w:ascii="Arial" w:hAnsi="Arial"/>
                <w:b/>
                <w:color w:val="FFFFFF"/>
                <w:sz w:val="15"/>
              </w:rPr>
              <w:t>Exposure</w:t>
            </w:r>
          </w:p>
        </w:tc>
        <w:tc>
          <w:tcPr>
            <w:tcW w:type="dxa" w:w="1080"/>
            <w:shd w:fill="1F4E79"/>
            <w:vAlign w:val="top"/>
          </w:tcPr>
          <w:p>
            <w:pPr>
              <w:spacing w:after="20" w:line="240" w:lineRule="auto"/>
            </w:pPr>
            <w:r>
              <w:rPr>
                <w:rFonts w:ascii="Arial" w:hAnsi="Arial"/>
                <w:b/>
                <w:color w:val="FFFFFF"/>
                <w:sz w:val="15"/>
              </w:rPr>
              <w:t>Contribution</w:t>
            </w:r>
          </w:p>
        </w:tc>
        <w:tc>
          <w:tcPr>
            <w:tcW w:type="dxa" w:w="8280"/>
            <w:shd w:fill="1F4E79"/>
            <w:vAlign w:val="top"/>
          </w:tcPr>
          <w:p>
            <w:pPr>
              <w:spacing w:after="20" w:line="240" w:lineRule="auto"/>
            </w:pPr>
            <w:r>
              <w:rPr>
                <w:rFonts w:ascii="Arial" w:hAnsi="Arial"/>
                <w:b/>
                <w:color w:val="FFFFFF"/>
                <w:sz w:val="15"/>
              </w:rPr>
              <w:t>Rationale</w:t>
            </w:r>
          </w:p>
        </w:tc>
      </w:tr>
      <w:tr>
        <w:tc>
          <w:tcPr>
            <w:tcW w:type="dxa" w:w="2088"/>
            <w:vAlign w:val="top"/>
          </w:tcPr>
          <w:p>
            <w:pPr>
              <w:spacing w:after="20" w:line="240" w:lineRule="auto"/>
            </w:pPr>
            <w:r>
              <w:rPr>
                <w:rFonts w:ascii="Arial" w:hAnsi="Arial"/>
                <w:b w:val="0"/>
                <w:color w:val="595959"/>
                <w:sz w:val="15"/>
              </w:rPr>
              <w:t>Oil Inflation Tail</w:t>
            </w:r>
          </w:p>
        </w:tc>
        <w:tc>
          <w:tcPr>
            <w:tcW w:type="dxa" w:w="1080"/>
            <w:vAlign w:val="top"/>
          </w:tcPr>
          <w:p>
            <w:pPr>
              <w:spacing w:after="20" w:line="240" w:lineRule="auto"/>
            </w:pPr>
            <w:r>
              <w:rPr>
                <w:rFonts w:ascii="Arial" w:hAnsi="Arial"/>
                <w:b w:val="0"/>
                <w:color w:val="595959"/>
                <w:sz w:val="15"/>
              </w:rPr>
              <w:t>15.03%</w:t>
            </w:r>
          </w:p>
        </w:tc>
        <w:tc>
          <w:tcPr>
            <w:tcW w:type="dxa" w:w="1008"/>
            <w:vAlign w:val="top"/>
          </w:tcPr>
          <w:p>
            <w:pPr>
              <w:spacing w:after="20" w:line="240" w:lineRule="auto"/>
            </w:pPr>
            <w:r>
              <w:rPr>
                <w:rFonts w:ascii="Arial" w:hAnsi="Arial"/>
                <w:b w:val="0"/>
                <w:color w:val="375623"/>
                <w:sz w:val="15"/>
              </w:rPr>
              <w:t>+3.00</w:t>
            </w:r>
          </w:p>
        </w:tc>
        <w:tc>
          <w:tcPr>
            <w:tcW w:type="dxa" w:w="1080"/>
            <w:vAlign w:val="top"/>
          </w:tcPr>
          <w:p>
            <w:pPr>
              <w:spacing w:after="20" w:line="240" w:lineRule="auto"/>
            </w:pPr>
            <w:r>
              <w:rPr>
                <w:rFonts w:ascii="Arial" w:hAnsi="Arial"/>
                <w:b w:val="0"/>
                <w:color w:val="375623"/>
                <w:sz w:val="15"/>
              </w:rPr>
              <w:t>+0.45</w:t>
            </w:r>
          </w:p>
        </w:tc>
        <w:tc>
          <w:tcPr>
            <w:tcW w:type="dxa" w:w="8280"/>
            <w:vAlign w:val="top"/>
          </w:tcPr>
          <w:p>
            <w:pPr>
              <w:spacing w:after="20" w:line="240" w:lineRule="auto"/>
            </w:pPr>
            <w:r>
              <w:rPr>
                <w:rFonts w:ascii="Arial" w:hAnsi="Arial"/>
                <w:b w:val="0"/>
                <w:color w:val="595959"/>
                <w:sz w:val="15"/>
              </w:rPr>
              <w:t>Oil Inflation Tail probability 15.0% x theme exposure +3.0.</w:t>
            </w:r>
          </w:p>
        </w:tc>
      </w:tr>
      <w:tr>
        <w:tc>
          <w:tcPr>
            <w:tcW w:type="dxa" w:w="2088"/>
            <w:shd w:fill="F7F9FC"/>
            <w:vAlign w:val="top"/>
          </w:tcPr>
          <w:p>
            <w:pPr>
              <w:spacing w:after="20" w:line="240" w:lineRule="auto"/>
            </w:pPr>
            <w:r>
              <w:rPr>
                <w:rFonts w:ascii="Arial" w:hAnsi="Arial"/>
                <w:b w:val="0"/>
                <w:color w:val="595959"/>
                <w:sz w:val="15"/>
              </w:rPr>
              <w:t>Sticky Late Cycle AI</w:t>
            </w:r>
          </w:p>
        </w:tc>
        <w:tc>
          <w:tcPr>
            <w:tcW w:type="dxa" w:w="1080"/>
            <w:shd w:fill="F7F9FC"/>
            <w:vAlign w:val="top"/>
          </w:tcPr>
          <w:p>
            <w:pPr>
              <w:spacing w:after="20" w:line="240" w:lineRule="auto"/>
            </w:pPr>
            <w:r>
              <w:rPr>
                <w:rFonts w:ascii="Arial" w:hAnsi="Arial"/>
                <w:b w:val="0"/>
                <w:color w:val="595959"/>
                <w:sz w:val="15"/>
              </w:rPr>
              <w:t>36.24%</w:t>
            </w:r>
          </w:p>
        </w:tc>
        <w:tc>
          <w:tcPr>
            <w:tcW w:type="dxa" w:w="1008"/>
            <w:shd w:fill="F7F9FC"/>
            <w:vAlign w:val="top"/>
          </w:tcPr>
          <w:p>
            <w:pPr>
              <w:spacing w:after="20" w:line="240" w:lineRule="auto"/>
            </w:pPr>
            <w:r>
              <w:rPr>
                <w:rFonts w:ascii="Arial" w:hAnsi="Arial"/>
                <w:b w:val="0"/>
                <w:color w:val="375623"/>
                <w:sz w:val="15"/>
              </w:rPr>
              <w:t>+1.00</w:t>
            </w:r>
          </w:p>
        </w:tc>
        <w:tc>
          <w:tcPr>
            <w:tcW w:type="dxa" w:w="1080"/>
            <w:shd w:fill="F7F9FC"/>
            <w:vAlign w:val="top"/>
          </w:tcPr>
          <w:p>
            <w:pPr>
              <w:spacing w:after="20" w:line="240" w:lineRule="auto"/>
            </w:pPr>
            <w:r>
              <w:rPr>
                <w:rFonts w:ascii="Arial" w:hAnsi="Arial"/>
                <w:b w:val="0"/>
                <w:color w:val="375623"/>
                <w:sz w:val="15"/>
              </w:rPr>
              <w:t>+0.36</w:t>
            </w:r>
          </w:p>
        </w:tc>
        <w:tc>
          <w:tcPr>
            <w:tcW w:type="dxa" w:w="8280"/>
            <w:shd w:fill="F7F9FC"/>
            <w:vAlign w:val="top"/>
          </w:tcPr>
          <w:p>
            <w:pPr>
              <w:spacing w:after="20" w:line="240" w:lineRule="auto"/>
            </w:pPr>
            <w:r>
              <w:rPr>
                <w:rFonts w:ascii="Arial" w:hAnsi="Arial"/>
                <w:b w:val="0"/>
                <w:color w:val="595959"/>
                <w:sz w:val="15"/>
              </w:rPr>
              <w:t>Sticky Late Cycle AI probability 36.2% x theme exposure +1.0.</w:t>
            </w:r>
          </w:p>
        </w:tc>
      </w:tr>
      <w:tr>
        <w:tc>
          <w:tcPr>
            <w:tcW w:type="dxa" w:w="2088"/>
            <w:vAlign w:val="top"/>
          </w:tcPr>
          <w:p>
            <w:pPr>
              <w:spacing w:after="20" w:line="240" w:lineRule="auto"/>
            </w:pPr>
            <w:r>
              <w:rPr>
                <w:rFonts w:ascii="Arial" w:hAnsi="Arial"/>
                <w:b w:val="0"/>
                <w:color w:val="595959"/>
                <w:sz w:val="15"/>
              </w:rPr>
              <w:t>Late Cycle Risk-Off</w:t>
            </w:r>
          </w:p>
        </w:tc>
        <w:tc>
          <w:tcPr>
            <w:tcW w:type="dxa" w:w="1080"/>
            <w:vAlign w:val="top"/>
          </w:tcPr>
          <w:p>
            <w:pPr>
              <w:spacing w:after="20" w:line="240" w:lineRule="auto"/>
            </w:pPr>
            <w:r>
              <w:rPr>
                <w:rFonts w:ascii="Arial" w:hAnsi="Arial"/>
                <w:b w:val="0"/>
                <w:color w:val="595959"/>
                <w:sz w:val="15"/>
              </w:rPr>
              <w:t>13.17%</w:t>
            </w:r>
          </w:p>
        </w:tc>
        <w:tc>
          <w:tcPr>
            <w:tcW w:type="dxa" w:w="1008"/>
            <w:vAlign w:val="top"/>
          </w:tcPr>
          <w:p>
            <w:pPr>
              <w:spacing w:after="20" w:line="240" w:lineRule="auto"/>
            </w:pPr>
            <w:r>
              <w:rPr>
                <w:rFonts w:ascii="Arial" w:hAnsi="Arial"/>
                <w:b w:val="0"/>
                <w:color w:val="375623"/>
                <w:sz w:val="15"/>
              </w:rPr>
              <w:t>+1.00</w:t>
            </w:r>
          </w:p>
        </w:tc>
        <w:tc>
          <w:tcPr>
            <w:tcW w:type="dxa" w:w="1080"/>
            <w:vAlign w:val="top"/>
          </w:tcPr>
          <w:p>
            <w:pPr>
              <w:spacing w:after="20" w:line="240" w:lineRule="auto"/>
            </w:pPr>
            <w:r>
              <w:rPr>
                <w:rFonts w:ascii="Arial" w:hAnsi="Arial"/>
                <w:b w:val="0"/>
                <w:color w:val="375623"/>
                <w:sz w:val="15"/>
              </w:rPr>
              <w:t>+0.13</w:t>
            </w:r>
          </w:p>
        </w:tc>
        <w:tc>
          <w:tcPr>
            <w:tcW w:type="dxa" w:w="8280"/>
            <w:vAlign w:val="top"/>
          </w:tcPr>
          <w:p>
            <w:pPr>
              <w:spacing w:after="20" w:line="240" w:lineRule="auto"/>
            </w:pPr>
            <w:r>
              <w:rPr>
                <w:rFonts w:ascii="Arial" w:hAnsi="Arial"/>
                <w:b w:val="0"/>
                <w:color w:val="595959"/>
                <w:sz w:val="15"/>
              </w:rPr>
              <w:t>Late Cycle Risk-Off probability 13.2% x theme exposure +1.0.</w:t>
            </w:r>
          </w:p>
        </w:tc>
      </w:tr>
      <w:tr>
        <w:tc>
          <w:tcPr>
            <w:tcW w:type="dxa" w:w="2088"/>
            <w:shd w:fill="F7F9FC"/>
            <w:vAlign w:val="top"/>
          </w:tcPr>
          <w:p>
            <w:pPr>
              <w:spacing w:after="20" w:line="240" w:lineRule="auto"/>
            </w:pPr>
            <w:r>
              <w:rPr>
                <w:rFonts w:ascii="Arial" w:hAnsi="Arial"/>
                <w:b w:val="0"/>
                <w:color w:val="595959"/>
                <w:sz w:val="15"/>
              </w:rPr>
              <w:t>Reopening / Soft Landing</w:t>
            </w:r>
          </w:p>
        </w:tc>
        <w:tc>
          <w:tcPr>
            <w:tcW w:type="dxa" w:w="1080"/>
            <w:shd w:fill="F7F9FC"/>
            <w:vAlign w:val="top"/>
          </w:tcPr>
          <w:p>
            <w:pPr>
              <w:spacing w:after="20" w:line="240" w:lineRule="auto"/>
            </w:pPr>
            <w:r>
              <w:rPr>
                <w:rFonts w:ascii="Arial" w:hAnsi="Arial"/>
                <w:b w:val="0"/>
                <w:color w:val="595959"/>
                <w:sz w:val="15"/>
              </w:rPr>
              <w:t>31.07%</w:t>
            </w:r>
          </w:p>
        </w:tc>
        <w:tc>
          <w:tcPr>
            <w:tcW w:type="dxa" w:w="1008"/>
            <w:shd w:fill="F7F9FC"/>
            <w:vAlign w:val="top"/>
          </w:tcPr>
          <w:p>
            <w:pPr>
              <w:spacing w:after="20" w:line="240" w:lineRule="auto"/>
            </w:pPr>
            <w:r>
              <w:rPr>
                <w:rFonts w:ascii="Arial" w:hAnsi="Arial"/>
                <w:b w:val="0"/>
                <w:color w:val="375623"/>
                <w:sz w:val="15"/>
              </w:rPr>
              <w:t>+0.00</w:t>
            </w:r>
          </w:p>
        </w:tc>
        <w:tc>
          <w:tcPr>
            <w:tcW w:type="dxa" w:w="1080"/>
            <w:shd w:fill="F7F9FC"/>
            <w:vAlign w:val="top"/>
          </w:tcPr>
          <w:p>
            <w:pPr>
              <w:spacing w:after="20" w:line="240" w:lineRule="auto"/>
            </w:pPr>
            <w:r>
              <w:rPr>
                <w:rFonts w:ascii="Arial" w:hAnsi="Arial"/>
                <w:b w:val="0"/>
                <w:color w:val="375623"/>
                <w:sz w:val="15"/>
              </w:rPr>
              <w:t>+0.00</w:t>
            </w:r>
          </w:p>
        </w:tc>
        <w:tc>
          <w:tcPr>
            <w:tcW w:type="dxa" w:w="8280"/>
            <w:shd w:fill="F7F9FC"/>
            <w:vAlign w:val="top"/>
          </w:tcPr>
          <w:p>
            <w:pPr>
              <w:spacing w:after="20" w:line="240" w:lineRule="auto"/>
            </w:pPr>
            <w:r>
              <w:rPr>
                <w:rFonts w:ascii="Arial" w:hAnsi="Arial"/>
                <w:b w:val="0"/>
                <w:color w:val="595959"/>
                <w:sz w:val="15"/>
              </w:rPr>
              <w:t>Reopening / Soft Landing probability 31.1% x theme exposure +0.0.</w:t>
            </w:r>
          </w:p>
        </w:tc>
      </w:tr>
      <w:tr>
        <w:tc>
          <w:tcPr>
            <w:tcW w:type="dxa" w:w="2088"/>
            <w:vAlign w:val="top"/>
          </w:tcPr>
          <w:p>
            <w:pPr>
              <w:spacing w:after="20" w:line="240" w:lineRule="auto"/>
            </w:pPr>
            <w:r>
              <w:rPr>
                <w:rFonts w:ascii="Arial" w:hAnsi="Arial"/>
                <w:b w:val="0"/>
                <w:color w:val="595959"/>
                <w:sz w:val="15"/>
              </w:rPr>
              <w:t>AI Capex Rollover</w:t>
            </w:r>
          </w:p>
        </w:tc>
        <w:tc>
          <w:tcPr>
            <w:tcW w:type="dxa" w:w="1080"/>
            <w:vAlign w:val="top"/>
          </w:tcPr>
          <w:p>
            <w:pPr>
              <w:spacing w:after="20" w:line="240" w:lineRule="auto"/>
            </w:pPr>
            <w:r>
              <w:rPr>
                <w:rFonts w:ascii="Arial" w:hAnsi="Arial"/>
                <w:b w:val="0"/>
                <w:color w:val="595959"/>
                <w:sz w:val="15"/>
              </w:rPr>
              <w:t>4.49%</w:t>
            </w:r>
          </w:p>
        </w:tc>
        <w:tc>
          <w:tcPr>
            <w:tcW w:type="dxa" w:w="1008"/>
            <w:vAlign w:val="top"/>
          </w:tcPr>
          <w:p>
            <w:pPr>
              <w:spacing w:after="20" w:line="240" w:lineRule="auto"/>
            </w:pPr>
            <w:r>
              <w:rPr>
                <w:rFonts w:ascii="Arial" w:hAnsi="Arial"/>
                <w:b w:val="0"/>
                <w:color w:val="375623"/>
                <w:sz w:val="15"/>
              </w:rPr>
              <w:t>+0.00</w:t>
            </w:r>
          </w:p>
        </w:tc>
        <w:tc>
          <w:tcPr>
            <w:tcW w:type="dxa" w:w="1080"/>
            <w:vAlign w:val="top"/>
          </w:tcPr>
          <w:p>
            <w:pPr>
              <w:spacing w:after="20" w:line="240" w:lineRule="auto"/>
            </w:pPr>
            <w:r>
              <w:rPr>
                <w:rFonts w:ascii="Arial" w:hAnsi="Arial"/>
                <w:b w:val="0"/>
                <w:color w:val="375623"/>
                <w:sz w:val="15"/>
              </w:rPr>
              <w:t>+0.00</w:t>
            </w:r>
          </w:p>
        </w:tc>
        <w:tc>
          <w:tcPr>
            <w:tcW w:type="dxa" w:w="8280"/>
            <w:vAlign w:val="top"/>
          </w:tcPr>
          <w:p>
            <w:pPr>
              <w:spacing w:after="20" w:line="240" w:lineRule="auto"/>
            </w:pPr>
            <w:r>
              <w:rPr>
                <w:rFonts w:ascii="Arial" w:hAnsi="Arial"/>
                <w:b w:val="0"/>
                <w:color w:val="595959"/>
                <w:sz w:val="15"/>
              </w:rPr>
              <w:t>AI Capex Rollover probability 4.5% x theme exposure +0.0.</w:t>
            </w:r>
          </w:p>
        </w:tc>
      </w:tr>
      <w:tr>
        <w:tc>
          <w:tcPr>
            <w:tcW w:type="dxa" w:w="2088"/>
            <w:shd w:fill="F7F9FC"/>
            <w:vAlign w:val="top"/>
          </w:tcPr>
          <w:p>
            <w:pPr>
              <w:spacing w:after="20" w:line="240" w:lineRule="auto"/>
            </w:pPr>
            <w:r>
              <w:rPr>
                <w:rFonts w:ascii="Arial" w:hAnsi="Arial"/>
                <w:b w:val="0"/>
                <w:color w:val="595959"/>
                <w:sz w:val="15"/>
              </w:rPr>
              <w:t>Net</w:t>
            </w:r>
          </w:p>
        </w:tc>
        <w:tc>
          <w:tcPr>
            <w:tcW w:type="dxa" w:w="1080"/>
            <w:shd w:fill="F7F9FC"/>
            <w:vAlign w:val="top"/>
          </w:tcPr>
          <w:p>
            <w:pPr>
              <w:spacing w:after="20" w:line="240" w:lineRule="auto"/>
            </w:pPr>
            <w:r>
              <w:rPr>
                <w:rFonts w:ascii="Arial" w:hAnsi="Arial"/>
                <w:b w:val="0"/>
                <w:color w:val="595959"/>
                <w:sz w:val="15"/>
              </w:rPr>
              <w:t>-</w:t>
            </w:r>
          </w:p>
        </w:tc>
        <w:tc>
          <w:tcPr>
            <w:tcW w:type="dxa" w:w="100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375623"/>
                <w:sz w:val="15"/>
              </w:rPr>
              <w:t>+0.94</w:t>
            </w:r>
          </w:p>
        </w:tc>
        <w:tc>
          <w:tcPr>
            <w:tcW w:type="dxa" w:w="8280"/>
            <w:shd w:fill="F7F9FC"/>
            <w:vAlign w:val="top"/>
          </w:tcPr>
          <w:p>
            <w:pPr>
              <w:spacing w:after="20" w:line="240" w:lineRule="auto"/>
            </w:pPr>
            <w:r>
              <w:rPr>
                <w:rFonts w:ascii="Arial" w:hAnsi="Arial"/>
                <w:b w:val="0"/>
                <w:color w:val="595959"/>
                <w:sz w:val="15"/>
              </w:rPr>
              <w:t>Positive total +0.94; negative total +0.00.</w:t>
            </w:r>
          </w:p>
        </w:tc>
      </w:tr>
    </w:tbl>
    <w:p>
      <w:pPr>
        <w:spacing w:after="120"/>
      </w:pPr>
    </w:p>
    <w:p>
      <w:pPr>
        <w:spacing w:before="320" w:after="140"/>
      </w:pPr>
      <w:r>
        <w:rPr>
          <w:rFonts w:ascii="Arial" w:hAnsi="Arial"/>
          <w:b/>
          <w:color w:val="1F4E79"/>
          <w:sz w:val="28"/>
        </w:rPr>
        <w:t>Sector &amp; Instrument Rankings</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504"/>
            <w:shd w:fill="1F4E79"/>
            <w:vAlign w:val="top"/>
          </w:tcPr>
          <w:p>
            <w:pPr>
              <w:spacing w:after="20" w:line="240" w:lineRule="auto"/>
            </w:pPr>
            <w:r>
              <w:rPr>
                <w:rFonts w:ascii="Arial" w:hAnsi="Arial"/>
                <w:b/>
                <w:color w:val="FFFFFF"/>
                <w:sz w:val="15"/>
              </w:rPr>
              <w:t>Rank</w:t>
            </w:r>
          </w:p>
        </w:tc>
        <w:tc>
          <w:tcPr>
            <w:tcW w:type="dxa" w:w="1080"/>
            <w:shd w:fill="1F4E79"/>
            <w:vAlign w:val="top"/>
          </w:tcPr>
          <w:p>
            <w:pPr>
              <w:spacing w:after="20" w:line="240" w:lineRule="auto"/>
            </w:pPr>
            <w:r>
              <w:rPr>
                <w:rFonts w:ascii="Arial" w:hAnsi="Arial"/>
                <w:b/>
                <w:color w:val="FFFFFF"/>
                <w:sz w:val="15"/>
              </w:rPr>
              <w:t>Ticker</w:t>
            </w:r>
          </w:p>
        </w:tc>
        <w:tc>
          <w:tcPr>
            <w:tcW w:type="dxa" w:w="792"/>
            <w:shd w:fill="1F4E79"/>
            <w:vAlign w:val="top"/>
          </w:tcPr>
          <w:p>
            <w:pPr>
              <w:spacing w:after="20" w:line="240" w:lineRule="auto"/>
            </w:pPr>
            <w:r>
              <w:rPr>
                <w:rFonts w:ascii="Arial" w:hAnsi="Arial"/>
                <w:b/>
                <w:color w:val="FFFFFF"/>
                <w:sz w:val="15"/>
              </w:rPr>
              <w:t>Score</w:t>
            </w:r>
          </w:p>
        </w:tc>
        <w:tc>
          <w:tcPr>
            <w:tcW w:type="dxa" w:w="5112"/>
            <w:shd w:fill="1F4E79"/>
            <w:vAlign w:val="top"/>
          </w:tcPr>
          <w:p>
            <w:pPr>
              <w:spacing w:after="20" w:line="240" w:lineRule="auto"/>
            </w:pPr>
            <w:r>
              <w:rPr>
                <w:rFonts w:ascii="Arial" w:hAnsi="Arial"/>
                <w:b/>
                <w:color w:val="FFFFFF"/>
                <w:sz w:val="15"/>
              </w:rPr>
              <w:t>Top Drivers</w:t>
            </w:r>
          </w:p>
        </w:tc>
        <w:tc>
          <w:tcPr>
            <w:tcW w:type="dxa" w:w="6480"/>
            <w:shd w:fill="1F4E79"/>
            <w:vAlign w:val="top"/>
          </w:tcPr>
          <w:p>
            <w:pPr>
              <w:spacing w:after="20" w:line="240" w:lineRule="auto"/>
            </w:pPr>
            <w:r>
              <w:rPr>
                <w:rFonts w:ascii="Arial" w:hAnsi="Arial"/>
                <w:b/>
                <w:color w:val="FFFFFF"/>
                <w:sz w:val="15"/>
              </w:rPr>
              <w:t>Formula Notes</w:t>
            </w:r>
          </w:p>
        </w:tc>
      </w:tr>
      <w:tr>
        <w:tc>
          <w:tcPr>
            <w:tcW w:type="dxa" w:w="504"/>
            <w:vAlign w:val="top"/>
          </w:tcPr>
          <w:p>
            <w:pPr>
              <w:spacing w:after="20" w:line="240" w:lineRule="auto"/>
            </w:pPr>
            <w:r>
              <w:rPr>
                <w:rFonts w:ascii="Arial" w:hAnsi="Arial"/>
                <w:b w:val="0"/>
                <w:color w:val="595959"/>
                <w:sz w:val="15"/>
              </w:rPr>
              <w:t>1</w:t>
            </w:r>
          </w:p>
        </w:tc>
        <w:tc>
          <w:tcPr>
            <w:tcW w:type="dxa" w:w="1080"/>
            <w:vAlign w:val="top"/>
          </w:tcPr>
          <w:p>
            <w:pPr>
              <w:spacing w:after="20" w:line="240" w:lineRule="auto"/>
            </w:pPr>
            <w:r>
              <w:rPr>
                <w:rFonts w:ascii="Arial" w:hAnsi="Arial"/>
                <w:b w:val="0"/>
                <w:color w:val="595959"/>
                <w:sz w:val="15"/>
              </w:rPr>
              <w:t>XLU</w:t>
            </w:r>
          </w:p>
        </w:tc>
        <w:tc>
          <w:tcPr>
            <w:tcW w:type="dxa" w:w="792"/>
            <w:vAlign w:val="top"/>
          </w:tcPr>
          <w:p>
            <w:pPr>
              <w:spacing w:after="20" w:line="240" w:lineRule="auto"/>
            </w:pPr>
            <w:r>
              <w:rPr>
                <w:rFonts w:ascii="Arial" w:hAnsi="Arial"/>
                <w:b w:val="0"/>
                <w:color w:val="375623"/>
                <w:sz w:val="15"/>
              </w:rPr>
              <w:t>+1.55</w:t>
            </w:r>
          </w:p>
        </w:tc>
        <w:tc>
          <w:tcPr>
            <w:tcW w:type="dxa" w:w="5112"/>
            <w:vAlign w:val="top"/>
          </w:tcPr>
          <w:p>
            <w:pPr>
              <w:spacing w:after="20" w:line="240" w:lineRule="auto"/>
            </w:pPr>
            <w:r>
              <w:rPr>
                <w:rFonts w:ascii="Arial" w:hAnsi="Arial"/>
                <w:b w:val="0"/>
                <w:color w:val="595959"/>
                <w:sz w:val="15"/>
              </w:rPr>
              <w:t>Grid and power infrastructure +1.06, Quality ex-AI cash flow +0.31, Cash and short duration +0.17</w:t>
            </w:r>
          </w:p>
        </w:tc>
        <w:tc>
          <w:tcPr>
            <w:tcW w:type="dxa" w:w="6480"/>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2</w:t>
            </w:r>
          </w:p>
        </w:tc>
        <w:tc>
          <w:tcPr>
            <w:tcW w:type="dxa" w:w="1080"/>
            <w:shd w:fill="F7F9FC"/>
            <w:vAlign w:val="top"/>
          </w:tcPr>
          <w:p>
            <w:pPr>
              <w:spacing w:after="20" w:line="240" w:lineRule="auto"/>
            </w:pPr>
            <w:r>
              <w:rPr>
                <w:rFonts w:ascii="Arial" w:hAnsi="Arial"/>
                <w:b w:val="0"/>
                <w:color w:val="595959"/>
                <w:sz w:val="15"/>
              </w:rPr>
              <w:t>XLI</w:t>
            </w:r>
          </w:p>
        </w:tc>
        <w:tc>
          <w:tcPr>
            <w:tcW w:type="dxa" w:w="792"/>
            <w:shd w:fill="F7F9FC"/>
            <w:vAlign w:val="top"/>
          </w:tcPr>
          <w:p>
            <w:pPr>
              <w:spacing w:after="20" w:line="240" w:lineRule="auto"/>
            </w:pPr>
            <w:r>
              <w:rPr>
                <w:rFonts w:ascii="Arial" w:hAnsi="Arial"/>
                <w:b w:val="0"/>
                <w:color w:val="375623"/>
                <w:sz w:val="15"/>
              </w:rPr>
              <w:t>+1.41</w:t>
            </w:r>
          </w:p>
        </w:tc>
        <w:tc>
          <w:tcPr>
            <w:tcW w:type="dxa" w:w="5112"/>
            <w:shd w:fill="F7F9FC"/>
            <w:vAlign w:val="top"/>
          </w:tcPr>
          <w:p>
            <w:pPr>
              <w:spacing w:after="20" w:line="240" w:lineRule="auto"/>
            </w:pPr>
            <w:r>
              <w:rPr>
                <w:rFonts w:ascii="Arial" w:hAnsi="Arial"/>
                <w:b w:val="0"/>
                <w:color w:val="595959"/>
                <w:sz w:val="15"/>
              </w:rPr>
              <w:t>Grid and power infrastructure +0.90, Quality ex-AI cash flow +0.31, Defense and geopolitics +0.20</w:t>
            </w:r>
          </w:p>
        </w:tc>
        <w:tc>
          <w:tcPr>
            <w:tcW w:type="dxa" w:w="6480"/>
            <w:shd w:fill="F7F9FC"/>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3</w:t>
            </w:r>
          </w:p>
        </w:tc>
        <w:tc>
          <w:tcPr>
            <w:tcW w:type="dxa" w:w="1080"/>
            <w:vAlign w:val="top"/>
          </w:tcPr>
          <w:p>
            <w:pPr>
              <w:spacing w:after="20" w:line="240" w:lineRule="auto"/>
            </w:pPr>
            <w:r>
              <w:rPr>
                <w:rFonts w:ascii="Arial" w:hAnsi="Arial"/>
                <w:b w:val="0"/>
                <w:color w:val="595959"/>
                <w:sz w:val="15"/>
              </w:rPr>
              <w:t>SHY</w:t>
            </w:r>
          </w:p>
        </w:tc>
        <w:tc>
          <w:tcPr>
            <w:tcW w:type="dxa" w:w="792"/>
            <w:vAlign w:val="top"/>
          </w:tcPr>
          <w:p>
            <w:pPr>
              <w:spacing w:after="20" w:line="240" w:lineRule="auto"/>
            </w:pPr>
            <w:r>
              <w:rPr>
                <w:rFonts w:ascii="Arial" w:hAnsi="Arial"/>
                <w:b w:val="0"/>
                <w:color w:val="375623"/>
                <w:sz w:val="15"/>
              </w:rPr>
              <w:t>+1.15</w:t>
            </w:r>
          </w:p>
        </w:tc>
        <w:tc>
          <w:tcPr>
            <w:tcW w:type="dxa" w:w="5112"/>
            <w:vAlign w:val="top"/>
          </w:tcPr>
          <w:p>
            <w:pPr>
              <w:spacing w:after="20" w:line="240" w:lineRule="auto"/>
            </w:pPr>
            <w:r>
              <w:rPr>
                <w:rFonts w:ascii="Arial" w:hAnsi="Arial"/>
                <w:b w:val="0"/>
                <w:color w:val="595959"/>
                <w:sz w:val="15"/>
              </w:rPr>
              <w:t>Cash and short duration +1.15</w:t>
            </w:r>
          </w:p>
        </w:tc>
        <w:tc>
          <w:tcPr>
            <w:tcW w:type="dxa" w:w="6480"/>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4</w:t>
            </w:r>
          </w:p>
        </w:tc>
        <w:tc>
          <w:tcPr>
            <w:tcW w:type="dxa" w:w="1080"/>
            <w:shd w:fill="F7F9FC"/>
            <w:vAlign w:val="top"/>
          </w:tcPr>
          <w:p>
            <w:pPr>
              <w:spacing w:after="20" w:line="240" w:lineRule="auto"/>
            </w:pPr>
            <w:r>
              <w:rPr>
                <w:rFonts w:ascii="Arial" w:hAnsi="Arial"/>
                <w:b w:val="0"/>
                <w:color w:val="595959"/>
                <w:sz w:val="15"/>
              </w:rPr>
              <w:t>XLV</w:t>
            </w:r>
          </w:p>
        </w:tc>
        <w:tc>
          <w:tcPr>
            <w:tcW w:type="dxa" w:w="792"/>
            <w:shd w:fill="F7F9FC"/>
            <w:vAlign w:val="top"/>
          </w:tcPr>
          <w:p>
            <w:pPr>
              <w:spacing w:after="20" w:line="240" w:lineRule="auto"/>
            </w:pPr>
            <w:r>
              <w:rPr>
                <w:rFonts w:ascii="Arial" w:hAnsi="Arial"/>
                <w:b w:val="0"/>
                <w:color w:val="375623"/>
                <w:sz w:val="15"/>
              </w:rPr>
              <w:t>+1.00</w:t>
            </w:r>
          </w:p>
        </w:tc>
        <w:tc>
          <w:tcPr>
            <w:tcW w:type="dxa" w:w="5112"/>
            <w:shd w:fill="F7F9FC"/>
            <w:vAlign w:val="top"/>
          </w:tcPr>
          <w:p>
            <w:pPr>
              <w:spacing w:after="20" w:line="240" w:lineRule="auto"/>
            </w:pPr>
            <w:r>
              <w:rPr>
                <w:rFonts w:ascii="Arial" w:hAnsi="Arial"/>
                <w:b w:val="0"/>
                <w:color w:val="595959"/>
                <w:sz w:val="15"/>
              </w:rPr>
              <w:t>Healthcare defensives +0.62, Quality ex-AI cash flow +0.38</w:t>
            </w:r>
          </w:p>
        </w:tc>
        <w:tc>
          <w:tcPr>
            <w:tcW w:type="dxa" w:w="6480"/>
            <w:shd w:fill="F7F9FC"/>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5</w:t>
            </w:r>
          </w:p>
        </w:tc>
        <w:tc>
          <w:tcPr>
            <w:tcW w:type="dxa" w:w="1080"/>
            <w:vAlign w:val="top"/>
          </w:tcPr>
          <w:p>
            <w:pPr>
              <w:spacing w:after="20" w:line="240" w:lineRule="auto"/>
            </w:pPr>
            <w:r>
              <w:rPr>
                <w:rFonts w:ascii="Arial" w:hAnsi="Arial"/>
                <w:b w:val="0"/>
                <w:color w:val="595959"/>
                <w:sz w:val="15"/>
              </w:rPr>
              <w:t>DBC</w:t>
            </w:r>
          </w:p>
        </w:tc>
        <w:tc>
          <w:tcPr>
            <w:tcW w:type="dxa" w:w="792"/>
            <w:vAlign w:val="top"/>
          </w:tcPr>
          <w:p>
            <w:pPr>
              <w:spacing w:after="20" w:line="240" w:lineRule="auto"/>
            </w:pPr>
            <w:r>
              <w:rPr>
                <w:rFonts w:ascii="Arial" w:hAnsi="Arial"/>
                <w:b w:val="0"/>
                <w:color w:val="375623"/>
                <w:sz w:val="15"/>
              </w:rPr>
              <w:t>+0.77</w:t>
            </w:r>
          </w:p>
        </w:tc>
        <w:tc>
          <w:tcPr>
            <w:tcW w:type="dxa" w:w="5112"/>
            <w:vAlign w:val="top"/>
          </w:tcPr>
          <w:p>
            <w:pPr>
              <w:spacing w:after="20" w:line="240" w:lineRule="auto"/>
            </w:pPr>
            <w:r>
              <w:rPr>
                <w:rFonts w:ascii="Arial" w:hAnsi="Arial"/>
                <w:b w:val="0"/>
                <w:color w:val="595959"/>
                <w:sz w:val="15"/>
              </w:rPr>
              <w:t>Commodities and real assets +0.66, Energy and oil beta +0.11</w:t>
            </w:r>
          </w:p>
        </w:tc>
        <w:tc>
          <w:tcPr>
            <w:tcW w:type="dxa" w:w="6480"/>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6</w:t>
            </w:r>
          </w:p>
        </w:tc>
        <w:tc>
          <w:tcPr>
            <w:tcW w:type="dxa" w:w="1080"/>
            <w:shd w:fill="F7F9FC"/>
            <w:vAlign w:val="top"/>
          </w:tcPr>
          <w:p>
            <w:pPr>
              <w:spacing w:after="20" w:line="240" w:lineRule="auto"/>
            </w:pPr>
            <w:r>
              <w:rPr>
                <w:rFonts w:ascii="Arial" w:hAnsi="Arial"/>
                <w:b w:val="0"/>
                <w:color w:val="595959"/>
                <w:sz w:val="15"/>
              </w:rPr>
              <w:t>XLE</w:t>
            </w:r>
          </w:p>
        </w:tc>
        <w:tc>
          <w:tcPr>
            <w:tcW w:type="dxa" w:w="792"/>
            <w:shd w:fill="F7F9FC"/>
            <w:vAlign w:val="top"/>
          </w:tcPr>
          <w:p>
            <w:pPr>
              <w:spacing w:after="20" w:line="240" w:lineRule="auto"/>
            </w:pPr>
            <w:r>
              <w:rPr>
                <w:rFonts w:ascii="Arial" w:hAnsi="Arial"/>
                <w:b w:val="0"/>
                <w:color w:val="375623"/>
                <w:sz w:val="15"/>
              </w:rPr>
              <w:t>+0.51</w:t>
            </w:r>
          </w:p>
        </w:tc>
        <w:tc>
          <w:tcPr>
            <w:tcW w:type="dxa" w:w="5112"/>
            <w:shd w:fill="F7F9FC"/>
            <w:vAlign w:val="top"/>
          </w:tcPr>
          <w:p>
            <w:pPr>
              <w:spacing w:after="20" w:line="240" w:lineRule="auto"/>
            </w:pPr>
            <w:r>
              <w:rPr>
                <w:rFonts w:ascii="Arial" w:hAnsi="Arial"/>
                <w:b w:val="0"/>
                <w:color w:val="595959"/>
                <w:sz w:val="15"/>
              </w:rPr>
              <w:t>Energy and oil beta +0.28, Commodities and real assets +0.24</w:t>
            </w:r>
          </w:p>
        </w:tc>
        <w:tc>
          <w:tcPr>
            <w:tcW w:type="dxa" w:w="6480"/>
            <w:shd w:fill="F7F9FC"/>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7</w:t>
            </w:r>
          </w:p>
        </w:tc>
        <w:tc>
          <w:tcPr>
            <w:tcW w:type="dxa" w:w="1080"/>
            <w:vAlign w:val="top"/>
          </w:tcPr>
          <w:p>
            <w:pPr>
              <w:spacing w:after="20" w:line="240" w:lineRule="auto"/>
            </w:pPr>
            <w:r>
              <w:rPr>
                <w:rFonts w:ascii="Arial" w:hAnsi="Arial"/>
                <w:b w:val="0"/>
                <w:color w:val="595959"/>
                <w:sz w:val="15"/>
              </w:rPr>
              <w:t>XLK</w:t>
            </w:r>
          </w:p>
        </w:tc>
        <w:tc>
          <w:tcPr>
            <w:tcW w:type="dxa" w:w="792"/>
            <w:vAlign w:val="top"/>
          </w:tcPr>
          <w:p>
            <w:pPr>
              <w:spacing w:after="20" w:line="240" w:lineRule="auto"/>
            </w:pPr>
            <w:r>
              <w:rPr>
                <w:rFonts w:ascii="Arial" w:hAnsi="Arial"/>
                <w:b w:val="0"/>
                <w:color w:val="375623"/>
                <w:sz w:val="15"/>
              </w:rPr>
              <w:t>+0.38</w:t>
            </w:r>
          </w:p>
        </w:tc>
        <w:tc>
          <w:tcPr>
            <w:tcW w:type="dxa" w:w="5112"/>
            <w:vAlign w:val="top"/>
          </w:tcPr>
          <w:p>
            <w:pPr>
              <w:spacing w:after="20" w:line="240" w:lineRule="auto"/>
            </w:pPr>
            <w:r>
              <w:rPr>
                <w:rFonts w:ascii="Arial" w:hAnsi="Arial"/>
                <w:b w:val="0"/>
                <w:color w:val="595959"/>
                <w:sz w:val="15"/>
              </w:rPr>
              <w:t>Quality AI leaders +0.46, Long-duration growth -0.07, High-beta AI semiconductors -0.04</w:t>
            </w:r>
          </w:p>
        </w:tc>
        <w:tc>
          <w:tcPr>
            <w:tcW w:type="dxa" w:w="6480"/>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8</w:t>
            </w:r>
          </w:p>
        </w:tc>
        <w:tc>
          <w:tcPr>
            <w:tcW w:type="dxa" w:w="1080"/>
            <w:shd w:fill="F7F9FC"/>
            <w:vAlign w:val="top"/>
          </w:tcPr>
          <w:p>
            <w:pPr>
              <w:spacing w:after="20" w:line="240" w:lineRule="auto"/>
            </w:pPr>
            <w:r>
              <w:rPr>
                <w:rFonts w:ascii="Arial" w:hAnsi="Arial"/>
                <w:b w:val="0"/>
                <w:color w:val="595959"/>
                <w:sz w:val="15"/>
              </w:rPr>
              <w:t>SMH</w:t>
            </w:r>
          </w:p>
        </w:tc>
        <w:tc>
          <w:tcPr>
            <w:tcW w:type="dxa" w:w="792"/>
            <w:shd w:fill="F7F9FC"/>
            <w:vAlign w:val="top"/>
          </w:tcPr>
          <w:p>
            <w:pPr>
              <w:spacing w:after="20" w:line="240" w:lineRule="auto"/>
            </w:pPr>
            <w:r>
              <w:rPr>
                <w:rFonts w:ascii="Arial" w:hAnsi="Arial"/>
                <w:b w:val="0"/>
                <w:color w:val="375623"/>
                <w:sz w:val="15"/>
              </w:rPr>
              <w:t>+0.20</w:t>
            </w:r>
          </w:p>
        </w:tc>
        <w:tc>
          <w:tcPr>
            <w:tcW w:type="dxa" w:w="5112"/>
            <w:shd w:fill="F7F9FC"/>
            <w:vAlign w:val="top"/>
          </w:tcPr>
          <w:p>
            <w:pPr>
              <w:spacing w:after="20" w:line="240" w:lineRule="auto"/>
            </w:pPr>
            <w:r>
              <w:rPr>
                <w:rFonts w:ascii="Arial" w:hAnsi="Arial"/>
                <w:b w:val="0"/>
                <w:color w:val="595959"/>
                <w:sz w:val="15"/>
              </w:rPr>
              <w:t>Quality AI leaders +0.26, High-beta AI semiconductors -0.09, Memory semiconductors +0.03</w:t>
            </w:r>
          </w:p>
        </w:tc>
        <w:tc>
          <w:tcPr>
            <w:tcW w:type="dxa" w:w="6480"/>
            <w:shd w:fill="F7F9FC"/>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9</w:t>
            </w:r>
          </w:p>
        </w:tc>
        <w:tc>
          <w:tcPr>
            <w:tcW w:type="dxa" w:w="1080"/>
            <w:vAlign w:val="top"/>
          </w:tcPr>
          <w:p>
            <w:pPr>
              <w:spacing w:after="20" w:line="240" w:lineRule="auto"/>
            </w:pPr>
            <w:r>
              <w:rPr>
                <w:rFonts w:ascii="Arial" w:hAnsi="Arial"/>
                <w:b w:val="0"/>
                <w:color w:val="595959"/>
                <w:sz w:val="15"/>
              </w:rPr>
              <w:t>IWM</w:t>
            </w:r>
          </w:p>
        </w:tc>
        <w:tc>
          <w:tcPr>
            <w:tcW w:type="dxa" w:w="792"/>
            <w:vAlign w:val="top"/>
          </w:tcPr>
          <w:p>
            <w:pPr>
              <w:spacing w:after="20" w:line="240" w:lineRule="auto"/>
            </w:pPr>
            <w:r>
              <w:rPr>
                <w:rFonts w:ascii="Arial" w:hAnsi="Arial"/>
                <w:b w:val="0"/>
                <w:color w:val="C00000"/>
                <w:sz w:val="15"/>
              </w:rPr>
              <w:t>-0.81</w:t>
            </w:r>
          </w:p>
        </w:tc>
        <w:tc>
          <w:tcPr>
            <w:tcW w:type="dxa" w:w="5112"/>
            <w:vAlign w:val="top"/>
          </w:tcPr>
          <w:p>
            <w:pPr>
              <w:spacing w:after="20" w:line="240" w:lineRule="auto"/>
            </w:pPr>
            <w:r>
              <w:rPr>
                <w:rFonts w:ascii="Arial" w:hAnsi="Arial"/>
                <w:b w:val="0"/>
                <w:color w:val="595959"/>
                <w:sz w:val="15"/>
              </w:rPr>
              <w:t>Small caps -0.72, Long-duration growth -0.09</w:t>
            </w:r>
          </w:p>
        </w:tc>
        <w:tc>
          <w:tcPr>
            <w:tcW w:type="dxa" w:w="6480"/>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bl>
    <w:p>
      <w:pPr>
        <w:spacing w:after="120"/>
      </w:pPr>
    </w:p>
    <w:p>
      <w:pPr>
        <w:spacing w:before="320" w:after="140"/>
      </w:pPr>
      <w:r>
        <w:rPr>
          <w:rFonts w:ascii="Arial" w:hAnsi="Arial"/>
          <w:b/>
          <w:color w:val="1F4E79"/>
          <w:sz w:val="28"/>
        </w:rPr>
        <w:t>Factor Rankings</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504"/>
            <w:shd w:fill="1F4E79"/>
            <w:vAlign w:val="top"/>
          </w:tcPr>
          <w:p>
            <w:pPr>
              <w:spacing w:after="20" w:line="240" w:lineRule="auto"/>
            </w:pPr>
            <w:r>
              <w:rPr>
                <w:rFonts w:ascii="Arial" w:hAnsi="Arial"/>
                <w:b/>
                <w:color w:val="FFFFFF"/>
                <w:sz w:val="15"/>
              </w:rPr>
              <w:t>Rank</w:t>
            </w:r>
          </w:p>
        </w:tc>
        <w:tc>
          <w:tcPr>
            <w:tcW w:type="dxa" w:w="1512"/>
            <w:shd w:fill="1F4E79"/>
            <w:vAlign w:val="top"/>
          </w:tcPr>
          <w:p>
            <w:pPr>
              <w:spacing w:after="20" w:line="240" w:lineRule="auto"/>
            </w:pPr>
            <w:r>
              <w:rPr>
                <w:rFonts w:ascii="Arial" w:hAnsi="Arial"/>
                <w:b/>
                <w:color w:val="FFFFFF"/>
                <w:sz w:val="15"/>
              </w:rPr>
              <w:t>Factor</w:t>
            </w:r>
          </w:p>
        </w:tc>
        <w:tc>
          <w:tcPr>
            <w:tcW w:type="dxa" w:w="792"/>
            <w:shd w:fill="1F4E79"/>
            <w:vAlign w:val="top"/>
          </w:tcPr>
          <w:p>
            <w:pPr>
              <w:spacing w:after="20" w:line="240" w:lineRule="auto"/>
            </w:pPr>
            <w:r>
              <w:rPr>
                <w:rFonts w:ascii="Arial" w:hAnsi="Arial"/>
                <w:b/>
                <w:color w:val="FFFFFF"/>
                <w:sz w:val="15"/>
              </w:rPr>
              <w:t>Score</w:t>
            </w:r>
          </w:p>
        </w:tc>
        <w:tc>
          <w:tcPr>
            <w:tcW w:type="dxa" w:w="4824"/>
            <w:shd w:fill="1F4E79"/>
            <w:vAlign w:val="top"/>
          </w:tcPr>
          <w:p>
            <w:pPr>
              <w:spacing w:after="20" w:line="240" w:lineRule="auto"/>
            </w:pPr>
            <w:r>
              <w:rPr>
                <w:rFonts w:ascii="Arial" w:hAnsi="Arial"/>
                <w:b/>
                <w:color w:val="FFFFFF"/>
                <w:sz w:val="15"/>
              </w:rPr>
              <w:t>Top Drivers</w:t>
            </w:r>
          </w:p>
        </w:tc>
        <w:tc>
          <w:tcPr>
            <w:tcW w:type="dxa" w:w="6048"/>
            <w:shd w:fill="1F4E79"/>
            <w:vAlign w:val="top"/>
          </w:tcPr>
          <w:p>
            <w:pPr>
              <w:spacing w:after="20" w:line="240" w:lineRule="auto"/>
            </w:pPr>
            <w:r>
              <w:rPr>
                <w:rFonts w:ascii="Arial" w:hAnsi="Arial"/>
                <w:b/>
                <w:color w:val="FFFFFF"/>
                <w:sz w:val="15"/>
              </w:rPr>
              <w:t>Formula Notes</w:t>
            </w:r>
          </w:p>
        </w:tc>
      </w:tr>
      <w:tr>
        <w:tc>
          <w:tcPr>
            <w:tcW w:type="dxa" w:w="504"/>
            <w:vAlign w:val="top"/>
          </w:tcPr>
          <w:p>
            <w:pPr>
              <w:spacing w:after="20" w:line="240" w:lineRule="auto"/>
            </w:pPr>
            <w:r>
              <w:rPr>
                <w:rFonts w:ascii="Arial" w:hAnsi="Arial"/>
                <w:b w:val="0"/>
                <w:color w:val="595959"/>
                <w:sz w:val="15"/>
              </w:rPr>
              <w:t>1</w:t>
            </w:r>
          </w:p>
        </w:tc>
        <w:tc>
          <w:tcPr>
            <w:tcW w:type="dxa" w:w="1512"/>
            <w:vAlign w:val="top"/>
          </w:tcPr>
          <w:p>
            <w:pPr>
              <w:spacing w:after="20" w:line="240" w:lineRule="auto"/>
            </w:pPr>
            <w:r>
              <w:rPr>
                <w:rFonts w:ascii="Arial" w:hAnsi="Arial"/>
                <w:b w:val="0"/>
                <w:color w:val="595959"/>
                <w:sz w:val="15"/>
              </w:rPr>
              <w:t>Cash and carry</w:t>
            </w:r>
          </w:p>
        </w:tc>
        <w:tc>
          <w:tcPr>
            <w:tcW w:type="dxa" w:w="792"/>
            <w:vAlign w:val="top"/>
          </w:tcPr>
          <w:p>
            <w:pPr>
              <w:spacing w:after="20" w:line="240" w:lineRule="auto"/>
            </w:pPr>
            <w:r>
              <w:rPr>
                <w:rFonts w:ascii="Arial" w:hAnsi="Arial"/>
                <w:b w:val="0"/>
                <w:color w:val="375623"/>
                <w:sz w:val="15"/>
              </w:rPr>
              <w:t>+1.15</w:t>
            </w:r>
          </w:p>
        </w:tc>
        <w:tc>
          <w:tcPr>
            <w:tcW w:type="dxa" w:w="4824"/>
            <w:vAlign w:val="top"/>
          </w:tcPr>
          <w:p>
            <w:pPr>
              <w:spacing w:after="20" w:line="240" w:lineRule="auto"/>
            </w:pPr>
            <w:r>
              <w:rPr>
                <w:rFonts w:ascii="Arial" w:hAnsi="Arial"/>
                <w:b w:val="0"/>
                <w:color w:val="595959"/>
                <w:sz w:val="15"/>
              </w:rPr>
              <w:t>Cash and short duration +1.15</w:t>
            </w:r>
          </w:p>
        </w:tc>
        <w:tc>
          <w:tcPr>
            <w:tcW w:type="dxa" w:w="6048"/>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2</w:t>
            </w:r>
          </w:p>
        </w:tc>
        <w:tc>
          <w:tcPr>
            <w:tcW w:type="dxa" w:w="1512"/>
            <w:shd w:fill="F7F9FC"/>
            <w:vAlign w:val="top"/>
          </w:tcPr>
          <w:p>
            <w:pPr>
              <w:spacing w:after="20" w:line="240" w:lineRule="auto"/>
            </w:pPr>
            <w:r>
              <w:rPr>
                <w:rFonts w:ascii="Arial" w:hAnsi="Arial"/>
                <w:b w:val="0"/>
                <w:color w:val="595959"/>
                <w:sz w:val="15"/>
              </w:rPr>
              <w:t>Quality</w:t>
            </w:r>
          </w:p>
        </w:tc>
        <w:tc>
          <w:tcPr>
            <w:tcW w:type="dxa" w:w="792"/>
            <w:shd w:fill="F7F9FC"/>
            <w:vAlign w:val="top"/>
          </w:tcPr>
          <w:p>
            <w:pPr>
              <w:spacing w:after="20" w:line="240" w:lineRule="auto"/>
            </w:pPr>
            <w:r>
              <w:rPr>
                <w:rFonts w:ascii="Arial" w:hAnsi="Arial"/>
                <w:b w:val="0"/>
                <w:color w:val="375623"/>
                <w:sz w:val="15"/>
              </w:rPr>
              <w:t>+1.14</w:t>
            </w:r>
          </w:p>
        </w:tc>
        <w:tc>
          <w:tcPr>
            <w:tcW w:type="dxa" w:w="4824"/>
            <w:shd w:fill="F7F9FC"/>
            <w:vAlign w:val="top"/>
          </w:tcPr>
          <w:p>
            <w:pPr>
              <w:spacing w:after="20" w:line="240" w:lineRule="auto"/>
            </w:pPr>
            <w:r>
              <w:rPr>
                <w:rFonts w:ascii="Arial" w:hAnsi="Arial"/>
                <w:b w:val="0"/>
                <w:color w:val="595959"/>
                <w:sz w:val="15"/>
              </w:rPr>
              <w:t>Quality ex-AI cash flow +0.54, Quality AI leaders +0.36, Healthcare defensives +0.25</w:t>
            </w:r>
          </w:p>
        </w:tc>
        <w:tc>
          <w:tcPr>
            <w:tcW w:type="dxa" w:w="6048"/>
            <w:shd w:fill="F7F9FC"/>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3</w:t>
            </w:r>
          </w:p>
        </w:tc>
        <w:tc>
          <w:tcPr>
            <w:tcW w:type="dxa" w:w="1512"/>
            <w:vAlign w:val="top"/>
          </w:tcPr>
          <w:p>
            <w:pPr>
              <w:spacing w:after="20" w:line="240" w:lineRule="auto"/>
            </w:pPr>
            <w:r>
              <w:rPr>
                <w:rFonts w:ascii="Arial" w:hAnsi="Arial"/>
                <w:b w:val="0"/>
                <w:color w:val="595959"/>
                <w:sz w:val="15"/>
              </w:rPr>
              <w:t>Defensive factor</w:t>
            </w:r>
          </w:p>
        </w:tc>
        <w:tc>
          <w:tcPr>
            <w:tcW w:type="dxa" w:w="792"/>
            <w:vAlign w:val="top"/>
          </w:tcPr>
          <w:p>
            <w:pPr>
              <w:spacing w:after="20" w:line="240" w:lineRule="auto"/>
            </w:pPr>
            <w:r>
              <w:rPr>
                <w:rFonts w:ascii="Arial" w:hAnsi="Arial"/>
                <w:b w:val="0"/>
                <w:color w:val="375623"/>
                <w:sz w:val="15"/>
              </w:rPr>
              <w:t>+1.08</w:t>
            </w:r>
          </w:p>
        </w:tc>
        <w:tc>
          <w:tcPr>
            <w:tcW w:type="dxa" w:w="4824"/>
            <w:vAlign w:val="top"/>
          </w:tcPr>
          <w:p>
            <w:pPr>
              <w:spacing w:after="20" w:line="240" w:lineRule="auto"/>
            </w:pPr>
            <w:r>
              <w:rPr>
                <w:rFonts w:ascii="Arial" w:hAnsi="Arial"/>
                <w:b w:val="0"/>
                <w:color w:val="595959"/>
                <w:sz w:val="15"/>
              </w:rPr>
              <w:t>Cash and short duration +0.40, Healthcare defensives +0.37, Quality ex-AI cash flow +0.31</w:t>
            </w:r>
          </w:p>
        </w:tc>
        <w:tc>
          <w:tcPr>
            <w:tcW w:type="dxa" w:w="6048"/>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4</w:t>
            </w:r>
          </w:p>
        </w:tc>
        <w:tc>
          <w:tcPr>
            <w:tcW w:type="dxa" w:w="1512"/>
            <w:shd w:fill="F7F9FC"/>
            <w:vAlign w:val="top"/>
          </w:tcPr>
          <w:p>
            <w:pPr>
              <w:spacing w:after="20" w:line="240" w:lineRule="auto"/>
            </w:pPr>
            <w:r>
              <w:rPr>
                <w:rFonts w:ascii="Arial" w:hAnsi="Arial"/>
                <w:b w:val="0"/>
                <w:color w:val="595959"/>
                <w:sz w:val="15"/>
              </w:rPr>
              <w:t>Commodity beta</w:t>
            </w:r>
          </w:p>
        </w:tc>
        <w:tc>
          <w:tcPr>
            <w:tcW w:type="dxa" w:w="792"/>
            <w:shd w:fill="F7F9FC"/>
            <w:vAlign w:val="top"/>
          </w:tcPr>
          <w:p>
            <w:pPr>
              <w:spacing w:after="20" w:line="240" w:lineRule="auto"/>
            </w:pPr>
            <w:r>
              <w:rPr>
                <w:rFonts w:ascii="Arial" w:hAnsi="Arial"/>
                <w:b w:val="0"/>
                <w:color w:val="375623"/>
                <w:sz w:val="15"/>
              </w:rPr>
              <w:t>+0.69</w:t>
            </w:r>
          </w:p>
        </w:tc>
        <w:tc>
          <w:tcPr>
            <w:tcW w:type="dxa" w:w="4824"/>
            <w:shd w:fill="F7F9FC"/>
            <w:vAlign w:val="top"/>
          </w:tcPr>
          <w:p>
            <w:pPr>
              <w:spacing w:after="20" w:line="240" w:lineRule="auto"/>
            </w:pPr>
            <w:r>
              <w:rPr>
                <w:rFonts w:ascii="Arial" w:hAnsi="Arial"/>
                <w:b w:val="0"/>
                <w:color w:val="595959"/>
                <w:sz w:val="15"/>
              </w:rPr>
              <w:t>Commodities and real assets +0.52, Energy and oil beta +0.17</w:t>
            </w:r>
          </w:p>
        </w:tc>
        <w:tc>
          <w:tcPr>
            <w:tcW w:type="dxa" w:w="6048"/>
            <w:shd w:fill="F7F9FC"/>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5</w:t>
            </w:r>
          </w:p>
        </w:tc>
        <w:tc>
          <w:tcPr>
            <w:tcW w:type="dxa" w:w="1512"/>
            <w:vAlign w:val="top"/>
          </w:tcPr>
          <w:p>
            <w:pPr>
              <w:spacing w:after="20" w:line="240" w:lineRule="auto"/>
            </w:pPr>
            <w:r>
              <w:rPr>
                <w:rFonts w:ascii="Arial" w:hAnsi="Arial"/>
                <w:b w:val="0"/>
                <w:color w:val="595959"/>
                <w:sz w:val="15"/>
              </w:rPr>
              <w:t>High beta growth</w:t>
            </w:r>
          </w:p>
        </w:tc>
        <w:tc>
          <w:tcPr>
            <w:tcW w:type="dxa" w:w="792"/>
            <w:vAlign w:val="top"/>
          </w:tcPr>
          <w:p>
            <w:pPr>
              <w:spacing w:after="20" w:line="240" w:lineRule="auto"/>
            </w:pPr>
            <w:r>
              <w:rPr>
                <w:rFonts w:ascii="Arial" w:hAnsi="Arial"/>
                <w:b w:val="0"/>
                <w:color w:val="C00000"/>
                <w:sz w:val="15"/>
              </w:rPr>
              <w:t>-0.26</w:t>
            </w:r>
          </w:p>
        </w:tc>
        <w:tc>
          <w:tcPr>
            <w:tcW w:type="dxa" w:w="4824"/>
            <w:vAlign w:val="top"/>
          </w:tcPr>
          <w:p>
            <w:pPr>
              <w:spacing w:after="20" w:line="240" w:lineRule="auto"/>
            </w:pPr>
            <w:r>
              <w:rPr>
                <w:rFonts w:ascii="Arial" w:hAnsi="Arial"/>
                <w:b w:val="0"/>
                <w:color w:val="595959"/>
                <w:sz w:val="15"/>
              </w:rPr>
              <w:t>Small caps -0.14, Long-duration growth -0.11, High-beta AI semiconductors -0.06</w:t>
            </w:r>
          </w:p>
        </w:tc>
        <w:tc>
          <w:tcPr>
            <w:tcW w:type="dxa" w:w="6048"/>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6</w:t>
            </w:r>
          </w:p>
        </w:tc>
        <w:tc>
          <w:tcPr>
            <w:tcW w:type="dxa" w:w="1512"/>
            <w:shd w:fill="F7F9FC"/>
            <w:vAlign w:val="top"/>
          </w:tcPr>
          <w:p>
            <w:pPr>
              <w:spacing w:after="20" w:line="240" w:lineRule="auto"/>
            </w:pPr>
            <w:r>
              <w:rPr>
                <w:rFonts w:ascii="Arial" w:hAnsi="Arial"/>
                <w:b w:val="0"/>
                <w:color w:val="595959"/>
                <w:sz w:val="15"/>
              </w:rPr>
              <w:t>Duration sensitivity</w:t>
            </w:r>
          </w:p>
        </w:tc>
        <w:tc>
          <w:tcPr>
            <w:tcW w:type="dxa" w:w="792"/>
            <w:shd w:fill="F7F9FC"/>
            <w:vAlign w:val="top"/>
          </w:tcPr>
          <w:p>
            <w:pPr>
              <w:spacing w:after="20" w:line="240" w:lineRule="auto"/>
            </w:pPr>
            <w:r>
              <w:rPr>
                <w:rFonts w:ascii="Arial" w:hAnsi="Arial"/>
                <w:b w:val="0"/>
                <w:color w:val="C00000"/>
                <w:sz w:val="15"/>
              </w:rPr>
              <w:t>-0.59</w:t>
            </w:r>
          </w:p>
        </w:tc>
        <w:tc>
          <w:tcPr>
            <w:tcW w:type="dxa" w:w="4824"/>
            <w:shd w:fill="F7F9FC"/>
            <w:vAlign w:val="top"/>
          </w:tcPr>
          <w:p>
            <w:pPr>
              <w:spacing w:after="20" w:line="240" w:lineRule="auto"/>
            </w:pPr>
            <w:r>
              <w:rPr>
                <w:rFonts w:ascii="Arial" w:hAnsi="Arial"/>
                <w:b w:val="0"/>
                <w:color w:val="595959"/>
                <w:sz w:val="15"/>
              </w:rPr>
              <w:t>Long-duration growth -0.32, Small caps -0.27</w:t>
            </w:r>
          </w:p>
        </w:tc>
        <w:tc>
          <w:tcPr>
            <w:tcW w:type="dxa" w:w="6048"/>
            <w:shd w:fill="F7F9FC"/>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7</w:t>
            </w:r>
          </w:p>
        </w:tc>
        <w:tc>
          <w:tcPr>
            <w:tcW w:type="dxa" w:w="1512"/>
            <w:vAlign w:val="top"/>
          </w:tcPr>
          <w:p>
            <w:pPr>
              <w:spacing w:after="20" w:line="240" w:lineRule="auto"/>
            </w:pPr>
            <w:r>
              <w:rPr>
                <w:rFonts w:ascii="Arial" w:hAnsi="Arial"/>
                <w:b w:val="0"/>
                <w:color w:val="595959"/>
                <w:sz w:val="15"/>
              </w:rPr>
              <w:t>Small-cap beta</w:t>
            </w:r>
          </w:p>
        </w:tc>
        <w:tc>
          <w:tcPr>
            <w:tcW w:type="dxa" w:w="792"/>
            <w:vAlign w:val="top"/>
          </w:tcPr>
          <w:p>
            <w:pPr>
              <w:spacing w:after="20" w:line="240" w:lineRule="auto"/>
            </w:pPr>
            <w:r>
              <w:rPr>
                <w:rFonts w:ascii="Arial" w:hAnsi="Arial"/>
                <w:b w:val="0"/>
                <w:color w:val="C00000"/>
                <w:sz w:val="15"/>
              </w:rPr>
              <w:t>-0.90</w:t>
            </w:r>
          </w:p>
        </w:tc>
        <w:tc>
          <w:tcPr>
            <w:tcW w:type="dxa" w:w="4824"/>
            <w:vAlign w:val="top"/>
          </w:tcPr>
          <w:p>
            <w:pPr>
              <w:spacing w:after="20" w:line="240" w:lineRule="auto"/>
            </w:pPr>
            <w:r>
              <w:rPr>
                <w:rFonts w:ascii="Arial" w:hAnsi="Arial"/>
                <w:b w:val="0"/>
                <w:color w:val="595959"/>
                <w:sz w:val="15"/>
              </w:rPr>
              <w:t>Small caps -0.90</w:t>
            </w:r>
          </w:p>
        </w:tc>
        <w:tc>
          <w:tcPr>
            <w:tcW w:type="dxa" w:w="6048"/>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bl>
    <w:p>
      <w:pPr>
        <w:spacing w:after="120"/>
      </w:pPr>
    </w:p>
    <w:p>
      <w:pPr>
        <w:spacing w:before="320" w:after="140"/>
      </w:pPr>
      <w:r>
        <w:rPr>
          <w:rFonts w:ascii="Arial" w:hAnsi="Arial"/>
          <w:b/>
          <w:color w:val="1F4E79"/>
          <w:sz w:val="28"/>
        </w:rPr>
        <w:t>Probability Shifters / Watchlist</w:t>
      </w:r>
    </w:p>
    <w:p>
      <w:pPr>
        <w:spacing w:before="180" w:after="80"/>
      </w:pPr>
      <w:r>
        <w:rPr>
          <w:rFonts w:ascii="Arial" w:hAnsi="Arial"/>
          <w:b/>
          <w:color w:val="2E75B6"/>
          <w:sz w:val="21"/>
        </w:rPr>
        <w:t>Sticky Late Cycle AI</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Current probability</w:t>
            </w:r>
          </w:p>
        </w:tc>
        <w:tc>
          <w:tcPr>
            <w:tcW w:type="dxa" w:w="11520"/>
            <w:vAlign w:val="top"/>
          </w:tcPr>
          <w:p>
            <w:pPr>
              <w:spacing w:after="20" w:line="240" w:lineRule="auto"/>
            </w:pPr>
            <w:r>
              <w:rPr>
                <w:rFonts w:ascii="Arial" w:hAnsi="Arial"/>
                <w:b w:val="0"/>
                <w:color w:val="595959"/>
                <w:sz w:val="15"/>
              </w:rPr>
              <w:t>36.24%</w:t>
            </w:r>
          </w:p>
        </w:tc>
      </w:tr>
      <w:tr>
        <w:tc>
          <w:tcPr>
            <w:tcW w:type="dxa" w:w="2160"/>
            <w:shd w:fill="EAF2F8"/>
            <w:vAlign w:val="top"/>
          </w:tcPr>
          <w:p>
            <w:pPr>
              <w:spacing w:after="20" w:line="240" w:lineRule="auto"/>
            </w:pPr>
            <w:r>
              <w:rPr>
                <w:rFonts w:ascii="Arial" w:hAnsi="Arial"/>
                <w:b/>
                <w:color w:val="1F4E79"/>
                <w:sz w:val="15"/>
              </w:rPr>
              <w:t>Would increase if</w:t>
            </w:r>
          </w:p>
        </w:tc>
        <w:tc>
          <w:tcPr>
            <w:tcW w:type="dxa" w:w="11520"/>
            <w:vAlign w:val="top"/>
          </w:tcPr>
          <w:p>
            <w:pPr>
              <w:spacing w:after="20" w:line="240" w:lineRule="auto"/>
            </w:pPr>
            <w:r>
              <w:rPr>
                <w:rFonts w:ascii="Arial" w:hAnsi="Arial"/>
                <w:b w:val="0"/>
                <w:color w:val="C00000"/>
                <w:sz w:val="15"/>
              </w:rPr>
              <w:t>- Breadth remains weak while AI earnings revisions stay positive.</w:t>
              <w:br/>
              <w:t>- Fed hold/hike odds remain elevated.</w:t>
              <w:br/>
              <w:t>- Credit stays contained and hyperscaler capex guidance remains resilient.</w:t>
            </w:r>
          </w:p>
        </w:tc>
      </w:tr>
      <w:tr>
        <w:tc>
          <w:tcPr>
            <w:tcW w:type="dxa" w:w="2160"/>
            <w:shd w:fill="EAF2F8"/>
            <w:vAlign w:val="top"/>
          </w:tcPr>
          <w:p>
            <w:pPr>
              <w:spacing w:after="20" w:line="240" w:lineRule="auto"/>
            </w:pPr>
            <w:r>
              <w:rPr>
                <w:rFonts w:ascii="Arial" w:hAnsi="Arial"/>
                <w:b/>
                <w:color w:val="1F4E79"/>
                <w:sz w:val="15"/>
              </w:rPr>
              <w:t>Would decrease if</w:t>
            </w:r>
          </w:p>
        </w:tc>
        <w:tc>
          <w:tcPr>
            <w:tcW w:type="dxa" w:w="11520"/>
            <w:vAlign w:val="top"/>
          </w:tcPr>
          <w:p>
            <w:pPr>
              <w:spacing w:after="20" w:line="240" w:lineRule="auto"/>
            </w:pPr>
            <w:r>
              <w:rPr>
                <w:rFonts w:ascii="Arial" w:hAnsi="Arial"/>
                <w:b w:val="0"/>
                <w:color w:val="C00000"/>
                <w:sz w:val="15"/>
              </w:rPr>
              <w:t>- Breadth broadens materially with equal-weight and small-cap leadership.</w:t>
              <w:br/>
              <w:t>- Fed cut probabilities rise.</w:t>
              <w:br/>
              <w:t>- AI capex guidance weakens or infrastructure leaders lose relative strength.</w:t>
            </w:r>
          </w:p>
        </w:tc>
      </w:tr>
      <w:tr>
        <w:tc>
          <w:tcPr>
            <w:tcW w:type="dxa" w:w="2160"/>
            <w:shd w:fill="EAF2F8"/>
            <w:vAlign w:val="top"/>
          </w:tcPr>
          <w:p>
            <w:pPr>
              <w:spacing w:after="20" w:line="240" w:lineRule="auto"/>
            </w:pPr>
            <w:r>
              <w:rPr>
                <w:rFonts w:ascii="Arial" w:hAnsi="Arial"/>
                <w:b/>
                <w:color w:val="1F4E79"/>
                <w:sz w:val="15"/>
              </w:rPr>
              <w:t>Key inputs to watch</w:t>
            </w:r>
          </w:p>
        </w:tc>
        <w:tc>
          <w:tcPr>
            <w:tcW w:type="dxa" w:w="11520"/>
            <w:vAlign w:val="top"/>
          </w:tcPr>
          <w:p>
            <w:pPr>
              <w:spacing w:after="20" w:line="240" w:lineRule="auto"/>
            </w:pPr>
            <w:r>
              <w:rPr>
                <w:rFonts w:ascii="Arial" w:hAnsi="Arial"/>
                <w:b w:val="0"/>
                <w:color w:val="595959"/>
                <w:sz w:val="15"/>
              </w:rPr>
              <w:t>market_breadth, fed_path, ai_earnings_resilience, hyperscaler_capex_falsifier_not_triggered</w:t>
            </w:r>
          </w:p>
        </w:tc>
      </w:tr>
      <w:tr>
        <w:tc>
          <w:tcPr>
            <w:tcW w:type="dxa" w:w="2160"/>
            <w:shd w:fill="EAF2F8"/>
            <w:vAlign w:val="top"/>
          </w:tcPr>
          <w:p>
            <w:pPr>
              <w:spacing w:after="20" w:line="240" w:lineRule="auto"/>
            </w:pPr>
            <w:r>
              <w:rPr>
                <w:rFonts w:ascii="Arial" w:hAnsi="Arial"/>
                <w:b/>
                <w:color w:val="1F4E79"/>
                <w:sz w:val="15"/>
              </w:rPr>
              <w:t>Floor/cap note</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Reopening / Soft Landing</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Current probability</w:t>
            </w:r>
          </w:p>
        </w:tc>
        <w:tc>
          <w:tcPr>
            <w:tcW w:type="dxa" w:w="11520"/>
            <w:vAlign w:val="top"/>
          </w:tcPr>
          <w:p>
            <w:pPr>
              <w:spacing w:after="20" w:line="240" w:lineRule="auto"/>
            </w:pPr>
            <w:r>
              <w:rPr>
                <w:rFonts w:ascii="Arial" w:hAnsi="Arial"/>
                <w:b w:val="0"/>
                <w:color w:val="595959"/>
                <w:sz w:val="15"/>
              </w:rPr>
              <w:t>31.07%</w:t>
            </w:r>
          </w:p>
        </w:tc>
      </w:tr>
      <w:tr>
        <w:tc>
          <w:tcPr>
            <w:tcW w:type="dxa" w:w="2160"/>
            <w:shd w:fill="EAF2F8"/>
            <w:vAlign w:val="top"/>
          </w:tcPr>
          <w:p>
            <w:pPr>
              <w:spacing w:after="20" w:line="240" w:lineRule="auto"/>
            </w:pPr>
            <w:r>
              <w:rPr>
                <w:rFonts w:ascii="Arial" w:hAnsi="Arial"/>
                <w:b/>
                <w:color w:val="1F4E79"/>
                <w:sz w:val="15"/>
              </w:rPr>
              <w:t>Would increase if</w:t>
            </w:r>
          </w:p>
        </w:tc>
        <w:tc>
          <w:tcPr>
            <w:tcW w:type="dxa" w:w="11520"/>
            <w:vAlign w:val="top"/>
          </w:tcPr>
          <w:p>
            <w:pPr>
              <w:spacing w:after="20" w:line="240" w:lineRule="auto"/>
            </w:pPr>
            <w:r>
              <w:rPr>
                <w:rFonts w:ascii="Arial" w:hAnsi="Arial"/>
                <w:b w:val="0"/>
                <w:color w:val="C00000"/>
                <w:sz w:val="15"/>
              </w:rPr>
              <w:t>- RSP begins outperforming SPY and small caps outperform.</w:t>
              <w:br/>
              <w:t>- Credit remains tight while Fed cut optionality rises.</w:t>
              <w:br/>
              <w:t>- Oil risk premium fades without growth deterioration.</w:t>
            </w:r>
          </w:p>
        </w:tc>
      </w:tr>
      <w:tr>
        <w:tc>
          <w:tcPr>
            <w:tcW w:type="dxa" w:w="2160"/>
            <w:shd w:fill="EAF2F8"/>
            <w:vAlign w:val="top"/>
          </w:tcPr>
          <w:p>
            <w:pPr>
              <w:spacing w:after="20" w:line="240" w:lineRule="auto"/>
            </w:pPr>
            <w:r>
              <w:rPr>
                <w:rFonts w:ascii="Arial" w:hAnsi="Arial"/>
                <w:b/>
                <w:color w:val="1F4E79"/>
                <w:sz w:val="15"/>
              </w:rPr>
              <w:t>Would decrease if</w:t>
            </w:r>
          </w:p>
        </w:tc>
        <w:tc>
          <w:tcPr>
            <w:tcW w:type="dxa" w:w="11520"/>
            <w:vAlign w:val="top"/>
          </w:tcPr>
          <w:p>
            <w:pPr>
              <w:spacing w:after="20" w:line="240" w:lineRule="auto"/>
            </w:pPr>
            <w:r>
              <w:rPr>
                <w:rFonts w:ascii="Arial" w:hAnsi="Arial"/>
                <w:b w:val="0"/>
                <w:color w:val="C00000"/>
                <w:sz w:val="15"/>
              </w:rPr>
              <w:t>- Breadth narrows further.</w:t>
              <w:br/>
              <w:t>- Fed hold/hike odds rise.</w:t>
              <w:br/>
              <w:t>- Inflation or oil reaccelerates.</w:t>
            </w:r>
          </w:p>
        </w:tc>
      </w:tr>
      <w:tr>
        <w:tc>
          <w:tcPr>
            <w:tcW w:type="dxa" w:w="2160"/>
            <w:shd w:fill="EAF2F8"/>
            <w:vAlign w:val="top"/>
          </w:tcPr>
          <w:p>
            <w:pPr>
              <w:spacing w:after="20" w:line="240" w:lineRule="auto"/>
            </w:pPr>
            <w:r>
              <w:rPr>
                <w:rFonts w:ascii="Arial" w:hAnsi="Arial"/>
                <w:b/>
                <w:color w:val="1F4E79"/>
                <w:sz w:val="15"/>
              </w:rPr>
              <w:t>Key inputs to watch</w:t>
            </w:r>
          </w:p>
        </w:tc>
        <w:tc>
          <w:tcPr>
            <w:tcW w:type="dxa" w:w="11520"/>
            <w:vAlign w:val="top"/>
          </w:tcPr>
          <w:p>
            <w:pPr>
              <w:spacing w:after="20" w:line="240" w:lineRule="auto"/>
            </w:pPr>
            <w:r>
              <w:rPr>
                <w:rFonts w:ascii="Arial" w:hAnsi="Arial"/>
                <w:b w:val="0"/>
                <w:color w:val="595959"/>
                <w:sz w:val="15"/>
              </w:rPr>
              <w:t>market_breadth, credit_conditions, fed_path, oil_reopening_optionality</w:t>
            </w:r>
          </w:p>
        </w:tc>
      </w:tr>
      <w:tr>
        <w:tc>
          <w:tcPr>
            <w:tcW w:type="dxa" w:w="2160"/>
            <w:shd w:fill="EAF2F8"/>
            <w:vAlign w:val="top"/>
          </w:tcPr>
          <w:p>
            <w:pPr>
              <w:spacing w:after="20" w:line="240" w:lineRule="auto"/>
            </w:pPr>
            <w:r>
              <w:rPr>
                <w:rFonts w:ascii="Arial" w:hAnsi="Arial"/>
                <w:b/>
                <w:color w:val="1F4E79"/>
                <w:sz w:val="15"/>
              </w:rPr>
              <w:t>Floor/cap note</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Oil Inflation Tail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Current probability</w:t>
            </w:r>
          </w:p>
        </w:tc>
        <w:tc>
          <w:tcPr>
            <w:tcW w:type="dxa" w:w="11520"/>
            <w:vAlign w:val="top"/>
          </w:tcPr>
          <w:p>
            <w:pPr>
              <w:spacing w:after="20" w:line="240" w:lineRule="auto"/>
            </w:pPr>
            <w:r>
              <w:rPr>
                <w:rFonts w:ascii="Arial" w:hAnsi="Arial"/>
                <w:b w:val="0"/>
                <w:color w:val="595959"/>
                <w:sz w:val="15"/>
              </w:rPr>
              <w:t>15.03%</w:t>
            </w:r>
          </w:p>
        </w:tc>
      </w:tr>
      <w:tr>
        <w:tc>
          <w:tcPr>
            <w:tcW w:type="dxa" w:w="2160"/>
            <w:shd w:fill="EAF2F8"/>
            <w:vAlign w:val="top"/>
          </w:tcPr>
          <w:p>
            <w:pPr>
              <w:spacing w:after="20" w:line="240" w:lineRule="auto"/>
            </w:pPr>
            <w:r>
              <w:rPr>
                <w:rFonts w:ascii="Arial" w:hAnsi="Arial"/>
                <w:b/>
                <w:color w:val="1F4E79"/>
                <w:sz w:val="15"/>
              </w:rPr>
              <w:t>Would increase if</w:t>
            </w:r>
          </w:p>
        </w:tc>
        <w:tc>
          <w:tcPr>
            <w:tcW w:type="dxa" w:w="11520"/>
            <w:vAlign w:val="top"/>
          </w:tcPr>
          <w:p>
            <w:pPr>
              <w:spacing w:after="20" w:line="240" w:lineRule="auto"/>
            </w:pPr>
            <w:r>
              <w:rPr>
                <w:rFonts w:ascii="Arial" w:hAnsi="Arial"/>
                <w:b w:val="0"/>
                <w:color w:val="C00000"/>
                <w:sz w:val="15"/>
              </w:rPr>
              <w:t>- Oil breaks higher or supply-risk headlines worsen.</w:t>
              <w:br/>
              <w:t>- Breakevens rise and Fed hike odds increase.</w:t>
              <w:br/>
              <w:t>- Energy leadership broadens beyond tactical hedges.</w:t>
            </w:r>
          </w:p>
        </w:tc>
      </w:tr>
      <w:tr>
        <w:tc>
          <w:tcPr>
            <w:tcW w:type="dxa" w:w="2160"/>
            <w:shd w:fill="EAF2F8"/>
            <w:vAlign w:val="top"/>
          </w:tcPr>
          <w:p>
            <w:pPr>
              <w:spacing w:after="20" w:line="240" w:lineRule="auto"/>
            </w:pPr>
            <w:r>
              <w:rPr>
                <w:rFonts w:ascii="Arial" w:hAnsi="Arial"/>
                <w:b/>
                <w:color w:val="1F4E79"/>
                <w:sz w:val="15"/>
              </w:rPr>
              <w:t>Would decrease if</w:t>
            </w:r>
          </w:p>
        </w:tc>
        <w:tc>
          <w:tcPr>
            <w:tcW w:type="dxa" w:w="11520"/>
            <w:vAlign w:val="top"/>
          </w:tcPr>
          <w:p>
            <w:pPr>
              <w:spacing w:after="20" w:line="240" w:lineRule="auto"/>
            </w:pPr>
            <w:r>
              <w:rPr>
                <w:rFonts w:ascii="Arial" w:hAnsi="Arial"/>
                <w:b w:val="0"/>
                <w:color w:val="C00000"/>
                <w:sz w:val="15"/>
              </w:rPr>
              <w:t>- Hormuz reopening is confirmed and oil risk premium compresses.</w:t>
              <w:br/>
              <w:t>- Breakevens roll over.</w:t>
              <w:br/>
              <w:t>- Fed hike odds fade.</w:t>
            </w:r>
          </w:p>
        </w:tc>
      </w:tr>
      <w:tr>
        <w:tc>
          <w:tcPr>
            <w:tcW w:type="dxa" w:w="2160"/>
            <w:shd w:fill="EAF2F8"/>
            <w:vAlign w:val="top"/>
          </w:tcPr>
          <w:p>
            <w:pPr>
              <w:spacing w:after="20" w:line="240" w:lineRule="auto"/>
            </w:pPr>
            <w:r>
              <w:rPr>
                <w:rFonts w:ascii="Arial" w:hAnsi="Arial"/>
                <w:b/>
                <w:color w:val="1F4E79"/>
                <w:sz w:val="15"/>
              </w:rPr>
              <w:t>Key inputs to watch</w:t>
            </w:r>
          </w:p>
        </w:tc>
        <w:tc>
          <w:tcPr>
            <w:tcW w:type="dxa" w:w="11520"/>
            <w:vAlign w:val="top"/>
          </w:tcPr>
          <w:p>
            <w:pPr>
              <w:spacing w:after="20" w:line="240" w:lineRule="auto"/>
            </w:pPr>
            <w:r>
              <w:rPr>
                <w:rFonts w:ascii="Arial" w:hAnsi="Arial"/>
                <w:b w:val="0"/>
                <w:color w:val="595959"/>
                <w:sz w:val="15"/>
              </w:rPr>
              <w:t>oil_reopening_optionality, fed_path, inflation_expectations, energy_oil_beta</w:t>
            </w:r>
          </w:p>
        </w:tc>
      </w:tr>
      <w:tr>
        <w:tc>
          <w:tcPr>
            <w:tcW w:type="dxa" w:w="2160"/>
            <w:shd w:fill="EAF2F8"/>
            <w:vAlign w:val="top"/>
          </w:tcPr>
          <w:p>
            <w:pPr>
              <w:spacing w:after="20" w:line="240" w:lineRule="auto"/>
            </w:pPr>
            <w:r>
              <w:rPr>
                <w:rFonts w:ascii="Arial" w:hAnsi="Arial"/>
                <w:b/>
                <w:color w:val="1F4E79"/>
                <w:sz w:val="15"/>
              </w:rPr>
              <w:t>Floor/cap note</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Late Cycle Risk-Off</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Current probability</w:t>
            </w:r>
          </w:p>
        </w:tc>
        <w:tc>
          <w:tcPr>
            <w:tcW w:type="dxa" w:w="11520"/>
            <w:vAlign w:val="top"/>
          </w:tcPr>
          <w:p>
            <w:pPr>
              <w:spacing w:after="20" w:line="240" w:lineRule="auto"/>
            </w:pPr>
            <w:r>
              <w:rPr>
                <w:rFonts w:ascii="Arial" w:hAnsi="Arial"/>
                <w:b w:val="0"/>
                <w:color w:val="595959"/>
                <w:sz w:val="15"/>
              </w:rPr>
              <w:t>13.17%</w:t>
            </w:r>
          </w:p>
        </w:tc>
      </w:tr>
      <w:tr>
        <w:tc>
          <w:tcPr>
            <w:tcW w:type="dxa" w:w="2160"/>
            <w:shd w:fill="EAF2F8"/>
            <w:vAlign w:val="top"/>
          </w:tcPr>
          <w:p>
            <w:pPr>
              <w:spacing w:after="20" w:line="240" w:lineRule="auto"/>
            </w:pPr>
            <w:r>
              <w:rPr>
                <w:rFonts w:ascii="Arial" w:hAnsi="Arial"/>
                <w:b/>
                <w:color w:val="1F4E79"/>
                <w:sz w:val="15"/>
              </w:rPr>
              <w:t>Would increase if</w:t>
            </w:r>
          </w:p>
        </w:tc>
        <w:tc>
          <w:tcPr>
            <w:tcW w:type="dxa" w:w="11520"/>
            <w:vAlign w:val="top"/>
          </w:tcPr>
          <w:p>
            <w:pPr>
              <w:spacing w:after="20" w:line="240" w:lineRule="auto"/>
            </w:pPr>
            <w:r>
              <w:rPr>
                <w:rFonts w:ascii="Arial" w:hAnsi="Arial"/>
                <w:b w:val="0"/>
                <w:color w:val="C00000"/>
                <w:sz w:val="15"/>
              </w:rPr>
              <w:t>- HY spreads widen or credit-sensitive equities underperform.</w:t>
              <w:br/>
              <w:t>- VIX spikes while breadth deteriorates further.</w:t>
              <w:br/>
              <w:t>- Healthy credit signal breaks down.</w:t>
            </w:r>
          </w:p>
        </w:tc>
      </w:tr>
      <w:tr>
        <w:tc>
          <w:tcPr>
            <w:tcW w:type="dxa" w:w="2160"/>
            <w:shd w:fill="EAF2F8"/>
            <w:vAlign w:val="top"/>
          </w:tcPr>
          <w:p>
            <w:pPr>
              <w:spacing w:after="20" w:line="240" w:lineRule="auto"/>
            </w:pPr>
            <w:r>
              <w:rPr>
                <w:rFonts w:ascii="Arial" w:hAnsi="Arial"/>
                <w:b/>
                <w:color w:val="1F4E79"/>
                <w:sz w:val="15"/>
              </w:rPr>
              <w:t>Would decrease if</w:t>
            </w:r>
          </w:p>
        </w:tc>
        <w:tc>
          <w:tcPr>
            <w:tcW w:type="dxa" w:w="11520"/>
            <w:vAlign w:val="top"/>
          </w:tcPr>
          <w:p>
            <w:pPr>
              <w:spacing w:after="20" w:line="240" w:lineRule="auto"/>
            </w:pPr>
            <w:r>
              <w:rPr>
                <w:rFonts w:ascii="Arial" w:hAnsi="Arial"/>
                <w:b w:val="0"/>
                <w:color w:val="C00000"/>
                <w:sz w:val="15"/>
              </w:rPr>
              <w:t>- Credit stays tight.</w:t>
              <w:br/>
              <w:t>- Breadth improves and volatility remains contained.</w:t>
              <w:br/>
              <w:t>- Risk appetite broadens without inflation reacceleration.</w:t>
            </w:r>
          </w:p>
        </w:tc>
      </w:tr>
      <w:tr>
        <w:tc>
          <w:tcPr>
            <w:tcW w:type="dxa" w:w="2160"/>
            <w:shd w:fill="EAF2F8"/>
            <w:vAlign w:val="top"/>
          </w:tcPr>
          <w:p>
            <w:pPr>
              <w:spacing w:after="20" w:line="240" w:lineRule="auto"/>
            </w:pPr>
            <w:r>
              <w:rPr>
                <w:rFonts w:ascii="Arial" w:hAnsi="Arial"/>
                <w:b/>
                <w:color w:val="1F4E79"/>
                <w:sz w:val="15"/>
              </w:rPr>
              <w:t>Key inputs to watch</w:t>
            </w:r>
          </w:p>
        </w:tc>
        <w:tc>
          <w:tcPr>
            <w:tcW w:type="dxa" w:w="11520"/>
            <w:vAlign w:val="top"/>
          </w:tcPr>
          <w:p>
            <w:pPr>
              <w:spacing w:after="20" w:line="240" w:lineRule="auto"/>
            </w:pPr>
            <w:r>
              <w:rPr>
                <w:rFonts w:ascii="Arial" w:hAnsi="Arial"/>
                <w:b w:val="0"/>
                <w:color w:val="595959"/>
                <w:sz w:val="15"/>
              </w:rPr>
              <w:t>credit_conditions, market_breadth, volatility, positioning_hedging</w:t>
            </w:r>
          </w:p>
        </w:tc>
      </w:tr>
      <w:tr>
        <w:tc>
          <w:tcPr>
            <w:tcW w:type="dxa" w:w="2160"/>
            <w:shd w:fill="EAF2F8"/>
            <w:vAlign w:val="top"/>
          </w:tcPr>
          <w:p>
            <w:pPr>
              <w:spacing w:after="20" w:line="240" w:lineRule="auto"/>
            </w:pPr>
            <w:r>
              <w:rPr>
                <w:rFonts w:ascii="Arial" w:hAnsi="Arial"/>
                <w:b/>
                <w:color w:val="1F4E79"/>
                <w:sz w:val="15"/>
              </w:rPr>
              <w:t>Floor/cap note</w:t>
            </w:r>
          </w:p>
        </w:tc>
        <w:tc>
          <w:tcPr>
            <w:tcW w:type="dxa" w:w="11520"/>
            <w:vAlign w:val="top"/>
          </w:tcPr>
          <w:p>
            <w:pPr>
              <w:spacing w:after="20" w:line="240" w:lineRule="auto"/>
            </w:pPr>
            <w:r>
              <w:rPr>
                <w:rFonts w:ascii="Arial" w:hAnsi="Arial"/>
                <w:b w:val="0"/>
                <w:color w:val="595959"/>
                <w:sz w:val="15"/>
              </w:rPr>
              <w:t>floor 5.0%</w:t>
            </w:r>
          </w:p>
        </w:tc>
      </w:tr>
    </w:tbl>
    <w:p>
      <w:pPr>
        <w:spacing w:after="120"/>
      </w:pPr>
    </w:p>
    <w:p>
      <w:pPr>
        <w:spacing w:before="180" w:after="80"/>
      </w:pPr>
      <w:r>
        <w:rPr>
          <w:rFonts w:ascii="Arial" w:hAnsi="Arial"/>
          <w:b/>
          <w:color w:val="2E75B6"/>
          <w:sz w:val="21"/>
        </w:rPr>
        <w:t>AI Capex Rollover</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Current probability</w:t>
            </w:r>
          </w:p>
        </w:tc>
        <w:tc>
          <w:tcPr>
            <w:tcW w:type="dxa" w:w="11520"/>
            <w:vAlign w:val="top"/>
          </w:tcPr>
          <w:p>
            <w:pPr>
              <w:spacing w:after="20" w:line="240" w:lineRule="auto"/>
            </w:pPr>
            <w:r>
              <w:rPr>
                <w:rFonts w:ascii="Arial" w:hAnsi="Arial"/>
                <w:b w:val="0"/>
                <w:color w:val="595959"/>
                <w:sz w:val="15"/>
              </w:rPr>
              <w:t>4.49%</w:t>
            </w:r>
          </w:p>
        </w:tc>
      </w:tr>
      <w:tr>
        <w:tc>
          <w:tcPr>
            <w:tcW w:type="dxa" w:w="2160"/>
            <w:shd w:fill="EAF2F8"/>
            <w:vAlign w:val="top"/>
          </w:tcPr>
          <w:p>
            <w:pPr>
              <w:spacing w:after="20" w:line="240" w:lineRule="auto"/>
            </w:pPr>
            <w:r>
              <w:rPr>
                <w:rFonts w:ascii="Arial" w:hAnsi="Arial"/>
                <w:b/>
                <w:color w:val="1F4E79"/>
                <w:sz w:val="15"/>
              </w:rPr>
              <w:t>Would increase if</w:t>
            </w:r>
          </w:p>
        </w:tc>
        <w:tc>
          <w:tcPr>
            <w:tcW w:type="dxa" w:w="11520"/>
            <w:vAlign w:val="top"/>
          </w:tcPr>
          <w:p>
            <w:pPr>
              <w:spacing w:after="20" w:line="240" w:lineRule="auto"/>
            </w:pPr>
            <w:r>
              <w:rPr>
                <w:rFonts w:ascii="Arial" w:hAnsi="Arial"/>
                <w:b w:val="0"/>
                <w:color w:val="C00000"/>
                <w:sz w:val="15"/>
              </w:rPr>
              <w:t>- Hyperscaler capex guidance weakens.</w:t>
              <w:br/>
              <w:t>- AI earnings revisions turn negative.</w:t>
              <w:br/>
              <w:t>- Semis, grid, or power leaders lose relative strength.</w:t>
            </w:r>
          </w:p>
        </w:tc>
      </w:tr>
      <w:tr>
        <w:tc>
          <w:tcPr>
            <w:tcW w:type="dxa" w:w="2160"/>
            <w:shd w:fill="EAF2F8"/>
            <w:vAlign w:val="top"/>
          </w:tcPr>
          <w:p>
            <w:pPr>
              <w:spacing w:after="20" w:line="240" w:lineRule="auto"/>
            </w:pPr>
            <w:r>
              <w:rPr>
                <w:rFonts w:ascii="Arial" w:hAnsi="Arial"/>
                <w:b/>
                <w:color w:val="1F4E79"/>
                <w:sz w:val="15"/>
              </w:rPr>
              <w:t>Would decrease if</w:t>
            </w:r>
          </w:p>
        </w:tc>
        <w:tc>
          <w:tcPr>
            <w:tcW w:type="dxa" w:w="11520"/>
            <w:vAlign w:val="top"/>
          </w:tcPr>
          <w:p>
            <w:pPr>
              <w:spacing w:after="20" w:line="240" w:lineRule="auto"/>
            </w:pPr>
            <w:r>
              <w:rPr>
                <w:rFonts w:ascii="Arial" w:hAnsi="Arial"/>
                <w:b w:val="0"/>
                <w:color w:val="C00000"/>
                <w:sz w:val="15"/>
              </w:rPr>
              <w:t>- Capex guidance remains resilient.</w:t>
              <w:br/>
              <w:t>- AI infrastructure orders and backlogs strengthen.</w:t>
              <w:br/>
              <w:t>- Quality AI earnings revisions remain positive.</w:t>
            </w:r>
          </w:p>
        </w:tc>
      </w:tr>
      <w:tr>
        <w:tc>
          <w:tcPr>
            <w:tcW w:type="dxa" w:w="2160"/>
            <w:shd w:fill="EAF2F8"/>
            <w:vAlign w:val="top"/>
          </w:tcPr>
          <w:p>
            <w:pPr>
              <w:spacing w:after="20" w:line="240" w:lineRule="auto"/>
            </w:pPr>
            <w:r>
              <w:rPr>
                <w:rFonts w:ascii="Arial" w:hAnsi="Arial"/>
                <w:b/>
                <w:color w:val="1F4E79"/>
                <w:sz w:val="15"/>
              </w:rPr>
              <w:t>Key inputs to watch</w:t>
            </w:r>
          </w:p>
        </w:tc>
        <w:tc>
          <w:tcPr>
            <w:tcW w:type="dxa" w:w="11520"/>
            <w:vAlign w:val="top"/>
          </w:tcPr>
          <w:p>
            <w:pPr>
              <w:spacing w:after="20" w:line="240" w:lineRule="auto"/>
            </w:pPr>
            <w:r>
              <w:rPr>
                <w:rFonts w:ascii="Arial" w:hAnsi="Arial"/>
                <w:b w:val="0"/>
                <w:color w:val="595959"/>
                <w:sz w:val="15"/>
              </w:rPr>
              <w:t>hyperscaler_capex_falsifier_not_triggered, ai_earnings_resilience, quality_ai</w:t>
            </w:r>
          </w:p>
        </w:tc>
      </w:tr>
      <w:tr>
        <w:tc>
          <w:tcPr>
            <w:tcW w:type="dxa" w:w="2160"/>
            <w:shd w:fill="EAF2F8"/>
            <w:vAlign w:val="top"/>
          </w:tcPr>
          <w:p>
            <w:pPr>
              <w:spacing w:after="20" w:line="240" w:lineRule="auto"/>
            </w:pPr>
            <w:r>
              <w:rPr>
                <w:rFonts w:ascii="Arial" w:hAnsi="Arial"/>
                <w:b/>
                <w:color w:val="1F4E79"/>
                <w:sz w:val="15"/>
              </w:rPr>
              <w:t>Floor/cap note</w:t>
            </w:r>
          </w:p>
        </w:tc>
        <w:tc>
          <w:tcPr>
            <w:tcW w:type="dxa" w:w="11520"/>
            <w:vAlign w:val="top"/>
          </w:tcPr>
          <w:p>
            <w:pPr>
              <w:spacing w:after="20" w:line="240" w:lineRule="auto"/>
            </w:pPr>
            <w:r>
              <w:rPr>
                <w:rFonts w:ascii="Arial" w:hAnsi="Arial"/>
                <w:b w:val="0"/>
                <w:color w:val="595959"/>
                <w:sz w:val="15"/>
              </w:rPr>
              <w:t>floor 5.0%</w:t>
            </w:r>
          </w:p>
        </w:tc>
      </w:tr>
    </w:tbl>
    <w:p>
      <w:pPr>
        <w:spacing w:after="120"/>
      </w:pPr>
    </w:p>
    <w:p>
      <w:pPr>
        <w:spacing w:before="320" w:after="140"/>
      </w:pPr>
      <w:r>
        <w:rPr>
          <w:rFonts w:ascii="Arial" w:hAnsi="Arial"/>
          <w:b/>
          <w:color w:val="1F4E79"/>
          <w:sz w:val="28"/>
        </w:rPr>
        <w:t>Recommended Research Priorities</w:t>
      </w:r>
    </w:p>
    <w:p>
      <w:pPr>
        <w:spacing w:before="180" w:after="80"/>
      </w:pPr>
      <w:r>
        <w:rPr>
          <w:rFonts w:ascii="Arial" w:hAnsi="Arial"/>
          <w:b/>
          <w:color w:val="2E75B6"/>
          <w:sz w:val="21"/>
        </w:rPr>
        <w:t>1. Second-order grid and power infrastructure beneficiaries with cross-scenario support</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Theme</w:t>
            </w:r>
          </w:p>
        </w:tc>
        <w:tc>
          <w:tcPr>
            <w:tcW w:type="dxa" w:w="11520"/>
            <w:vAlign w:val="top"/>
          </w:tcPr>
          <w:p>
            <w:pPr>
              <w:spacing w:after="20" w:line="240" w:lineRule="auto"/>
            </w:pPr>
            <w:r>
              <w:rPr>
                <w:rFonts w:ascii="Arial" w:hAnsi="Arial"/>
                <w:b w:val="0"/>
                <w:color w:val="595959"/>
                <w:sz w:val="15"/>
              </w:rPr>
              <w:t>Second-order grid and power infrastructure beneficiaries with cross-scenario support</w:t>
            </w:r>
          </w:p>
        </w:tc>
      </w:tr>
      <w:tr>
        <w:tc>
          <w:tcPr>
            <w:tcW w:type="dxa" w:w="2160"/>
            <w:shd w:fill="EAF2F8"/>
            <w:vAlign w:val="top"/>
          </w:tcPr>
          <w:p>
            <w:pPr>
              <w:spacing w:after="20" w:line="240" w:lineRule="auto"/>
            </w:pPr>
            <w:r>
              <w:rPr>
                <w:rFonts w:ascii="Arial" w:hAnsi="Arial"/>
                <w:b/>
                <w:color w:val="1F4E79"/>
                <w:sz w:val="15"/>
              </w:rPr>
              <w:t>Edge hypothesis</w:t>
            </w:r>
          </w:p>
        </w:tc>
        <w:tc>
          <w:tcPr>
            <w:tcW w:type="dxa" w:w="11520"/>
            <w:vAlign w:val="top"/>
          </w:tcPr>
          <w:p>
            <w:pPr>
              <w:spacing w:after="20" w:line="240" w:lineRule="auto"/>
            </w:pPr>
            <w:r>
              <w:rPr>
                <w:rFonts w:ascii="Arial" w:hAnsi="Arial"/>
                <w:b w:val="0"/>
                <w:color w:val="595959"/>
                <w:sz w:val="15"/>
              </w:rPr>
              <w:t>Macro support for grid and power infrastructure may create attractive research paths, but the edge depends on finding specific suppliers, service providers, or infrastructure names where ownership, valuation, revisions, and narrative maturity still leave room for upside.</w:t>
            </w:r>
          </w:p>
        </w:tc>
      </w:tr>
      <w:tr>
        <w:tc>
          <w:tcPr>
            <w:tcW w:type="dxa" w:w="2160"/>
            <w:shd w:fill="EAF2F8"/>
            <w:vAlign w:val="top"/>
          </w:tcPr>
          <w:p>
            <w:pPr>
              <w:spacing w:after="20" w:line="240" w:lineRule="auto"/>
            </w:pPr>
            <w:r>
              <w:rPr>
                <w:rFonts w:ascii="Arial" w:hAnsi="Arial"/>
                <w:b/>
                <w:color w:val="1F4E79"/>
                <w:sz w:val="15"/>
              </w:rPr>
              <w:t>Expected edge decay</w:t>
            </w:r>
          </w:p>
        </w:tc>
        <w:tc>
          <w:tcPr>
            <w:tcW w:type="dxa" w:w="11520"/>
            <w:vAlign w:val="top"/>
          </w:tcPr>
          <w:p>
            <w:pPr>
              <w:spacing w:after="20" w:line="240" w:lineRule="auto"/>
            </w:pPr>
            <w:r>
              <w:rPr>
                <w:rFonts w:ascii="Arial" w:hAnsi="Arial"/>
                <w:b w:val="0"/>
                <w:color w:val="595959"/>
                <w:sz w:val="15"/>
              </w:rPr>
              <w:t>EdgeDecayHorizon.QUARTERS</w:t>
            </w:r>
          </w:p>
        </w:tc>
      </w:tr>
      <w:tr>
        <w:tc>
          <w:tcPr>
            <w:tcW w:type="dxa" w:w="2160"/>
            <w:shd w:fill="EAF2F8"/>
            <w:vAlign w:val="top"/>
          </w:tcPr>
          <w:p>
            <w:pPr>
              <w:spacing w:after="20" w:line="240" w:lineRule="auto"/>
            </w:pPr>
            <w:r>
              <w:rPr>
                <w:rFonts w:ascii="Arial" w:hAnsi="Arial"/>
                <w:b/>
                <w:color w:val="1F4E79"/>
                <w:sz w:val="15"/>
              </w:rPr>
              <w:t>Rationale</w:t>
            </w:r>
          </w:p>
        </w:tc>
        <w:tc>
          <w:tcPr>
            <w:tcW w:type="dxa" w:w="11520"/>
            <w:vAlign w:val="top"/>
          </w:tcPr>
          <w:p>
            <w:pPr>
              <w:spacing w:after="20" w:line="240" w:lineRule="auto"/>
            </w:pPr>
            <w:r>
              <w:rPr>
                <w:rFonts w:ascii="Arial" w:hAnsi="Arial"/>
                <w:b w:val="0"/>
                <w:color w:val="595959"/>
                <w:sz w:val="15"/>
              </w:rPr>
              <w:t>Grid/power ranks highly because it has positive macro support across Sticky Late Cycle AI, Reopening / Soft Landing, Oil Inflation Tail. Research should now test whether the best expressions are obvious AI-grid leaders or less-obvious second-order beneficiaries. Crowding, valuation, and narrative maturity should be evaluated downstream. Worst scenarios to underwrite: Late Cycle Risk-Off, AI Capex Rollover. Current regime: Late-cycle tightening with two-sided oil risk and AI leadership. Key drivers: Oil supply shock / reopening optionality, Hormuz reopening optionality, AI earnings resilience.</w:t>
            </w:r>
          </w:p>
        </w:tc>
      </w:tr>
      <w:tr>
        <w:tc>
          <w:tcPr>
            <w:tcW w:type="dxa" w:w="2160"/>
            <w:shd w:fill="EAF2F8"/>
            <w:vAlign w:val="top"/>
          </w:tcPr>
          <w:p>
            <w:pPr>
              <w:spacing w:after="20" w:line="240" w:lineRule="auto"/>
            </w:pPr>
            <w:r>
              <w:rPr>
                <w:rFonts w:ascii="Arial" w:hAnsi="Arial"/>
                <w:b/>
                <w:color w:val="1F4E79"/>
                <w:sz w:val="15"/>
              </w:rPr>
              <w:t>Research sub-questions</w:t>
            </w:r>
          </w:p>
        </w:tc>
        <w:tc>
          <w:tcPr>
            <w:tcW w:type="dxa" w:w="11520"/>
            <w:vAlign w:val="top"/>
          </w:tcPr>
          <w:p>
            <w:pPr>
              <w:spacing w:after="20" w:line="240" w:lineRule="auto"/>
            </w:pPr>
            <w:r>
              <w:rPr>
                <w:rFonts w:ascii="Arial" w:hAnsi="Arial"/>
                <w:b w:val="0"/>
                <w:color w:val="C00000"/>
                <w:sz w:val="15"/>
              </w:rPr>
              <w:t>- Which names have direct but under-discussed data-center, grid, or power exposure?</w:t>
              <w:br/>
              <w:t>- Which names have positive estimate revision potential without extreme AI-infrastructure crowding?</w:t>
              <w:br/>
              <w:t>- Which names remain resilient if AI capex continues but rates stay restrictive?</w:t>
              <w:br/>
              <w:t>- Which names would fail if AI capex rollover probability rises?</w:t>
            </w:r>
          </w:p>
        </w:tc>
      </w:tr>
      <w:tr>
        <w:tc>
          <w:tcPr>
            <w:tcW w:type="dxa" w:w="2160"/>
            <w:shd w:fill="EAF2F8"/>
            <w:vAlign w:val="top"/>
          </w:tcPr>
          <w:p>
            <w:pPr>
              <w:spacing w:after="20" w:line="240" w:lineRule="auto"/>
            </w:pPr>
            <w:r>
              <w:rPr>
                <w:rFonts w:ascii="Arial" w:hAnsi="Arial"/>
                <w:b/>
                <w:color w:val="1F4E79"/>
                <w:sz w:val="15"/>
              </w:rPr>
              <w:t>Supporting evidence</w:t>
            </w:r>
          </w:p>
        </w:tc>
        <w:tc>
          <w:tcPr>
            <w:tcW w:type="dxa" w:w="11520"/>
            <w:vAlign w:val="top"/>
          </w:tcPr>
          <w:p>
            <w:pPr>
              <w:spacing w:after="20" w:line="240" w:lineRule="auto"/>
            </w:pPr>
            <w:r>
              <w:rPr>
                <w:rFonts w:ascii="Arial" w:hAnsi="Arial"/>
                <w:b w:val="0"/>
                <w:color w:val="C00000"/>
                <w:sz w:val="15"/>
              </w:rPr>
              <w:t>- Grid and power infrastructure has a positive macro support score. | Static scenario/theme exposure score multiplied by updated scenario probabilities. | theme_id=grid_power_infrastructure, macro_support_score=1.637, top_scenario_contributions=sticky_late_cycle_ai=+1.087,reopening_soft_landing=+0.621,oil_inflation_tail=+0.150, best_scenarios=sticky_late_cycle_ai,reopening_soft_landing,oil_inflation_tail, worst_scenarios=late_cycle_risk_off,ai_capex_rollover, top_scenarios=sticky_late_cycle_ai 42%, reopening_soft_landing 34%, oil_inflation_tail 14%</w:t>
            </w:r>
          </w:p>
        </w:tc>
      </w:tr>
    </w:tbl>
    <w:p>
      <w:pPr>
        <w:spacing w:after="120"/>
      </w:pPr>
    </w:p>
    <w:p>
      <w:pPr>
        <w:spacing w:before="180" w:after="80"/>
      </w:pPr>
      <w:r>
        <w:rPr>
          <w:rFonts w:ascii="Arial" w:hAnsi="Arial"/>
          <w:b/>
          <w:color w:val="2E75B6"/>
          <w:sz w:val="21"/>
        </w:rPr>
        <w:t>2. Quality ex-AI cash-flow compounders with soft-landing and sticky-cycle resilience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Theme</w:t>
            </w:r>
          </w:p>
        </w:tc>
        <w:tc>
          <w:tcPr>
            <w:tcW w:type="dxa" w:w="11520"/>
            <w:vAlign w:val="top"/>
          </w:tcPr>
          <w:p>
            <w:pPr>
              <w:spacing w:after="20" w:line="240" w:lineRule="auto"/>
            </w:pPr>
            <w:r>
              <w:rPr>
                <w:rFonts w:ascii="Arial" w:hAnsi="Arial"/>
                <w:b w:val="0"/>
                <w:color w:val="595959"/>
                <w:sz w:val="15"/>
              </w:rPr>
              <w:t>Quality ex-AI cash-flow compounders with soft-landing and sticky-cycle resilience</w:t>
            </w:r>
          </w:p>
        </w:tc>
      </w:tr>
      <w:tr>
        <w:tc>
          <w:tcPr>
            <w:tcW w:type="dxa" w:w="2160"/>
            <w:shd w:fill="EAF2F8"/>
            <w:vAlign w:val="top"/>
          </w:tcPr>
          <w:p>
            <w:pPr>
              <w:spacing w:after="20" w:line="240" w:lineRule="auto"/>
            </w:pPr>
            <w:r>
              <w:rPr>
                <w:rFonts w:ascii="Arial" w:hAnsi="Arial"/>
                <w:b/>
                <w:color w:val="1F4E79"/>
                <w:sz w:val="15"/>
              </w:rPr>
              <w:t>Edge hypothesis</w:t>
            </w:r>
          </w:p>
        </w:tc>
        <w:tc>
          <w:tcPr>
            <w:tcW w:type="dxa" w:w="11520"/>
            <w:vAlign w:val="top"/>
          </w:tcPr>
          <w:p>
            <w:pPr>
              <w:spacing w:after="20" w:line="240" w:lineRule="auto"/>
            </w:pPr>
            <w:r>
              <w:rPr>
                <w:rFonts w:ascii="Arial" w:hAnsi="Arial"/>
                <w:b w:val="0"/>
                <w:color w:val="595959"/>
                <w:sz w:val="15"/>
              </w:rPr>
              <w:t>Macro support may favor high-ROIC cash-generative businesses outside explicit AI leadership, but the actionable edge depends on downstream proof of under-ownership, valuation support, and durable estimate revisions.</w:t>
            </w:r>
          </w:p>
        </w:tc>
      </w:tr>
      <w:tr>
        <w:tc>
          <w:tcPr>
            <w:tcW w:type="dxa" w:w="2160"/>
            <w:shd w:fill="EAF2F8"/>
            <w:vAlign w:val="top"/>
          </w:tcPr>
          <w:p>
            <w:pPr>
              <w:spacing w:after="20" w:line="240" w:lineRule="auto"/>
            </w:pPr>
            <w:r>
              <w:rPr>
                <w:rFonts w:ascii="Arial" w:hAnsi="Arial"/>
                <w:b/>
                <w:color w:val="1F4E79"/>
                <w:sz w:val="15"/>
              </w:rPr>
              <w:t>Expected edge decay</w:t>
            </w:r>
          </w:p>
        </w:tc>
        <w:tc>
          <w:tcPr>
            <w:tcW w:type="dxa" w:w="11520"/>
            <w:vAlign w:val="top"/>
          </w:tcPr>
          <w:p>
            <w:pPr>
              <w:spacing w:after="20" w:line="240" w:lineRule="auto"/>
            </w:pPr>
            <w:r>
              <w:rPr>
                <w:rFonts w:ascii="Arial" w:hAnsi="Arial"/>
                <w:b w:val="0"/>
                <w:color w:val="595959"/>
                <w:sz w:val="15"/>
              </w:rPr>
              <w:t>EdgeDecayHorizon.QUARTERS</w:t>
            </w:r>
          </w:p>
        </w:tc>
      </w:tr>
      <w:tr>
        <w:tc>
          <w:tcPr>
            <w:tcW w:type="dxa" w:w="2160"/>
            <w:shd w:fill="EAF2F8"/>
            <w:vAlign w:val="top"/>
          </w:tcPr>
          <w:p>
            <w:pPr>
              <w:spacing w:after="20" w:line="240" w:lineRule="auto"/>
            </w:pPr>
            <w:r>
              <w:rPr>
                <w:rFonts w:ascii="Arial" w:hAnsi="Arial"/>
                <w:b/>
                <w:color w:val="1F4E79"/>
                <w:sz w:val="15"/>
              </w:rPr>
              <w:t>Rationale</w:t>
            </w:r>
          </w:p>
        </w:tc>
        <w:tc>
          <w:tcPr>
            <w:tcW w:type="dxa" w:w="11520"/>
            <w:vAlign w:val="top"/>
          </w:tcPr>
          <w:p>
            <w:pPr>
              <w:spacing w:after="20" w:line="240" w:lineRule="auto"/>
            </w:pPr>
            <w:r>
              <w:rPr>
                <w:rFonts w:ascii="Arial" w:hAnsi="Arial"/>
                <w:b w:val="0"/>
                <w:color w:val="595959"/>
                <w:sz w:val="15"/>
              </w:rPr>
              <w:t>Quality ex-AI ranks highly because it performs well across Sticky Late Cycle AI, Reopening / Soft Landing, Late Cycle Risk-Off. Downstream research should test whether specific names are genuinely under-owned, attractively valued, and supported by revisions. Current regime: Late-cycle tightening with two-sided oil risk and AI leadership. Key drivers: Oil supply shock / reopening optionality, Hormuz reopening optionality, AI earnings resilience.</w:t>
            </w:r>
          </w:p>
        </w:tc>
      </w:tr>
      <w:tr>
        <w:tc>
          <w:tcPr>
            <w:tcW w:type="dxa" w:w="2160"/>
            <w:shd w:fill="EAF2F8"/>
            <w:vAlign w:val="top"/>
          </w:tcPr>
          <w:p>
            <w:pPr>
              <w:spacing w:after="20" w:line="240" w:lineRule="auto"/>
            </w:pPr>
            <w:r>
              <w:rPr>
                <w:rFonts w:ascii="Arial" w:hAnsi="Arial"/>
                <w:b/>
                <w:color w:val="1F4E79"/>
                <w:sz w:val="15"/>
              </w:rPr>
              <w:t>Research sub-questions</w:t>
            </w:r>
          </w:p>
        </w:tc>
        <w:tc>
          <w:tcPr>
            <w:tcW w:type="dxa" w:w="11520"/>
            <w:vAlign w:val="top"/>
          </w:tcPr>
          <w:p>
            <w:pPr>
              <w:spacing w:after="20" w:line="240" w:lineRule="auto"/>
            </w:pPr>
            <w:r>
              <w:rPr>
                <w:rFonts w:ascii="Arial" w:hAnsi="Arial"/>
                <w:b w:val="0"/>
                <w:color w:val="C00000"/>
                <w:sz w:val="15"/>
              </w:rPr>
              <w:t>- Which non-AI cash-flow compounders have positive estimate revision potential?</w:t>
              <w:br/>
              <w:t>- Where are balance-sheet quality and free-cash-flow durability mispriced versus AI-led scarcity names?</w:t>
              <w:br/>
              <w:t>- Which candidates still work if policy stays restrictive and broad beta remains uneven?</w:t>
              <w:br/>
              <w:t>- Which names have hidden cyclicality that would fail in a late-cycle risk-off scenario?</w:t>
            </w:r>
          </w:p>
        </w:tc>
      </w:tr>
      <w:tr>
        <w:tc>
          <w:tcPr>
            <w:tcW w:type="dxa" w:w="2160"/>
            <w:shd w:fill="EAF2F8"/>
            <w:vAlign w:val="top"/>
          </w:tcPr>
          <w:p>
            <w:pPr>
              <w:spacing w:after="20" w:line="240" w:lineRule="auto"/>
            </w:pPr>
            <w:r>
              <w:rPr>
                <w:rFonts w:ascii="Arial" w:hAnsi="Arial"/>
                <w:b/>
                <w:color w:val="1F4E79"/>
                <w:sz w:val="15"/>
              </w:rPr>
              <w:t>Supporting evidence</w:t>
            </w:r>
          </w:p>
        </w:tc>
        <w:tc>
          <w:tcPr>
            <w:tcW w:type="dxa" w:w="11520"/>
            <w:vAlign w:val="top"/>
          </w:tcPr>
          <w:p>
            <w:pPr>
              <w:spacing w:after="20" w:line="240" w:lineRule="auto"/>
            </w:pPr>
            <w:r>
              <w:rPr>
                <w:rFonts w:ascii="Arial" w:hAnsi="Arial"/>
                <w:b w:val="0"/>
                <w:color w:val="C00000"/>
                <w:sz w:val="15"/>
              </w:rPr>
              <w:t>- Quality ex-AI cash flow has a positive macro support score. | Static scenario/theme exposure score multiplied by updated scenario probabilities. | theme_id=quality_ex_ai_cash_flow, macro_support_score=1.539, top_scenario_contributions=sticky_late_cycle_ai=+0.725,reopening_soft_landing=+0.311,late_cycle_risk_off=+0.263, best_scenarios=sticky_late_cycle_ai,reopening_soft_landing,late_cycle_risk_off, worst_scenarios=none, top_scenarios=sticky_late_cycle_ai 42%, reopening_soft_landing 34%, oil_inflation_tail 14%</w:t>
            </w:r>
          </w:p>
        </w:tc>
      </w:tr>
    </w:tbl>
    <w:p>
      <w:pPr>
        <w:spacing w:after="120"/>
      </w:pPr>
    </w:p>
    <w:p>
      <w:pPr>
        <w:spacing w:before="180" w:after="80"/>
      </w:pPr>
      <w:r>
        <w:rPr>
          <w:rFonts w:ascii="Arial" w:hAnsi="Arial"/>
          <w:b/>
          <w:color w:val="2E75B6"/>
          <w:sz w:val="21"/>
        </w:rPr>
        <w:t>3. Cash and short duration candidates with explicit scenario asymmetry tests</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Theme</w:t>
            </w:r>
          </w:p>
        </w:tc>
        <w:tc>
          <w:tcPr>
            <w:tcW w:type="dxa" w:w="11520"/>
            <w:vAlign w:val="top"/>
          </w:tcPr>
          <w:p>
            <w:pPr>
              <w:spacing w:after="20" w:line="240" w:lineRule="auto"/>
            </w:pPr>
            <w:r>
              <w:rPr>
                <w:rFonts w:ascii="Arial" w:hAnsi="Arial"/>
                <w:b w:val="0"/>
                <w:color w:val="595959"/>
                <w:sz w:val="15"/>
              </w:rPr>
              <w:t>Cash and short duration candidates with explicit scenario asymmetry tests</w:t>
            </w:r>
          </w:p>
        </w:tc>
      </w:tr>
      <w:tr>
        <w:tc>
          <w:tcPr>
            <w:tcW w:type="dxa" w:w="2160"/>
            <w:shd w:fill="EAF2F8"/>
            <w:vAlign w:val="top"/>
          </w:tcPr>
          <w:p>
            <w:pPr>
              <w:spacing w:after="20" w:line="240" w:lineRule="auto"/>
            </w:pPr>
            <w:r>
              <w:rPr>
                <w:rFonts w:ascii="Arial" w:hAnsi="Arial"/>
                <w:b/>
                <w:color w:val="1F4E79"/>
                <w:sz w:val="15"/>
              </w:rPr>
              <w:t>Edge hypothesis</w:t>
            </w:r>
          </w:p>
        </w:tc>
        <w:tc>
          <w:tcPr>
            <w:tcW w:type="dxa" w:w="11520"/>
            <w:vAlign w:val="top"/>
          </w:tcPr>
          <w:p>
            <w:pPr>
              <w:spacing w:after="20" w:line="240" w:lineRule="auto"/>
            </w:pPr>
            <w:r>
              <w:rPr>
                <w:rFonts w:ascii="Arial" w:hAnsi="Arial"/>
                <w:b w:val="0"/>
                <w:color w:val="595959"/>
                <w:sz w:val="15"/>
              </w:rPr>
              <w:t>The market may be underpricing cash and short duration exposures that benefit from the current scenario mix while retaining acceptable downside in the least favorable macro paths.</w:t>
            </w:r>
          </w:p>
        </w:tc>
      </w:tr>
      <w:tr>
        <w:tc>
          <w:tcPr>
            <w:tcW w:type="dxa" w:w="2160"/>
            <w:shd w:fill="EAF2F8"/>
            <w:vAlign w:val="top"/>
          </w:tcPr>
          <w:p>
            <w:pPr>
              <w:spacing w:after="20" w:line="240" w:lineRule="auto"/>
            </w:pPr>
            <w:r>
              <w:rPr>
                <w:rFonts w:ascii="Arial" w:hAnsi="Arial"/>
                <w:b/>
                <w:color w:val="1F4E79"/>
                <w:sz w:val="15"/>
              </w:rPr>
              <w:t>Expected edge decay</w:t>
            </w:r>
          </w:p>
        </w:tc>
        <w:tc>
          <w:tcPr>
            <w:tcW w:type="dxa" w:w="11520"/>
            <w:vAlign w:val="top"/>
          </w:tcPr>
          <w:p>
            <w:pPr>
              <w:spacing w:after="20" w:line="240" w:lineRule="auto"/>
            </w:pPr>
            <w:r>
              <w:rPr>
                <w:rFonts w:ascii="Arial" w:hAnsi="Arial"/>
                <w:b w:val="0"/>
                <w:color w:val="595959"/>
                <w:sz w:val="15"/>
              </w:rPr>
              <w:t>EdgeDecayHorizon.QUARTERS</w:t>
            </w:r>
          </w:p>
        </w:tc>
      </w:tr>
      <w:tr>
        <w:tc>
          <w:tcPr>
            <w:tcW w:type="dxa" w:w="2160"/>
            <w:shd w:fill="EAF2F8"/>
            <w:vAlign w:val="top"/>
          </w:tcPr>
          <w:p>
            <w:pPr>
              <w:spacing w:after="20" w:line="240" w:lineRule="auto"/>
            </w:pPr>
            <w:r>
              <w:rPr>
                <w:rFonts w:ascii="Arial" w:hAnsi="Arial"/>
                <w:b/>
                <w:color w:val="1F4E79"/>
                <w:sz w:val="15"/>
              </w:rPr>
              <w:t>Rationale</w:t>
            </w:r>
          </w:p>
        </w:tc>
        <w:tc>
          <w:tcPr>
            <w:tcW w:type="dxa" w:w="11520"/>
            <w:vAlign w:val="top"/>
          </w:tcPr>
          <w:p>
            <w:pPr>
              <w:spacing w:after="20" w:line="240" w:lineRule="auto"/>
            </w:pPr>
            <w:r>
              <w:rPr>
                <w:rFonts w:ascii="Arial" w:hAnsi="Arial"/>
                <w:b w:val="0"/>
                <w:color w:val="595959"/>
                <w:sz w:val="15"/>
              </w:rPr>
              <w:t>Cash and short duration has a positive macro support score with support from Sticky Late Cycle AI, Late Cycle Risk-Off, Oil Inflation Tail. Research should focus on instruments that keep downside manageable in Reopening / Soft Landing, then test crowding, valuation, narrative maturity, and bottom-up quality downstream. Current regime: Late-cycle tightening with two-sided oil risk and AI leadership. Key drivers: Oil supply shock / reopening optionality, Hormuz reopening optionality, AI earnings resilience.</w:t>
            </w:r>
          </w:p>
        </w:tc>
      </w:tr>
      <w:tr>
        <w:tc>
          <w:tcPr>
            <w:tcW w:type="dxa" w:w="2160"/>
            <w:shd w:fill="EAF2F8"/>
            <w:vAlign w:val="top"/>
          </w:tcPr>
          <w:p>
            <w:pPr>
              <w:spacing w:after="20" w:line="240" w:lineRule="auto"/>
            </w:pPr>
            <w:r>
              <w:rPr>
                <w:rFonts w:ascii="Arial" w:hAnsi="Arial"/>
                <w:b/>
                <w:color w:val="1F4E79"/>
                <w:sz w:val="15"/>
              </w:rPr>
              <w:t>Research sub-questions</w:t>
            </w:r>
          </w:p>
        </w:tc>
        <w:tc>
          <w:tcPr>
            <w:tcW w:type="dxa" w:w="11520"/>
            <w:vAlign w:val="top"/>
          </w:tcPr>
          <w:p>
            <w:pPr>
              <w:spacing w:after="20" w:line="240" w:lineRule="auto"/>
            </w:pPr>
            <w:r>
              <w:rPr>
                <w:rFonts w:ascii="Arial" w:hAnsi="Arial"/>
                <w:b w:val="0"/>
                <w:color w:val="C00000"/>
                <w:sz w:val="15"/>
              </w:rPr>
              <w:t>- Which instruments provide the cleanest exposure to Cash and short duration?</w:t>
              <w:br/>
              <w:t>- Where do valuation and positioning leave room for upside rather than only macro beta?</w:t>
              <w:br/>
              <w:t>- What breaks the thesis in Reopening / Soft Landing?</w:t>
            </w:r>
          </w:p>
        </w:tc>
      </w:tr>
      <w:tr>
        <w:tc>
          <w:tcPr>
            <w:tcW w:type="dxa" w:w="2160"/>
            <w:shd w:fill="EAF2F8"/>
            <w:vAlign w:val="top"/>
          </w:tcPr>
          <w:p>
            <w:pPr>
              <w:spacing w:after="20" w:line="240" w:lineRule="auto"/>
            </w:pPr>
            <w:r>
              <w:rPr>
                <w:rFonts w:ascii="Arial" w:hAnsi="Arial"/>
                <w:b/>
                <w:color w:val="1F4E79"/>
                <w:sz w:val="15"/>
              </w:rPr>
              <w:t>Supporting evidence</w:t>
            </w:r>
          </w:p>
        </w:tc>
        <w:tc>
          <w:tcPr>
            <w:tcW w:type="dxa" w:w="11520"/>
            <w:vAlign w:val="top"/>
          </w:tcPr>
          <w:p>
            <w:pPr>
              <w:spacing w:after="20" w:line="240" w:lineRule="auto"/>
            </w:pPr>
            <w:r>
              <w:rPr>
                <w:rFonts w:ascii="Arial" w:hAnsi="Arial"/>
                <w:b w:val="0"/>
                <w:color w:val="C00000"/>
                <w:sz w:val="15"/>
              </w:rPr>
              <w:t>- Cash and short duration has a positive macro support score. | Static scenario/theme exposure score multiplied by updated scenario probabilities. | theme_id=cash_short_duration, macro_support_score=1.155, top_scenario_contributions=sticky_late_cycle_ai=+0.725,late_cycle_risk_off=+0.395,reopening_soft_landing=-0.311, best_scenarios=sticky_late_cycle_ai,late_cycle_risk_off,oil_inflation_tail, worst_scenarios=reopening_soft_landing, top_scenarios=sticky_late_cycle_ai 42%, reopening_soft_landing 34%, oil_inflation_tail 14%</w:t>
            </w:r>
          </w:p>
        </w:tc>
      </w:tr>
    </w:tbl>
    <w:p>
      <w:pPr>
        <w:spacing w:after="120"/>
      </w:pPr>
    </w:p>
    <w:p>
      <w:pPr>
        <w:spacing w:before="320" w:after="140"/>
      </w:pPr>
      <w:r>
        <w:rPr>
          <w:rFonts w:ascii="Arial" w:hAnsi="Arial"/>
          <w:b/>
          <w:color w:val="1F4E79"/>
          <w:sz w:val="28"/>
        </w:rPr>
        <w:t>Input Signal Detail</w:t>
      </w:r>
    </w:p>
    <w:p>
      <w:pPr>
        <w:spacing w:before="180" w:after="80"/>
      </w:pPr>
      <w:r>
        <w:rPr>
          <w:rFonts w:ascii="Arial" w:hAnsi="Arial"/>
          <w:b/>
          <w:color w:val="2E75B6"/>
          <w:sz w:val="21"/>
        </w:rPr>
        <w:t>Monetary layer</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mixed / improving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Monetary layer converted from RegimeState. Monetary layer has a neutral absolute score with a improving trend, so signal strength is moderated.</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0.17 - Easier monetary conditions support broadening.</w:t>
              <w:br/>
              <w:t>- late_cycle_risk_off: decreases 0.12 - Less restrictive policy lowers break risk.</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small_caps: positive 0.12 - Less restrictive policy supports broader risk.</w:t>
              <w:br/>
              <w:t>- long_duration_growth: positive 0.15 - Lower rates support duration.</w:t>
            </w:r>
          </w:p>
        </w:tc>
      </w:tr>
    </w:tbl>
    <w:p>
      <w:pPr>
        <w:spacing w:after="120"/>
      </w:pPr>
    </w:p>
    <w:p>
      <w:pPr>
        <w:spacing w:before="180" w:after="80"/>
      </w:pPr>
      <w:r>
        <w:rPr>
          <w:rFonts w:ascii="Arial" w:hAnsi="Arial"/>
          <w:b/>
          <w:color w:val="2E75B6"/>
          <w:sz w:val="21"/>
        </w:rPr>
        <w:t>Credit layer health</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1.00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 spreads tight (275bps) — credit healthy</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0.70 - Healthy credit reduces near-term risk-off odds.</w:t>
              <w:br/>
              <w:t>- reopening_soft_landing: increases 0.40 - Tight credit supports soft-landing broadening.</w:t>
              <w:br/>
              <w:t>- sticky_late_cycle_ai: increases 0.25 - Contained spreads allow narrow leadership to persist.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0.35 - Healthy credit supports profitable growth leadership.</w:t>
              <w:br/>
              <w:t>- cash_short_duration: neutral 0.10 - Credit health modestly reduces urgency for cash.</w:t>
              <w:br/>
              <w:t>- small_caps: positive 0.20 - Tight spreads are a prerequisite for broader risk appetite.</w:t>
            </w:r>
          </w:p>
        </w:tc>
      </w:tr>
    </w:tbl>
    <w:p>
      <w:pPr>
        <w:spacing w:after="120"/>
      </w:pPr>
    </w:p>
    <w:p>
      <w:pPr>
        <w:spacing w:before="180" w:after="80"/>
      </w:pPr>
      <w:r>
        <w:rPr>
          <w:rFonts w:ascii="Arial" w:hAnsi="Arial"/>
          <w:b/>
          <w:color w:val="2E75B6"/>
          <w:sz w:val="21"/>
        </w:rPr>
        <w:t>Volatility layer summary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1.00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Put/call ratio elevated (1.15) — fear-driven hedging, contrarian bullish</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0.30 - Orderly volatility structure reduces risk-off odds.</w:t>
              <w:br/>
              <w:t>- reopening_soft_landing: increases 0.20 - Orderly volatility supports soft-landing broadening.</w:t>
              <w:br/>
              <w:t>- sticky_late_cycle_ai: increases 0.10 - Calm volatility allows leadership trends to persist.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0.15 - Orderly volatility supports quality leadership.</w:t>
              <w:br/>
              <w:t>- small_caps: positive 0.10 - Orderly volatility modestly supports broader risk.</w:t>
              <w:br/>
              <w:t>- cash_short_duration: negative 0.10 - Calm volatility reduces need for cash.</w:t>
            </w:r>
          </w:p>
        </w:tc>
      </w:tr>
    </w:tbl>
    <w:p>
      <w:pPr>
        <w:spacing w:after="120"/>
      </w:pPr>
    </w:p>
    <w:p>
      <w:pPr>
        <w:spacing w:before="180" w:after="80"/>
      </w:pPr>
      <w:r>
        <w:rPr>
          <w:rFonts w:ascii="Arial" w:hAnsi="Arial"/>
          <w:b/>
          <w:color w:val="2E75B6"/>
          <w:sz w:val="21"/>
        </w:rPr>
        <w:t>Breadth and participation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deteriorating / confidence 0.90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Equal weight (RSP) lagging cap weight (SPY) — mega-cap concentration, breadth narrowing Breadth remains weak on an absolute basis.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0.60 - Weak breadth favors narrow leadership persistence.</w:t>
              <w:br/>
              <w:t>- late_cycle_risk_off: increases 0.45 - Weak breadth raises fragility risk.</w:t>
              <w:br/>
              <w:t>- reopening_soft_landing: decreases 0.55 - Soft landing broadening needs participation.</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0.45 - Narrow markets reward established leaders.</w:t>
              <w:br/>
              <w:t>- high_beta_ai_semis: negative 0.25 - Narrow breadth raises unwind risk in crowded beta.</w:t>
              <w:br/>
              <w:t>- small_caps: negative 0.60 - Weak breadth directly penalizes small caps.</w:t>
            </w:r>
          </w:p>
        </w:tc>
      </w:tr>
    </w:tbl>
    <w:p>
      <w:pPr>
        <w:spacing w:after="120"/>
      </w:pPr>
    </w:p>
    <w:p>
      <w:pPr>
        <w:spacing w:before="180" w:after="80"/>
      </w:pPr>
      <w:r>
        <w:rPr>
          <w:rFonts w:ascii="Arial" w:hAnsi="Arial"/>
          <w:b/>
          <w:color w:val="2E75B6"/>
          <w:sz w:val="21"/>
        </w:rPr>
        <w:t>Positioning and hedging</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mixed / stable / confidence 1.00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Equity put/call elevated (1.15) — retail fear, contrarian bullish setup</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0.20 - Fearful positioning can create contrarian support.</w:t>
              <w:br/>
              <w:t>- late_cycle_risk_off: increases 0.20 - Elevated hedging also signals fragility.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0.15 - Hedged markets can still support liquid leaders.</w:t>
              <w:br/>
              <w:t>- cash_short_duration: positive 0.20 - Hedging demand favors optionality and liquidity.</w:t>
            </w:r>
          </w:p>
        </w:tc>
      </w:tr>
    </w:tbl>
    <w:p>
      <w:pPr>
        <w:spacing w:after="120"/>
      </w:pPr>
    </w:p>
    <w:p>
      <w:pPr>
        <w:spacing w:before="180" w:after="80"/>
      </w:pPr>
      <w:r>
        <w:rPr>
          <w:rFonts w:ascii="Arial" w:hAnsi="Arial"/>
          <w:b/>
          <w:color w:val="2E75B6"/>
          <w:sz w:val="21"/>
        </w:rPr>
        <w:t>Fed path 2026-06-17</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CME FedWatch readings as of 2026-05-19</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0.45 - Hold/hike odds support higher-for-longer.</w:t>
              <w:br/>
              <w:t>- oil_inflation_tail: increases 0.35 - Hold/hike odds leave less room to absorb inflation shocks.</w:t>
              <w:br/>
              <w:t>- reopening_soft_landing: decreases 0.45 - Soft landing broadening needs easier policy optionality.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cash_short_duration: positive 0.60 - Hold/hike pricing keeps cash attractive.</w:t>
              <w:br/>
              <w:t>- long_duration_growth: negative 0.50 - Hold/hike pricing pressures duration.</w:t>
            </w:r>
          </w:p>
        </w:tc>
      </w:tr>
    </w:tbl>
    <w:p>
      <w:pPr>
        <w:spacing w:after="120"/>
      </w:pPr>
    </w:p>
    <w:p>
      <w:pPr>
        <w:spacing w:before="180" w:after="80"/>
      </w:pPr>
      <w:r>
        <w:rPr>
          <w:rFonts w:ascii="Arial" w:hAnsi="Arial"/>
          <w:b/>
          <w:color w:val="2E75B6"/>
          <w:sz w:val="21"/>
        </w:rPr>
        <w:t>Net liquidity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0.45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Net liquidity raw value -821397.06.</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Net liquidity z-score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Net liquidity z-score raw value 0.33.</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NFCI level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NFCI raw value -0.51.</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0.08 - Easy NFCI supports soft landing.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NFCI inverted</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NFCI inverted raw value 0.82.</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0.22 - Easier liquidity supports soft-landing broadening.</w:t>
              <w:br/>
              <w:t>- late_cycle_risk_off: decreases 0.18 - Easier liquidity reduces break risk.</w:t>
              <w:br/>
              <w:t>- sticky_late_cycle_ai: decreases 0.08 - Easing conditions can reduce narrow-leadership dependence.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long_duration_growth: positive 0.18 - Easier liquidity supports duration.</w:t>
              <w:br/>
              <w:t>- small_caps: positive 0.15 - Easier liquidity supports broader risk.</w:t>
            </w:r>
          </w:p>
        </w:tc>
      </w:tr>
    </w:tbl>
    <w:p>
      <w:pPr>
        <w:spacing w:after="120"/>
      </w:pPr>
    </w:p>
    <w:p>
      <w:pPr>
        <w:spacing w:before="180" w:after="80"/>
      </w:pPr>
      <w:r>
        <w:rPr>
          <w:rFonts w:ascii="Arial" w:hAnsi="Arial"/>
          <w:b/>
          <w:color w:val="2E75B6"/>
          <w:sz w:val="21"/>
        </w:rPr>
        <w:t>M2 growth YoY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M2 growth YoY 4.7%.</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Hy Spread Level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hy_spread_level raw value 280.00.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0.25 - Tight HY spreads reduce risk-off odds.</w:t>
              <w:br/>
              <w:t>- reopening_soft_landing: increases 0.18 - Tight HY spreads support soft landing.</w:t>
              <w:br/>
              <w:t>- sticky_late_cycle_ai: increases 0.10 - Contained spreads allow leadership to persist.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small_caps: positive 0.12 - Tight HY spreads support broader risk.</w:t>
            </w:r>
          </w:p>
        </w:tc>
      </w:tr>
    </w:tbl>
    <w:p>
      <w:pPr>
        <w:spacing w:after="120"/>
      </w:pPr>
    </w:p>
    <w:p>
      <w:pPr>
        <w:spacing w:before="180" w:after="80"/>
      </w:pPr>
      <w:r>
        <w:rPr>
          <w:rFonts w:ascii="Arial" w:hAnsi="Arial"/>
          <w:b/>
          <w:color w:val="2E75B6"/>
          <w:sz w:val="21"/>
        </w:rPr>
        <w:t>Hy Spread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hy_spread_z raw value -0.64.</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0.18 - HY spreads are tight versus recent history.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Hy Spread Chg 4W</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hy_spread_chg_4w raw value 0.00.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Ig Spread Level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ig_spread_level raw value 75.00.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0.12 - Tight IG spreads reduce systemic stress.</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Ig Spread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ig_spread_z raw value -1.10.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0.10 - IG spreads are tight versus history.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Hyg Tlt Ratio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hyg_tlt_ratio_z raw value 1.33.</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0.14 - HYG/TLT confirms credit risk appetite.</w:t>
              <w:br/>
              <w:t>- late_cycle_risk_off: decreases 0.12 - HYG/TLT reduces risk-off pressure.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Vix Level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vix_level raw value 18.79.</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Vix Z 20D</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vix_z_20d raw value 0.61.</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Vix Term Slope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vix_term_slope raw value 2.34.</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0.12 - VIX term structure is in contango.</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Vvix Level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vvix_level raw value 97.73.</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Vvix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vvix_z raw value -0.30.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Put Call Ratio</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put_call_ratio raw value 0.84.</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Skew Index</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skew_index raw value 142.98.</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Pct Above 200D</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improving / confidence 0.72</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pct_above_200d raw value 81.80.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0.25 - pct_above_200d supports broad participation.</w:t>
              <w:br/>
              <w:t>- sticky_late_cycle_ai: decreases 0.14 - pct_above_200d reduces narrow-leadership dependence.</w:t>
              <w:br/>
              <w:t>- late_cycle_risk_off: decreases 0.14 - pct_above_200d lowers market fragility.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small_caps: positive 0.20 - pct_above_200d supports broader risk.</w:t>
              <w:br/>
              <w:t>- long_duration_growth: positive 0.10 - pct_above_200d supports broader growth participation.</w:t>
            </w:r>
          </w:p>
        </w:tc>
      </w:tr>
    </w:tbl>
    <w:p>
      <w:pPr>
        <w:spacing w:after="120"/>
      </w:pPr>
    </w:p>
    <w:p>
      <w:pPr>
        <w:spacing w:before="180" w:after="80"/>
      </w:pPr>
      <w:r>
        <w:rPr>
          <w:rFonts w:ascii="Arial" w:hAnsi="Arial"/>
          <w:b/>
          <w:color w:val="2E75B6"/>
          <w:sz w:val="21"/>
        </w:rPr>
        <w:t>Sectors Green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improving / confidence 0.72</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sectors_green raw value 9.00.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0.25 - sectors_green supports broad participation.</w:t>
              <w:br/>
              <w:t>- sticky_late_cycle_ai: decreases 0.14 - sectors_green reduces narrow-leadership dependence.</w:t>
              <w:br/>
              <w:t>- late_cycle_risk_off: decreases 0.14 - sectors_green lowers market fragility.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small_caps: positive 0.20 - sectors_green supports broader risk.</w:t>
              <w:br/>
              <w:t>- long_duration_growth: positive 0.10 - sectors_green supports broader growth participation.</w:t>
            </w:r>
          </w:p>
        </w:tc>
      </w:tr>
    </w:tbl>
    <w:p>
      <w:pPr>
        <w:spacing w:after="120"/>
      </w:pPr>
    </w:p>
    <w:p>
      <w:pPr>
        <w:spacing w:before="180" w:after="80"/>
      </w:pPr>
      <w:r>
        <w:rPr>
          <w:rFonts w:ascii="Arial" w:hAnsi="Arial"/>
          <w:b/>
          <w:color w:val="2E75B6"/>
          <w:sz w:val="21"/>
        </w:rPr>
        <w:t>Rsp Vs Spy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0.72</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rsp_vs_spy_z raw value -0.14.</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Put Call 5D Ma</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0.65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put_call_5d_ma raw value 0.84.</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Cot Net Large Spec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0.65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cot_net_large_spec_z raw value -1.63.</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Monetary policy composite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mixed / mixed / confidence 0.64</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Composite reconciles layer score 5.59, layer signal mixed with Fed hold/hike probability 80%, cut probability 20%, Fed signal bearish. Component signals are displayed but excluded from probability updates. High hold/hike odds keep policy from being treated as outright bullish.</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0.25 - Fed hold/hike pricing offsets softer monetary-layer signals.</w:t>
              <w:br/>
              <w:t>- oil_inflation_tail: increases 0.20 - High hold/hike odds leave less cushion against inflation tails.</w:t>
              <w:br/>
              <w:t>- reopening_soft_landing: decreases 0.25 - Policy is not easy enough to fully endorse broadening.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cash_short_duration: positive 0.35 - High hold/hike odds keep carry relevant.</w:t>
              <w:br/>
              <w:t>- long_duration_growth: negative 0.30 - High hold/hike odds restrain duration.</w:t>
              <w:br/>
              <w:t>- quality_ex_ai_cash_flow: positive 0.15 - Mixed policy favors durable cash flow.</w:t>
            </w:r>
          </w:p>
        </w:tc>
      </w:tr>
    </w:tbl>
    <w:p>
      <w:pPr>
        <w:spacing w:after="120"/>
      </w:pPr>
    </w:p>
    <w:p>
      <w:pPr>
        <w:spacing w:before="180" w:after="80"/>
      </w:pPr>
      <w:r>
        <w:rPr>
          <w:rFonts w:ascii="Arial" w:hAnsi="Arial"/>
          <w:b/>
          <w:color w:val="2E75B6"/>
          <w:sz w:val="21"/>
        </w:rPr>
        <w:t>SPY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0.05 - SPY return is positive.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QQQ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QQQ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0.05 - QQQ return is positive.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IWM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IWM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0.08 - IWM return supports broadening.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TLT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TLT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0.05 - Treasury strength can reflect defensive demand.</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HYG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HYG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0.07 - HYG tape is constructive.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GLD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GLD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oil_inflation_tail: decreases 0.05 - GLD return pressure reduces inflation-tail tape.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USO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USO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oil_inflation_tail: increases 0.07 - USO return supports inflation-tail watchlist.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BTC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BTC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0.06 - BTC return is negative.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RSP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RSP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0.08 - RSP return supports broadening.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HYG minus TLT risk-on proxy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Cross-asset risk-on proxy from MarketState.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0.10 - HYG minus TLT tape is risk-on.</w:t>
              <w:br/>
              <w:t>- late_cycle_risk_off: decreases 0.08 - HYG minus TLT tape is risk-on.</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RSP minus SPY participation proxy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Equal-weight versus cap-weight tape.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0.12 - RSP underperformance confirms narrow leadership.</w:t>
              <w:br/>
              <w:t>- reopening_soft_landing: decreases 0.10 - RSP underperformance undermines broadening.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IWM minus SPY small-cap leadership</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Small-cap leadership tape.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0.10 - Small-cap leadership supports broadening.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QQQ minus SPY growth leadership</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Nasdaq versus S&amp;P tape.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0.08 - QQQ outperformance supports growth/AI leadership.</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Market tape leadership top 3</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mixed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Top sector leadership from MarketState.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0.07 - Technology-led leadership supports narrow AI/tape persistence.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Market tape sector dispersion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Sector return dispersion from MarketState.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0.06 - High sector dispersion can signal fragile leadership.</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Spy Above Vwap</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spy_above_vwap from MarketState.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0.04 - spy_above_vwap is constructive.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Spy Above Prev Close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spy_above_prev_close from MarketState.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0.04 - spy_above_prev_close is constructive.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Spy Clv</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spy_clv raw value 0.40.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0.06 - spy_clv is constructive.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Spy Range Pct</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spy_range_pct raw value 1.27.</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0.06 - spy_range_pct is constructive.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Spy Vol Z 20D</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spy_vol_z_20d raw value -1.43.</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0.06 - spy_vol_z_20d is weak.</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Volume Confirmation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volume_confirmation raw value -1.43.</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0.06 - volume_confirmation is weak.</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Vix Change Pct 1D</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0.50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vix_change_pct_1d raw value -3.34.</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Oil shock and reopening optionality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mixed / mixed / confidence 0.62</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still inflationary, but risk premium is now two-sided oil remains elevated versus pre-shock levels, but reopening and de-escalation headlines have reduced the one-way upside pressure. energy remains a useful hedge, but the trade is more tactical and headline-sensitive.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oil_inflation_tail: increases 0.45 - Oil shock language keeps inflation-tail risk alive.</w:t>
              <w:br/>
              <w:t>- reopening_soft_landing: increases 0.35 - Reopening optionality supports soft-landing relief.</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energy_oil_beta: positive 0.50 - Oil risk supports energy beta.</w:t>
              <w:br/>
              <w:t>- commodities_real_assets: positive 0.35 - Inflation tails support real assets.</w:t>
            </w:r>
          </w:p>
        </w:tc>
      </w:tr>
    </w:tbl>
    <w:p>
      <w:pPr>
        <w:spacing w:after="120"/>
      </w:pPr>
    </w:p>
    <w:p>
      <w:pPr>
        <w:spacing w:before="180" w:after="80"/>
      </w:pPr>
      <w:r>
        <w:rPr>
          <w:rFonts w:ascii="Arial" w:hAnsi="Arial"/>
          <w:b/>
          <w:color w:val="2E75B6"/>
          <w:sz w:val="21"/>
        </w:rPr>
        <w:t>AI earnings resilience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0.62</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bullish for quality ai infrastructure capital spending tied to data-center demand remains durable, and revision-supported ai infrastructure leaders can continue working even if the broader macro backdrop is fragile.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0.65 - AI earnings resilience supports narrow leadership.</w:t>
              <w:br/>
              <w:t>- ai_capex_rollover: decreases 0.55 - Resilient AI earnings reduce capex-rollover odds.</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0.65 - AI resilience supports quality AI leaders.</w:t>
              <w:br/>
              <w:t>- grid_power_infrastructure: positive 0.45 - AI capex resilience supports power demand.</w:t>
              <w:br/>
              <w:t>- high_beta_ai_semis: positive 0.25 - AI resilience helps semis, though crowding remains.</w:t>
            </w:r>
          </w:p>
        </w:tc>
      </w:tr>
    </w:tbl>
    <w:p>
      <w:pPr>
        <w:spacing w:after="120"/>
      </w:pPr>
    </w:p>
    <w:p>
      <w:pPr>
        <w:spacing w:before="180" w:after="80"/>
      </w:pPr>
      <w:r>
        <w:rPr>
          <w:rFonts w:ascii="Arial" w:hAnsi="Arial"/>
          <w:b/>
          <w:color w:val="2E75B6"/>
          <w:sz w:val="21"/>
        </w:rPr>
        <w:t>Hyperscaler capex rollover falsifier</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Hyperscaler capex guidance weakens materially</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ai_capex_rollover: decreases 0.25 - Capex rollover falsifier has not triggered.</w:t>
              <w:br/>
              <w:t>- sticky_late_cycle_ai: increases 0.20 - Untriggered capex falsifier supports AI leadership persistence.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0.25 - Untriggered capex risk supports quality AI.</w:t>
              <w:br/>
              <w:t>- grid_power_infrastructure: positive 0.20 - Untriggered capex risk supports grid demand.</w:t>
            </w:r>
          </w:p>
        </w:tc>
      </w:tr>
    </w:tbl>
    <w:p>
      <w:pPr>
        <w:spacing w:after="120"/>
      </w:pPr>
    </w:p>
    <w:p>
      <w:pPr>
        <w:spacing w:before="320" w:after="140"/>
      </w:pPr>
      <w:r>
        <w:rPr>
          <w:rFonts w:ascii="Arial" w:hAnsi="Arial"/>
          <w:b/>
          <w:color w:val="1F4E79"/>
          <w:sz w:val="28"/>
        </w:rPr>
        <w:t>Methodology Notes</w:t>
      </w:r>
    </w:p>
    <w:p>
      <w:pPr>
        <w:spacing w:after="40"/>
      </w:pPr>
      <w:r>
        <w:rPr>
          <w:rFonts w:ascii="Arial" w:hAnsi="Arial"/>
          <w:b w:val="0"/>
          <w:color w:val="595959"/>
          <w:sz w:val="17"/>
        </w:rPr>
        <w:t>Layer summaries are generated from Helix regime layer scores.</w:t>
      </w:r>
    </w:p>
    <w:p>
      <w:pPr>
        <w:spacing w:after="40"/>
      </w:pPr>
      <w:r>
        <w:rPr>
          <w:rFonts w:ascii="Arial" w:hAnsi="Arial"/>
          <w:b w:val="0"/>
          <w:color w:val="595959"/>
          <w:sz w:val="17"/>
        </w:rPr>
        <w:t>Raw components are generated from the underlying RegimeInputs fields.</w:t>
      </w:r>
    </w:p>
    <w:p>
      <w:pPr>
        <w:spacing w:after="40"/>
      </w:pPr>
      <w:r>
        <w:rPr>
          <w:rFonts w:ascii="Arial" w:hAnsi="Arial"/>
          <w:b w:val="0"/>
          <w:color w:val="595959"/>
          <w:sz w:val="17"/>
        </w:rPr>
        <w:t>Market/tape signals are generated from MarketState.</w:t>
      </w:r>
    </w:p>
    <w:p>
      <w:pPr>
        <w:spacing w:after="40"/>
      </w:pPr>
      <w:r>
        <w:rPr>
          <w:rFonts w:ascii="Arial" w:hAnsi="Arial"/>
          <w:b w:val="0"/>
          <w:color w:val="595959"/>
          <w:sz w:val="17"/>
        </w:rPr>
        <w:t>Regime drivers and scenario falsifiers are generated from active regime context and scenario definitions.</w:t>
      </w:r>
    </w:p>
    <w:p>
      <w:pPr>
        <w:spacing w:after="40"/>
      </w:pPr>
      <w:r>
        <w:rPr>
          <w:rFonts w:ascii="Arial" w:hAnsi="Arial"/>
          <w:b w:val="0"/>
          <w:color w:val="595959"/>
          <w:sz w:val="17"/>
        </w:rPr>
        <w:t>In hybrid mode, layer summaries provide base scenario impacts and raw components act as modifiers within the same parent layer.</w:t>
      </w:r>
    </w:p>
    <w:p>
      <w:pPr>
        <w:spacing w:after="40"/>
      </w:pPr>
      <w:r>
        <w:rPr>
          <w:rFonts w:ascii="Arial" w:hAnsi="Arial"/>
          <w:b w:val="0"/>
          <w:color w:val="595959"/>
          <w:sz w:val="17"/>
        </w:rPr>
        <w:t>Dedupe caps prevent one layer from dominating through many correlated inputs.</w:t>
      </w:r>
    </w:p>
    <w:p>
      <w:pPr>
        <w:spacing w:after="40"/>
      </w:pPr>
      <w:r>
        <w:rPr>
          <w:rFonts w:ascii="Arial" w:hAnsi="Arial"/>
          <w:b w:val="0"/>
          <w:color w:val="595959"/>
          <w:sz w:val="17"/>
        </w:rPr>
        <w:t>Market/tape signals are downweighted for longer horizons.</w:t>
      </w:r>
    </w:p>
    <w:p>
      <w:pPr>
        <w:spacing w:after="40"/>
      </w:pPr>
      <w:r>
        <w:rPr>
          <w:rFonts w:ascii="Arial" w:hAnsi="Arial"/>
          <w:b w:val="0"/>
          <w:color w:val="595959"/>
          <w:sz w:val="17"/>
        </w:rPr>
        <w:t>raw_component_contribution = direction_sign × base_strength × confidence × signal_multiplier × horizon_weight × dedupe_weight</w:t>
      </w:r>
    </w:p>
    <w:p>
      <w:pPr>
        <w:spacing w:after="40"/>
      </w:pPr>
      <w:r>
        <w:rPr>
          <w:rFonts w:ascii="Arial" w:hAnsi="Arial"/>
          <w:b w:val="0"/>
          <w:color w:val="595959"/>
          <w:sz w:val="17"/>
        </w:rPr>
        <w:t>layer_summary_contribution = direction_sign × base_strength × confidence × layer_summary_base_weight</w:t>
      </w:r>
    </w:p>
    <w:p>
      <w:pPr>
        <w:spacing w:after="40"/>
      </w:pPr>
      <w:r>
        <w:rPr>
          <w:rFonts w:ascii="Arial" w:hAnsi="Arial"/>
          <w:b w:val="0"/>
          <w:color w:val="595959"/>
          <w:sz w:val="17"/>
        </w:rPr>
        <w:t>final_layer_group_contribution = layer_summary_contribution + capped_sum(raw_component_modifiers)</w:t>
      </w:r>
    </w:p>
    <w:p>
      <w:pPr>
        <w:spacing w:after="40"/>
      </w:pPr>
      <w:r>
        <w:rPr>
          <w:rFonts w:ascii="Arial" w:hAnsi="Arial"/>
          <w:b w:val="0"/>
          <w:color w:val="595959"/>
          <w:sz w:val="17"/>
        </w:rPr>
        <w:t>raw_score_s = prior_score_s + Σ input_contribution_i,s</w:t>
      </w:r>
    </w:p>
    <w:p>
      <w:pPr>
        <w:spacing w:after="40"/>
      </w:pPr>
      <w:r>
        <w:rPr>
          <w:rFonts w:ascii="Arial" w:hAnsi="Arial"/>
          <w:b w:val="0"/>
          <w:color w:val="595959"/>
          <w:sz w:val="17"/>
        </w:rPr>
        <w:t>input_contribution_i,s = direction_sign × base_strength_i,s × confidence_i × signal_multiplier_i</w:t>
      </w:r>
    </w:p>
    <w:p>
      <w:pPr>
        <w:spacing w:after="40"/>
      </w:pPr>
      <w:r>
        <w:rPr>
          <w:rFonts w:ascii="Arial" w:hAnsi="Arial"/>
          <w:b w:val="0"/>
          <w:color w:val="595959"/>
          <w:sz w:val="17"/>
        </w:rPr>
        <w:t>pre_floor_probability_s = softmax(raw_score_s)</w:t>
      </w:r>
    </w:p>
    <w:p>
      <w:pPr>
        <w:spacing w:after="40"/>
      </w:pPr>
      <w:r>
        <w:rPr>
          <w:rFonts w:ascii="Arial" w:hAnsi="Arial"/>
          <w:b w:val="0"/>
          <w:color w:val="595959"/>
          <w:sz w:val="17"/>
        </w:rPr>
        <w:t>final_probability_s = apply_floors_and_caps(pre_floor_probability_s)</w:t>
      </w:r>
    </w:p>
    <w:p>
      <w:pPr>
        <w:spacing w:after="40"/>
      </w:pPr>
      <w:r>
        <w:rPr>
          <w:rFonts w:ascii="Arial" w:hAnsi="Arial"/>
          <w:b w:val="0"/>
          <w:color w:val="595959"/>
          <w:sz w:val="17"/>
        </w:rPr>
        <w:t>macro_support_score_t = Σ scenario_probability_s × theme_exposure_score_t,s</w:t>
      </w:r>
    </w:p>
    <w:p>
      <w:pPr>
        <w:spacing w:after="40"/>
      </w:pPr>
      <w:r>
        <w:rPr>
          <w:rFonts w:ascii="Arial" w:hAnsi="Arial"/>
          <w:b w:val="0"/>
          <w:color w:val="595959"/>
          <w:sz w:val="17"/>
        </w:rPr>
        <w:t>theme_contribution_t,s = scenario_probability_s × theme_exposure_score_t,s</w:t>
      </w:r>
    </w:p>
    <w:p>
      <w:pPr>
        <w:spacing w:after="40"/>
      </w:pPr>
      <w:r>
        <w:rPr>
          <w:rFonts w:ascii="Arial" w:hAnsi="Arial"/>
          <w:b w:val="0"/>
          <w:color w:val="595959"/>
          <w:sz w:val="17"/>
        </w:rPr>
        <w:t>ranking_score_t = macro_support_score_t</w:t>
      </w:r>
    </w:p>
    <w:p>
      <w:pPr>
        <w:spacing w:after="40"/>
      </w:pPr>
      <w:r>
        <w:rPr>
          <w:rFonts w:ascii="Arial" w:hAnsi="Arial"/>
          <w:b w:val="0"/>
          <w:color w:val="595959"/>
          <w:sz w:val="17"/>
        </w:rPr>
        <w:t>sector_score = Σ theme_macro_support_score_t × sector_theme_weight_t</w:t>
      </w:r>
    </w:p>
    <w:p>
      <w:pPr>
        <w:spacing w:after="40"/>
      </w:pPr>
      <w:r>
        <w:rPr>
          <w:rFonts w:ascii="Arial" w:hAnsi="Arial"/>
          <w:b w:val="0"/>
          <w:color w:val="595959"/>
          <w:sz w:val="17"/>
        </w:rPr>
        <w:t>factor_score = Σ theme_macro_support_score_t × factor_theme_weight_t</w:t>
      </w:r>
    </w:p>
    <w:p>
      <w:pPr>
        <w:spacing w:after="40"/>
      </w:pPr>
      <w:r>
        <w:rPr>
          <w:rFonts w:ascii="Arial" w:hAnsi="Arial"/>
          <w:b w:val="0"/>
          <w:color w:val="595959"/>
          <w:sz w:val="17"/>
        </w:rPr>
        <w:t>Macro forecast theme rankings intentionally exclude valuation, crowding, narrative maturity, consensus gap, and ticker-level quality. Those are evaluated by downstream research agents.</w:t>
      </w:r>
    </w:p>
    <w:p>
      <w:pPr>
        <w:spacing w:after="40"/>
      </w:pPr>
      <w:r>
        <w:rPr>
          <w:rFonts w:ascii="Arial" w:hAnsi="Arial"/>
          <w:b w:val="0"/>
          <w:color w:val="595959"/>
          <w:sz w:val="17"/>
        </w:rPr>
        <w:t>Monetary component signals are displayed as inputs but excluded from probability math when monetary_policy_composite is enabled.</w:t>
      </w:r>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595959"/>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5B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